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CC2924" w14:textId="77777777" w:rsidR="00453F1F" w:rsidRDefault="00453F1F" w:rsidP="00884B5E">
      <w:pPr>
        <w:pStyle w:val="Covertitle"/>
        <w:spacing w:before="1200"/>
        <w:rPr>
          <w:rFonts w:cs="Segoe UI"/>
          <w:b/>
          <w:color w:val="auto"/>
          <w:sz w:val="64"/>
          <w:szCs w:val="64"/>
        </w:rPr>
      </w:pPr>
      <w:r>
        <w:rPr>
          <w:rFonts w:cs="Segoe UI"/>
          <w:b/>
          <w:color w:val="auto"/>
          <w:sz w:val="64"/>
          <w:szCs w:val="64"/>
        </w:rPr>
        <w:t>Fifth</w:t>
      </w:r>
      <w:bookmarkStart w:id="0" w:name="_GoBack"/>
      <w:bookmarkEnd w:id="0"/>
      <w:r w:rsidRPr="00340744">
        <w:rPr>
          <w:rFonts w:cs="Segoe UI"/>
          <w:b/>
          <w:color w:val="auto"/>
          <w:sz w:val="64"/>
          <w:szCs w:val="64"/>
        </w:rPr>
        <w:t xml:space="preserve"> National</w:t>
      </w:r>
      <w:r w:rsidRPr="00453F1F">
        <w:rPr>
          <w:rFonts w:cs="Segoe UI"/>
          <w:b/>
          <w:color w:val="auto"/>
          <w:sz w:val="64"/>
          <w:szCs w:val="64"/>
        </w:rPr>
        <w:t xml:space="preserve"> Aboriginal and Torres Strait Islander Blood Borne Viruses and Sexually Transmissible Infections Strategy </w:t>
      </w:r>
    </w:p>
    <w:p w14:paraId="58DDE1FB" w14:textId="58D29B97" w:rsidR="00453F1F" w:rsidRDefault="00453F1F" w:rsidP="006C155C">
      <w:pPr>
        <w:pStyle w:val="Covertitle"/>
      </w:pPr>
      <w:r w:rsidRPr="009116D8">
        <w:rPr>
          <w:rFonts w:cs="Segoe UI"/>
          <w:b/>
          <w:color w:val="auto"/>
          <w:sz w:val="52"/>
          <w:szCs w:val="52"/>
        </w:rPr>
        <w:t>2018</w:t>
      </w:r>
      <w:r w:rsidR="00DA3858">
        <w:rPr>
          <w:rFonts w:cs="Segoe UI"/>
          <w:b/>
          <w:color w:val="auto"/>
          <w:sz w:val="52"/>
          <w:szCs w:val="52"/>
        </w:rPr>
        <w:t>–</w:t>
      </w:r>
      <w:r w:rsidRPr="009116D8">
        <w:rPr>
          <w:rFonts w:cs="Segoe UI"/>
          <w:b/>
          <w:color w:val="auto"/>
          <w:sz w:val="52"/>
          <w:szCs w:val="52"/>
        </w:rPr>
        <w:t>2022</w:t>
      </w:r>
    </w:p>
    <w:p w14:paraId="53333778" w14:textId="77777777" w:rsidR="00453F1F" w:rsidRDefault="00453F1F" w:rsidP="00453F1F">
      <w:pPr>
        <w:spacing w:after="160" w:line="259" w:lineRule="auto"/>
      </w:pPr>
      <w:r>
        <w:br w:type="page"/>
      </w:r>
    </w:p>
    <w:p w14:paraId="05C71AED" w14:textId="77777777" w:rsidR="00CF7BA0" w:rsidRPr="006B3C1E" w:rsidRDefault="00CF7BA0" w:rsidP="00CF7BA0">
      <w:pPr>
        <w:pStyle w:val="ContentsHeading"/>
      </w:pPr>
      <w:r w:rsidRPr="006B3C1E">
        <w:lastRenderedPageBreak/>
        <w:t>Contents</w:t>
      </w:r>
    </w:p>
    <w:p w14:paraId="569E1329" w14:textId="77777777" w:rsidR="00424925" w:rsidRDefault="00810715">
      <w:pPr>
        <w:pStyle w:val="TOC1"/>
        <w:tabs>
          <w:tab w:val="left" w:pos="380"/>
          <w:tab w:val="right" w:leader="dot" w:pos="9737"/>
        </w:tabs>
        <w:rPr>
          <w:rFonts w:asciiTheme="minorHAnsi" w:eastAsiaTheme="minorEastAsia" w:hAnsiTheme="minorHAnsi" w:cstheme="minorBidi"/>
          <w:noProof/>
          <w:sz w:val="24"/>
          <w:szCs w:val="24"/>
          <w:lang w:val="en-US"/>
        </w:rPr>
      </w:pPr>
      <w:r w:rsidRPr="006B3C1E">
        <w:rPr>
          <w:lang w:eastAsia="en-AU"/>
        </w:rPr>
        <w:fldChar w:fldCharType="begin"/>
      </w:r>
      <w:r w:rsidR="008A4363" w:rsidRPr="006B3C1E">
        <w:rPr>
          <w:lang w:eastAsia="en-AU"/>
        </w:rPr>
        <w:instrText xml:space="preserve"> TOC \o "1-3" \h \z \u </w:instrText>
      </w:r>
      <w:r w:rsidRPr="006B3C1E">
        <w:rPr>
          <w:lang w:eastAsia="en-AU"/>
        </w:rPr>
        <w:fldChar w:fldCharType="separate"/>
      </w:r>
      <w:hyperlink w:anchor="_Toc529472443" w:history="1">
        <w:r w:rsidR="00424925" w:rsidRPr="002E4101">
          <w:rPr>
            <w:rStyle w:val="Hyperlink"/>
            <w:noProof/>
          </w:rPr>
          <w:t>1</w:t>
        </w:r>
        <w:r w:rsidR="00424925">
          <w:rPr>
            <w:rFonts w:asciiTheme="minorHAnsi" w:eastAsiaTheme="minorEastAsia" w:hAnsiTheme="minorHAnsi" w:cstheme="minorBidi"/>
            <w:noProof/>
            <w:sz w:val="24"/>
            <w:szCs w:val="24"/>
            <w:lang w:val="en-US"/>
          </w:rPr>
          <w:tab/>
        </w:r>
        <w:r w:rsidR="00424925" w:rsidRPr="002E4101">
          <w:rPr>
            <w:rStyle w:val="Hyperlink"/>
            <w:noProof/>
          </w:rPr>
          <w:t>Introduction</w:t>
        </w:r>
        <w:r w:rsidR="00424925">
          <w:rPr>
            <w:noProof/>
            <w:webHidden/>
          </w:rPr>
          <w:tab/>
        </w:r>
        <w:r w:rsidR="00424925">
          <w:rPr>
            <w:noProof/>
            <w:webHidden/>
          </w:rPr>
          <w:fldChar w:fldCharType="begin"/>
        </w:r>
        <w:r w:rsidR="00424925">
          <w:rPr>
            <w:noProof/>
            <w:webHidden/>
          </w:rPr>
          <w:instrText xml:space="preserve"> PAGEREF _Toc529472443 \h </w:instrText>
        </w:r>
        <w:r w:rsidR="00424925">
          <w:rPr>
            <w:noProof/>
            <w:webHidden/>
          </w:rPr>
        </w:r>
        <w:r w:rsidR="00424925">
          <w:rPr>
            <w:noProof/>
            <w:webHidden/>
          </w:rPr>
          <w:fldChar w:fldCharType="separate"/>
        </w:r>
        <w:r w:rsidR="00376B98">
          <w:rPr>
            <w:noProof/>
            <w:webHidden/>
          </w:rPr>
          <w:t>3</w:t>
        </w:r>
        <w:r w:rsidR="00424925">
          <w:rPr>
            <w:noProof/>
            <w:webHidden/>
          </w:rPr>
          <w:fldChar w:fldCharType="end"/>
        </w:r>
      </w:hyperlink>
    </w:p>
    <w:p w14:paraId="0951EE6E" w14:textId="77777777" w:rsidR="00424925" w:rsidRDefault="00884B5E">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44" w:history="1">
        <w:r w:rsidR="00424925" w:rsidRPr="002E4101">
          <w:rPr>
            <w:rStyle w:val="Hyperlink"/>
            <w:noProof/>
          </w:rPr>
          <w:t>2</w:t>
        </w:r>
        <w:r w:rsidR="00424925">
          <w:rPr>
            <w:rFonts w:asciiTheme="minorHAnsi" w:eastAsiaTheme="minorEastAsia" w:hAnsiTheme="minorHAnsi" w:cstheme="minorBidi"/>
            <w:noProof/>
            <w:sz w:val="24"/>
            <w:szCs w:val="24"/>
            <w:lang w:val="en-US"/>
          </w:rPr>
          <w:tab/>
        </w:r>
        <w:r w:rsidR="00424925" w:rsidRPr="002E4101">
          <w:rPr>
            <w:rStyle w:val="Hyperlink"/>
            <w:noProof/>
          </w:rPr>
          <w:t>Guiding principles</w:t>
        </w:r>
        <w:r w:rsidR="00424925">
          <w:rPr>
            <w:noProof/>
            <w:webHidden/>
          </w:rPr>
          <w:tab/>
        </w:r>
        <w:r w:rsidR="00424925">
          <w:rPr>
            <w:noProof/>
            <w:webHidden/>
          </w:rPr>
          <w:fldChar w:fldCharType="begin"/>
        </w:r>
        <w:r w:rsidR="00424925">
          <w:rPr>
            <w:noProof/>
            <w:webHidden/>
          </w:rPr>
          <w:instrText xml:space="preserve"> PAGEREF _Toc529472444 \h </w:instrText>
        </w:r>
        <w:r w:rsidR="00424925">
          <w:rPr>
            <w:noProof/>
            <w:webHidden/>
          </w:rPr>
        </w:r>
        <w:r w:rsidR="00424925">
          <w:rPr>
            <w:noProof/>
            <w:webHidden/>
          </w:rPr>
          <w:fldChar w:fldCharType="separate"/>
        </w:r>
        <w:r w:rsidR="00376B98">
          <w:rPr>
            <w:noProof/>
            <w:webHidden/>
          </w:rPr>
          <w:t>6</w:t>
        </w:r>
        <w:r w:rsidR="00424925">
          <w:rPr>
            <w:noProof/>
            <w:webHidden/>
          </w:rPr>
          <w:fldChar w:fldCharType="end"/>
        </w:r>
      </w:hyperlink>
    </w:p>
    <w:p w14:paraId="27349FF8" w14:textId="77777777" w:rsidR="00424925" w:rsidRDefault="00884B5E">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45" w:history="1">
        <w:r w:rsidR="00424925" w:rsidRPr="002E4101">
          <w:rPr>
            <w:rStyle w:val="Hyperlink"/>
            <w:noProof/>
          </w:rPr>
          <w:t>3</w:t>
        </w:r>
        <w:r w:rsidR="00424925">
          <w:rPr>
            <w:rFonts w:asciiTheme="minorHAnsi" w:eastAsiaTheme="minorEastAsia" w:hAnsiTheme="minorHAnsi" w:cstheme="minorBidi"/>
            <w:noProof/>
            <w:sz w:val="24"/>
            <w:szCs w:val="24"/>
            <w:lang w:val="en-US"/>
          </w:rPr>
          <w:tab/>
        </w:r>
        <w:r w:rsidR="00424925" w:rsidRPr="002E4101">
          <w:rPr>
            <w:rStyle w:val="Hyperlink"/>
            <w:noProof/>
          </w:rPr>
          <w:t>Snapshot of Aboriginal and Torres Strait Islander BBV and STI in Australia</w:t>
        </w:r>
        <w:r w:rsidR="00424925">
          <w:rPr>
            <w:noProof/>
            <w:webHidden/>
          </w:rPr>
          <w:tab/>
        </w:r>
        <w:r w:rsidR="00424925">
          <w:rPr>
            <w:noProof/>
            <w:webHidden/>
          </w:rPr>
          <w:fldChar w:fldCharType="begin"/>
        </w:r>
        <w:r w:rsidR="00424925">
          <w:rPr>
            <w:noProof/>
            <w:webHidden/>
          </w:rPr>
          <w:instrText xml:space="preserve"> PAGEREF _Toc529472445 \h </w:instrText>
        </w:r>
        <w:r w:rsidR="00424925">
          <w:rPr>
            <w:noProof/>
            <w:webHidden/>
          </w:rPr>
        </w:r>
        <w:r w:rsidR="00424925">
          <w:rPr>
            <w:noProof/>
            <w:webHidden/>
          </w:rPr>
          <w:fldChar w:fldCharType="separate"/>
        </w:r>
        <w:r w:rsidR="00376B98">
          <w:rPr>
            <w:noProof/>
            <w:webHidden/>
          </w:rPr>
          <w:t>7</w:t>
        </w:r>
        <w:r w:rsidR="00424925">
          <w:rPr>
            <w:noProof/>
            <w:webHidden/>
          </w:rPr>
          <w:fldChar w:fldCharType="end"/>
        </w:r>
      </w:hyperlink>
    </w:p>
    <w:p w14:paraId="28E9B4CD" w14:textId="77777777" w:rsidR="00424925" w:rsidRDefault="00884B5E">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46" w:history="1">
        <w:r w:rsidR="00424925" w:rsidRPr="002E4101">
          <w:rPr>
            <w:rStyle w:val="Hyperlink"/>
            <w:noProof/>
          </w:rPr>
          <w:t>4</w:t>
        </w:r>
        <w:r w:rsidR="00424925">
          <w:rPr>
            <w:rFonts w:asciiTheme="minorHAnsi" w:eastAsiaTheme="minorEastAsia" w:hAnsiTheme="minorHAnsi" w:cstheme="minorBidi"/>
            <w:noProof/>
            <w:sz w:val="24"/>
            <w:szCs w:val="24"/>
            <w:lang w:val="en-US"/>
          </w:rPr>
          <w:tab/>
        </w:r>
        <w:r w:rsidR="00424925" w:rsidRPr="002E4101">
          <w:rPr>
            <w:rStyle w:val="Hyperlink"/>
            <w:noProof/>
          </w:rPr>
          <w:t>About this strategy</w:t>
        </w:r>
        <w:r w:rsidR="00424925">
          <w:rPr>
            <w:noProof/>
            <w:webHidden/>
          </w:rPr>
          <w:tab/>
        </w:r>
        <w:r w:rsidR="00424925">
          <w:rPr>
            <w:noProof/>
            <w:webHidden/>
          </w:rPr>
          <w:fldChar w:fldCharType="begin"/>
        </w:r>
        <w:r w:rsidR="00424925">
          <w:rPr>
            <w:noProof/>
            <w:webHidden/>
          </w:rPr>
          <w:instrText xml:space="preserve"> PAGEREF _Toc529472446 \h </w:instrText>
        </w:r>
        <w:r w:rsidR="00424925">
          <w:rPr>
            <w:noProof/>
            <w:webHidden/>
          </w:rPr>
        </w:r>
        <w:r w:rsidR="00424925">
          <w:rPr>
            <w:noProof/>
            <w:webHidden/>
          </w:rPr>
          <w:fldChar w:fldCharType="separate"/>
        </w:r>
        <w:r w:rsidR="00376B98">
          <w:rPr>
            <w:noProof/>
            <w:webHidden/>
          </w:rPr>
          <w:t>9</w:t>
        </w:r>
        <w:r w:rsidR="00424925">
          <w:rPr>
            <w:noProof/>
            <w:webHidden/>
          </w:rPr>
          <w:fldChar w:fldCharType="end"/>
        </w:r>
      </w:hyperlink>
    </w:p>
    <w:p w14:paraId="28C9EFCB" w14:textId="77777777" w:rsidR="00424925" w:rsidRDefault="00884B5E">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47" w:history="1">
        <w:r w:rsidR="00424925" w:rsidRPr="002E4101">
          <w:rPr>
            <w:rStyle w:val="Hyperlink"/>
            <w:noProof/>
          </w:rPr>
          <w:t>5</w:t>
        </w:r>
        <w:r w:rsidR="00424925">
          <w:rPr>
            <w:rFonts w:asciiTheme="minorHAnsi" w:eastAsiaTheme="minorEastAsia" w:hAnsiTheme="minorHAnsi" w:cstheme="minorBidi"/>
            <w:noProof/>
            <w:sz w:val="24"/>
            <w:szCs w:val="24"/>
            <w:lang w:val="en-US"/>
          </w:rPr>
          <w:tab/>
        </w:r>
        <w:r w:rsidR="00424925" w:rsidRPr="002E4101">
          <w:rPr>
            <w:rStyle w:val="Hyperlink"/>
            <w:noProof/>
          </w:rPr>
          <w:t>Measuring progress</w:t>
        </w:r>
        <w:r w:rsidR="00424925">
          <w:rPr>
            <w:noProof/>
            <w:webHidden/>
          </w:rPr>
          <w:tab/>
        </w:r>
        <w:r w:rsidR="00424925">
          <w:rPr>
            <w:noProof/>
            <w:webHidden/>
          </w:rPr>
          <w:fldChar w:fldCharType="begin"/>
        </w:r>
        <w:r w:rsidR="00424925">
          <w:rPr>
            <w:noProof/>
            <w:webHidden/>
          </w:rPr>
          <w:instrText xml:space="preserve"> PAGEREF _Toc529472447 \h </w:instrText>
        </w:r>
        <w:r w:rsidR="00424925">
          <w:rPr>
            <w:noProof/>
            <w:webHidden/>
          </w:rPr>
        </w:r>
        <w:r w:rsidR="00424925">
          <w:rPr>
            <w:noProof/>
            <w:webHidden/>
          </w:rPr>
          <w:fldChar w:fldCharType="separate"/>
        </w:r>
        <w:r w:rsidR="00376B98">
          <w:rPr>
            <w:noProof/>
            <w:webHidden/>
          </w:rPr>
          <w:t>14</w:t>
        </w:r>
        <w:r w:rsidR="00424925">
          <w:rPr>
            <w:noProof/>
            <w:webHidden/>
          </w:rPr>
          <w:fldChar w:fldCharType="end"/>
        </w:r>
      </w:hyperlink>
    </w:p>
    <w:p w14:paraId="660117FC" w14:textId="77777777" w:rsidR="00424925" w:rsidRDefault="00884B5E">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49" w:history="1">
        <w:r w:rsidR="00424925" w:rsidRPr="002E4101">
          <w:rPr>
            <w:rStyle w:val="Hyperlink"/>
            <w:noProof/>
          </w:rPr>
          <w:t>6</w:t>
        </w:r>
        <w:r w:rsidR="00424925">
          <w:rPr>
            <w:rFonts w:asciiTheme="minorHAnsi" w:eastAsiaTheme="minorEastAsia" w:hAnsiTheme="minorHAnsi" w:cstheme="minorBidi"/>
            <w:noProof/>
            <w:sz w:val="24"/>
            <w:szCs w:val="24"/>
            <w:lang w:val="en-US"/>
          </w:rPr>
          <w:tab/>
        </w:r>
        <w:r w:rsidR="00424925" w:rsidRPr="002E4101">
          <w:rPr>
            <w:rStyle w:val="Hyperlink"/>
            <w:noProof/>
          </w:rPr>
          <w:t>Priority groups and settings</w:t>
        </w:r>
        <w:r w:rsidR="00424925">
          <w:rPr>
            <w:noProof/>
            <w:webHidden/>
          </w:rPr>
          <w:tab/>
        </w:r>
        <w:r w:rsidR="00424925">
          <w:rPr>
            <w:noProof/>
            <w:webHidden/>
          </w:rPr>
          <w:fldChar w:fldCharType="begin"/>
        </w:r>
        <w:r w:rsidR="00424925">
          <w:rPr>
            <w:noProof/>
            <w:webHidden/>
          </w:rPr>
          <w:instrText xml:space="preserve"> PAGEREF _Toc529472449 \h </w:instrText>
        </w:r>
        <w:r w:rsidR="00424925">
          <w:rPr>
            <w:noProof/>
            <w:webHidden/>
          </w:rPr>
        </w:r>
        <w:r w:rsidR="00424925">
          <w:rPr>
            <w:noProof/>
            <w:webHidden/>
          </w:rPr>
          <w:fldChar w:fldCharType="separate"/>
        </w:r>
        <w:r w:rsidR="00376B98">
          <w:rPr>
            <w:noProof/>
            <w:webHidden/>
          </w:rPr>
          <w:t>17</w:t>
        </w:r>
        <w:r w:rsidR="00424925">
          <w:rPr>
            <w:noProof/>
            <w:webHidden/>
          </w:rPr>
          <w:fldChar w:fldCharType="end"/>
        </w:r>
      </w:hyperlink>
    </w:p>
    <w:p w14:paraId="53020533" w14:textId="77777777" w:rsidR="00424925" w:rsidRDefault="00884B5E">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50" w:history="1">
        <w:r w:rsidR="00424925" w:rsidRPr="002E4101">
          <w:rPr>
            <w:rStyle w:val="Hyperlink"/>
            <w:noProof/>
          </w:rPr>
          <w:t>7</w:t>
        </w:r>
        <w:r w:rsidR="00424925">
          <w:rPr>
            <w:rFonts w:asciiTheme="minorHAnsi" w:eastAsiaTheme="minorEastAsia" w:hAnsiTheme="minorHAnsi" w:cstheme="minorBidi"/>
            <w:noProof/>
            <w:sz w:val="24"/>
            <w:szCs w:val="24"/>
            <w:lang w:val="en-US"/>
          </w:rPr>
          <w:tab/>
        </w:r>
        <w:r w:rsidR="00424925" w:rsidRPr="002E4101">
          <w:rPr>
            <w:rStyle w:val="Hyperlink"/>
            <w:noProof/>
          </w:rPr>
          <w:t>Key areas for action</w:t>
        </w:r>
        <w:r w:rsidR="00424925">
          <w:rPr>
            <w:noProof/>
            <w:webHidden/>
          </w:rPr>
          <w:tab/>
        </w:r>
        <w:r w:rsidR="00424925">
          <w:rPr>
            <w:noProof/>
            <w:webHidden/>
          </w:rPr>
          <w:fldChar w:fldCharType="begin"/>
        </w:r>
        <w:r w:rsidR="00424925">
          <w:rPr>
            <w:noProof/>
            <w:webHidden/>
          </w:rPr>
          <w:instrText xml:space="preserve"> PAGEREF _Toc529472450 \h </w:instrText>
        </w:r>
        <w:r w:rsidR="00424925">
          <w:rPr>
            <w:noProof/>
            <w:webHidden/>
          </w:rPr>
        </w:r>
        <w:r w:rsidR="00424925">
          <w:rPr>
            <w:noProof/>
            <w:webHidden/>
          </w:rPr>
          <w:fldChar w:fldCharType="separate"/>
        </w:r>
        <w:r w:rsidR="00376B98">
          <w:rPr>
            <w:noProof/>
            <w:webHidden/>
          </w:rPr>
          <w:t>26</w:t>
        </w:r>
        <w:r w:rsidR="00424925">
          <w:rPr>
            <w:noProof/>
            <w:webHidden/>
          </w:rPr>
          <w:fldChar w:fldCharType="end"/>
        </w:r>
      </w:hyperlink>
    </w:p>
    <w:p w14:paraId="0F8E4986" w14:textId="77777777" w:rsidR="00424925" w:rsidRDefault="00884B5E">
      <w:pPr>
        <w:pStyle w:val="TOC1"/>
        <w:tabs>
          <w:tab w:val="left" w:pos="380"/>
          <w:tab w:val="right" w:leader="dot" w:pos="9737"/>
        </w:tabs>
        <w:rPr>
          <w:rFonts w:asciiTheme="minorHAnsi" w:eastAsiaTheme="minorEastAsia" w:hAnsiTheme="minorHAnsi" w:cstheme="minorBidi"/>
          <w:noProof/>
          <w:sz w:val="24"/>
          <w:szCs w:val="24"/>
          <w:lang w:val="en-US"/>
        </w:rPr>
      </w:pPr>
      <w:hyperlink w:anchor="_Toc529472451" w:history="1">
        <w:r w:rsidR="00424925" w:rsidRPr="002E4101">
          <w:rPr>
            <w:rStyle w:val="Hyperlink"/>
            <w:noProof/>
          </w:rPr>
          <w:t>8</w:t>
        </w:r>
        <w:r w:rsidR="00424925">
          <w:rPr>
            <w:rFonts w:asciiTheme="minorHAnsi" w:eastAsiaTheme="minorEastAsia" w:hAnsiTheme="minorHAnsi" w:cstheme="minorBidi"/>
            <w:noProof/>
            <w:sz w:val="24"/>
            <w:szCs w:val="24"/>
            <w:lang w:val="en-US"/>
          </w:rPr>
          <w:tab/>
        </w:r>
        <w:r w:rsidR="00424925" w:rsidRPr="002E4101">
          <w:rPr>
            <w:rStyle w:val="Hyperlink"/>
            <w:noProof/>
          </w:rPr>
          <w:t>Implementing this strategy</w:t>
        </w:r>
        <w:r w:rsidR="00424925">
          <w:rPr>
            <w:noProof/>
            <w:webHidden/>
          </w:rPr>
          <w:tab/>
        </w:r>
        <w:r w:rsidR="00424925">
          <w:rPr>
            <w:noProof/>
            <w:webHidden/>
          </w:rPr>
          <w:fldChar w:fldCharType="begin"/>
        </w:r>
        <w:r w:rsidR="00424925">
          <w:rPr>
            <w:noProof/>
            <w:webHidden/>
          </w:rPr>
          <w:instrText xml:space="preserve"> PAGEREF _Toc529472451 \h </w:instrText>
        </w:r>
        <w:r w:rsidR="00424925">
          <w:rPr>
            <w:noProof/>
            <w:webHidden/>
          </w:rPr>
        </w:r>
        <w:r w:rsidR="00424925">
          <w:rPr>
            <w:noProof/>
            <w:webHidden/>
          </w:rPr>
          <w:fldChar w:fldCharType="separate"/>
        </w:r>
        <w:r w:rsidR="00376B98">
          <w:rPr>
            <w:noProof/>
            <w:webHidden/>
          </w:rPr>
          <w:t>42</w:t>
        </w:r>
        <w:r w:rsidR="00424925">
          <w:rPr>
            <w:noProof/>
            <w:webHidden/>
          </w:rPr>
          <w:fldChar w:fldCharType="end"/>
        </w:r>
      </w:hyperlink>
    </w:p>
    <w:p w14:paraId="60A764E8" w14:textId="77777777" w:rsidR="00424925" w:rsidRDefault="00884B5E">
      <w:pPr>
        <w:pStyle w:val="TOC1"/>
        <w:tabs>
          <w:tab w:val="left" w:pos="1200"/>
          <w:tab w:val="right" w:leader="dot" w:pos="9737"/>
        </w:tabs>
        <w:rPr>
          <w:rFonts w:asciiTheme="minorHAnsi" w:eastAsiaTheme="minorEastAsia" w:hAnsiTheme="minorHAnsi" w:cstheme="minorBidi"/>
          <w:noProof/>
          <w:sz w:val="24"/>
          <w:szCs w:val="24"/>
          <w:lang w:val="en-US"/>
        </w:rPr>
      </w:pPr>
      <w:hyperlink w:anchor="_Toc529472452" w:history="1">
        <w:r w:rsidR="00424925" w:rsidRPr="002E4101">
          <w:rPr>
            <w:rStyle w:val="Hyperlink"/>
            <w:noProof/>
          </w:rPr>
          <w:t>Appendix A</w:t>
        </w:r>
        <w:r w:rsidR="00424925">
          <w:rPr>
            <w:rFonts w:asciiTheme="minorHAnsi" w:eastAsiaTheme="minorEastAsia" w:hAnsiTheme="minorHAnsi" w:cstheme="minorBidi"/>
            <w:noProof/>
            <w:sz w:val="24"/>
            <w:szCs w:val="24"/>
            <w:lang w:val="en-US"/>
          </w:rPr>
          <w:tab/>
        </w:r>
        <w:r w:rsidR="00424925" w:rsidRPr="002E4101">
          <w:rPr>
            <w:rStyle w:val="Hyperlink"/>
            <w:noProof/>
          </w:rPr>
          <w:t>National BBV and STI guiding principles</w:t>
        </w:r>
        <w:r w:rsidR="00424925">
          <w:rPr>
            <w:noProof/>
            <w:webHidden/>
          </w:rPr>
          <w:tab/>
        </w:r>
        <w:r w:rsidR="00424925">
          <w:rPr>
            <w:noProof/>
            <w:webHidden/>
          </w:rPr>
          <w:fldChar w:fldCharType="begin"/>
        </w:r>
        <w:r w:rsidR="00424925">
          <w:rPr>
            <w:noProof/>
            <w:webHidden/>
          </w:rPr>
          <w:instrText xml:space="preserve"> PAGEREF _Toc529472452 \h </w:instrText>
        </w:r>
        <w:r w:rsidR="00424925">
          <w:rPr>
            <w:noProof/>
            <w:webHidden/>
          </w:rPr>
        </w:r>
        <w:r w:rsidR="00424925">
          <w:rPr>
            <w:noProof/>
            <w:webHidden/>
          </w:rPr>
          <w:fldChar w:fldCharType="separate"/>
        </w:r>
        <w:r w:rsidR="00376B98">
          <w:rPr>
            <w:noProof/>
            <w:webHidden/>
          </w:rPr>
          <w:t>44</w:t>
        </w:r>
        <w:r w:rsidR="00424925">
          <w:rPr>
            <w:noProof/>
            <w:webHidden/>
          </w:rPr>
          <w:fldChar w:fldCharType="end"/>
        </w:r>
      </w:hyperlink>
    </w:p>
    <w:p w14:paraId="10D70036" w14:textId="77777777" w:rsidR="00424925" w:rsidRDefault="00884B5E">
      <w:pPr>
        <w:pStyle w:val="TOC1"/>
        <w:tabs>
          <w:tab w:val="left" w:pos="1200"/>
          <w:tab w:val="right" w:leader="dot" w:pos="9737"/>
        </w:tabs>
        <w:rPr>
          <w:rFonts w:asciiTheme="minorHAnsi" w:eastAsiaTheme="minorEastAsia" w:hAnsiTheme="minorHAnsi" w:cstheme="minorBidi"/>
          <w:noProof/>
          <w:sz w:val="24"/>
          <w:szCs w:val="24"/>
          <w:lang w:val="en-US"/>
        </w:rPr>
      </w:pPr>
      <w:hyperlink w:anchor="_Toc529472453" w:history="1">
        <w:r w:rsidR="00424925" w:rsidRPr="002E4101">
          <w:rPr>
            <w:rStyle w:val="Hyperlink"/>
            <w:noProof/>
          </w:rPr>
          <w:t>Appendix B</w:t>
        </w:r>
        <w:r w:rsidR="00424925">
          <w:rPr>
            <w:rFonts w:asciiTheme="minorHAnsi" w:eastAsiaTheme="minorEastAsia" w:hAnsiTheme="minorHAnsi" w:cstheme="minorBidi"/>
            <w:noProof/>
            <w:sz w:val="24"/>
            <w:szCs w:val="24"/>
            <w:lang w:val="en-US"/>
          </w:rPr>
          <w:tab/>
        </w:r>
        <w:r w:rsidR="00424925" w:rsidRPr="002E4101">
          <w:rPr>
            <w:rStyle w:val="Hyperlink"/>
            <w:noProof/>
          </w:rPr>
          <w:t>References</w:t>
        </w:r>
        <w:r w:rsidR="00424925">
          <w:rPr>
            <w:noProof/>
            <w:webHidden/>
          </w:rPr>
          <w:tab/>
        </w:r>
        <w:r w:rsidR="00424925">
          <w:rPr>
            <w:noProof/>
            <w:webHidden/>
          </w:rPr>
          <w:fldChar w:fldCharType="begin"/>
        </w:r>
        <w:r w:rsidR="00424925">
          <w:rPr>
            <w:noProof/>
            <w:webHidden/>
          </w:rPr>
          <w:instrText xml:space="preserve"> PAGEREF _Toc529472453 \h </w:instrText>
        </w:r>
        <w:r w:rsidR="00424925">
          <w:rPr>
            <w:noProof/>
            <w:webHidden/>
          </w:rPr>
        </w:r>
        <w:r w:rsidR="00424925">
          <w:rPr>
            <w:noProof/>
            <w:webHidden/>
          </w:rPr>
          <w:fldChar w:fldCharType="separate"/>
        </w:r>
        <w:r w:rsidR="00376B98">
          <w:rPr>
            <w:noProof/>
            <w:webHidden/>
          </w:rPr>
          <w:t>45</w:t>
        </w:r>
        <w:r w:rsidR="00424925">
          <w:rPr>
            <w:noProof/>
            <w:webHidden/>
          </w:rPr>
          <w:fldChar w:fldCharType="end"/>
        </w:r>
      </w:hyperlink>
    </w:p>
    <w:p w14:paraId="51B96DD9" w14:textId="112BCFE1" w:rsidR="00453F1F" w:rsidRDefault="00810715" w:rsidP="000D5CE3">
      <w:pPr>
        <w:rPr>
          <w:lang w:eastAsia="en-AU"/>
        </w:rPr>
      </w:pPr>
      <w:r w:rsidRPr="006B3C1E">
        <w:rPr>
          <w:lang w:eastAsia="en-AU"/>
        </w:rPr>
        <w:fldChar w:fldCharType="end"/>
      </w:r>
    </w:p>
    <w:p w14:paraId="51B7FC17" w14:textId="77777777" w:rsidR="002A5009" w:rsidRDefault="002A5009">
      <w:pPr>
        <w:spacing w:after="0"/>
        <w:rPr>
          <w:lang w:eastAsia="en-AU"/>
        </w:rPr>
      </w:pPr>
      <w:r>
        <w:rPr>
          <w:lang w:eastAsia="en-AU"/>
        </w:rPr>
        <w:br w:type="page"/>
      </w:r>
    </w:p>
    <w:p w14:paraId="60AE6678" w14:textId="77777777" w:rsidR="00453F1F" w:rsidRDefault="00453F1F" w:rsidP="00453F1F">
      <w:pPr>
        <w:pStyle w:val="Heading1"/>
      </w:pPr>
      <w:bookmarkStart w:id="1" w:name="_Toc501537600"/>
      <w:bookmarkStart w:id="2" w:name="_Toc529472443"/>
      <w:r>
        <w:lastRenderedPageBreak/>
        <w:t>Introduction</w:t>
      </w:r>
      <w:bookmarkEnd w:id="1"/>
      <w:bookmarkEnd w:id="2"/>
    </w:p>
    <w:p w14:paraId="68BF5089" w14:textId="77777777" w:rsidR="00573F87" w:rsidRPr="002B084B" w:rsidRDefault="00573F87" w:rsidP="00573F87">
      <w:pPr>
        <w:spacing w:after="0"/>
        <w:ind w:left="432"/>
        <w:rPr>
          <w:i/>
          <w:color w:val="1F497D" w:themeColor="text2"/>
          <w:sz w:val="28"/>
          <w:szCs w:val="28"/>
        </w:rPr>
      </w:pPr>
      <w:r w:rsidRPr="002B084B">
        <w:rPr>
          <w:i/>
          <w:color w:val="1F497D" w:themeColor="text2"/>
          <w:sz w:val="28"/>
          <w:szCs w:val="28"/>
        </w:rPr>
        <w:t>Acknowledgement</w:t>
      </w:r>
    </w:p>
    <w:p w14:paraId="0E818E76" w14:textId="77777777" w:rsidR="00573F87" w:rsidRDefault="00573F87" w:rsidP="00573F87">
      <w:pPr>
        <w:spacing w:after="0"/>
        <w:ind w:left="432"/>
        <w:rPr>
          <w:lang w:eastAsia="en-AU"/>
        </w:rPr>
      </w:pPr>
    </w:p>
    <w:p w14:paraId="1B42ED8E" w14:textId="77777777" w:rsidR="00573F87" w:rsidRDefault="00573F87" w:rsidP="00573F87">
      <w:pPr>
        <w:ind w:left="432"/>
        <w:rPr>
          <w:sz w:val="20"/>
          <w:szCs w:val="20"/>
        </w:rPr>
      </w:pPr>
      <w:r w:rsidRPr="00F24440">
        <w:rPr>
          <w:sz w:val="20"/>
          <w:szCs w:val="20"/>
        </w:rPr>
        <w:t xml:space="preserve">We acknowledge the </w:t>
      </w:r>
      <w:r>
        <w:rPr>
          <w:sz w:val="20"/>
          <w:szCs w:val="20"/>
        </w:rPr>
        <w:t>T</w:t>
      </w:r>
      <w:r w:rsidRPr="00F24440">
        <w:rPr>
          <w:sz w:val="20"/>
          <w:szCs w:val="20"/>
        </w:rPr>
        <w:t xml:space="preserve">raditional </w:t>
      </w:r>
      <w:r>
        <w:rPr>
          <w:sz w:val="20"/>
          <w:szCs w:val="20"/>
        </w:rPr>
        <w:t>O</w:t>
      </w:r>
      <w:r w:rsidRPr="00F24440">
        <w:rPr>
          <w:sz w:val="20"/>
          <w:szCs w:val="20"/>
        </w:rPr>
        <w:t xml:space="preserve">wners of country throughout Australia, and </w:t>
      </w:r>
      <w:r>
        <w:rPr>
          <w:sz w:val="20"/>
          <w:szCs w:val="20"/>
        </w:rPr>
        <w:t xml:space="preserve">Aboriginal and Torres Strait Islander people’s </w:t>
      </w:r>
      <w:r w:rsidRPr="00F24440">
        <w:rPr>
          <w:sz w:val="20"/>
          <w:szCs w:val="20"/>
        </w:rPr>
        <w:t xml:space="preserve">continuing connection to </w:t>
      </w:r>
      <w:r>
        <w:rPr>
          <w:sz w:val="20"/>
          <w:szCs w:val="20"/>
        </w:rPr>
        <w:t xml:space="preserve">culture, </w:t>
      </w:r>
      <w:r w:rsidRPr="00F24440">
        <w:rPr>
          <w:sz w:val="20"/>
          <w:szCs w:val="20"/>
        </w:rPr>
        <w:t>land, sea</w:t>
      </w:r>
      <w:r>
        <w:rPr>
          <w:sz w:val="20"/>
          <w:szCs w:val="20"/>
        </w:rPr>
        <w:t>, waters</w:t>
      </w:r>
      <w:r w:rsidRPr="00F24440">
        <w:rPr>
          <w:sz w:val="20"/>
          <w:szCs w:val="20"/>
        </w:rPr>
        <w:t xml:space="preserve"> and community. We pay our respects to </w:t>
      </w:r>
      <w:r>
        <w:rPr>
          <w:sz w:val="20"/>
          <w:szCs w:val="20"/>
        </w:rPr>
        <w:t>E</w:t>
      </w:r>
      <w:r w:rsidRPr="00F24440">
        <w:rPr>
          <w:sz w:val="20"/>
          <w:szCs w:val="20"/>
        </w:rPr>
        <w:t>lders both past</w:t>
      </w:r>
      <w:r>
        <w:rPr>
          <w:sz w:val="20"/>
          <w:szCs w:val="20"/>
        </w:rPr>
        <w:t>,</w:t>
      </w:r>
      <w:r w:rsidRPr="00F24440">
        <w:rPr>
          <w:sz w:val="20"/>
          <w:szCs w:val="20"/>
        </w:rPr>
        <w:t xml:space="preserve"> present</w:t>
      </w:r>
      <w:r>
        <w:rPr>
          <w:sz w:val="20"/>
          <w:szCs w:val="20"/>
        </w:rPr>
        <w:t xml:space="preserve"> and emerging</w:t>
      </w:r>
      <w:r w:rsidRPr="00F24440">
        <w:rPr>
          <w:sz w:val="20"/>
          <w:szCs w:val="20"/>
        </w:rPr>
        <w:t xml:space="preserve">. </w:t>
      </w:r>
    </w:p>
    <w:p w14:paraId="71A02C43" w14:textId="1DC88802" w:rsidR="00573F87" w:rsidRPr="00183683" w:rsidRDefault="00573F87" w:rsidP="00573F87">
      <w:pPr>
        <w:spacing w:after="240"/>
        <w:ind w:left="432"/>
        <w:rPr>
          <w:sz w:val="20"/>
          <w:szCs w:val="20"/>
        </w:rPr>
      </w:pPr>
      <w:r w:rsidRPr="001A7EB7">
        <w:rPr>
          <w:sz w:val="20"/>
          <w:szCs w:val="20"/>
        </w:rPr>
        <w:t>We would like to thank Aboriginal and Torres Strait Islander communities and stakeholders for their assistance in the development of this Fifth National Aboriginal and Torres Strait Islander Blood Borne Viruses and Sexually Transmissible Infections Strategy 2018</w:t>
      </w:r>
      <w:r w:rsidR="00DA3858" w:rsidRPr="001A7EB7">
        <w:rPr>
          <w:sz w:val="20"/>
          <w:szCs w:val="20"/>
        </w:rPr>
        <w:t>–</w:t>
      </w:r>
      <w:r w:rsidRPr="001A7EB7">
        <w:rPr>
          <w:sz w:val="20"/>
          <w:szCs w:val="20"/>
        </w:rPr>
        <w:t xml:space="preserve">2022. The development of this </w:t>
      </w:r>
      <w:r w:rsidR="001A7EB7">
        <w:rPr>
          <w:sz w:val="20"/>
          <w:szCs w:val="20"/>
        </w:rPr>
        <w:t>s</w:t>
      </w:r>
      <w:r w:rsidRPr="001A7EB7">
        <w:rPr>
          <w:sz w:val="20"/>
          <w:szCs w:val="20"/>
        </w:rPr>
        <w:t>trategy involved the commitment of many people. Your time and contribution is greatly appreciated.</w:t>
      </w:r>
    </w:p>
    <w:p w14:paraId="28CEF1B7" w14:textId="18BD2AC5" w:rsidR="00573F87" w:rsidRDefault="00573F87" w:rsidP="00573F87">
      <w:pPr>
        <w:pStyle w:val="CommentText"/>
      </w:pPr>
      <w:r w:rsidRPr="008C2EFA">
        <w:t>Aboriginal and Torres Strait Islander people</w:t>
      </w:r>
      <w:r>
        <w:t>s</w:t>
      </w:r>
      <w:r w:rsidRPr="008C2EFA">
        <w:t xml:space="preserve"> continue to be </w:t>
      </w:r>
      <w:r w:rsidRPr="001A7EB7">
        <w:t xml:space="preserve">disproportionately impacted </w:t>
      </w:r>
      <w:r w:rsidRPr="008C2EFA">
        <w:t xml:space="preserve">by </w:t>
      </w:r>
      <w:r w:rsidRPr="001A7EB7">
        <w:t>blood borne viruses (BBV)</w:t>
      </w:r>
      <w:r w:rsidRPr="008C2EFA">
        <w:t xml:space="preserve"> and sexually transmissible infections (STI</w:t>
      </w:r>
      <w:r w:rsidR="00F939F9">
        <w:t>)</w:t>
      </w:r>
      <w:r w:rsidR="00CD52C6">
        <w:t>. While</w:t>
      </w:r>
      <w:r w:rsidR="00F939F9">
        <w:t xml:space="preserve"> s</w:t>
      </w:r>
      <w:r w:rsidRPr="008C2EFA">
        <w:t>ome communities have had considerable success in responding to BBV and STI</w:t>
      </w:r>
      <w:r>
        <w:t>,</w:t>
      </w:r>
      <w:r w:rsidRPr="008C2EFA">
        <w:t xml:space="preserve"> this is not a common experience </w:t>
      </w:r>
      <w:r>
        <w:t>across communities</w:t>
      </w:r>
      <w:r w:rsidRPr="008C2EFA">
        <w:t xml:space="preserve"> and much more needs to be done.</w:t>
      </w:r>
      <w:r>
        <w:t xml:space="preserve"> </w:t>
      </w:r>
      <w:r w:rsidRPr="0004524A">
        <w:rPr>
          <w:highlight w:val="yellow"/>
        </w:rPr>
        <w:t xml:space="preserve"> </w:t>
      </w:r>
    </w:p>
    <w:p w14:paraId="261BB833" w14:textId="28B0C32E" w:rsidR="00573F87" w:rsidRDefault="00573F87" w:rsidP="00573F87">
      <w:pPr>
        <w:pStyle w:val="CommentText"/>
      </w:pPr>
      <w:r>
        <w:t>With the advent of more effective prevention methods, testing and treatments, there is a significant opportunity to close the gap between Aboriginal and Torres Strait Islander peoples and non-Indigenous Australians in relation to BBV and STI</w:t>
      </w:r>
      <w:r w:rsidR="001A7EB7">
        <w:t xml:space="preserve">, </w:t>
      </w:r>
      <w:r>
        <w:t>reduce associated morbidity and mortality and greatly improve health outcomes.</w:t>
      </w:r>
    </w:p>
    <w:p w14:paraId="10763148" w14:textId="4A03B04A" w:rsidR="00573F87" w:rsidRDefault="00573F87" w:rsidP="00573F87">
      <w:pPr>
        <w:rPr>
          <w:sz w:val="20"/>
          <w:szCs w:val="20"/>
        </w:rPr>
      </w:pPr>
      <w:r w:rsidRPr="008C2EFA">
        <w:rPr>
          <w:sz w:val="20"/>
          <w:szCs w:val="20"/>
        </w:rPr>
        <w:t xml:space="preserve">Rates of </w:t>
      </w:r>
      <w:r>
        <w:rPr>
          <w:sz w:val="20"/>
          <w:szCs w:val="20"/>
        </w:rPr>
        <w:t xml:space="preserve">STI, hepatitis C and </w:t>
      </w:r>
      <w:r w:rsidR="001A7EB7" w:rsidRPr="001A7EB7">
        <w:rPr>
          <w:sz w:val="20"/>
          <w:szCs w:val="20"/>
        </w:rPr>
        <w:t xml:space="preserve">Human Immunodeficiency Virus </w:t>
      </w:r>
      <w:r w:rsidR="001A7EB7">
        <w:rPr>
          <w:sz w:val="20"/>
          <w:szCs w:val="20"/>
        </w:rPr>
        <w:t>(</w:t>
      </w:r>
      <w:r>
        <w:rPr>
          <w:sz w:val="20"/>
          <w:szCs w:val="20"/>
        </w:rPr>
        <w:t>HIV</w:t>
      </w:r>
      <w:r w:rsidR="001A7EB7">
        <w:rPr>
          <w:sz w:val="20"/>
          <w:szCs w:val="20"/>
        </w:rPr>
        <w:t>)</w:t>
      </w:r>
      <w:r w:rsidRPr="008C2EFA">
        <w:rPr>
          <w:sz w:val="20"/>
          <w:szCs w:val="20"/>
        </w:rPr>
        <w:t xml:space="preserve"> are substantially higher in Aboriginal and Torres Strait Islander </w:t>
      </w:r>
      <w:r w:rsidR="008436E7">
        <w:rPr>
          <w:sz w:val="20"/>
          <w:szCs w:val="20"/>
        </w:rPr>
        <w:t xml:space="preserve">peoples </w:t>
      </w:r>
      <w:r w:rsidRPr="008C2EFA">
        <w:rPr>
          <w:sz w:val="20"/>
          <w:szCs w:val="20"/>
        </w:rPr>
        <w:t xml:space="preserve">than </w:t>
      </w:r>
      <w:r>
        <w:rPr>
          <w:sz w:val="20"/>
          <w:szCs w:val="20"/>
        </w:rPr>
        <w:t>in</w:t>
      </w:r>
      <w:r w:rsidRPr="008C2EFA">
        <w:rPr>
          <w:sz w:val="20"/>
          <w:szCs w:val="20"/>
        </w:rPr>
        <w:t xml:space="preserve"> non-Indigenous </w:t>
      </w:r>
      <w:r>
        <w:rPr>
          <w:sz w:val="20"/>
          <w:szCs w:val="20"/>
        </w:rPr>
        <w:t xml:space="preserve">Australians. While there has been a decline in newly diagnosed cases of hepatitis B due to the success of childhood and adolescent vaccination programs, chronic hepatitis B significantly </w:t>
      </w:r>
      <w:r w:rsidRPr="001A7EB7">
        <w:rPr>
          <w:sz w:val="20"/>
          <w:szCs w:val="20"/>
        </w:rPr>
        <w:t>impacts</w:t>
      </w:r>
      <w:r>
        <w:rPr>
          <w:sz w:val="20"/>
          <w:szCs w:val="20"/>
        </w:rPr>
        <w:t xml:space="preserve"> Aboriginal and Torres Strait Islander people in older age groups</w:t>
      </w:r>
      <w:r w:rsidRPr="008C2EFA">
        <w:rPr>
          <w:sz w:val="20"/>
          <w:szCs w:val="20"/>
        </w:rPr>
        <w:t>.</w:t>
      </w:r>
      <w:r>
        <w:rPr>
          <w:sz w:val="20"/>
          <w:szCs w:val="20"/>
        </w:rPr>
        <w:t xml:space="preserve"> Without proper treatment and care, BBV can cause a range of serious long</w:t>
      </w:r>
      <w:r w:rsidR="00DA3858">
        <w:rPr>
          <w:sz w:val="20"/>
          <w:szCs w:val="20"/>
        </w:rPr>
        <w:t>-</w:t>
      </w:r>
      <w:r>
        <w:rPr>
          <w:sz w:val="20"/>
          <w:szCs w:val="20"/>
        </w:rPr>
        <w:t xml:space="preserve">term health problems and can be fatal. If left untreated, STI can lead to acute and chronic health consequences, including infertility and infant fatalities if transmitted from mother to child. </w:t>
      </w:r>
    </w:p>
    <w:p w14:paraId="214D45D7" w14:textId="0A8EE6A5" w:rsidR="00573F87" w:rsidRDefault="00573F87" w:rsidP="00573F87">
      <w:pPr>
        <w:rPr>
          <w:sz w:val="20"/>
          <w:szCs w:val="20"/>
        </w:rPr>
      </w:pPr>
      <w:r w:rsidRPr="008C2EFA">
        <w:rPr>
          <w:sz w:val="20"/>
          <w:szCs w:val="20"/>
        </w:rPr>
        <w:t xml:space="preserve">Of </w:t>
      </w:r>
      <w:r>
        <w:rPr>
          <w:sz w:val="20"/>
          <w:szCs w:val="20"/>
        </w:rPr>
        <w:t xml:space="preserve">particular </w:t>
      </w:r>
      <w:r w:rsidRPr="008C2EFA">
        <w:rPr>
          <w:sz w:val="20"/>
          <w:szCs w:val="20"/>
        </w:rPr>
        <w:t xml:space="preserve">concern is the ongoing syphilis outbreak in northern </w:t>
      </w:r>
      <w:r>
        <w:rPr>
          <w:sz w:val="20"/>
          <w:szCs w:val="20"/>
        </w:rPr>
        <w:t xml:space="preserve">and </w:t>
      </w:r>
      <w:r w:rsidRPr="008C2EFA">
        <w:rPr>
          <w:sz w:val="20"/>
          <w:szCs w:val="20"/>
        </w:rPr>
        <w:t xml:space="preserve">central Australia. A nationally coordinated enhanced response is </w:t>
      </w:r>
      <w:r>
        <w:rPr>
          <w:sz w:val="20"/>
          <w:szCs w:val="20"/>
        </w:rPr>
        <w:t xml:space="preserve">currently </w:t>
      </w:r>
      <w:r w:rsidRPr="008C2EFA">
        <w:rPr>
          <w:sz w:val="20"/>
          <w:szCs w:val="20"/>
        </w:rPr>
        <w:t xml:space="preserve">underway to control this outbreak by addressing barriers and collectively developing sustainable solutions. This enhanced response also provides an opportunity to address other </w:t>
      </w:r>
      <w:r>
        <w:rPr>
          <w:sz w:val="20"/>
          <w:szCs w:val="20"/>
        </w:rPr>
        <w:t>BBV and STI</w:t>
      </w:r>
      <w:r w:rsidRPr="008C2EFA">
        <w:rPr>
          <w:sz w:val="20"/>
          <w:szCs w:val="20"/>
        </w:rPr>
        <w:t xml:space="preserve">. The actions taken under this enhanced response, and its </w:t>
      </w:r>
      <w:r>
        <w:rPr>
          <w:sz w:val="20"/>
          <w:szCs w:val="20"/>
        </w:rPr>
        <w:t>lessons</w:t>
      </w:r>
      <w:r w:rsidRPr="008C2EFA">
        <w:rPr>
          <w:sz w:val="20"/>
          <w:szCs w:val="20"/>
        </w:rPr>
        <w:t xml:space="preserve">, will be used </w:t>
      </w:r>
      <w:r>
        <w:rPr>
          <w:sz w:val="20"/>
          <w:szCs w:val="20"/>
        </w:rPr>
        <w:t>to inform</w:t>
      </w:r>
      <w:r w:rsidRPr="008C2EFA">
        <w:rPr>
          <w:sz w:val="20"/>
          <w:szCs w:val="20"/>
        </w:rPr>
        <w:t xml:space="preserve"> the implementation of this </w:t>
      </w:r>
      <w:r w:rsidR="001A7EB7">
        <w:rPr>
          <w:sz w:val="20"/>
          <w:szCs w:val="20"/>
        </w:rPr>
        <w:t>s</w:t>
      </w:r>
      <w:r w:rsidRPr="008C2EFA">
        <w:rPr>
          <w:sz w:val="20"/>
          <w:szCs w:val="20"/>
        </w:rPr>
        <w:t>trategy.</w:t>
      </w:r>
    </w:p>
    <w:p w14:paraId="2C7D02CD" w14:textId="12A6AAE3" w:rsidR="00573F87" w:rsidRDefault="00573F87" w:rsidP="00573F87">
      <w:pPr>
        <w:pStyle w:val="CommentText"/>
      </w:pPr>
      <w:r w:rsidRPr="008C2EFA">
        <w:t>There are a range of barriers and challen</w:t>
      </w:r>
      <w:r>
        <w:t>ges which may contribute to the disproportionate impact of BBV and STI on Aboriginal and Torres Strait Islander peoples</w:t>
      </w:r>
      <w:r w:rsidRPr="008C2EFA">
        <w:t xml:space="preserve">. </w:t>
      </w:r>
      <w:r>
        <w:t xml:space="preserve">The </w:t>
      </w:r>
      <w:r w:rsidRPr="00A3427A">
        <w:t>traumatic legacy of colonisation</w:t>
      </w:r>
      <w:r w:rsidR="001A7EB7">
        <w:t xml:space="preserve"> and the </w:t>
      </w:r>
      <w:r>
        <w:t>profound consequences of the Stolen Generations</w:t>
      </w:r>
      <w:r w:rsidRPr="00A3427A">
        <w:t xml:space="preserve">, </w:t>
      </w:r>
      <w:r>
        <w:t xml:space="preserve">racism </w:t>
      </w:r>
      <w:r w:rsidRPr="00A3427A">
        <w:t xml:space="preserve">and other past discriminatory practices </w:t>
      </w:r>
      <w:r>
        <w:t xml:space="preserve">have </w:t>
      </w:r>
      <w:r w:rsidRPr="00A3427A">
        <w:t>created historical disadvantage passed on from one generation to the next.</w:t>
      </w:r>
      <w:r w:rsidRPr="00A3427A">
        <w:rPr>
          <w:vertAlign w:val="superscript"/>
        </w:rPr>
        <w:endnoteReference w:id="2"/>
      </w:r>
      <w:r w:rsidRPr="00A3427A">
        <w:t xml:space="preserve"> </w:t>
      </w:r>
      <w:r w:rsidRPr="008C2EFA">
        <w:t xml:space="preserve">Complex social and </w:t>
      </w:r>
      <w:r>
        <w:t xml:space="preserve">cultural determinants, </w:t>
      </w:r>
      <w:r w:rsidR="00A651FD">
        <w:t>lower</w:t>
      </w:r>
      <w:r>
        <w:t xml:space="preserve"> health literacy, </w:t>
      </w:r>
      <w:r w:rsidR="00A651FD">
        <w:t xml:space="preserve">a lack of </w:t>
      </w:r>
      <w:r w:rsidRPr="008C2EFA">
        <w:t>culturally</w:t>
      </w:r>
      <w:r>
        <w:t xml:space="preserve"> respectful</w:t>
      </w:r>
      <w:r w:rsidRPr="008C2EFA">
        <w:t xml:space="preserve"> </w:t>
      </w:r>
      <w:r>
        <w:t xml:space="preserve">health education and prevention </w:t>
      </w:r>
      <w:r w:rsidRPr="008C2EFA">
        <w:t>services</w:t>
      </w:r>
      <w:r w:rsidRPr="001A7EB7">
        <w:t>, sub-optimal clinical</w:t>
      </w:r>
      <w:r>
        <w:t xml:space="preserve"> care, </w:t>
      </w:r>
      <w:r w:rsidRPr="008C2EFA">
        <w:t>over-representation in custodial settings</w:t>
      </w:r>
      <w:r>
        <w:t xml:space="preserve">, </w:t>
      </w:r>
      <w:r w:rsidRPr="001A7EB7">
        <w:t>and shame</w:t>
      </w:r>
      <w:r w:rsidRPr="008C2EFA">
        <w:t xml:space="preserve">, </w:t>
      </w:r>
      <w:r>
        <w:t>cultural issues (</w:t>
      </w:r>
      <w:r w:rsidR="005F7D69">
        <w:t xml:space="preserve">especially a paucity of appropriately gendered care or services for </w:t>
      </w:r>
      <w:r>
        <w:t xml:space="preserve">men’s and women’s business), </w:t>
      </w:r>
      <w:r w:rsidRPr="008C2EFA">
        <w:t>stigma and discrimination mean that Aboriginal and Torres Strait Islander people</w:t>
      </w:r>
      <w:r>
        <w:t>s</w:t>
      </w:r>
      <w:r w:rsidRPr="008C2EFA">
        <w:t xml:space="preserve"> </w:t>
      </w:r>
      <w:r w:rsidR="00A651FD">
        <w:t xml:space="preserve">experience </w:t>
      </w:r>
      <w:r>
        <w:t>heightened risk</w:t>
      </w:r>
      <w:r w:rsidR="00A651FD">
        <w:t>s</w:t>
      </w:r>
      <w:r>
        <w:t xml:space="preserve"> and </w:t>
      </w:r>
      <w:r w:rsidR="00A651FD">
        <w:t>burden</w:t>
      </w:r>
      <w:r>
        <w:t xml:space="preserve"> of </w:t>
      </w:r>
      <w:r w:rsidRPr="008C2EFA">
        <w:t>BBV and STI</w:t>
      </w:r>
      <w:r>
        <w:t xml:space="preserve">. </w:t>
      </w:r>
    </w:p>
    <w:p w14:paraId="52E14711" w14:textId="398E8BEC" w:rsidR="00573F87" w:rsidRDefault="00573F87" w:rsidP="00573F87">
      <w:pPr>
        <w:pStyle w:val="CommentText"/>
      </w:pPr>
      <w:r w:rsidRPr="0004524A">
        <w:t>Despite this</w:t>
      </w:r>
      <w:r w:rsidR="00DA3858">
        <w:t>,</w:t>
      </w:r>
      <w:r w:rsidRPr="0004524A">
        <w:t xml:space="preserve"> there has been resilience demonstrated by Aboriginal and Torres Strait Islander people</w:t>
      </w:r>
      <w:r>
        <w:t>s</w:t>
      </w:r>
      <w:r w:rsidRPr="0004524A">
        <w:t xml:space="preserve"> in the face of adversity and a continued willingness to work in </w:t>
      </w:r>
      <w:r>
        <w:t xml:space="preserve">cultural </w:t>
      </w:r>
      <w:r w:rsidRPr="0004524A">
        <w:t>partnership</w:t>
      </w:r>
      <w:r>
        <w:t>s</w:t>
      </w:r>
      <w:r w:rsidRPr="0004524A">
        <w:t xml:space="preserve"> to improve </w:t>
      </w:r>
      <w:r>
        <w:t xml:space="preserve">life and </w:t>
      </w:r>
      <w:r w:rsidRPr="0004524A">
        <w:t>health outcomes for Aboriginal and Torres Strait Islander communities</w:t>
      </w:r>
      <w:r>
        <w:t>.</w:t>
      </w:r>
    </w:p>
    <w:p w14:paraId="277033CA" w14:textId="76581081" w:rsidR="00573F87" w:rsidRDefault="00573F87" w:rsidP="00573F87">
      <w:pPr>
        <w:pStyle w:val="CommentText"/>
      </w:pPr>
      <w:r w:rsidRPr="008C2EFA">
        <w:t xml:space="preserve">This </w:t>
      </w:r>
      <w:r w:rsidR="001A7EB7">
        <w:t>s</w:t>
      </w:r>
      <w:r w:rsidR="00936545" w:rsidRPr="00936545">
        <w:t>trategy</w:t>
      </w:r>
      <w:r w:rsidRPr="00684FC6">
        <w:t xml:space="preserve"> </w:t>
      </w:r>
      <w:r w:rsidRPr="008C2EFA">
        <w:t xml:space="preserve">identifies priority </w:t>
      </w:r>
      <w:r>
        <w:t xml:space="preserve">groups of </w:t>
      </w:r>
      <w:r w:rsidRPr="008C2EFA">
        <w:t xml:space="preserve">Aboriginal and Torres Strait Islander </w:t>
      </w:r>
      <w:r>
        <w:t>peoples who</w:t>
      </w:r>
      <w:r w:rsidRPr="008C2EFA">
        <w:t xml:space="preserve"> are particularly </w:t>
      </w:r>
      <w:r>
        <w:t>at risk of</w:t>
      </w:r>
      <w:r w:rsidRPr="008C2EFA">
        <w:t xml:space="preserve"> BBV and STI and for </w:t>
      </w:r>
      <w:r w:rsidR="00DA3858">
        <w:t xml:space="preserve">whom </w:t>
      </w:r>
      <w:r w:rsidRPr="008C2EFA">
        <w:t>response</w:t>
      </w:r>
      <w:r>
        <w:t xml:space="preserve">s must be unique and tailored. </w:t>
      </w:r>
    </w:p>
    <w:p w14:paraId="167F9358" w14:textId="2B7E1AE0" w:rsidR="00573F87" w:rsidRDefault="00573F87" w:rsidP="00573F87">
      <w:pPr>
        <w:pStyle w:val="CommentText"/>
      </w:pPr>
      <w:r w:rsidRPr="008C2EFA" w:rsidDel="00932523">
        <w:t xml:space="preserve">Coordinated, </w:t>
      </w:r>
      <w:r w:rsidRPr="001A7EB7" w:rsidDel="00932523">
        <w:t xml:space="preserve">comprehensive and sustained actions are needed to build community knowledge and awareness of </w:t>
      </w:r>
      <w:r w:rsidRPr="001A7EB7">
        <w:t xml:space="preserve">safe sex and </w:t>
      </w:r>
      <w:r w:rsidRPr="001A7EB7" w:rsidDel="00932523">
        <w:t>how to prevent BBV and STI, the importance of regular testing, the effectiveness and availability of treatment, and the long</w:t>
      </w:r>
      <w:r w:rsidR="00DA3858" w:rsidRPr="001A7EB7">
        <w:t>-</w:t>
      </w:r>
      <w:r w:rsidRPr="001A7EB7" w:rsidDel="00932523">
        <w:t>term consequences of untreated</w:t>
      </w:r>
      <w:r w:rsidDel="00932523">
        <w:t xml:space="preserve"> BBV and STI. Supporting</w:t>
      </w:r>
      <w:r w:rsidRPr="008C2EFA" w:rsidDel="00932523">
        <w:t xml:space="preserve"> </w:t>
      </w:r>
      <w:r w:rsidDel="00932523">
        <w:t xml:space="preserve">equitable </w:t>
      </w:r>
      <w:r w:rsidRPr="008C2EFA" w:rsidDel="00932523">
        <w:lastRenderedPageBreak/>
        <w:t>access to</w:t>
      </w:r>
      <w:r w:rsidDel="00932523">
        <w:t xml:space="preserve"> </w:t>
      </w:r>
      <w:r w:rsidRPr="008C2EFA" w:rsidDel="00932523">
        <w:t>the various means of prevention and harm reduction; increas</w:t>
      </w:r>
      <w:r w:rsidDel="00932523">
        <w:t>ing</w:t>
      </w:r>
      <w:r w:rsidRPr="008C2EFA" w:rsidDel="00932523">
        <w:t xml:space="preserve"> </w:t>
      </w:r>
      <w:r w:rsidDel="00932523">
        <w:t xml:space="preserve">and sustaining </w:t>
      </w:r>
      <w:r w:rsidRPr="008C2EFA" w:rsidDel="00932523">
        <w:t>vaccination coverage; increas</w:t>
      </w:r>
      <w:r w:rsidDel="00932523">
        <w:t xml:space="preserve">ing access to </w:t>
      </w:r>
      <w:r w:rsidRPr="008C2EFA" w:rsidDel="00932523">
        <w:t>BBV and STI testing</w:t>
      </w:r>
      <w:r w:rsidDel="00932523">
        <w:t xml:space="preserve"> among priority groups</w:t>
      </w:r>
      <w:r w:rsidRPr="008C2EFA" w:rsidDel="00932523">
        <w:t>; and ensu</w:t>
      </w:r>
      <w:r w:rsidDel="00932523">
        <w:t xml:space="preserve">ring </w:t>
      </w:r>
      <w:r w:rsidRPr="008C2EFA" w:rsidDel="00932523">
        <w:t>early access and adherence to treatmen</w:t>
      </w:r>
      <w:r w:rsidDel="00932523">
        <w:t xml:space="preserve">t, ongoing management and care </w:t>
      </w:r>
      <w:r w:rsidRPr="007272A0" w:rsidDel="00932523">
        <w:t>are all critical areas for focus</w:t>
      </w:r>
      <w:r w:rsidDel="00932523">
        <w:t>.</w:t>
      </w:r>
      <w:r w:rsidRPr="008A4FD8" w:rsidDel="00932523">
        <w:t xml:space="preserve"> </w:t>
      </w:r>
    </w:p>
    <w:p w14:paraId="37444AF8" w14:textId="20759EA9" w:rsidR="00573F87" w:rsidRDefault="00573F87" w:rsidP="00573F87">
      <w:pPr>
        <w:rPr>
          <w:sz w:val="20"/>
          <w:szCs w:val="20"/>
        </w:rPr>
      </w:pPr>
      <w:r>
        <w:rPr>
          <w:sz w:val="20"/>
          <w:szCs w:val="20"/>
        </w:rPr>
        <w:t xml:space="preserve">While this </w:t>
      </w:r>
      <w:r w:rsidR="007272A0">
        <w:rPr>
          <w:sz w:val="20"/>
          <w:szCs w:val="20"/>
        </w:rPr>
        <w:t>s</w:t>
      </w:r>
      <w:r>
        <w:rPr>
          <w:sz w:val="20"/>
          <w:szCs w:val="20"/>
        </w:rPr>
        <w:t>trategy contains actions across priority groups, it includes a strong focus on</w:t>
      </w:r>
      <w:r w:rsidRPr="008C2EFA">
        <w:rPr>
          <w:sz w:val="20"/>
          <w:szCs w:val="20"/>
        </w:rPr>
        <w:t xml:space="preserve"> young Aboriginal and Torres Strait Islander people</w:t>
      </w:r>
      <w:r w:rsidR="00DA3858">
        <w:rPr>
          <w:sz w:val="20"/>
          <w:szCs w:val="20"/>
        </w:rPr>
        <w:t>,</w:t>
      </w:r>
      <w:r>
        <w:rPr>
          <w:sz w:val="20"/>
          <w:szCs w:val="20"/>
        </w:rPr>
        <w:t xml:space="preserve"> who </w:t>
      </w:r>
      <w:r w:rsidRPr="00B761F1">
        <w:rPr>
          <w:sz w:val="20"/>
          <w:szCs w:val="20"/>
          <w:lang w:eastAsia="en-AU"/>
        </w:rPr>
        <w:t>experience higher rates of STI</w:t>
      </w:r>
      <w:r w:rsidR="007272A0">
        <w:rPr>
          <w:sz w:val="20"/>
          <w:szCs w:val="20"/>
          <w:lang w:eastAsia="en-AU"/>
        </w:rPr>
        <w:t xml:space="preserve">, </w:t>
      </w:r>
      <w:r>
        <w:rPr>
          <w:sz w:val="20"/>
          <w:szCs w:val="20"/>
          <w:lang w:eastAsia="en-AU"/>
        </w:rPr>
        <w:t xml:space="preserve">particularly in remote and very remote </w:t>
      </w:r>
      <w:r w:rsidRPr="007272A0">
        <w:rPr>
          <w:sz w:val="20"/>
          <w:szCs w:val="20"/>
          <w:lang w:eastAsia="en-AU"/>
        </w:rPr>
        <w:t>areas</w:t>
      </w:r>
      <w:r w:rsidR="007272A0">
        <w:rPr>
          <w:sz w:val="20"/>
          <w:szCs w:val="20"/>
          <w:lang w:eastAsia="en-AU"/>
        </w:rPr>
        <w:t xml:space="preserve">. These </w:t>
      </w:r>
      <w:r w:rsidRPr="007272A0">
        <w:rPr>
          <w:sz w:val="20"/>
          <w:szCs w:val="20"/>
          <w:lang w:eastAsia="en-AU"/>
        </w:rPr>
        <w:t>rates</w:t>
      </w:r>
      <w:r w:rsidRPr="007272A0">
        <w:rPr>
          <w:sz w:val="20"/>
          <w:szCs w:val="20"/>
        </w:rPr>
        <w:t xml:space="preserve"> </w:t>
      </w:r>
      <w:r w:rsidR="007272A0">
        <w:rPr>
          <w:sz w:val="20"/>
          <w:szCs w:val="20"/>
        </w:rPr>
        <w:t xml:space="preserve">are </w:t>
      </w:r>
      <w:r w:rsidRPr="007272A0">
        <w:rPr>
          <w:sz w:val="20"/>
          <w:szCs w:val="20"/>
        </w:rPr>
        <w:t>many times</w:t>
      </w:r>
      <w:r w:rsidRPr="008C2EFA">
        <w:rPr>
          <w:sz w:val="20"/>
          <w:szCs w:val="20"/>
        </w:rPr>
        <w:t xml:space="preserve"> greater </w:t>
      </w:r>
      <w:r>
        <w:rPr>
          <w:sz w:val="20"/>
          <w:szCs w:val="20"/>
        </w:rPr>
        <w:t xml:space="preserve">than </w:t>
      </w:r>
      <w:r w:rsidR="007272A0">
        <w:rPr>
          <w:sz w:val="20"/>
          <w:szCs w:val="20"/>
        </w:rPr>
        <w:t xml:space="preserve">those of </w:t>
      </w:r>
      <w:r>
        <w:rPr>
          <w:sz w:val="20"/>
          <w:szCs w:val="20"/>
        </w:rPr>
        <w:t xml:space="preserve">young </w:t>
      </w:r>
      <w:r w:rsidRPr="008C2EFA">
        <w:rPr>
          <w:sz w:val="20"/>
          <w:szCs w:val="20"/>
        </w:rPr>
        <w:t>non-</w:t>
      </w:r>
      <w:r>
        <w:rPr>
          <w:sz w:val="20"/>
          <w:szCs w:val="20"/>
        </w:rPr>
        <w:t>I</w:t>
      </w:r>
      <w:r w:rsidRPr="008C2EFA">
        <w:rPr>
          <w:sz w:val="20"/>
          <w:szCs w:val="20"/>
        </w:rPr>
        <w:t xml:space="preserve">ndigenous </w:t>
      </w:r>
      <w:r>
        <w:rPr>
          <w:sz w:val="20"/>
          <w:szCs w:val="20"/>
        </w:rPr>
        <w:t>people</w:t>
      </w:r>
      <w:r w:rsidRPr="008C2EFA">
        <w:rPr>
          <w:sz w:val="20"/>
          <w:szCs w:val="20"/>
        </w:rPr>
        <w:t>.</w:t>
      </w:r>
      <w:r>
        <w:rPr>
          <w:sz w:val="20"/>
          <w:szCs w:val="20"/>
        </w:rPr>
        <w:t xml:space="preserve"> Young people are also </w:t>
      </w:r>
      <w:r w:rsidRPr="00181FB9">
        <w:rPr>
          <w:sz w:val="20"/>
          <w:szCs w:val="20"/>
        </w:rPr>
        <w:t>impacted by</w:t>
      </w:r>
      <w:r>
        <w:rPr>
          <w:sz w:val="20"/>
          <w:szCs w:val="20"/>
        </w:rPr>
        <w:t xml:space="preserve"> BBV. H</w:t>
      </w:r>
      <w:r w:rsidRPr="008C2EFA">
        <w:rPr>
          <w:sz w:val="20"/>
          <w:szCs w:val="20"/>
        </w:rPr>
        <w:t xml:space="preserve">epatitis </w:t>
      </w:r>
      <w:r>
        <w:rPr>
          <w:sz w:val="20"/>
          <w:szCs w:val="20"/>
        </w:rPr>
        <w:t>C n</w:t>
      </w:r>
      <w:r w:rsidRPr="008C2EFA">
        <w:rPr>
          <w:sz w:val="20"/>
          <w:szCs w:val="20"/>
        </w:rPr>
        <w:t xml:space="preserve">otification rates </w:t>
      </w:r>
      <w:r>
        <w:rPr>
          <w:sz w:val="20"/>
          <w:szCs w:val="20"/>
        </w:rPr>
        <w:t xml:space="preserve">increased </w:t>
      </w:r>
      <w:r w:rsidRPr="008C2EFA">
        <w:rPr>
          <w:sz w:val="20"/>
          <w:szCs w:val="20"/>
        </w:rPr>
        <w:t xml:space="preserve">substantially </w:t>
      </w:r>
      <w:r>
        <w:rPr>
          <w:sz w:val="20"/>
          <w:szCs w:val="20"/>
        </w:rPr>
        <w:t xml:space="preserve">more in </w:t>
      </w:r>
      <w:r w:rsidRPr="008C2EFA">
        <w:rPr>
          <w:sz w:val="20"/>
          <w:szCs w:val="20"/>
        </w:rPr>
        <w:t>young Aboriginal an</w:t>
      </w:r>
      <w:r>
        <w:rPr>
          <w:sz w:val="20"/>
          <w:szCs w:val="20"/>
        </w:rPr>
        <w:t>d Torres Strait Islander people (15</w:t>
      </w:r>
      <w:r w:rsidR="00DA3858">
        <w:rPr>
          <w:sz w:val="20"/>
          <w:szCs w:val="20"/>
        </w:rPr>
        <w:t>–</w:t>
      </w:r>
      <w:r>
        <w:rPr>
          <w:sz w:val="20"/>
          <w:szCs w:val="20"/>
        </w:rPr>
        <w:t xml:space="preserve">24 years) than in other age groups over the past five years. Improved access to culturally </w:t>
      </w:r>
      <w:r w:rsidRPr="009F113E">
        <w:rPr>
          <w:sz w:val="20"/>
          <w:szCs w:val="20"/>
        </w:rPr>
        <w:t xml:space="preserve">responsive education, </w:t>
      </w:r>
      <w:r w:rsidR="008436E7" w:rsidRPr="009F113E">
        <w:rPr>
          <w:sz w:val="20"/>
          <w:szCs w:val="20"/>
        </w:rPr>
        <w:t xml:space="preserve">needle and syringe programs and evidence-based opioid treatment programs (OTP), as well </w:t>
      </w:r>
      <w:r w:rsidR="00CB7A0F" w:rsidRPr="009F113E">
        <w:rPr>
          <w:sz w:val="20"/>
          <w:szCs w:val="20"/>
        </w:rPr>
        <w:t xml:space="preserve">as </w:t>
      </w:r>
      <w:r w:rsidR="00B06AC9" w:rsidRPr="009F113E">
        <w:rPr>
          <w:sz w:val="20"/>
          <w:szCs w:val="20"/>
        </w:rPr>
        <w:t>improved diagnosis</w:t>
      </w:r>
      <w:r w:rsidR="008436E7" w:rsidRPr="009F113E">
        <w:rPr>
          <w:sz w:val="20"/>
          <w:szCs w:val="20"/>
        </w:rPr>
        <w:t xml:space="preserve"> and </w:t>
      </w:r>
      <w:r w:rsidR="00B06AC9" w:rsidRPr="009F113E">
        <w:rPr>
          <w:sz w:val="20"/>
          <w:szCs w:val="20"/>
        </w:rPr>
        <w:t>treatment rates</w:t>
      </w:r>
      <w:r w:rsidRPr="009F113E">
        <w:rPr>
          <w:sz w:val="20"/>
          <w:szCs w:val="20"/>
        </w:rPr>
        <w:t>, are all critical aspects of the response</w:t>
      </w:r>
      <w:r w:rsidR="00B06AC9" w:rsidRPr="009F113E">
        <w:rPr>
          <w:sz w:val="20"/>
          <w:szCs w:val="20"/>
        </w:rPr>
        <w:t xml:space="preserve"> to hepatitis C</w:t>
      </w:r>
      <w:r w:rsidRPr="009F113E">
        <w:rPr>
          <w:sz w:val="20"/>
          <w:szCs w:val="20"/>
        </w:rPr>
        <w:t>.</w:t>
      </w:r>
    </w:p>
    <w:p w14:paraId="51FCE82E" w14:textId="531A691E" w:rsidR="00573F87" w:rsidRDefault="00573F87" w:rsidP="002A68F0">
      <w:pPr>
        <w:rPr>
          <w:sz w:val="20"/>
          <w:szCs w:val="20"/>
        </w:rPr>
      </w:pPr>
      <w:r w:rsidRPr="00A80191">
        <w:rPr>
          <w:sz w:val="20"/>
          <w:szCs w:val="20"/>
        </w:rPr>
        <w:t>HIV among Aboriginal and Torres Strait Islander people is of growing concern</w:t>
      </w:r>
      <w:r w:rsidR="00DA3858">
        <w:rPr>
          <w:sz w:val="20"/>
          <w:szCs w:val="20"/>
        </w:rPr>
        <w:t>.</w:t>
      </w:r>
      <w:r>
        <w:rPr>
          <w:sz w:val="20"/>
          <w:szCs w:val="20"/>
        </w:rPr>
        <w:t xml:space="preserve"> </w:t>
      </w:r>
      <w:r w:rsidR="00DA3858">
        <w:rPr>
          <w:sz w:val="20"/>
          <w:szCs w:val="20"/>
        </w:rPr>
        <w:t>N</w:t>
      </w:r>
      <w:r>
        <w:rPr>
          <w:sz w:val="20"/>
          <w:szCs w:val="20"/>
        </w:rPr>
        <w:t xml:space="preserve">otifications of newly diagnosed HIV cases </w:t>
      </w:r>
      <w:r w:rsidR="00DA3858">
        <w:rPr>
          <w:sz w:val="20"/>
          <w:szCs w:val="20"/>
        </w:rPr>
        <w:t xml:space="preserve">have </w:t>
      </w:r>
      <w:r>
        <w:rPr>
          <w:sz w:val="20"/>
          <w:szCs w:val="20"/>
        </w:rPr>
        <w:t>doubl</w:t>
      </w:r>
      <w:r w:rsidR="00DA3858">
        <w:rPr>
          <w:sz w:val="20"/>
          <w:szCs w:val="20"/>
        </w:rPr>
        <w:t>ed</w:t>
      </w:r>
      <w:r>
        <w:rPr>
          <w:sz w:val="20"/>
          <w:szCs w:val="20"/>
        </w:rPr>
        <w:t xml:space="preserve"> since 2011.</w:t>
      </w:r>
      <w:r w:rsidRPr="00A80191">
        <w:rPr>
          <w:sz w:val="20"/>
          <w:szCs w:val="20"/>
        </w:rPr>
        <w:t xml:space="preserve"> </w:t>
      </w:r>
      <w:r>
        <w:rPr>
          <w:sz w:val="20"/>
          <w:szCs w:val="20"/>
        </w:rPr>
        <w:t>T</w:t>
      </w:r>
      <w:r w:rsidRPr="00A80191">
        <w:rPr>
          <w:sz w:val="20"/>
          <w:szCs w:val="20"/>
        </w:rPr>
        <w:t>ailored approaches are needed to build community awareness and strengthen prevention efforts</w:t>
      </w:r>
      <w:r w:rsidR="004C70BC">
        <w:rPr>
          <w:sz w:val="20"/>
          <w:szCs w:val="20"/>
        </w:rPr>
        <w:t xml:space="preserve">, including improving awareness and access to </w:t>
      </w:r>
      <w:r w:rsidR="004C70BC" w:rsidRPr="007272A0">
        <w:rPr>
          <w:sz w:val="20"/>
          <w:szCs w:val="20"/>
        </w:rPr>
        <w:t>pre-exposure prophylaxis (PrEP)</w:t>
      </w:r>
      <w:r w:rsidR="004C70BC">
        <w:rPr>
          <w:sz w:val="20"/>
          <w:szCs w:val="20"/>
        </w:rPr>
        <w:t xml:space="preserve"> </w:t>
      </w:r>
      <w:r w:rsidR="004C70BC" w:rsidRPr="006C4C0D">
        <w:rPr>
          <w:sz w:val="20"/>
          <w:szCs w:val="20"/>
        </w:rPr>
        <w:t>for Aboriginal and Torres Strait Islander people at medium and high risk of HIV</w:t>
      </w:r>
      <w:r w:rsidR="004C70BC">
        <w:rPr>
          <w:sz w:val="20"/>
          <w:szCs w:val="20"/>
        </w:rPr>
        <w:t xml:space="preserve"> infection</w:t>
      </w:r>
      <w:r>
        <w:rPr>
          <w:sz w:val="20"/>
          <w:szCs w:val="20"/>
        </w:rPr>
        <w:t xml:space="preserve">. Greater effort is also needed to ensure people with HIV are diagnosed early and receive ongoing treatment and support. </w:t>
      </w:r>
      <w:r w:rsidR="00DF6B48" w:rsidRPr="00F81BE1">
        <w:rPr>
          <w:rFonts w:cs="Segoe UI"/>
          <w:sz w:val="20"/>
          <w:szCs w:val="20"/>
        </w:rPr>
        <w:t>Research to date</w:t>
      </w:r>
      <w:r w:rsidR="00DF6B48" w:rsidRPr="00F81BE1">
        <w:rPr>
          <w:sz w:val="20"/>
          <w:szCs w:val="20"/>
        </w:rPr>
        <w:t xml:space="preserve"> has found </w:t>
      </w:r>
      <w:r w:rsidR="00DF6B48" w:rsidRPr="00255690">
        <w:rPr>
          <w:sz w:val="20"/>
          <w:szCs w:val="20"/>
        </w:rPr>
        <w:t xml:space="preserve">that people with HIV who take antiretroviral </w:t>
      </w:r>
      <w:r w:rsidR="00DF6B48" w:rsidRPr="00255690">
        <w:rPr>
          <w:rFonts w:cs="Segoe UI"/>
          <w:sz w:val="20"/>
          <w:szCs w:val="20"/>
        </w:rPr>
        <w:t>treatment daily as prescribed and achieve and maintain sustained viral suppression</w:t>
      </w:r>
      <w:r w:rsidR="00DF6B48" w:rsidRPr="00255690">
        <w:rPr>
          <w:rStyle w:val="FootnoteReference"/>
          <w:rFonts w:cs="Segoe UI"/>
          <w:sz w:val="20"/>
          <w:szCs w:val="20"/>
        </w:rPr>
        <w:footnoteReference w:id="2"/>
      </w:r>
      <w:r w:rsidR="00DF6B48" w:rsidRPr="00255690">
        <w:rPr>
          <w:rFonts w:cs="Segoe UI"/>
          <w:sz w:val="20"/>
          <w:szCs w:val="20"/>
        </w:rPr>
        <w:t xml:space="preserve"> have </w:t>
      </w:r>
      <w:r w:rsidR="00CA7273">
        <w:rPr>
          <w:rFonts w:cs="Segoe UI"/>
          <w:sz w:val="20"/>
          <w:szCs w:val="20"/>
        </w:rPr>
        <w:t xml:space="preserve">effectively no </w:t>
      </w:r>
      <w:r w:rsidR="00DF6B48" w:rsidRPr="00255690">
        <w:rPr>
          <w:rFonts w:cs="Segoe UI"/>
          <w:sz w:val="20"/>
          <w:szCs w:val="20"/>
        </w:rPr>
        <w:t>risk</w:t>
      </w:r>
      <w:r w:rsidR="00DF6B48" w:rsidRPr="00255690">
        <w:rPr>
          <w:sz w:val="20"/>
          <w:szCs w:val="20"/>
        </w:rPr>
        <w:t xml:space="preserve"> of sexually transmitting the virus to a HIV-negative partner. </w:t>
      </w:r>
      <w:r w:rsidR="00DF6B48" w:rsidRPr="007272A0">
        <w:rPr>
          <w:sz w:val="20"/>
          <w:szCs w:val="20"/>
        </w:rPr>
        <w:t>This is known as undetectable equals untransmittable (U=U) and Treatment as Prevention (TasP).</w:t>
      </w:r>
      <w:r w:rsidR="002A68F0" w:rsidRPr="007272A0">
        <w:rPr>
          <w:rStyle w:val="EndnoteReference"/>
          <w:sz w:val="20"/>
          <w:szCs w:val="20"/>
        </w:rPr>
        <w:endnoteReference w:id="3"/>
      </w:r>
      <w:r w:rsidR="002A68F0" w:rsidRPr="007272A0">
        <w:rPr>
          <w:sz w:val="20"/>
          <w:szCs w:val="20"/>
          <w:vertAlign w:val="superscript"/>
        </w:rPr>
        <w:t>,</w:t>
      </w:r>
      <w:r w:rsidR="002A68F0" w:rsidRPr="007272A0">
        <w:rPr>
          <w:rStyle w:val="EndnoteReference"/>
          <w:sz w:val="20"/>
          <w:szCs w:val="20"/>
        </w:rPr>
        <w:endnoteReference w:id="4"/>
      </w:r>
      <w:r w:rsidR="002A68F0" w:rsidRPr="007272A0">
        <w:rPr>
          <w:sz w:val="20"/>
          <w:szCs w:val="20"/>
          <w:vertAlign w:val="superscript"/>
        </w:rPr>
        <w:t>,</w:t>
      </w:r>
      <w:r w:rsidR="002A68F0" w:rsidRPr="007272A0">
        <w:rPr>
          <w:rStyle w:val="EndnoteReference"/>
          <w:sz w:val="20"/>
          <w:szCs w:val="20"/>
        </w:rPr>
        <w:endnoteReference w:id="5"/>
      </w:r>
      <w:r w:rsidR="002A68F0" w:rsidRPr="007272A0">
        <w:rPr>
          <w:sz w:val="20"/>
          <w:szCs w:val="20"/>
          <w:vertAlign w:val="superscript"/>
        </w:rPr>
        <w:t>,</w:t>
      </w:r>
      <w:r w:rsidR="002A68F0" w:rsidRPr="007272A0">
        <w:rPr>
          <w:rStyle w:val="EndnoteReference"/>
          <w:sz w:val="20"/>
          <w:szCs w:val="20"/>
        </w:rPr>
        <w:endnoteReference w:id="6"/>
      </w:r>
    </w:p>
    <w:p w14:paraId="6E640F9D" w14:textId="1C3D1103" w:rsidR="00573F87" w:rsidRDefault="00573F87" w:rsidP="00573F87">
      <w:pPr>
        <w:rPr>
          <w:sz w:val="20"/>
          <w:szCs w:val="20"/>
        </w:rPr>
      </w:pPr>
      <w:r>
        <w:rPr>
          <w:sz w:val="20"/>
          <w:szCs w:val="20"/>
        </w:rPr>
        <w:t>T</w:t>
      </w:r>
      <w:r w:rsidRPr="008C2EFA">
        <w:rPr>
          <w:sz w:val="20"/>
          <w:szCs w:val="20"/>
        </w:rPr>
        <w:t>here are</w:t>
      </w:r>
      <w:r>
        <w:rPr>
          <w:sz w:val="20"/>
          <w:szCs w:val="20"/>
        </w:rPr>
        <w:t xml:space="preserve"> </w:t>
      </w:r>
      <w:r w:rsidRPr="008C2EFA">
        <w:rPr>
          <w:sz w:val="20"/>
          <w:szCs w:val="20"/>
        </w:rPr>
        <w:t xml:space="preserve">a number of </w:t>
      </w:r>
      <w:r>
        <w:rPr>
          <w:sz w:val="20"/>
          <w:szCs w:val="20"/>
        </w:rPr>
        <w:t xml:space="preserve">other </w:t>
      </w:r>
      <w:r w:rsidRPr="008C2EFA">
        <w:rPr>
          <w:sz w:val="20"/>
          <w:szCs w:val="20"/>
        </w:rPr>
        <w:t>specific issues that require further research to improve knowledge and understanding of how to respond</w:t>
      </w:r>
      <w:r w:rsidRPr="00A2252E">
        <w:rPr>
          <w:sz w:val="20"/>
          <w:szCs w:val="20"/>
        </w:rPr>
        <w:t xml:space="preserve"> </w:t>
      </w:r>
      <w:r>
        <w:rPr>
          <w:sz w:val="20"/>
          <w:szCs w:val="20"/>
        </w:rPr>
        <w:t>to BBV and STI among Aboriginal and Torres Strait Islander people</w:t>
      </w:r>
      <w:r w:rsidR="00936545">
        <w:rPr>
          <w:sz w:val="20"/>
          <w:szCs w:val="20"/>
        </w:rPr>
        <w:t>s</w:t>
      </w:r>
      <w:r w:rsidR="00B06AC9">
        <w:rPr>
          <w:sz w:val="20"/>
          <w:szCs w:val="20"/>
        </w:rPr>
        <w:t xml:space="preserve">, including </w:t>
      </w:r>
      <w:r>
        <w:rPr>
          <w:sz w:val="20"/>
          <w:szCs w:val="20"/>
        </w:rPr>
        <w:t xml:space="preserve">Human </w:t>
      </w:r>
      <w:r w:rsidRPr="008C2EFA">
        <w:rPr>
          <w:sz w:val="20"/>
          <w:szCs w:val="20"/>
        </w:rPr>
        <w:t xml:space="preserve">T-lymphotropic virus </w:t>
      </w:r>
      <w:r w:rsidR="007272A0">
        <w:rPr>
          <w:sz w:val="20"/>
          <w:szCs w:val="20"/>
        </w:rPr>
        <w:t xml:space="preserve">1 </w:t>
      </w:r>
      <w:r w:rsidRPr="008C2EFA">
        <w:rPr>
          <w:sz w:val="20"/>
          <w:szCs w:val="20"/>
        </w:rPr>
        <w:t>(HTLV-1</w:t>
      </w:r>
      <w:r w:rsidR="007272A0">
        <w:rPr>
          <w:sz w:val="20"/>
          <w:szCs w:val="20"/>
        </w:rPr>
        <w:t>)</w:t>
      </w:r>
      <w:r w:rsidR="00B06AC9">
        <w:rPr>
          <w:sz w:val="20"/>
          <w:szCs w:val="20"/>
        </w:rPr>
        <w:t xml:space="preserve">, </w:t>
      </w:r>
      <w:r w:rsidR="00B06AC9" w:rsidRPr="00B06AC9">
        <w:rPr>
          <w:i/>
          <w:sz w:val="20"/>
          <w:szCs w:val="20"/>
        </w:rPr>
        <w:t>Mycoplasma genitalium</w:t>
      </w:r>
      <w:r w:rsidR="00B06AC9">
        <w:rPr>
          <w:sz w:val="20"/>
          <w:szCs w:val="20"/>
        </w:rPr>
        <w:t xml:space="preserve"> and trichomonas</w:t>
      </w:r>
      <w:r w:rsidR="00936545">
        <w:rPr>
          <w:sz w:val="20"/>
          <w:szCs w:val="20"/>
        </w:rPr>
        <w:t>, all of which have been shown, in</w:t>
      </w:r>
      <w:r w:rsidR="00B06AC9">
        <w:rPr>
          <w:sz w:val="20"/>
          <w:szCs w:val="20"/>
        </w:rPr>
        <w:t xml:space="preserve"> </w:t>
      </w:r>
      <w:r w:rsidR="00936545">
        <w:rPr>
          <w:sz w:val="20"/>
          <w:szCs w:val="20"/>
        </w:rPr>
        <w:t>s</w:t>
      </w:r>
      <w:r w:rsidR="00B06AC9">
        <w:rPr>
          <w:sz w:val="20"/>
          <w:szCs w:val="20"/>
        </w:rPr>
        <w:t>eparate studies</w:t>
      </w:r>
      <w:r w:rsidR="00936545">
        <w:rPr>
          <w:sz w:val="20"/>
          <w:szCs w:val="20"/>
        </w:rPr>
        <w:t>,</w:t>
      </w:r>
      <w:r w:rsidR="00B06AC9">
        <w:rPr>
          <w:sz w:val="20"/>
          <w:szCs w:val="20"/>
        </w:rPr>
        <w:t xml:space="preserve"> </w:t>
      </w:r>
      <w:r w:rsidR="00936545">
        <w:rPr>
          <w:sz w:val="20"/>
          <w:szCs w:val="20"/>
        </w:rPr>
        <w:t>to</w:t>
      </w:r>
      <w:r w:rsidR="00B06AC9">
        <w:rPr>
          <w:sz w:val="20"/>
          <w:szCs w:val="20"/>
        </w:rPr>
        <w:t xml:space="preserve"> </w:t>
      </w:r>
      <w:r w:rsidR="004C70BC">
        <w:rPr>
          <w:sz w:val="20"/>
          <w:szCs w:val="20"/>
        </w:rPr>
        <w:t xml:space="preserve">be </w:t>
      </w:r>
      <w:r w:rsidR="00936545">
        <w:rPr>
          <w:sz w:val="20"/>
          <w:szCs w:val="20"/>
        </w:rPr>
        <w:t xml:space="preserve">present at </w:t>
      </w:r>
      <w:r w:rsidR="00B06AC9">
        <w:rPr>
          <w:sz w:val="20"/>
          <w:szCs w:val="20"/>
        </w:rPr>
        <w:t xml:space="preserve">high rates </w:t>
      </w:r>
      <w:r w:rsidRPr="008C2EFA">
        <w:rPr>
          <w:sz w:val="20"/>
          <w:szCs w:val="20"/>
        </w:rPr>
        <w:t xml:space="preserve">in </w:t>
      </w:r>
      <w:r w:rsidR="00B06AC9">
        <w:rPr>
          <w:sz w:val="20"/>
          <w:szCs w:val="20"/>
        </w:rPr>
        <w:t xml:space="preserve">some </w:t>
      </w:r>
      <w:r>
        <w:rPr>
          <w:sz w:val="20"/>
          <w:szCs w:val="20"/>
        </w:rPr>
        <w:t>Aboriginal communities</w:t>
      </w:r>
      <w:r w:rsidR="00DA3858">
        <w:rPr>
          <w:sz w:val="20"/>
          <w:szCs w:val="20"/>
        </w:rPr>
        <w:t>.</w:t>
      </w:r>
    </w:p>
    <w:p w14:paraId="0FB7F140" w14:textId="559E80D4" w:rsidR="00573F87" w:rsidRDefault="00BE2EF4" w:rsidP="00573F87">
      <w:pPr>
        <w:pStyle w:val="CommentText"/>
      </w:pPr>
      <w:r w:rsidRPr="00585EBB">
        <w:rPr>
          <w:noProof/>
          <w:lang w:eastAsia="en-AU"/>
        </w:rPr>
        <mc:AlternateContent>
          <mc:Choice Requires="wps">
            <w:drawing>
              <wp:anchor distT="0" distB="0" distL="114300" distR="114300" simplePos="0" relativeHeight="251660288" behindDoc="0" locked="0" layoutInCell="1" allowOverlap="1" wp14:anchorId="65771304" wp14:editId="375FD9A8">
                <wp:simplePos x="0" y="0"/>
                <wp:positionH relativeFrom="column">
                  <wp:posOffset>4279265</wp:posOffset>
                </wp:positionH>
                <wp:positionV relativeFrom="paragraph">
                  <wp:posOffset>991235</wp:posOffset>
                </wp:positionV>
                <wp:extent cx="2333625" cy="6076950"/>
                <wp:effectExtent l="209550" t="171450" r="238125" b="266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6076950"/>
                        </a:xfrm>
                        <a:prstGeom prst="rect">
                          <a:avLst/>
                        </a:prstGeom>
                        <a:solidFill>
                          <a:srgbClr val="FFFFFF"/>
                        </a:solidFill>
                        <a:ln w="9525" cap="rnd" cmpd="dbl">
                          <a:solidFill>
                            <a:srgbClr val="000000"/>
                          </a:solidFill>
                          <a:miter lim="800000"/>
                          <a:headEnd/>
                          <a:tailEnd/>
                        </a:ln>
                        <a:effectLst>
                          <a:outerShdw blurRad="241300" dist="38100" dir="5400000" algn="t" rotWithShape="0">
                            <a:prstClr val="black">
                              <a:alpha val="40000"/>
                            </a:prstClr>
                          </a:outerShdw>
                        </a:effectLst>
                      </wps:spPr>
                      <wps:txbx>
                        <w:txbxContent>
                          <w:p w14:paraId="7B4E0744" w14:textId="7E5D692D" w:rsidR="00BA4B48" w:rsidRPr="00604981" w:rsidRDefault="00BA4B48" w:rsidP="00C472BE">
                            <w:pPr>
                              <w:spacing w:after="60"/>
                              <w:rPr>
                                <w:sz w:val="17"/>
                                <w:szCs w:val="17"/>
                              </w:rPr>
                            </w:pPr>
                            <w:r w:rsidRPr="00604981">
                              <w:rPr>
                                <w:sz w:val="17"/>
                                <w:szCs w:val="17"/>
                              </w:rPr>
                              <w:t>Figure 1: Blood Borne Viruses and Sexually Transmissible Infections Standing Committee</w:t>
                            </w:r>
                            <w:r>
                              <w:rPr>
                                <w:sz w:val="17"/>
                                <w:szCs w:val="17"/>
                              </w:rPr>
                              <w:t xml:space="preserve"> (BBVSS)</w:t>
                            </w:r>
                          </w:p>
                          <w:p w14:paraId="7B79C472" w14:textId="77777777" w:rsidR="00BA4B48" w:rsidRPr="0073455A" w:rsidRDefault="00BA4B48" w:rsidP="00C472BE">
                            <w:pPr>
                              <w:spacing w:after="60"/>
                              <w:rPr>
                                <w:sz w:val="17"/>
                                <w:szCs w:val="17"/>
                                <w:u w:val="single"/>
                              </w:rPr>
                            </w:pPr>
                            <w:r w:rsidRPr="0073455A">
                              <w:rPr>
                                <w:sz w:val="17"/>
                                <w:szCs w:val="17"/>
                                <w:u w:val="single"/>
                              </w:rPr>
                              <w:t>P</w:t>
                            </w:r>
                            <w:r w:rsidRPr="00912CCF">
                              <w:rPr>
                                <w:sz w:val="17"/>
                                <w:szCs w:val="17"/>
                                <w:u w:val="single"/>
                              </w:rPr>
                              <w:t>eak</w:t>
                            </w:r>
                            <w:r>
                              <w:rPr>
                                <w:sz w:val="17"/>
                                <w:szCs w:val="17"/>
                                <w:u w:val="single"/>
                              </w:rPr>
                              <w:t xml:space="preserve"> org</w:t>
                            </w:r>
                            <w:r w:rsidRPr="00912CCF">
                              <w:rPr>
                                <w:sz w:val="17"/>
                                <w:szCs w:val="17"/>
                                <w:u w:val="single"/>
                              </w:rPr>
                              <w:t>anisations</w:t>
                            </w:r>
                          </w:p>
                          <w:p w14:paraId="0972364A" w14:textId="77777777" w:rsidR="00BA4B48" w:rsidRPr="00635E52" w:rsidRDefault="00BA4B48" w:rsidP="00C472BE">
                            <w:pPr>
                              <w:spacing w:after="60"/>
                              <w:rPr>
                                <w:sz w:val="17"/>
                                <w:szCs w:val="17"/>
                              </w:rPr>
                            </w:pPr>
                            <w:r w:rsidRPr="00635E52">
                              <w:rPr>
                                <w:sz w:val="17"/>
                                <w:szCs w:val="17"/>
                              </w:rPr>
                              <w:t>Australian Indigenous Doctors’ Association (AIDA)</w:t>
                            </w:r>
                          </w:p>
                          <w:p w14:paraId="7D996582" w14:textId="77777777" w:rsidR="00BA4B48" w:rsidRPr="00635E52" w:rsidRDefault="00BA4B48" w:rsidP="00C472BE">
                            <w:pPr>
                              <w:spacing w:after="60"/>
                              <w:rPr>
                                <w:sz w:val="17"/>
                                <w:szCs w:val="17"/>
                              </w:rPr>
                            </w:pPr>
                            <w:r w:rsidRPr="00635E52">
                              <w:rPr>
                                <w:sz w:val="17"/>
                                <w:szCs w:val="17"/>
                              </w:rPr>
                              <w:t>Australian Federation of AIDS Organisations (AFAO)</w:t>
                            </w:r>
                          </w:p>
                          <w:p w14:paraId="00D82803" w14:textId="7A5207D5" w:rsidR="00BA4B48" w:rsidRPr="00635E52" w:rsidRDefault="00BA4B48" w:rsidP="00C472BE">
                            <w:pPr>
                              <w:spacing w:after="60"/>
                              <w:rPr>
                                <w:sz w:val="17"/>
                                <w:szCs w:val="17"/>
                              </w:rPr>
                            </w:pPr>
                            <w:r w:rsidRPr="00635E52">
                              <w:rPr>
                                <w:sz w:val="17"/>
                                <w:szCs w:val="17"/>
                              </w:rPr>
                              <w:t>Australian Injecting &amp; Illicit Drug Users League (AIVL)</w:t>
                            </w:r>
                          </w:p>
                          <w:p w14:paraId="7F83B142" w14:textId="77777777" w:rsidR="00BA4B48" w:rsidRPr="00635E52" w:rsidRDefault="00BA4B48" w:rsidP="00C472BE">
                            <w:pPr>
                              <w:spacing w:after="60"/>
                              <w:rPr>
                                <w:sz w:val="17"/>
                                <w:szCs w:val="17"/>
                              </w:rPr>
                            </w:pPr>
                            <w:r w:rsidRPr="00635E52">
                              <w:rPr>
                                <w:sz w:val="17"/>
                                <w:szCs w:val="17"/>
                              </w:rPr>
                              <w:t>Australasian Society for HIV</w:t>
                            </w:r>
                            <w:r>
                              <w:rPr>
                                <w:sz w:val="17"/>
                                <w:szCs w:val="17"/>
                              </w:rPr>
                              <w:t>, Viral Hepatitis and Sexual Health</w:t>
                            </w:r>
                            <w:r w:rsidRPr="00635E52">
                              <w:rPr>
                                <w:sz w:val="17"/>
                                <w:szCs w:val="17"/>
                              </w:rPr>
                              <w:t xml:space="preserve"> Medicine (ASHM)</w:t>
                            </w:r>
                          </w:p>
                          <w:p w14:paraId="7A343DB1" w14:textId="77777777" w:rsidR="00BA4B48" w:rsidRPr="00635E52" w:rsidRDefault="00BA4B48" w:rsidP="00C472BE">
                            <w:pPr>
                              <w:spacing w:after="60"/>
                              <w:rPr>
                                <w:sz w:val="17"/>
                                <w:szCs w:val="17"/>
                              </w:rPr>
                            </w:pPr>
                            <w:r w:rsidRPr="00635E52">
                              <w:rPr>
                                <w:sz w:val="17"/>
                                <w:szCs w:val="17"/>
                              </w:rPr>
                              <w:t>Hepatitis Australia</w:t>
                            </w:r>
                          </w:p>
                          <w:p w14:paraId="412F9953" w14:textId="77777777" w:rsidR="00BA4B48" w:rsidRPr="00635E52" w:rsidRDefault="00BA4B48" w:rsidP="00C472BE">
                            <w:pPr>
                              <w:spacing w:after="60"/>
                              <w:rPr>
                                <w:sz w:val="17"/>
                                <w:szCs w:val="17"/>
                              </w:rPr>
                            </w:pPr>
                            <w:r w:rsidRPr="00635E52">
                              <w:rPr>
                                <w:sz w:val="17"/>
                                <w:szCs w:val="17"/>
                              </w:rPr>
                              <w:t>National Association of People with HIV Australia (NAPWHA)</w:t>
                            </w:r>
                          </w:p>
                          <w:p w14:paraId="5A19DFE4" w14:textId="77777777" w:rsidR="00BA4B48" w:rsidRPr="00635E52" w:rsidRDefault="00BA4B48" w:rsidP="00C472BE">
                            <w:pPr>
                              <w:spacing w:after="60"/>
                              <w:rPr>
                                <w:sz w:val="17"/>
                                <w:szCs w:val="17"/>
                              </w:rPr>
                            </w:pPr>
                            <w:r w:rsidRPr="00635E52">
                              <w:rPr>
                                <w:sz w:val="17"/>
                                <w:szCs w:val="17"/>
                              </w:rPr>
                              <w:t>Scarlet Alliance, Australian Sex Workers Association</w:t>
                            </w:r>
                          </w:p>
                          <w:p w14:paraId="2DAF0665" w14:textId="334B93CB" w:rsidR="00BA4B48" w:rsidRPr="00635E52" w:rsidRDefault="00BA4B48" w:rsidP="00C472BE">
                            <w:pPr>
                              <w:spacing w:after="60"/>
                              <w:rPr>
                                <w:sz w:val="17"/>
                                <w:szCs w:val="17"/>
                                <w:u w:val="single"/>
                              </w:rPr>
                            </w:pPr>
                            <w:r w:rsidRPr="00635E52">
                              <w:rPr>
                                <w:sz w:val="17"/>
                                <w:szCs w:val="17"/>
                                <w:u w:val="single"/>
                              </w:rPr>
                              <w:t xml:space="preserve">State and </w:t>
                            </w:r>
                            <w:r>
                              <w:rPr>
                                <w:sz w:val="17"/>
                                <w:szCs w:val="17"/>
                                <w:u w:val="single"/>
                              </w:rPr>
                              <w:t>t</w:t>
                            </w:r>
                            <w:r w:rsidRPr="00635E52">
                              <w:rPr>
                                <w:sz w:val="17"/>
                                <w:szCs w:val="17"/>
                                <w:u w:val="single"/>
                              </w:rPr>
                              <w:t xml:space="preserve">erritory </w:t>
                            </w:r>
                            <w:r>
                              <w:rPr>
                                <w:sz w:val="17"/>
                                <w:szCs w:val="17"/>
                                <w:u w:val="single"/>
                              </w:rPr>
                              <w:t>g</w:t>
                            </w:r>
                            <w:r w:rsidRPr="00635E52">
                              <w:rPr>
                                <w:sz w:val="17"/>
                                <w:szCs w:val="17"/>
                                <w:u w:val="single"/>
                              </w:rPr>
                              <w:t>overnments</w:t>
                            </w:r>
                          </w:p>
                          <w:p w14:paraId="1DF851B0" w14:textId="77777777" w:rsidR="00BA4B48" w:rsidRPr="00635E52" w:rsidRDefault="00BA4B48" w:rsidP="006E6BB4">
                            <w:pPr>
                              <w:spacing w:after="60"/>
                              <w:rPr>
                                <w:sz w:val="17"/>
                                <w:szCs w:val="17"/>
                              </w:rPr>
                            </w:pPr>
                            <w:r w:rsidRPr="00635E52">
                              <w:rPr>
                                <w:sz w:val="17"/>
                                <w:szCs w:val="17"/>
                              </w:rPr>
                              <w:t>ACT Health</w:t>
                            </w:r>
                          </w:p>
                          <w:p w14:paraId="2E951EFE" w14:textId="77777777" w:rsidR="00BA4B48" w:rsidRPr="00635E52" w:rsidRDefault="00BA4B48" w:rsidP="00C472BE">
                            <w:pPr>
                              <w:spacing w:after="60"/>
                              <w:rPr>
                                <w:sz w:val="17"/>
                                <w:szCs w:val="17"/>
                              </w:rPr>
                            </w:pPr>
                            <w:r w:rsidRPr="00635E52">
                              <w:rPr>
                                <w:sz w:val="17"/>
                                <w:szCs w:val="17"/>
                              </w:rPr>
                              <w:t>NSW Ministry of Health</w:t>
                            </w:r>
                          </w:p>
                          <w:p w14:paraId="1A432224" w14:textId="77777777" w:rsidR="00BA4B48" w:rsidRPr="00635E52" w:rsidRDefault="00BA4B48" w:rsidP="006E6BB4">
                            <w:pPr>
                              <w:spacing w:after="60"/>
                              <w:rPr>
                                <w:sz w:val="17"/>
                                <w:szCs w:val="17"/>
                              </w:rPr>
                            </w:pPr>
                            <w:r w:rsidRPr="00635E52">
                              <w:rPr>
                                <w:sz w:val="17"/>
                                <w:szCs w:val="17"/>
                              </w:rPr>
                              <w:t>NT Department of Health</w:t>
                            </w:r>
                          </w:p>
                          <w:p w14:paraId="3D5433BE" w14:textId="77777777" w:rsidR="00BA4B48" w:rsidRPr="00635E52" w:rsidRDefault="00BA4B48" w:rsidP="006E6BB4">
                            <w:pPr>
                              <w:spacing w:after="60"/>
                              <w:rPr>
                                <w:sz w:val="17"/>
                                <w:szCs w:val="17"/>
                              </w:rPr>
                            </w:pPr>
                            <w:r w:rsidRPr="00635E52">
                              <w:rPr>
                                <w:sz w:val="17"/>
                                <w:szCs w:val="17"/>
                              </w:rPr>
                              <w:t>Queensland Health</w:t>
                            </w:r>
                          </w:p>
                          <w:p w14:paraId="314A00D5" w14:textId="77777777" w:rsidR="00BA4B48" w:rsidRPr="00635E52" w:rsidRDefault="00BA4B48" w:rsidP="006E6BB4">
                            <w:pPr>
                              <w:spacing w:after="60"/>
                              <w:rPr>
                                <w:sz w:val="17"/>
                                <w:szCs w:val="17"/>
                              </w:rPr>
                            </w:pPr>
                            <w:r w:rsidRPr="00635E52">
                              <w:rPr>
                                <w:sz w:val="17"/>
                                <w:szCs w:val="17"/>
                              </w:rPr>
                              <w:t xml:space="preserve">SA Department </w:t>
                            </w:r>
                            <w:r>
                              <w:rPr>
                                <w:sz w:val="17"/>
                                <w:szCs w:val="17"/>
                              </w:rPr>
                              <w:t>for</w:t>
                            </w:r>
                            <w:r w:rsidRPr="00635E52">
                              <w:rPr>
                                <w:sz w:val="17"/>
                                <w:szCs w:val="17"/>
                              </w:rPr>
                              <w:t xml:space="preserve"> Health and </w:t>
                            </w:r>
                            <w:r>
                              <w:rPr>
                                <w:sz w:val="17"/>
                                <w:szCs w:val="17"/>
                              </w:rPr>
                              <w:t>Wellbeing</w:t>
                            </w:r>
                          </w:p>
                          <w:p w14:paraId="6E0F9AEF" w14:textId="77777777" w:rsidR="00BA4B48" w:rsidRPr="00635E52" w:rsidRDefault="00BA4B48" w:rsidP="006E6BB4">
                            <w:pPr>
                              <w:spacing w:after="60"/>
                              <w:rPr>
                                <w:sz w:val="17"/>
                                <w:szCs w:val="17"/>
                              </w:rPr>
                            </w:pPr>
                            <w:r w:rsidRPr="00635E52">
                              <w:rPr>
                                <w:sz w:val="17"/>
                                <w:szCs w:val="17"/>
                              </w:rPr>
                              <w:t>Tasmanian Department of Health and Human Services</w:t>
                            </w:r>
                          </w:p>
                          <w:p w14:paraId="29D2C8FF" w14:textId="77777777" w:rsidR="00BA4B48" w:rsidRPr="00635E52" w:rsidRDefault="00BA4B48" w:rsidP="00C472BE">
                            <w:pPr>
                              <w:spacing w:after="60"/>
                              <w:rPr>
                                <w:sz w:val="17"/>
                                <w:szCs w:val="17"/>
                              </w:rPr>
                            </w:pPr>
                            <w:r w:rsidRPr="00635E52">
                              <w:rPr>
                                <w:sz w:val="17"/>
                                <w:szCs w:val="17"/>
                              </w:rPr>
                              <w:t>Victorian Department of Health and Human Services</w:t>
                            </w:r>
                          </w:p>
                          <w:p w14:paraId="1675A67F" w14:textId="77777777" w:rsidR="00BA4B48" w:rsidRPr="00635E52" w:rsidRDefault="00BA4B48" w:rsidP="00C472BE">
                            <w:pPr>
                              <w:spacing w:after="60"/>
                              <w:rPr>
                                <w:sz w:val="17"/>
                                <w:szCs w:val="17"/>
                              </w:rPr>
                            </w:pPr>
                            <w:r w:rsidRPr="00635E52">
                              <w:rPr>
                                <w:sz w:val="17"/>
                                <w:szCs w:val="17"/>
                              </w:rPr>
                              <w:t>WA Department of Health</w:t>
                            </w:r>
                          </w:p>
                          <w:p w14:paraId="2F25E6F6" w14:textId="77777777" w:rsidR="00BA4B48" w:rsidRPr="00635E52" w:rsidRDefault="00BA4B48" w:rsidP="00C472BE">
                            <w:pPr>
                              <w:spacing w:after="60"/>
                              <w:rPr>
                                <w:sz w:val="17"/>
                                <w:szCs w:val="17"/>
                              </w:rPr>
                            </w:pPr>
                            <w:r w:rsidRPr="00635E52">
                              <w:rPr>
                                <w:sz w:val="17"/>
                                <w:szCs w:val="17"/>
                              </w:rPr>
                              <w:t>Australian Government Department of Health</w:t>
                            </w:r>
                          </w:p>
                          <w:p w14:paraId="5C1A41C2" w14:textId="77777777" w:rsidR="00BA4B48" w:rsidRPr="007E603B" w:rsidRDefault="00BA4B48" w:rsidP="00C472BE">
                            <w:pPr>
                              <w:spacing w:after="60"/>
                              <w:rPr>
                                <w:i/>
                                <w:sz w:val="4"/>
                                <w:szCs w:val="4"/>
                              </w:rPr>
                            </w:pPr>
                          </w:p>
                          <w:p w14:paraId="555D64DA" w14:textId="190FE0B2" w:rsidR="00BA4B48" w:rsidRPr="008E35ED" w:rsidRDefault="00BA4B48" w:rsidP="006C155C">
                            <w:pPr>
                              <w:spacing w:after="60"/>
                              <w:rPr>
                                <w:rFonts w:ascii="Arial" w:hAnsi="Arial" w:cs="Arial"/>
                                <w:sz w:val="20"/>
                                <w:szCs w:val="20"/>
                              </w:rPr>
                            </w:pPr>
                            <w:r w:rsidRPr="00181FB9">
                              <w:rPr>
                                <w:i/>
                                <w:sz w:val="15"/>
                                <w:szCs w:val="15"/>
                              </w:rPr>
                              <w:t>BBVSS is a key advisory body reporting to the Australian Health Ministers’ Advisory Council through the Australian Health Protection Principal Committee on strategic policy, programs, social issues and activities related to HIV, viral hepatitis and sexually transmissible infections (STIs).</w:t>
                            </w:r>
                            <w:r w:rsidR="006C155C" w:rsidRPr="008E35ED">
                              <w:rPr>
                                <w:rFonts w:ascii="Arial" w:hAnsi="Arial" w:cs="Arial"/>
                                <w:sz w:val="20"/>
                                <w:szCs w:val="20"/>
                              </w:rPr>
                              <w:t xml:space="preserve"> </w:t>
                            </w:r>
                          </w:p>
                          <w:p w14:paraId="7AF2EA0A" w14:textId="77777777" w:rsidR="00BA4B48" w:rsidRDefault="00BA4B48" w:rsidP="00C47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771304" id="_x0000_t202" coordsize="21600,21600" o:spt="202" path="m,l,21600r21600,l21600,xe">
                <v:stroke joinstyle="miter"/>
                <v:path gradientshapeok="t" o:connecttype="rect"/>
              </v:shapetype>
              <v:shape id="Text Box 2" o:spid="_x0000_s1026" type="#_x0000_t202" style="position:absolute;margin-left:336.95pt;margin-top:78.05pt;width:183.75pt;height:4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">
                <v:stroke linestyle="thinThin" endcap="round"/>
                <v:shadow on="t" color="black" opacity="26214f" origin=",-.5" offset="0,3pt"/>
                <v:textbox>
                  <w:txbxContent>
                    <w:p w14:paraId="7B4E0744" w14:textId="7E5D692D" w:rsidR="00BA4B48" w:rsidRPr="00604981" w:rsidRDefault="00BA4B48" w:rsidP="00C472BE">
                      <w:pPr>
                        <w:spacing w:after="60"/>
                        <w:rPr>
                          <w:sz w:val="17"/>
                          <w:szCs w:val="17"/>
                        </w:rPr>
                      </w:pPr>
                      <w:r w:rsidRPr="00604981">
                        <w:rPr>
                          <w:sz w:val="17"/>
                          <w:szCs w:val="17"/>
                        </w:rPr>
                        <w:t>Figure 1: Blood Borne Viruses and Sexually Transmissible Infections Standing Committee</w:t>
                      </w:r>
                      <w:r>
                        <w:rPr>
                          <w:sz w:val="17"/>
                          <w:szCs w:val="17"/>
                        </w:rPr>
                        <w:t xml:space="preserve"> (BBVSS)</w:t>
                      </w:r>
                    </w:p>
                    <w:p w14:paraId="7B79C472" w14:textId="77777777" w:rsidR="00BA4B48" w:rsidRPr="0073455A" w:rsidRDefault="00BA4B48" w:rsidP="00C472BE">
                      <w:pPr>
                        <w:spacing w:after="60"/>
                        <w:rPr>
                          <w:sz w:val="17"/>
                          <w:szCs w:val="17"/>
                          <w:u w:val="single"/>
                        </w:rPr>
                      </w:pPr>
                      <w:r w:rsidRPr="0073455A">
                        <w:rPr>
                          <w:sz w:val="17"/>
                          <w:szCs w:val="17"/>
                          <w:u w:val="single"/>
                        </w:rPr>
                        <w:t>P</w:t>
                      </w:r>
                      <w:r w:rsidRPr="00912CCF">
                        <w:rPr>
                          <w:sz w:val="17"/>
                          <w:szCs w:val="17"/>
                          <w:u w:val="single"/>
                        </w:rPr>
                        <w:t>eak</w:t>
                      </w:r>
                      <w:r>
                        <w:rPr>
                          <w:sz w:val="17"/>
                          <w:szCs w:val="17"/>
                          <w:u w:val="single"/>
                        </w:rPr>
                        <w:t xml:space="preserve"> org</w:t>
                      </w:r>
                      <w:r w:rsidRPr="00912CCF">
                        <w:rPr>
                          <w:sz w:val="17"/>
                          <w:szCs w:val="17"/>
                          <w:u w:val="single"/>
                        </w:rPr>
                        <w:t>anisations</w:t>
                      </w:r>
                    </w:p>
                    <w:p w14:paraId="0972364A" w14:textId="77777777" w:rsidR="00BA4B48" w:rsidRPr="00635E52" w:rsidRDefault="00BA4B48" w:rsidP="00C472BE">
                      <w:pPr>
                        <w:spacing w:after="60"/>
                        <w:rPr>
                          <w:sz w:val="17"/>
                          <w:szCs w:val="17"/>
                        </w:rPr>
                      </w:pPr>
                      <w:r w:rsidRPr="00635E52">
                        <w:rPr>
                          <w:sz w:val="17"/>
                          <w:szCs w:val="17"/>
                        </w:rPr>
                        <w:t>Australian Indigenous Doctors’ Association (AIDA)</w:t>
                      </w:r>
                    </w:p>
                    <w:p w14:paraId="7D996582" w14:textId="77777777" w:rsidR="00BA4B48" w:rsidRPr="00635E52" w:rsidRDefault="00BA4B48" w:rsidP="00C472BE">
                      <w:pPr>
                        <w:spacing w:after="60"/>
                        <w:rPr>
                          <w:sz w:val="17"/>
                          <w:szCs w:val="17"/>
                        </w:rPr>
                      </w:pPr>
                      <w:r w:rsidRPr="00635E52">
                        <w:rPr>
                          <w:sz w:val="17"/>
                          <w:szCs w:val="17"/>
                        </w:rPr>
                        <w:t>Australian Federation of AIDS Organisations (AFAO)</w:t>
                      </w:r>
                    </w:p>
                    <w:p w14:paraId="00D82803" w14:textId="7A5207D5" w:rsidR="00BA4B48" w:rsidRPr="00635E52" w:rsidRDefault="00BA4B48" w:rsidP="00C472BE">
                      <w:pPr>
                        <w:spacing w:after="60"/>
                        <w:rPr>
                          <w:sz w:val="17"/>
                          <w:szCs w:val="17"/>
                        </w:rPr>
                      </w:pPr>
                      <w:r w:rsidRPr="00635E52">
                        <w:rPr>
                          <w:sz w:val="17"/>
                          <w:szCs w:val="17"/>
                        </w:rPr>
                        <w:t>Australian Injecting &amp; Illicit Drug Users League (AIVL)</w:t>
                      </w:r>
                    </w:p>
                    <w:p w14:paraId="7F83B142" w14:textId="77777777" w:rsidR="00BA4B48" w:rsidRPr="00635E52" w:rsidRDefault="00BA4B48" w:rsidP="00C472BE">
                      <w:pPr>
                        <w:spacing w:after="60"/>
                        <w:rPr>
                          <w:sz w:val="17"/>
                          <w:szCs w:val="17"/>
                        </w:rPr>
                      </w:pPr>
                      <w:r w:rsidRPr="00635E52">
                        <w:rPr>
                          <w:sz w:val="17"/>
                          <w:szCs w:val="17"/>
                        </w:rPr>
                        <w:t>Australasian Society for HIV</w:t>
                      </w:r>
                      <w:r>
                        <w:rPr>
                          <w:sz w:val="17"/>
                          <w:szCs w:val="17"/>
                        </w:rPr>
                        <w:t>, Viral Hepatitis and Sexual Health</w:t>
                      </w:r>
                      <w:r w:rsidRPr="00635E52">
                        <w:rPr>
                          <w:sz w:val="17"/>
                          <w:szCs w:val="17"/>
                        </w:rPr>
                        <w:t xml:space="preserve"> Medicine (ASHM)</w:t>
                      </w:r>
                    </w:p>
                    <w:p w14:paraId="7A343DB1" w14:textId="77777777" w:rsidR="00BA4B48" w:rsidRPr="00635E52" w:rsidRDefault="00BA4B48" w:rsidP="00C472BE">
                      <w:pPr>
                        <w:spacing w:after="60"/>
                        <w:rPr>
                          <w:sz w:val="17"/>
                          <w:szCs w:val="17"/>
                        </w:rPr>
                      </w:pPr>
                      <w:r w:rsidRPr="00635E52">
                        <w:rPr>
                          <w:sz w:val="17"/>
                          <w:szCs w:val="17"/>
                        </w:rPr>
                        <w:t>Hepatitis Australia</w:t>
                      </w:r>
                    </w:p>
                    <w:p w14:paraId="412F9953" w14:textId="77777777" w:rsidR="00BA4B48" w:rsidRPr="00635E52" w:rsidRDefault="00BA4B48" w:rsidP="00C472BE">
                      <w:pPr>
                        <w:spacing w:after="60"/>
                        <w:rPr>
                          <w:sz w:val="17"/>
                          <w:szCs w:val="17"/>
                        </w:rPr>
                      </w:pPr>
                      <w:r w:rsidRPr="00635E52">
                        <w:rPr>
                          <w:sz w:val="17"/>
                          <w:szCs w:val="17"/>
                        </w:rPr>
                        <w:t>National Association of People with HIV Australia (NAPWHA)</w:t>
                      </w:r>
                    </w:p>
                    <w:p w14:paraId="5A19DFE4" w14:textId="77777777" w:rsidR="00BA4B48" w:rsidRPr="00635E52" w:rsidRDefault="00BA4B48" w:rsidP="00C472BE">
                      <w:pPr>
                        <w:spacing w:after="60"/>
                        <w:rPr>
                          <w:sz w:val="17"/>
                          <w:szCs w:val="17"/>
                        </w:rPr>
                      </w:pPr>
                      <w:r w:rsidRPr="00635E52">
                        <w:rPr>
                          <w:sz w:val="17"/>
                          <w:szCs w:val="17"/>
                        </w:rPr>
                        <w:t>Scarlet Alliance, Australian Sex Workers Association</w:t>
                      </w:r>
                    </w:p>
                    <w:p w14:paraId="2DAF0665" w14:textId="334B93CB" w:rsidR="00BA4B48" w:rsidRPr="00635E52" w:rsidRDefault="00BA4B48" w:rsidP="00C472BE">
                      <w:pPr>
                        <w:spacing w:after="60"/>
                        <w:rPr>
                          <w:sz w:val="17"/>
                          <w:szCs w:val="17"/>
                          <w:u w:val="single"/>
                        </w:rPr>
                      </w:pPr>
                      <w:r w:rsidRPr="00635E52">
                        <w:rPr>
                          <w:sz w:val="17"/>
                          <w:szCs w:val="17"/>
                          <w:u w:val="single"/>
                        </w:rPr>
                        <w:t xml:space="preserve">State and </w:t>
                      </w:r>
                      <w:r>
                        <w:rPr>
                          <w:sz w:val="17"/>
                          <w:szCs w:val="17"/>
                          <w:u w:val="single"/>
                        </w:rPr>
                        <w:t>t</w:t>
                      </w:r>
                      <w:r w:rsidRPr="00635E52">
                        <w:rPr>
                          <w:sz w:val="17"/>
                          <w:szCs w:val="17"/>
                          <w:u w:val="single"/>
                        </w:rPr>
                        <w:t xml:space="preserve">erritory </w:t>
                      </w:r>
                      <w:r>
                        <w:rPr>
                          <w:sz w:val="17"/>
                          <w:szCs w:val="17"/>
                          <w:u w:val="single"/>
                        </w:rPr>
                        <w:t>g</w:t>
                      </w:r>
                      <w:r w:rsidRPr="00635E52">
                        <w:rPr>
                          <w:sz w:val="17"/>
                          <w:szCs w:val="17"/>
                          <w:u w:val="single"/>
                        </w:rPr>
                        <w:t>overnments</w:t>
                      </w:r>
                    </w:p>
                    <w:p w14:paraId="1DF851B0" w14:textId="77777777" w:rsidR="00BA4B48" w:rsidRPr="00635E52" w:rsidRDefault="00BA4B48" w:rsidP="006E6BB4">
                      <w:pPr>
                        <w:spacing w:after="60"/>
                        <w:rPr>
                          <w:sz w:val="17"/>
                          <w:szCs w:val="17"/>
                        </w:rPr>
                      </w:pPr>
                      <w:r w:rsidRPr="00635E52">
                        <w:rPr>
                          <w:sz w:val="17"/>
                          <w:szCs w:val="17"/>
                        </w:rPr>
                        <w:t>ACT Health</w:t>
                      </w:r>
                    </w:p>
                    <w:p w14:paraId="2E951EFE" w14:textId="77777777" w:rsidR="00BA4B48" w:rsidRPr="00635E52" w:rsidRDefault="00BA4B48" w:rsidP="00C472BE">
                      <w:pPr>
                        <w:spacing w:after="60"/>
                        <w:rPr>
                          <w:sz w:val="17"/>
                          <w:szCs w:val="17"/>
                        </w:rPr>
                      </w:pPr>
                      <w:r w:rsidRPr="00635E52">
                        <w:rPr>
                          <w:sz w:val="17"/>
                          <w:szCs w:val="17"/>
                        </w:rPr>
                        <w:t>NSW Ministry of Health</w:t>
                      </w:r>
                    </w:p>
                    <w:p w14:paraId="1A432224" w14:textId="77777777" w:rsidR="00BA4B48" w:rsidRPr="00635E52" w:rsidRDefault="00BA4B48" w:rsidP="006E6BB4">
                      <w:pPr>
                        <w:spacing w:after="60"/>
                        <w:rPr>
                          <w:sz w:val="17"/>
                          <w:szCs w:val="17"/>
                        </w:rPr>
                      </w:pPr>
                      <w:r w:rsidRPr="00635E52">
                        <w:rPr>
                          <w:sz w:val="17"/>
                          <w:szCs w:val="17"/>
                        </w:rPr>
                        <w:t>NT Department of Health</w:t>
                      </w:r>
                    </w:p>
                    <w:p w14:paraId="3D5433BE" w14:textId="77777777" w:rsidR="00BA4B48" w:rsidRPr="00635E52" w:rsidRDefault="00BA4B48" w:rsidP="006E6BB4">
                      <w:pPr>
                        <w:spacing w:after="60"/>
                        <w:rPr>
                          <w:sz w:val="17"/>
                          <w:szCs w:val="17"/>
                        </w:rPr>
                      </w:pPr>
                      <w:r w:rsidRPr="00635E52">
                        <w:rPr>
                          <w:sz w:val="17"/>
                          <w:szCs w:val="17"/>
                        </w:rPr>
                        <w:t>Queensland Health</w:t>
                      </w:r>
                    </w:p>
                    <w:p w14:paraId="314A00D5" w14:textId="77777777" w:rsidR="00BA4B48" w:rsidRPr="00635E52" w:rsidRDefault="00BA4B48" w:rsidP="006E6BB4">
                      <w:pPr>
                        <w:spacing w:after="60"/>
                        <w:rPr>
                          <w:sz w:val="17"/>
                          <w:szCs w:val="17"/>
                        </w:rPr>
                      </w:pPr>
                      <w:r w:rsidRPr="00635E52">
                        <w:rPr>
                          <w:sz w:val="17"/>
                          <w:szCs w:val="17"/>
                        </w:rPr>
                        <w:t xml:space="preserve">SA Department </w:t>
                      </w:r>
                      <w:r>
                        <w:rPr>
                          <w:sz w:val="17"/>
                          <w:szCs w:val="17"/>
                        </w:rPr>
                        <w:t>for</w:t>
                      </w:r>
                      <w:r w:rsidRPr="00635E52">
                        <w:rPr>
                          <w:sz w:val="17"/>
                          <w:szCs w:val="17"/>
                        </w:rPr>
                        <w:t xml:space="preserve"> Health and </w:t>
                      </w:r>
                      <w:r>
                        <w:rPr>
                          <w:sz w:val="17"/>
                          <w:szCs w:val="17"/>
                        </w:rPr>
                        <w:t>Wellbeing</w:t>
                      </w:r>
                    </w:p>
                    <w:p w14:paraId="6E0F9AEF" w14:textId="77777777" w:rsidR="00BA4B48" w:rsidRPr="00635E52" w:rsidRDefault="00BA4B48" w:rsidP="006E6BB4">
                      <w:pPr>
                        <w:spacing w:after="60"/>
                        <w:rPr>
                          <w:sz w:val="17"/>
                          <w:szCs w:val="17"/>
                        </w:rPr>
                      </w:pPr>
                      <w:r w:rsidRPr="00635E52">
                        <w:rPr>
                          <w:sz w:val="17"/>
                          <w:szCs w:val="17"/>
                        </w:rPr>
                        <w:t>Tasmanian Department of Health and Human Services</w:t>
                      </w:r>
                    </w:p>
                    <w:p w14:paraId="29D2C8FF" w14:textId="77777777" w:rsidR="00BA4B48" w:rsidRPr="00635E52" w:rsidRDefault="00BA4B48" w:rsidP="00C472BE">
                      <w:pPr>
                        <w:spacing w:after="60"/>
                        <w:rPr>
                          <w:sz w:val="17"/>
                          <w:szCs w:val="17"/>
                        </w:rPr>
                      </w:pPr>
                      <w:r w:rsidRPr="00635E52">
                        <w:rPr>
                          <w:sz w:val="17"/>
                          <w:szCs w:val="17"/>
                        </w:rPr>
                        <w:t>Victorian Department of Health and Human Services</w:t>
                      </w:r>
                    </w:p>
                    <w:p w14:paraId="1675A67F" w14:textId="77777777" w:rsidR="00BA4B48" w:rsidRPr="00635E52" w:rsidRDefault="00BA4B48" w:rsidP="00C472BE">
                      <w:pPr>
                        <w:spacing w:after="60"/>
                        <w:rPr>
                          <w:sz w:val="17"/>
                          <w:szCs w:val="17"/>
                        </w:rPr>
                      </w:pPr>
                      <w:r w:rsidRPr="00635E52">
                        <w:rPr>
                          <w:sz w:val="17"/>
                          <w:szCs w:val="17"/>
                        </w:rPr>
                        <w:t>WA Department of Health</w:t>
                      </w:r>
                    </w:p>
                    <w:p w14:paraId="2F25E6F6" w14:textId="77777777" w:rsidR="00BA4B48" w:rsidRPr="00635E52" w:rsidRDefault="00BA4B48" w:rsidP="00C472BE">
                      <w:pPr>
                        <w:spacing w:after="60"/>
                        <w:rPr>
                          <w:sz w:val="17"/>
                          <w:szCs w:val="17"/>
                        </w:rPr>
                      </w:pPr>
                      <w:r w:rsidRPr="00635E52">
                        <w:rPr>
                          <w:sz w:val="17"/>
                          <w:szCs w:val="17"/>
                        </w:rPr>
                        <w:t>Australian Government Department of Health</w:t>
                      </w:r>
                    </w:p>
                    <w:p w14:paraId="5C1A41C2" w14:textId="77777777" w:rsidR="00BA4B48" w:rsidRPr="007E603B" w:rsidRDefault="00BA4B48" w:rsidP="00C472BE">
                      <w:pPr>
                        <w:spacing w:after="60"/>
                        <w:rPr>
                          <w:i/>
                          <w:sz w:val="4"/>
                          <w:szCs w:val="4"/>
                        </w:rPr>
                      </w:pPr>
                    </w:p>
                    <w:p w14:paraId="555D64DA" w14:textId="190FE0B2" w:rsidR="00BA4B48" w:rsidRPr="008E35ED" w:rsidRDefault="00BA4B48" w:rsidP="006C155C">
                      <w:pPr>
                        <w:spacing w:after="60"/>
                        <w:rPr>
                          <w:rFonts w:ascii="Arial" w:hAnsi="Arial" w:cs="Arial"/>
                          <w:sz w:val="20"/>
                          <w:szCs w:val="20"/>
                        </w:rPr>
                      </w:pPr>
                      <w:r w:rsidRPr="00181FB9">
                        <w:rPr>
                          <w:i/>
                          <w:sz w:val="15"/>
                          <w:szCs w:val="15"/>
                        </w:rPr>
                        <w:t>BBVSS is a key advisory body reporting to the Australian Health Ministers’ Advisory Council through the Australian Health Protection Principal Committee on strategic policy, programs, social issues and activities related to HIV, viral hepatitis and sexually transmissible infections (STIs).</w:t>
                      </w:r>
                      <w:r w:rsidR="006C155C" w:rsidRPr="008E35ED">
                        <w:rPr>
                          <w:rFonts w:ascii="Arial" w:hAnsi="Arial" w:cs="Arial"/>
                          <w:sz w:val="20"/>
                          <w:szCs w:val="20"/>
                        </w:rPr>
                        <w:t xml:space="preserve"> </w:t>
                      </w:r>
                    </w:p>
                    <w:p w14:paraId="7AF2EA0A" w14:textId="77777777" w:rsidR="00BA4B48" w:rsidRDefault="00BA4B48" w:rsidP="00C472BE"/>
                  </w:txbxContent>
                </v:textbox>
                <w10:wrap type="square"/>
              </v:shape>
            </w:pict>
          </mc:Fallback>
        </mc:AlternateContent>
      </w:r>
      <w:r w:rsidR="005F7D69" w:rsidRPr="007272A0">
        <w:t>The diversity of Aboriginal</w:t>
      </w:r>
      <w:r w:rsidR="005F7D69">
        <w:t xml:space="preserve"> and Torres Strait Islander </w:t>
      </w:r>
      <w:r w:rsidR="005F7D69" w:rsidRPr="008C2EFA">
        <w:t>culture</w:t>
      </w:r>
      <w:r w:rsidR="005F7D69">
        <w:t>s</w:t>
      </w:r>
      <w:r w:rsidR="005F7D69" w:rsidRPr="008C2EFA">
        <w:t>, language</w:t>
      </w:r>
      <w:r w:rsidR="005F7D69">
        <w:t>s</w:t>
      </w:r>
      <w:r w:rsidR="005F7D69" w:rsidRPr="008C2EFA">
        <w:t xml:space="preserve">, </w:t>
      </w:r>
      <w:r w:rsidR="005F7D69">
        <w:t xml:space="preserve">and specific </w:t>
      </w:r>
      <w:r w:rsidR="005F7D69" w:rsidRPr="008C2EFA">
        <w:t xml:space="preserve">geographic </w:t>
      </w:r>
      <w:r w:rsidR="005F7D69" w:rsidRPr="007272A0">
        <w:t>and socio-economic</w:t>
      </w:r>
      <w:r w:rsidR="005F7D69" w:rsidRPr="008C2EFA">
        <w:t xml:space="preserve"> influences within </w:t>
      </w:r>
      <w:r w:rsidR="005F7D69">
        <w:t xml:space="preserve">different </w:t>
      </w:r>
      <w:r w:rsidR="005F7D69" w:rsidRPr="008C2EFA">
        <w:t xml:space="preserve">Aboriginal and Torres Strait Islander </w:t>
      </w:r>
      <w:r w:rsidR="005F7D69" w:rsidRPr="007272A0">
        <w:t>communities requires unique and</w:t>
      </w:r>
      <w:r w:rsidR="005F7D69" w:rsidRPr="008C2EFA">
        <w:t xml:space="preserve"> tailored approaches.</w:t>
      </w:r>
      <w:r w:rsidR="005F7D69">
        <w:t xml:space="preserve"> </w:t>
      </w:r>
      <w:r w:rsidR="00573F87" w:rsidRPr="008C2EFA">
        <w:t xml:space="preserve">Strong connections between </w:t>
      </w:r>
      <w:r w:rsidR="00573F87">
        <w:t>communities, organisations and service providers</w:t>
      </w:r>
      <w:r w:rsidR="00573F87" w:rsidRPr="008C2EFA">
        <w:t xml:space="preserve"> are </w:t>
      </w:r>
      <w:r w:rsidR="00573F87">
        <w:t xml:space="preserve">vital </w:t>
      </w:r>
      <w:r w:rsidR="00573F87" w:rsidRPr="008C2EFA">
        <w:t>to</w:t>
      </w:r>
      <w:r w:rsidR="00573F87">
        <w:t xml:space="preserve"> the success of this </w:t>
      </w:r>
      <w:r w:rsidR="007272A0">
        <w:t>s</w:t>
      </w:r>
      <w:r w:rsidR="00573F87">
        <w:t>trategy</w:t>
      </w:r>
      <w:r w:rsidR="00573F87" w:rsidRPr="008C2EFA">
        <w:t xml:space="preserve">. This includes the </w:t>
      </w:r>
      <w:r w:rsidR="00573F87">
        <w:t>leadership</w:t>
      </w:r>
      <w:r w:rsidR="00573F87" w:rsidRPr="008C2EFA">
        <w:t xml:space="preserve"> and </w:t>
      </w:r>
      <w:r w:rsidR="00573F87" w:rsidRPr="009F113E">
        <w:t>ongoing participation of Aboriginal and Torres Strait Islander peoples and Aboriginal and Torres Strait Islander community controlled organisations at the</w:t>
      </w:r>
      <w:r w:rsidR="00573F87">
        <w:t xml:space="preserve"> national and local levels.</w:t>
      </w:r>
      <w:r w:rsidR="00573F87" w:rsidRPr="008C2EFA">
        <w:t xml:space="preserve"> </w:t>
      </w:r>
      <w:r w:rsidR="00573F87">
        <w:t>Evidence-based a</w:t>
      </w:r>
      <w:r w:rsidR="00573F87" w:rsidRPr="008C2EFA">
        <w:t xml:space="preserve">pproaches which successfully identify and address the issues and barriers experienced by priority </w:t>
      </w:r>
      <w:r w:rsidR="00573F87">
        <w:t>group</w:t>
      </w:r>
      <w:r w:rsidR="00573F87" w:rsidRPr="008C2EFA">
        <w:t>s and communities</w:t>
      </w:r>
      <w:r w:rsidR="00573F87">
        <w:t xml:space="preserve"> are needed, and </w:t>
      </w:r>
      <w:r w:rsidR="00623852">
        <w:t xml:space="preserve">these </w:t>
      </w:r>
      <w:r w:rsidR="00573F87">
        <w:t>must be supported by a culturally</w:t>
      </w:r>
      <w:r w:rsidR="00623852">
        <w:t xml:space="preserve"> </w:t>
      </w:r>
      <w:r w:rsidR="00573F87">
        <w:t xml:space="preserve">safe and </w:t>
      </w:r>
      <w:r w:rsidR="00573F87" w:rsidRPr="008C2EFA">
        <w:t>highly skilled</w:t>
      </w:r>
      <w:r w:rsidR="00573F87">
        <w:t xml:space="preserve"> </w:t>
      </w:r>
      <w:r w:rsidR="00573F87" w:rsidRPr="008C2EFA">
        <w:t xml:space="preserve">multidisciplinary </w:t>
      </w:r>
      <w:r w:rsidR="00573F87" w:rsidRPr="009F113E">
        <w:t>workforce, including Aboriginal and Torres Strait Islander Health Workers (AHWs), sexual health workers and peer educators with lived experience.</w:t>
      </w:r>
    </w:p>
    <w:p w14:paraId="1EAED76E" w14:textId="75C942CF" w:rsidR="00573F87" w:rsidRPr="007272A0" w:rsidRDefault="00573F87" w:rsidP="00573F87">
      <w:pPr>
        <w:rPr>
          <w:color w:val="1F497D" w:themeColor="text2"/>
          <w:sz w:val="20"/>
          <w:szCs w:val="20"/>
          <w:lang w:eastAsia="en-AU"/>
        </w:rPr>
      </w:pPr>
      <w:r w:rsidRPr="007272A0">
        <w:rPr>
          <w:sz w:val="20"/>
          <w:szCs w:val="20"/>
        </w:rPr>
        <w:t xml:space="preserve">This </w:t>
      </w:r>
      <w:r w:rsidR="007272A0" w:rsidRPr="007272A0">
        <w:rPr>
          <w:sz w:val="20"/>
          <w:szCs w:val="20"/>
        </w:rPr>
        <w:t>s</w:t>
      </w:r>
      <w:r w:rsidRPr="007272A0">
        <w:rPr>
          <w:sz w:val="20"/>
          <w:szCs w:val="20"/>
        </w:rPr>
        <w:t xml:space="preserve">trategy is one of a suite of five </w:t>
      </w:r>
      <w:r w:rsidR="007272A0" w:rsidRPr="007272A0">
        <w:rPr>
          <w:sz w:val="20"/>
          <w:szCs w:val="20"/>
          <w:lang w:eastAsia="en-AU"/>
        </w:rPr>
        <w:t>n</w:t>
      </w:r>
      <w:r w:rsidRPr="007272A0">
        <w:rPr>
          <w:sz w:val="20"/>
          <w:szCs w:val="20"/>
          <w:lang w:eastAsia="en-AU"/>
        </w:rPr>
        <w:t xml:space="preserve">ational BBV and STI </w:t>
      </w:r>
      <w:r w:rsidR="007272A0" w:rsidRPr="007272A0">
        <w:rPr>
          <w:sz w:val="20"/>
          <w:szCs w:val="20"/>
          <w:lang w:eastAsia="en-AU"/>
        </w:rPr>
        <w:t>s</w:t>
      </w:r>
      <w:r w:rsidRPr="007272A0">
        <w:rPr>
          <w:sz w:val="20"/>
          <w:szCs w:val="20"/>
        </w:rPr>
        <w:t>trategies</w:t>
      </w:r>
      <w:r w:rsidRPr="007272A0">
        <w:rPr>
          <w:sz w:val="20"/>
          <w:szCs w:val="20"/>
          <w:vertAlign w:val="superscript"/>
        </w:rPr>
        <w:footnoteReference w:id="3"/>
      </w:r>
      <w:r w:rsidRPr="007272A0">
        <w:rPr>
          <w:sz w:val="20"/>
          <w:szCs w:val="20"/>
          <w:vertAlign w:val="superscript"/>
          <w:lang w:eastAsia="en-AU"/>
        </w:rPr>
        <w:t xml:space="preserve"> </w:t>
      </w:r>
      <w:r w:rsidRPr="007272A0">
        <w:rPr>
          <w:sz w:val="20"/>
          <w:szCs w:val="20"/>
        </w:rPr>
        <w:t xml:space="preserve">which provide a framework for the coordinated effort by all stakeholders to address BBV and STI within Australia. </w:t>
      </w:r>
      <w:r w:rsidRPr="007272A0">
        <w:rPr>
          <w:sz w:val="20"/>
          <w:szCs w:val="20"/>
          <w:lang w:eastAsia="en-AU"/>
        </w:rPr>
        <w:t xml:space="preserve">While actions to respond to the high rates of BBV and STI in Aboriginal and Torres </w:t>
      </w:r>
      <w:r w:rsidRPr="007272A0">
        <w:rPr>
          <w:sz w:val="20"/>
          <w:szCs w:val="20"/>
          <w:lang w:eastAsia="en-AU"/>
        </w:rPr>
        <w:lastRenderedPageBreak/>
        <w:t xml:space="preserve">Strait Islander peoples are included in each of these strategies, they are drawn together and expanded in this </w:t>
      </w:r>
      <w:r w:rsidR="007272A0">
        <w:rPr>
          <w:sz w:val="20"/>
          <w:szCs w:val="20"/>
          <w:lang w:eastAsia="en-AU"/>
        </w:rPr>
        <w:t>s</w:t>
      </w:r>
      <w:r w:rsidRPr="007272A0">
        <w:rPr>
          <w:sz w:val="20"/>
          <w:szCs w:val="20"/>
          <w:lang w:eastAsia="en-AU"/>
        </w:rPr>
        <w:t xml:space="preserve">trategy, reflecting the importance of a dedicated and targeted response for Aboriginal and Torres Strait Islander peoples. This </w:t>
      </w:r>
      <w:r w:rsidR="007272A0">
        <w:rPr>
          <w:sz w:val="20"/>
          <w:szCs w:val="20"/>
          <w:lang w:eastAsia="en-AU"/>
        </w:rPr>
        <w:t>s</w:t>
      </w:r>
      <w:r w:rsidRPr="007272A0">
        <w:rPr>
          <w:sz w:val="20"/>
          <w:szCs w:val="20"/>
          <w:lang w:eastAsia="en-AU"/>
        </w:rPr>
        <w:t>trategy also supports the goals and objectives of the National Aboriginal and Torres Strait Islander Health Plan 2013</w:t>
      </w:r>
      <w:r w:rsidR="00B371EA" w:rsidRPr="007272A0">
        <w:rPr>
          <w:sz w:val="20"/>
          <w:szCs w:val="20"/>
          <w:lang w:eastAsia="en-AU"/>
        </w:rPr>
        <w:t>–</w:t>
      </w:r>
      <w:r w:rsidRPr="007272A0">
        <w:rPr>
          <w:sz w:val="20"/>
          <w:szCs w:val="20"/>
          <w:lang w:eastAsia="en-AU"/>
        </w:rPr>
        <w:t>2023.</w:t>
      </w:r>
    </w:p>
    <w:p w14:paraId="348B4CC3" w14:textId="50856ABB" w:rsidR="00573F87" w:rsidRPr="008C2EFA" w:rsidRDefault="00573F87" w:rsidP="00573F87">
      <w:pPr>
        <w:rPr>
          <w:sz w:val="20"/>
          <w:szCs w:val="20"/>
        </w:rPr>
      </w:pPr>
      <w:r w:rsidRPr="008C2EFA">
        <w:rPr>
          <w:sz w:val="20"/>
          <w:szCs w:val="20"/>
        </w:rPr>
        <w:t xml:space="preserve">Australian </w:t>
      </w:r>
      <w:r w:rsidR="00B371EA">
        <w:rPr>
          <w:sz w:val="20"/>
          <w:szCs w:val="20"/>
        </w:rPr>
        <w:t>g</w:t>
      </w:r>
      <w:r w:rsidRPr="008C2EFA">
        <w:rPr>
          <w:sz w:val="20"/>
          <w:szCs w:val="20"/>
        </w:rPr>
        <w:t>overnment</w:t>
      </w:r>
      <w:r w:rsidR="00F958BC">
        <w:rPr>
          <w:sz w:val="20"/>
          <w:szCs w:val="20"/>
        </w:rPr>
        <w:t>s</w:t>
      </w:r>
      <w:r w:rsidRPr="008C2EFA">
        <w:rPr>
          <w:sz w:val="20"/>
          <w:szCs w:val="20"/>
        </w:rPr>
        <w:t xml:space="preserve"> acknowledge the significant contribution of Aboriginal and Torres Strait Islander communities and organisations, </w:t>
      </w:r>
      <w:r>
        <w:rPr>
          <w:sz w:val="20"/>
          <w:szCs w:val="20"/>
        </w:rPr>
        <w:t xml:space="preserve">national and state-based community and health peak organisations, </w:t>
      </w:r>
      <w:r w:rsidRPr="008C2EFA">
        <w:rPr>
          <w:sz w:val="20"/>
          <w:szCs w:val="20"/>
        </w:rPr>
        <w:t xml:space="preserve">other community organisations, researchers and the </w:t>
      </w:r>
      <w:r>
        <w:rPr>
          <w:sz w:val="20"/>
          <w:szCs w:val="20"/>
        </w:rPr>
        <w:t>health</w:t>
      </w:r>
      <w:r w:rsidRPr="008C2EFA">
        <w:rPr>
          <w:sz w:val="20"/>
          <w:szCs w:val="20"/>
        </w:rPr>
        <w:t xml:space="preserve"> workforce over the course of the previous Aboriginal and Torres Strait Islander BBV and STI strategies. </w:t>
      </w:r>
      <w:r>
        <w:rPr>
          <w:sz w:val="20"/>
          <w:szCs w:val="20"/>
        </w:rPr>
        <w:t xml:space="preserve">The continued </w:t>
      </w:r>
      <w:r w:rsidRPr="008C2EFA">
        <w:rPr>
          <w:sz w:val="20"/>
          <w:szCs w:val="20"/>
        </w:rPr>
        <w:t xml:space="preserve">commitment and work of all partners means that Australia </w:t>
      </w:r>
      <w:r>
        <w:rPr>
          <w:sz w:val="20"/>
          <w:szCs w:val="20"/>
        </w:rPr>
        <w:t>is</w:t>
      </w:r>
      <w:r w:rsidRPr="008C2EFA">
        <w:rPr>
          <w:sz w:val="20"/>
          <w:szCs w:val="20"/>
        </w:rPr>
        <w:t xml:space="preserve"> well</w:t>
      </w:r>
      <w:r w:rsidR="00B371EA">
        <w:rPr>
          <w:sz w:val="20"/>
          <w:szCs w:val="20"/>
        </w:rPr>
        <w:t xml:space="preserve"> </w:t>
      </w:r>
      <w:r w:rsidRPr="008C2EFA">
        <w:rPr>
          <w:sz w:val="20"/>
          <w:szCs w:val="20"/>
        </w:rPr>
        <w:t xml:space="preserve">placed to </w:t>
      </w:r>
      <w:r>
        <w:rPr>
          <w:sz w:val="20"/>
          <w:szCs w:val="20"/>
        </w:rPr>
        <w:t xml:space="preserve">achieve the ambitious goals and targets set out in this </w:t>
      </w:r>
      <w:r w:rsidR="008E413A">
        <w:rPr>
          <w:sz w:val="20"/>
          <w:szCs w:val="20"/>
        </w:rPr>
        <w:t>s</w:t>
      </w:r>
      <w:r>
        <w:rPr>
          <w:sz w:val="20"/>
          <w:szCs w:val="20"/>
        </w:rPr>
        <w:t xml:space="preserve">trategy. </w:t>
      </w:r>
    </w:p>
    <w:p w14:paraId="33BC33C0" w14:textId="5916EF7A" w:rsidR="004B6B4D" w:rsidRPr="00201E55" w:rsidRDefault="00CB6AAF" w:rsidP="00201E55">
      <w:pPr>
        <w:sectPr w:rsidR="004B6B4D" w:rsidRPr="00201E55" w:rsidSect="00DC06E6">
          <w:footerReference w:type="default" r:id="rId12"/>
          <w:footnotePr>
            <w:numFmt w:val="lowerLetter"/>
          </w:footnotePr>
          <w:endnotePr>
            <w:numFmt w:val="decimal"/>
          </w:endnotePr>
          <w:type w:val="continuous"/>
          <w:pgSz w:w="11907" w:h="16839" w:code="9"/>
          <w:pgMar w:top="1440" w:right="1080" w:bottom="1440" w:left="1080" w:header="720" w:footer="720" w:gutter="0"/>
          <w:pgNumType w:start="1"/>
          <w:cols w:space="720"/>
          <w:titlePg/>
          <w:docGrid w:linePitch="360"/>
        </w:sectPr>
      </w:pPr>
      <w:r w:rsidRPr="008C2EFA">
        <w:rPr>
          <w:i/>
          <w:sz w:val="20"/>
          <w:szCs w:val="20"/>
        </w:rPr>
        <w:t xml:space="preserve">Gratitude is expressed to those who participated in the stakeholder consultations and contributed to the strategy development process, </w:t>
      </w:r>
      <w:r>
        <w:rPr>
          <w:i/>
          <w:sz w:val="20"/>
          <w:szCs w:val="20"/>
        </w:rPr>
        <w:t xml:space="preserve">including </w:t>
      </w:r>
      <w:r w:rsidRPr="008C2EFA">
        <w:rPr>
          <w:i/>
          <w:sz w:val="20"/>
          <w:szCs w:val="20"/>
        </w:rPr>
        <w:t>the members and organisations represented on the Blood Borne Viruses and Sexually Transmissible Infections Standing Committee (</w:t>
      </w:r>
      <w:r w:rsidR="00B371EA">
        <w:rPr>
          <w:i/>
          <w:sz w:val="20"/>
          <w:szCs w:val="20"/>
        </w:rPr>
        <w:t xml:space="preserve">see </w:t>
      </w:r>
      <w:r w:rsidRPr="008C2EFA">
        <w:rPr>
          <w:i/>
          <w:sz w:val="20"/>
          <w:szCs w:val="20"/>
        </w:rPr>
        <w:t>Figure 1).</w:t>
      </w:r>
      <w:r w:rsidRPr="008C2EFA">
        <w:rPr>
          <w:noProof/>
          <w:sz w:val="20"/>
          <w:szCs w:val="20"/>
          <w:lang w:eastAsia="en-AU"/>
        </w:rPr>
        <w:t xml:space="preserve"> </w:t>
      </w:r>
    </w:p>
    <w:p w14:paraId="561A0CF6" w14:textId="5FEE11EE" w:rsidR="00A9314C" w:rsidRPr="00C341E7" w:rsidRDefault="00A9314C" w:rsidP="00A9314C">
      <w:pPr>
        <w:pStyle w:val="Heading1"/>
      </w:pPr>
      <w:bookmarkStart w:id="3" w:name="_Toc510796246"/>
      <w:bookmarkStart w:id="4" w:name="_Toc529472444"/>
      <w:r>
        <w:lastRenderedPageBreak/>
        <w:t xml:space="preserve">Guiding </w:t>
      </w:r>
      <w:r w:rsidR="00B371EA">
        <w:t>p</w:t>
      </w:r>
      <w:r>
        <w:t>rinciples</w:t>
      </w:r>
      <w:bookmarkEnd w:id="3"/>
      <w:bookmarkEnd w:id="4"/>
    </w:p>
    <w:p w14:paraId="40702CC2" w14:textId="75DF2514" w:rsidR="00EB4919" w:rsidRDefault="00A9314C" w:rsidP="00453F1F">
      <w:pPr>
        <w:rPr>
          <w:sz w:val="20"/>
          <w:szCs w:val="19"/>
          <w:lang w:eastAsia="en-AU"/>
        </w:rPr>
      </w:pPr>
      <w:r w:rsidRPr="001951D0">
        <w:rPr>
          <w:sz w:val="20"/>
          <w:szCs w:val="19"/>
          <w:lang w:eastAsia="en-AU"/>
        </w:rPr>
        <w:t xml:space="preserve">The </w:t>
      </w:r>
      <w:r w:rsidRPr="008E413A">
        <w:rPr>
          <w:sz w:val="20"/>
          <w:szCs w:val="19"/>
          <w:lang w:eastAsia="en-AU"/>
        </w:rPr>
        <w:t xml:space="preserve">Fifth National Aboriginal and Torres Strait Islander Blood Borne Viruses and Sexually Transmissible Infections </w:t>
      </w:r>
      <w:r w:rsidRPr="008E413A">
        <w:rPr>
          <w:sz w:val="20"/>
          <w:szCs w:val="19"/>
        </w:rPr>
        <w:t>Strategy</w:t>
      </w:r>
      <w:r w:rsidRPr="008E413A">
        <w:rPr>
          <w:sz w:val="20"/>
          <w:szCs w:val="19"/>
          <w:lang w:eastAsia="en-AU"/>
        </w:rPr>
        <w:t xml:space="preserve"> 2018</w:t>
      </w:r>
      <w:r w:rsidR="00B371EA" w:rsidRPr="008E413A">
        <w:rPr>
          <w:sz w:val="20"/>
          <w:szCs w:val="19"/>
          <w:lang w:eastAsia="en-AU"/>
        </w:rPr>
        <w:t>–</w:t>
      </w:r>
      <w:r w:rsidRPr="008E413A">
        <w:rPr>
          <w:sz w:val="20"/>
          <w:szCs w:val="19"/>
          <w:lang w:eastAsia="en-AU"/>
        </w:rPr>
        <w:t>2022</w:t>
      </w:r>
      <w:r w:rsidRPr="001951D0">
        <w:rPr>
          <w:sz w:val="20"/>
          <w:szCs w:val="19"/>
          <w:lang w:eastAsia="en-AU"/>
        </w:rPr>
        <w:t xml:space="preserve"> includes </w:t>
      </w:r>
      <w:r w:rsidR="00C360E9" w:rsidRPr="001951D0">
        <w:rPr>
          <w:sz w:val="20"/>
          <w:szCs w:val="19"/>
          <w:lang w:eastAsia="en-AU"/>
        </w:rPr>
        <w:t xml:space="preserve">four </w:t>
      </w:r>
      <w:r w:rsidRPr="001951D0">
        <w:rPr>
          <w:sz w:val="20"/>
          <w:szCs w:val="19"/>
          <w:lang w:eastAsia="en-AU"/>
        </w:rPr>
        <w:t>guiding principles to support high</w:t>
      </w:r>
      <w:r w:rsidR="00B371EA">
        <w:rPr>
          <w:sz w:val="20"/>
          <w:szCs w:val="19"/>
          <w:lang w:eastAsia="en-AU"/>
        </w:rPr>
        <w:t>-</w:t>
      </w:r>
      <w:r w:rsidRPr="001951D0">
        <w:rPr>
          <w:sz w:val="20"/>
          <w:szCs w:val="19"/>
          <w:lang w:eastAsia="en-AU"/>
        </w:rPr>
        <w:t xml:space="preserve">quality, </w:t>
      </w:r>
      <w:r w:rsidRPr="00CC2ADD">
        <w:rPr>
          <w:sz w:val="20"/>
          <w:szCs w:val="19"/>
          <w:lang w:eastAsia="en-AU"/>
        </w:rPr>
        <w:t>evide</w:t>
      </w:r>
      <w:r w:rsidR="00A757E7" w:rsidRPr="00CC2ADD">
        <w:rPr>
          <w:sz w:val="20"/>
          <w:szCs w:val="19"/>
          <w:lang w:eastAsia="en-AU"/>
        </w:rPr>
        <w:t>nce</w:t>
      </w:r>
      <w:r w:rsidR="00A757E7">
        <w:rPr>
          <w:sz w:val="20"/>
          <w:szCs w:val="19"/>
          <w:lang w:eastAsia="en-AU"/>
        </w:rPr>
        <w:noBreakHyphen/>
      </w:r>
      <w:r w:rsidRPr="001951D0">
        <w:rPr>
          <w:sz w:val="20"/>
          <w:szCs w:val="19"/>
          <w:lang w:eastAsia="en-AU"/>
        </w:rPr>
        <w:t>based and equitable response</w:t>
      </w:r>
      <w:r w:rsidR="00A2252E">
        <w:rPr>
          <w:sz w:val="20"/>
          <w:szCs w:val="19"/>
          <w:lang w:eastAsia="en-AU"/>
        </w:rPr>
        <w:t>s</w:t>
      </w:r>
      <w:r w:rsidRPr="001951D0">
        <w:rPr>
          <w:sz w:val="20"/>
          <w:szCs w:val="19"/>
          <w:lang w:eastAsia="en-AU"/>
        </w:rPr>
        <w:t xml:space="preserve"> to BBV and STI in Aboriginal and Torres Strait Islander people</w:t>
      </w:r>
      <w:r w:rsidR="00583798">
        <w:rPr>
          <w:sz w:val="20"/>
          <w:szCs w:val="19"/>
          <w:lang w:eastAsia="en-AU"/>
        </w:rPr>
        <w:t>s</w:t>
      </w:r>
      <w:r w:rsidRPr="001951D0">
        <w:rPr>
          <w:sz w:val="20"/>
          <w:szCs w:val="19"/>
          <w:lang w:eastAsia="en-AU"/>
        </w:rPr>
        <w:t xml:space="preserve">. </w:t>
      </w:r>
      <w:r w:rsidR="00C360E9" w:rsidRPr="001951D0">
        <w:rPr>
          <w:sz w:val="20"/>
          <w:szCs w:val="19"/>
          <w:lang w:eastAsia="en-AU"/>
        </w:rPr>
        <w:t xml:space="preserve">Together with the general guiding principles </w:t>
      </w:r>
      <w:r w:rsidRPr="001951D0">
        <w:rPr>
          <w:sz w:val="20"/>
          <w:szCs w:val="19"/>
          <w:lang w:eastAsia="en-AU"/>
        </w:rPr>
        <w:t xml:space="preserve">included in each of the </w:t>
      </w:r>
      <w:r w:rsidR="008E413A">
        <w:rPr>
          <w:sz w:val="20"/>
          <w:szCs w:val="19"/>
          <w:lang w:eastAsia="en-AU"/>
        </w:rPr>
        <w:t xml:space="preserve">five national </w:t>
      </w:r>
      <w:r w:rsidRPr="001951D0">
        <w:rPr>
          <w:sz w:val="20"/>
          <w:szCs w:val="19"/>
          <w:lang w:eastAsia="en-AU"/>
        </w:rPr>
        <w:t>BBV and STI strategies</w:t>
      </w:r>
      <w:r w:rsidR="00C360E9" w:rsidRPr="001951D0">
        <w:rPr>
          <w:sz w:val="20"/>
          <w:szCs w:val="19"/>
          <w:lang w:eastAsia="en-AU"/>
        </w:rPr>
        <w:t xml:space="preserve"> </w:t>
      </w:r>
      <w:r w:rsidR="00C360E9" w:rsidRPr="00CC2ADD">
        <w:rPr>
          <w:sz w:val="20"/>
          <w:szCs w:val="19"/>
          <w:lang w:eastAsia="en-AU"/>
        </w:rPr>
        <w:t xml:space="preserve">(see Appendix </w:t>
      </w:r>
      <w:r w:rsidR="009F4590" w:rsidRPr="00CC2ADD">
        <w:rPr>
          <w:sz w:val="20"/>
          <w:szCs w:val="19"/>
          <w:lang w:eastAsia="en-AU"/>
        </w:rPr>
        <w:t>A</w:t>
      </w:r>
      <w:r w:rsidR="009F4590">
        <w:rPr>
          <w:sz w:val="20"/>
          <w:szCs w:val="19"/>
          <w:lang w:eastAsia="en-AU"/>
        </w:rPr>
        <w:t>)</w:t>
      </w:r>
      <w:r w:rsidR="00C360E9" w:rsidRPr="001951D0">
        <w:rPr>
          <w:sz w:val="20"/>
          <w:szCs w:val="19"/>
          <w:lang w:eastAsia="en-AU"/>
        </w:rPr>
        <w:t>, these</w:t>
      </w:r>
      <w:r w:rsidRPr="001951D0">
        <w:rPr>
          <w:sz w:val="20"/>
          <w:szCs w:val="19"/>
          <w:lang w:eastAsia="en-AU"/>
        </w:rPr>
        <w:t xml:space="preserve"> are drawn from Australia’s efforts over time to respond to the challenges</w:t>
      </w:r>
      <w:r w:rsidR="009F4590">
        <w:rPr>
          <w:sz w:val="20"/>
          <w:szCs w:val="19"/>
          <w:lang w:eastAsia="en-AU"/>
        </w:rPr>
        <w:t xml:space="preserve"> </w:t>
      </w:r>
      <w:r w:rsidRPr="001951D0">
        <w:rPr>
          <w:sz w:val="20"/>
          <w:szCs w:val="19"/>
          <w:lang w:eastAsia="en-AU"/>
        </w:rPr>
        <w:t>and impacts of HIV, hepatitis</w:t>
      </w:r>
      <w:r w:rsidR="000732A2">
        <w:rPr>
          <w:sz w:val="20"/>
          <w:szCs w:val="19"/>
          <w:lang w:eastAsia="en-AU"/>
        </w:rPr>
        <w:t xml:space="preserve"> B</w:t>
      </w:r>
      <w:r w:rsidRPr="001951D0">
        <w:rPr>
          <w:sz w:val="20"/>
          <w:szCs w:val="19"/>
          <w:lang w:eastAsia="en-AU"/>
        </w:rPr>
        <w:t>,</w:t>
      </w:r>
      <w:r w:rsidR="000732A2">
        <w:rPr>
          <w:sz w:val="20"/>
          <w:szCs w:val="19"/>
          <w:lang w:eastAsia="en-AU"/>
        </w:rPr>
        <w:t xml:space="preserve"> hepatitis C</w:t>
      </w:r>
      <w:r w:rsidRPr="001951D0">
        <w:rPr>
          <w:sz w:val="20"/>
          <w:szCs w:val="19"/>
          <w:lang w:eastAsia="en-AU"/>
        </w:rPr>
        <w:t xml:space="preserve"> and STI. </w:t>
      </w:r>
    </w:p>
    <w:p w14:paraId="2A71DDD4" w14:textId="2BF87278" w:rsidR="00EB14B9" w:rsidRDefault="00647B5E">
      <w:pPr>
        <w:spacing w:after="0"/>
        <w:rPr>
          <w:rFonts w:ascii="Calibri" w:eastAsia="Times New Roman" w:hAnsi="Calibri" w:cs="Arial"/>
          <w:i/>
          <w:sz w:val="20"/>
          <w:lang w:eastAsia="en-AU"/>
        </w:rPr>
      </w:pPr>
      <w:r>
        <w:rPr>
          <w:rFonts w:ascii="Calibri" w:eastAsia="Times New Roman" w:hAnsi="Calibri" w:cs="Arial"/>
          <w:i/>
          <w:noProof/>
          <w:sz w:val="20"/>
          <w:lang w:eastAsia="en-AU"/>
        </w:rPr>
        <w:drawing>
          <wp:inline distT="0" distB="0" distL="0" distR="0" wp14:anchorId="3C1031EC" wp14:editId="4E3D4F9C">
            <wp:extent cx="7787580" cy="6919595"/>
            <wp:effectExtent l="0" t="0" r="4445" b="0"/>
            <wp:docPr id="5" name="Picture 5" descr="Guiding principles to support high-quality, evidence-based and equitable responses to BBV and STI in Aboriginal and Torres Strait Islander people&#10;" title="Guiding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89768" cy="6921539"/>
                    </a:xfrm>
                    <a:prstGeom prst="rect">
                      <a:avLst/>
                    </a:prstGeom>
                    <a:noFill/>
                  </pic:spPr>
                </pic:pic>
              </a:graphicData>
            </a:graphic>
          </wp:inline>
        </w:drawing>
      </w:r>
      <w:r w:rsidR="00EB14B9">
        <w:rPr>
          <w:rFonts w:ascii="Calibri" w:eastAsia="Times New Roman" w:hAnsi="Calibri" w:cs="Arial"/>
          <w:i/>
          <w:sz w:val="20"/>
          <w:lang w:eastAsia="en-AU"/>
        </w:rPr>
        <w:br w:type="page"/>
      </w:r>
    </w:p>
    <w:p w14:paraId="6D57CF33" w14:textId="77777777" w:rsidR="00A9314C" w:rsidRDefault="00A9314C" w:rsidP="00ED238C">
      <w:pPr>
        <w:pStyle w:val="Heading1"/>
        <w:spacing w:after="0"/>
      </w:pPr>
      <w:bookmarkStart w:id="5" w:name="_Toc529472445"/>
      <w:r>
        <w:lastRenderedPageBreak/>
        <w:t>Snapshot of Aboriginal and Torres Strait Islander BBV and STI</w:t>
      </w:r>
      <w:r w:rsidR="00583798">
        <w:t xml:space="preserve"> in Australia</w:t>
      </w:r>
      <w:bookmarkEnd w:id="5"/>
    </w:p>
    <w:p w14:paraId="5CB4D8C7" w14:textId="0C9E5B44" w:rsidR="00211443" w:rsidRPr="00680D7A" w:rsidRDefault="00211443" w:rsidP="00ED238C">
      <w:pPr>
        <w:pStyle w:val="Caption"/>
        <w:spacing w:before="80"/>
        <w:rPr>
          <w:szCs w:val="20"/>
        </w:rPr>
      </w:pPr>
      <w:r w:rsidRPr="00680D7A">
        <w:rPr>
          <w:szCs w:val="20"/>
        </w:rPr>
        <w:t>Figure 2: Snapshot of Aboriginal and Torres Strait Islander BBV and STI in Australia</w:t>
      </w:r>
      <w:r w:rsidR="002A68F0">
        <w:rPr>
          <w:szCs w:val="20"/>
          <w:vertAlign w:val="superscript"/>
        </w:rPr>
        <w:t>6,17</w:t>
      </w:r>
    </w:p>
    <w:p w14:paraId="20ED30DF" w14:textId="22EE45D5" w:rsidR="0009736C" w:rsidRDefault="00AE74DF" w:rsidP="002C0B63">
      <w:pPr>
        <w:tabs>
          <w:tab w:val="right" w:pos="9747"/>
        </w:tabs>
        <w:spacing w:after="0"/>
        <w:rPr>
          <w:lang w:eastAsia="en-AU"/>
        </w:rPr>
      </w:pPr>
      <w:bookmarkStart w:id="6" w:name="_Toc501537601"/>
      <w:r>
        <w:rPr>
          <w:noProof/>
          <w:lang w:eastAsia="en-AU"/>
        </w:rPr>
        <w:drawing>
          <wp:inline distT="0" distB="0" distL="0" distR="0" wp14:anchorId="413A0FAB" wp14:editId="5CCDB22F">
            <wp:extent cx="5404943" cy="7692390"/>
            <wp:effectExtent l="0" t="0" r="5715" b="3810"/>
            <wp:docPr id="6" name="Picture 6" descr="Snapshot of Aboriginal and Torres Strait BBV and STI in Australia" title="Figure 2: Snapshot of Aboriginal and Torres Strait BBV and STI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4120" cy="7705451"/>
                    </a:xfrm>
                    <a:prstGeom prst="rect">
                      <a:avLst/>
                    </a:prstGeom>
                    <a:noFill/>
                  </pic:spPr>
                </pic:pic>
              </a:graphicData>
            </a:graphic>
          </wp:inline>
        </w:drawing>
      </w:r>
      <w:r w:rsidR="002C0B63">
        <w:rPr>
          <w:lang w:eastAsia="en-AU"/>
        </w:rPr>
        <w:tab/>
      </w:r>
    </w:p>
    <w:p w14:paraId="4678A80A" w14:textId="10F4640A" w:rsidR="00211443" w:rsidRPr="00211443" w:rsidRDefault="00211443" w:rsidP="00211443">
      <w:pPr>
        <w:spacing w:after="0"/>
        <w:rPr>
          <w:i/>
          <w:szCs w:val="19"/>
          <w:u w:val="single"/>
        </w:rPr>
      </w:pPr>
      <w:r>
        <w:rPr>
          <w:i/>
          <w:szCs w:val="19"/>
          <w:u w:val="single"/>
        </w:rPr>
        <w:br w:type="page"/>
      </w:r>
      <w:r w:rsidRPr="00211443">
        <w:rPr>
          <w:i/>
          <w:szCs w:val="19"/>
          <w:u w:val="single"/>
        </w:rPr>
        <w:lastRenderedPageBreak/>
        <w:t>N</w:t>
      </w:r>
      <w:r w:rsidR="00603AAC">
        <w:rPr>
          <w:i/>
          <w:szCs w:val="19"/>
          <w:u w:val="single"/>
        </w:rPr>
        <w:t>OTES</w:t>
      </w:r>
      <w:r w:rsidR="00721CF0">
        <w:rPr>
          <w:i/>
          <w:szCs w:val="19"/>
          <w:u w:val="single"/>
        </w:rPr>
        <w:t>:</w:t>
      </w:r>
    </w:p>
    <w:p w14:paraId="1DD356FC" w14:textId="6420533D" w:rsidR="00211443" w:rsidRDefault="00211443" w:rsidP="00211443">
      <w:pPr>
        <w:rPr>
          <w:szCs w:val="19"/>
        </w:rPr>
      </w:pPr>
      <w:r w:rsidRPr="008E0A38">
        <w:rPr>
          <w:szCs w:val="19"/>
        </w:rPr>
        <w:t>Surveillance data must be interpreted</w:t>
      </w:r>
      <w:r>
        <w:rPr>
          <w:szCs w:val="19"/>
        </w:rPr>
        <w:t xml:space="preserve"> with care,</w:t>
      </w:r>
      <w:r w:rsidRPr="008E0A38">
        <w:rPr>
          <w:szCs w:val="19"/>
        </w:rPr>
        <w:t xml:space="preserve"> </w:t>
      </w:r>
      <w:r>
        <w:rPr>
          <w:szCs w:val="19"/>
        </w:rPr>
        <w:t>as</w:t>
      </w:r>
      <w:r w:rsidRPr="008E0A38">
        <w:rPr>
          <w:szCs w:val="19"/>
        </w:rPr>
        <w:t xml:space="preserve"> notifications and trends may be influenced by </w:t>
      </w:r>
      <w:r w:rsidR="00B80CFA">
        <w:rPr>
          <w:szCs w:val="19"/>
        </w:rPr>
        <w:t xml:space="preserve">community and targeted </w:t>
      </w:r>
      <w:r w:rsidRPr="008E0A38">
        <w:rPr>
          <w:szCs w:val="19"/>
        </w:rPr>
        <w:t>testing</w:t>
      </w:r>
      <w:r w:rsidR="00DD3146">
        <w:rPr>
          <w:szCs w:val="19"/>
        </w:rPr>
        <w:t xml:space="preserve"> levels</w:t>
      </w:r>
      <w:r>
        <w:rPr>
          <w:szCs w:val="19"/>
        </w:rPr>
        <w:t>, data capture</w:t>
      </w:r>
      <w:r w:rsidRPr="008E0A38">
        <w:rPr>
          <w:szCs w:val="19"/>
        </w:rPr>
        <w:t xml:space="preserve"> and access to health services</w:t>
      </w:r>
      <w:r w:rsidR="004C4F37">
        <w:rPr>
          <w:szCs w:val="19"/>
        </w:rPr>
        <w:t>. It</w:t>
      </w:r>
      <w:r>
        <w:rPr>
          <w:szCs w:val="19"/>
        </w:rPr>
        <w:t xml:space="preserve"> therefore </w:t>
      </w:r>
      <w:r w:rsidRPr="008E0A38">
        <w:rPr>
          <w:szCs w:val="19"/>
        </w:rPr>
        <w:t xml:space="preserve">may not </w:t>
      </w:r>
      <w:r>
        <w:rPr>
          <w:szCs w:val="19"/>
        </w:rPr>
        <w:t>truly represent the incidence</w:t>
      </w:r>
      <w:r w:rsidRPr="008E0A38">
        <w:rPr>
          <w:szCs w:val="19"/>
        </w:rPr>
        <w:t xml:space="preserve"> of disease in a population.</w:t>
      </w:r>
      <w:r w:rsidR="00B62A6D">
        <w:rPr>
          <w:szCs w:val="19"/>
        </w:rPr>
        <w:t xml:space="preserve"> </w:t>
      </w:r>
      <w:r w:rsidR="004C4F37">
        <w:rPr>
          <w:szCs w:val="19"/>
        </w:rPr>
        <w:t>In addition, w</w:t>
      </w:r>
      <w:r w:rsidRPr="001A33E9">
        <w:rPr>
          <w:szCs w:val="19"/>
        </w:rPr>
        <w:t xml:space="preserve">hile notification data provides important information about changing rates of BBV and STI in a community, it does not measure the </w:t>
      </w:r>
      <w:r>
        <w:rPr>
          <w:szCs w:val="19"/>
        </w:rPr>
        <w:t xml:space="preserve">broader implications of BBV and STI, such as the </w:t>
      </w:r>
      <w:r w:rsidRPr="008E413A">
        <w:rPr>
          <w:szCs w:val="19"/>
        </w:rPr>
        <w:t>psychosexual, acute, chronic effects, comorbidities and reproductive impacts of</w:t>
      </w:r>
      <w:r w:rsidRPr="001A33E9">
        <w:rPr>
          <w:szCs w:val="19"/>
        </w:rPr>
        <w:t xml:space="preserve"> STI</w:t>
      </w:r>
      <w:r>
        <w:rPr>
          <w:szCs w:val="19"/>
        </w:rPr>
        <w:t xml:space="preserve"> and the long</w:t>
      </w:r>
      <w:r w:rsidR="001B6038">
        <w:rPr>
          <w:szCs w:val="19"/>
        </w:rPr>
        <w:t>-</w:t>
      </w:r>
      <w:r>
        <w:rPr>
          <w:szCs w:val="19"/>
        </w:rPr>
        <w:t>term health implications associated with BBV</w:t>
      </w:r>
      <w:r w:rsidRPr="001A33E9">
        <w:rPr>
          <w:szCs w:val="19"/>
        </w:rPr>
        <w:t>.</w:t>
      </w:r>
    </w:p>
    <w:p w14:paraId="4FBCC2BC" w14:textId="61B38634" w:rsidR="00211443" w:rsidRDefault="00B62A6D" w:rsidP="00211443">
      <w:pPr>
        <w:spacing w:after="80"/>
        <w:rPr>
          <w:szCs w:val="19"/>
        </w:rPr>
      </w:pPr>
      <w:r>
        <w:t>N</w:t>
      </w:r>
      <w:r w:rsidR="00211443">
        <w:t>otification data for BBV and STI highlight the disproportionate rates of each STI and BBV relative to non</w:t>
      </w:r>
      <w:r w:rsidR="00211443">
        <w:noBreakHyphen/>
        <w:t xml:space="preserve">Indigenous Australians, recognising that some of this data lacks information to determine the true extent of infection and burden of disease. Incompleteness of Aboriginal and Torres Strait Islander status </w:t>
      </w:r>
      <w:r w:rsidR="00CF5147">
        <w:t xml:space="preserve">in notification data </w:t>
      </w:r>
      <w:r w:rsidR="00A31F40">
        <w:t xml:space="preserve">arising from some clinical services </w:t>
      </w:r>
      <w:r w:rsidR="00211443">
        <w:t>is a contributing factor</w:t>
      </w:r>
      <w:r w:rsidR="000E23B2">
        <w:t>,</w:t>
      </w:r>
      <w:r w:rsidR="00CF5147">
        <w:t xml:space="preserve"> and </w:t>
      </w:r>
      <w:r w:rsidR="00CF5147" w:rsidRPr="00146FB3">
        <w:t>there is no available estimate on the prevalence of hepatitis C amongst Aboriginal and Torres Strait Islander people</w:t>
      </w:r>
      <w:r w:rsidR="00211443">
        <w:t>. The data presented does not include all state and territories, as 50 per cent completeness of Aboriginal and Torres Strait Islander status was required for analysis and p</w:t>
      </w:r>
      <w:r w:rsidR="00431391">
        <w:t>resentation of each BBV and STI.</w:t>
      </w:r>
      <w:r w:rsidR="00431391">
        <w:rPr>
          <w:rStyle w:val="EndnoteReference"/>
        </w:rPr>
        <w:endnoteReference w:id="7"/>
      </w:r>
      <w:r w:rsidR="00211443">
        <w:rPr>
          <w:szCs w:val="19"/>
        </w:rPr>
        <w:t xml:space="preserve"> Improving the collection and reporting of this field </w:t>
      </w:r>
      <w:r w:rsidR="00211443" w:rsidRPr="001A33E9">
        <w:rPr>
          <w:szCs w:val="19"/>
        </w:rPr>
        <w:t>remains a priority area for BBV and STI surveillance.</w:t>
      </w:r>
      <w:r w:rsidR="00211443">
        <w:rPr>
          <w:szCs w:val="19"/>
        </w:rPr>
        <w:t xml:space="preserve"> </w:t>
      </w:r>
    </w:p>
    <w:p w14:paraId="17878130" w14:textId="2F992EA4" w:rsidR="00B14331" w:rsidRDefault="00211443" w:rsidP="00DF1EED">
      <w:pPr>
        <w:spacing w:after="80"/>
        <w:rPr>
          <w:szCs w:val="19"/>
        </w:rPr>
      </w:pPr>
      <w:r>
        <w:rPr>
          <w:szCs w:val="19"/>
        </w:rPr>
        <w:t xml:space="preserve">Further details on the </w:t>
      </w:r>
      <w:r w:rsidR="00AD5C2A">
        <w:rPr>
          <w:szCs w:val="19"/>
        </w:rPr>
        <w:t xml:space="preserve">Aboriginal and Torres Strait Islander priority </w:t>
      </w:r>
      <w:r>
        <w:rPr>
          <w:szCs w:val="19"/>
        </w:rPr>
        <w:t>groups that are predominantly impacted by BBV and STI can be found in Section 4</w:t>
      </w:r>
      <w:r w:rsidR="001B6038">
        <w:rPr>
          <w:szCs w:val="19"/>
        </w:rPr>
        <w:t>,</w:t>
      </w:r>
      <w:r>
        <w:rPr>
          <w:szCs w:val="19"/>
        </w:rPr>
        <w:t xml:space="preserve"> </w:t>
      </w:r>
      <w:r w:rsidR="004B5857" w:rsidRPr="001B6038">
        <w:rPr>
          <w:szCs w:val="19"/>
        </w:rPr>
        <w:t xml:space="preserve">‘About this </w:t>
      </w:r>
      <w:r w:rsidR="008E413A">
        <w:rPr>
          <w:szCs w:val="19"/>
        </w:rPr>
        <w:t>s</w:t>
      </w:r>
      <w:r w:rsidR="004B5857" w:rsidRPr="001B6038">
        <w:rPr>
          <w:szCs w:val="19"/>
        </w:rPr>
        <w:t>trategy</w:t>
      </w:r>
      <w:r w:rsidRPr="001B6038">
        <w:rPr>
          <w:szCs w:val="19"/>
        </w:rPr>
        <w:t>’</w:t>
      </w:r>
      <w:r w:rsidR="008E413A">
        <w:rPr>
          <w:szCs w:val="19"/>
        </w:rPr>
        <w:t>,</w:t>
      </w:r>
      <w:r w:rsidRPr="001B6038">
        <w:rPr>
          <w:szCs w:val="19"/>
        </w:rPr>
        <w:t xml:space="preserve"> and Section 6</w:t>
      </w:r>
      <w:r w:rsidR="001B6038">
        <w:rPr>
          <w:szCs w:val="19"/>
        </w:rPr>
        <w:t>,</w:t>
      </w:r>
      <w:r w:rsidRPr="001B6038">
        <w:rPr>
          <w:szCs w:val="19"/>
        </w:rPr>
        <w:t xml:space="preserve"> ‘</w:t>
      </w:r>
      <w:r w:rsidR="004B5857" w:rsidRPr="001B6038">
        <w:rPr>
          <w:szCs w:val="19"/>
        </w:rPr>
        <w:t xml:space="preserve">Priority </w:t>
      </w:r>
      <w:r w:rsidR="001B6038">
        <w:rPr>
          <w:szCs w:val="19"/>
        </w:rPr>
        <w:t>g</w:t>
      </w:r>
      <w:r w:rsidR="004B5857" w:rsidRPr="001B6038">
        <w:rPr>
          <w:szCs w:val="19"/>
        </w:rPr>
        <w:t xml:space="preserve">roups and </w:t>
      </w:r>
      <w:r w:rsidR="001B6038">
        <w:rPr>
          <w:szCs w:val="19"/>
        </w:rPr>
        <w:t>s</w:t>
      </w:r>
      <w:r w:rsidR="004B5857" w:rsidRPr="001B6038">
        <w:rPr>
          <w:szCs w:val="19"/>
        </w:rPr>
        <w:t>ettings</w:t>
      </w:r>
      <w:r w:rsidR="0074759B" w:rsidRPr="001B6038">
        <w:rPr>
          <w:szCs w:val="19"/>
        </w:rPr>
        <w:t>’</w:t>
      </w:r>
      <w:r w:rsidR="0074759B">
        <w:rPr>
          <w:i/>
          <w:szCs w:val="19"/>
        </w:rPr>
        <w:t>.</w:t>
      </w:r>
      <w:r>
        <w:rPr>
          <w:szCs w:val="19"/>
        </w:rPr>
        <w:t xml:space="preserve"> </w:t>
      </w:r>
      <w:r w:rsidR="00463B14">
        <w:rPr>
          <w:szCs w:val="19"/>
        </w:rPr>
        <w:t xml:space="preserve">Data on the national rates and characteristics of BBV and STI can be found in the </w:t>
      </w:r>
      <w:r w:rsidR="00463B14" w:rsidRPr="008E413A">
        <w:rPr>
          <w:szCs w:val="19"/>
        </w:rPr>
        <w:t xml:space="preserve">associated </w:t>
      </w:r>
      <w:r w:rsidR="008E413A" w:rsidRPr="008E413A">
        <w:rPr>
          <w:szCs w:val="19"/>
        </w:rPr>
        <w:t>n</w:t>
      </w:r>
      <w:r w:rsidRPr="008E413A">
        <w:rPr>
          <w:szCs w:val="19"/>
        </w:rPr>
        <w:t xml:space="preserve">ational </w:t>
      </w:r>
      <w:r w:rsidR="008E413A">
        <w:rPr>
          <w:szCs w:val="19"/>
        </w:rPr>
        <w:t xml:space="preserve">BBV and STI </w:t>
      </w:r>
      <w:r w:rsidR="008E413A" w:rsidRPr="008E413A">
        <w:rPr>
          <w:szCs w:val="19"/>
        </w:rPr>
        <w:t>s</w:t>
      </w:r>
      <w:r w:rsidRPr="008E413A">
        <w:rPr>
          <w:szCs w:val="19"/>
        </w:rPr>
        <w:t>trategies for 2018</w:t>
      </w:r>
      <w:r w:rsidR="001B6038" w:rsidRPr="008E413A">
        <w:rPr>
          <w:szCs w:val="19"/>
        </w:rPr>
        <w:t>–</w:t>
      </w:r>
      <w:r w:rsidRPr="008E413A">
        <w:rPr>
          <w:szCs w:val="19"/>
        </w:rPr>
        <w:t>2022.</w:t>
      </w:r>
    </w:p>
    <w:p w14:paraId="4473CE94" w14:textId="77777777" w:rsidR="00B14331" w:rsidRDefault="00B14331">
      <w:pPr>
        <w:spacing w:after="0"/>
        <w:rPr>
          <w:rFonts w:eastAsia="Times New Roman"/>
          <w:b/>
          <w:color w:val="00264D"/>
          <w:sz w:val="36"/>
          <w:szCs w:val="19"/>
          <w:lang w:eastAsia="en-AU"/>
        </w:rPr>
      </w:pPr>
      <w:r>
        <w:rPr>
          <w:rFonts w:eastAsia="Times New Roman"/>
          <w:b/>
          <w:color w:val="00264D"/>
          <w:sz w:val="36"/>
          <w:szCs w:val="19"/>
          <w:lang w:eastAsia="en-AU"/>
        </w:rPr>
        <w:br w:type="page"/>
      </w:r>
    </w:p>
    <w:p w14:paraId="29C8C9D3" w14:textId="229F2538" w:rsidR="00453F1F" w:rsidRPr="006B0FC3" w:rsidRDefault="00453F1F" w:rsidP="00453F1F">
      <w:pPr>
        <w:pStyle w:val="Heading1"/>
      </w:pPr>
      <w:bookmarkStart w:id="7" w:name="_Toc529472446"/>
      <w:r w:rsidRPr="006B0FC3">
        <w:lastRenderedPageBreak/>
        <w:t xml:space="preserve">About </w:t>
      </w:r>
      <w:r w:rsidRPr="002D0848">
        <w:t>this</w:t>
      </w:r>
      <w:r w:rsidRPr="006B0FC3">
        <w:t xml:space="preserve"> </w:t>
      </w:r>
      <w:r w:rsidR="008E413A">
        <w:t>s</w:t>
      </w:r>
      <w:r w:rsidRPr="006B0FC3">
        <w:t>trategy</w:t>
      </w:r>
      <w:bookmarkEnd w:id="6"/>
      <w:bookmarkEnd w:id="7"/>
    </w:p>
    <w:p w14:paraId="16F37720" w14:textId="500298D1" w:rsidR="007E4FE3" w:rsidRDefault="00453F1F" w:rsidP="00453F1F">
      <w:pPr>
        <w:rPr>
          <w:sz w:val="20"/>
          <w:szCs w:val="20"/>
        </w:rPr>
      </w:pPr>
      <w:r w:rsidRPr="009767D7">
        <w:rPr>
          <w:sz w:val="20"/>
          <w:szCs w:val="20"/>
        </w:rPr>
        <w:t xml:space="preserve">The </w:t>
      </w:r>
      <w:r w:rsidRPr="008E413A">
        <w:rPr>
          <w:sz w:val="20"/>
          <w:szCs w:val="20"/>
        </w:rPr>
        <w:t xml:space="preserve">Fifth National Aboriginal and Torres Strait Islander Blood Borne Viruses and Sexually Transmissible Infections Strategy </w:t>
      </w:r>
      <w:r w:rsidR="006B6B8B" w:rsidRPr="009767D7">
        <w:rPr>
          <w:sz w:val="20"/>
          <w:szCs w:val="20"/>
        </w:rPr>
        <w:t xml:space="preserve">sets the </w:t>
      </w:r>
      <w:r w:rsidRPr="009767D7">
        <w:rPr>
          <w:sz w:val="20"/>
          <w:szCs w:val="20"/>
        </w:rPr>
        <w:t xml:space="preserve">direction for Australia’s continuing response to </w:t>
      </w:r>
      <w:r w:rsidR="006B6B8B" w:rsidRPr="009767D7">
        <w:rPr>
          <w:sz w:val="20"/>
          <w:szCs w:val="20"/>
        </w:rPr>
        <w:t xml:space="preserve">BBV and STI </w:t>
      </w:r>
      <w:r w:rsidRPr="009767D7">
        <w:rPr>
          <w:sz w:val="20"/>
          <w:szCs w:val="20"/>
        </w:rPr>
        <w:t>in Aboriginal and Torres Strait Islander people</w:t>
      </w:r>
      <w:r w:rsidR="000F7189">
        <w:rPr>
          <w:sz w:val="20"/>
          <w:szCs w:val="20"/>
        </w:rPr>
        <w:t>s</w:t>
      </w:r>
      <w:r w:rsidRPr="009767D7">
        <w:rPr>
          <w:sz w:val="20"/>
          <w:szCs w:val="20"/>
        </w:rPr>
        <w:t xml:space="preserve"> </w:t>
      </w:r>
      <w:r w:rsidR="006B6B8B" w:rsidRPr="009767D7">
        <w:rPr>
          <w:sz w:val="20"/>
          <w:szCs w:val="20"/>
        </w:rPr>
        <w:t>for 2018 to 2022</w:t>
      </w:r>
      <w:r w:rsidRPr="009767D7">
        <w:rPr>
          <w:sz w:val="20"/>
          <w:szCs w:val="20"/>
        </w:rPr>
        <w:t xml:space="preserve"> and builds on achievements and lessons learned from </w:t>
      </w:r>
      <w:r w:rsidR="00552566">
        <w:rPr>
          <w:sz w:val="20"/>
          <w:szCs w:val="20"/>
        </w:rPr>
        <w:t xml:space="preserve">the </w:t>
      </w:r>
      <w:r w:rsidR="00F105A6">
        <w:rPr>
          <w:sz w:val="20"/>
          <w:szCs w:val="20"/>
        </w:rPr>
        <w:t xml:space="preserve">implementation of </w:t>
      </w:r>
      <w:r w:rsidRPr="009767D7">
        <w:rPr>
          <w:sz w:val="20"/>
          <w:szCs w:val="20"/>
        </w:rPr>
        <w:t>previous strategies.</w:t>
      </w:r>
    </w:p>
    <w:p w14:paraId="152DC771" w14:textId="07EADDDE" w:rsidR="007E4FE3" w:rsidRPr="009767D7" w:rsidRDefault="007E4FE3" w:rsidP="007E4FE3">
      <w:pPr>
        <w:rPr>
          <w:sz w:val="20"/>
          <w:szCs w:val="20"/>
        </w:rPr>
      </w:pPr>
      <w:r w:rsidRPr="008E413A">
        <w:rPr>
          <w:sz w:val="20"/>
          <w:szCs w:val="20"/>
          <w:lang w:eastAsia="en-AU"/>
        </w:rPr>
        <w:t>Th</w:t>
      </w:r>
      <w:r w:rsidRPr="008E413A">
        <w:rPr>
          <w:sz w:val="20"/>
          <w:szCs w:val="20"/>
        </w:rPr>
        <w:t xml:space="preserve">is </w:t>
      </w:r>
      <w:r w:rsidR="008E413A" w:rsidRPr="008E413A">
        <w:rPr>
          <w:sz w:val="20"/>
          <w:szCs w:val="20"/>
        </w:rPr>
        <w:t>s</w:t>
      </w:r>
      <w:r w:rsidRPr="008E413A">
        <w:rPr>
          <w:sz w:val="20"/>
          <w:szCs w:val="20"/>
        </w:rPr>
        <w:t>trategy</w:t>
      </w:r>
      <w:r w:rsidRPr="008E413A">
        <w:rPr>
          <w:sz w:val="20"/>
          <w:szCs w:val="20"/>
          <w:lang w:eastAsia="en-AU"/>
        </w:rPr>
        <w:t xml:space="preserve"> aims to provide a framework for the efforts of all partners in the response to BBV and STI in Aboriginal and Torres Strait Islander peoples, guide resourcing decisions and </w:t>
      </w:r>
      <w:r w:rsidR="00E63AA2" w:rsidRPr="008E413A">
        <w:rPr>
          <w:sz w:val="20"/>
          <w:szCs w:val="20"/>
          <w:lang w:eastAsia="en-AU"/>
        </w:rPr>
        <w:t xml:space="preserve">monitor </w:t>
      </w:r>
      <w:r w:rsidRPr="008E413A">
        <w:rPr>
          <w:sz w:val="20"/>
          <w:szCs w:val="20"/>
          <w:lang w:eastAsia="en-AU"/>
        </w:rPr>
        <w:t xml:space="preserve">progress. It is informed by evaluation of </w:t>
      </w:r>
      <w:r w:rsidRPr="008E413A">
        <w:rPr>
          <w:sz w:val="20"/>
          <w:szCs w:val="20"/>
        </w:rPr>
        <w:t>p</w:t>
      </w:r>
      <w:r w:rsidRPr="008E413A">
        <w:rPr>
          <w:sz w:val="20"/>
          <w:szCs w:val="20"/>
          <w:lang w:eastAsia="en-AU"/>
        </w:rPr>
        <w:t xml:space="preserve">rogress made under </w:t>
      </w:r>
      <w:r w:rsidRPr="0070375B">
        <w:rPr>
          <w:sz w:val="20"/>
          <w:szCs w:val="20"/>
          <w:lang w:eastAsia="en-AU"/>
        </w:rPr>
        <w:t xml:space="preserve">the </w:t>
      </w:r>
      <w:hyperlink r:id="rId15" w:history="1">
        <w:r w:rsidRPr="0070375B">
          <w:rPr>
            <w:rStyle w:val="Hyperlink"/>
            <w:sz w:val="20"/>
            <w:szCs w:val="20"/>
          </w:rPr>
          <w:t>Fourth National Aboriginal and Torres Strait Islander Blood Borne Viruses and Sexually Transmissible Infections Strategy</w:t>
        </w:r>
        <w:r w:rsidRPr="0070375B">
          <w:rPr>
            <w:rStyle w:val="Hyperlink"/>
            <w:sz w:val="20"/>
            <w:szCs w:val="20"/>
            <w:lang w:eastAsia="en-AU"/>
          </w:rPr>
          <w:t xml:space="preserve"> 2014</w:t>
        </w:r>
        <w:r w:rsidR="0091108C" w:rsidRPr="0070375B">
          <w:rPr>
            <w:rStyle w:val="Hyperlink"/>
            <w:sz w:val="20"/>
            <w:szCs w:val="20"/>
            <w:lang w:eastAsia="en-AU"/>
          </w:rPr>
          <w:t>–</w:t>
        </w:r>
        <w:r w:rsidRPr="0070375B">
          <w:rPr>
            <w:rStyle w:val="Hyperlink"/>
            <w:sz w:val="20"/>
            <w:szCs w:val="20"/>
            <w:lang w:eastAsia="en-AU"/>
          </w:rPr>
          <w:t>2017</w:t>
        </w:r>
      </w:hyperlink>
      <w:r w:rsidRPr="0070375B">
        <w:rPr>
          <w:sz w:val="20"/>
          <w:szCs w:val="20"/>
          <w:lang w:eastAsia="en-AU"/>
        </w:rPr>
        <w:t>;</w:t>
      </w:r>
      <w:r w:rsidRPr="0070375B">
        <w:rPr>
          <w:i/>
          <w:sz w:val="20"/>
          <w:szCs w:val="20"/>
          <w:lang w:eastAsia="en-AU"/>
        </w:rPr>
        <w:t xml:space="preserve"> </w:t>
      </w:r>
      <w:r w:rsidRPr="0070375B">
        <w:rPr>
          <w:sz w:val="20"/>
          <w:szCs w:val="20"/>
          <w:lang w:eastAsia="en-AU"/>
        </w:rPr>
        <w:t>the effectiveness</w:t>
      </w:r>
      <w:r w:rsidRPr="008E413A">
        <w:rPr>
          <w:sz w:val="20"/>
          <w:szCs w:val="20"/>
          <w:lang w:eastAsia="en-AU"/>
        </w:rPr>
        <w:t xml:space="preserve"> of current and past responses in Australia and internationally; the identification of gaps and opportunities; and consultation with </w:t>
      </w:r>
      <w:r w:rsidR="00F2549D" w:rsidRPr="008E413A">
        <w:rPr>
          <w:sz w:val="20"/>
          <w:szCs w:val="20"/>
          <w:lang w:eastAsia="en-AU"/>
        </w:rPr>
        <w:t xml:space="preserve">Aboriginal and Torres Strait Islander people, </w:t>
      </w:r>
      <w:r w:rsidRPr="008E413A">
        <w:rPr>
          <w:sz w:val="20"/>
          <w:szCs w:val="20"/>
          <w:lang w:eastAsia="en-AU"/>
        </w:rPr>
        <w:t xml:space="preserve">governments, community organisations, researchers, health professionals and other stakeholders across the country. </w:t>
      </w:r>
      <w:r w:rsidRPr="008E413A">
        <w:rPr>
          <w:sz w:val="20"/>
          <w:szCs w:val="20"/>
        </w:rPr>
        <w:t xml:space="preserve">This </w:t>
      </w:r>
      <w:r w:rsidR="008E413A">
        <w:rPr>
          <w:sz w:val="20"/>
          <w:szCs w:val="20"/>
        </w:rPr>
        <w:t>s</w:t>
      </w:r>
      <w:r w:rsidRPr="008E413A">
        <w:rPr>
          <w:sz w:val="20"/>
          <w:szCs w:val="20"/>
        </w:rPr>
        <w:t>trategy is also informed by a range of surveillance data and research on BBV and STI in Aboriginal and Torres Strait Islander peoples and its impact on priority groups.</w:t>
      </w:r>
    </w:p>
    <w:p w14:paraId="1848F21A" w14:textId="4FDFBADF" w:rsidR="00453F1F" w:rsidRPr="009767D7" w:rsidRDefault="00453F1F" w:rsidP="00741D08">
      <w:pPr>
        <w:spacing w:after="60"/>
        <w:rPr>
          <w:sz w:val="20"/>
          <w:szCs w:val="20"/>
        </w:rPr>
      </w:pPr>
      <w:r w:rsidRPr="009767D7">
        <w:rPr>
          <w:sz w:val="20"/>
          <w:szCs w:val="20"/>
        </w:rPr>
        <w:t xml:space="preserve">It is one of five national strategies </w:t>
      </w:r>
      <w:r w:rsidR="00035495">
        <w:rPr>
          <w:sz w:val="20"/>
          <w:szCs w:val="20"/>
        </w:rPr>
        <w:t>that</w:t>
      </w:r>
      <w:r w:rsidR="00D6764B">
        <w:rPr>
          <w:sz w:val="20"/>
          <w:szCs w:val="20"/>
        </w:rPr>
        <w:t>,</w:t>
      </w:r>
      <w:r w:rsidRPr="009767D7">
        <w:rPr>
          <w:sz w:val="20"/>
          <w:szCs w:val="20"/>
        </w:rPr>
        <w:t xml:space="preserve"> together</w:t>
      </w:r>
      <w:r w:rsidR="00D6764B">
        <w:rPr>
          <w:sz w:val="20"/>
          <w:szCs w:val="20"/>
        </w:rPr>
        <w:t>,</w:t>
      </w:r>
      <w:r w:rsidRPr="009767D7">
        <w:rPr>
          <w:sz w:val="20"/>
          <w:szCs w:val="20"/>
        </w:rPr>
        <w:t xml:space="preserve"> outline a framework for a high</w:t>
      </w:r>
      <w:r w:rsidR="008E413A">
        <w:rPr>
          <w:sz w:val="20"/>
          <w:szCs w:val="20"/>
        </w:rPr>
        <w:t>-</w:t>
      </w:r>
      <w:r w:rsidRPr="009767D7">
        <w:rPr>
          <w:sz w:val="20"/>
          <w:szCs w:val="20"/>
        </w:rPr>
        <w:t>quality and coordinated national response to BBV and STI in Australia. These strategies are:</w:t>
      </w:r>
    </w:p>
    <w:p w14:paraId="417C7DD3" w14:textId="5510D26E" w:rsidR="001A33E9" w:rsidRPr="009767D7" w:rsidRDefault="001A33E9" w:rsidP="009012A9">
      <w:pPr>
        <w:pStyle w:val="Listnumbered"/>
        <w:numPr>
          <w:ilvl w:val="0"/>
          <w:numId w:val="9"/>
        </w:numPr>
        <w:spacing w:after="60"/>
        <w:ind w:left="426" w:hanging="426"/>
        <w:rPr>
          <w:sz w:val="20"/>
          <w:szCs w:val="20"/>
        </w:rPr>
      </w:pPr>
      <w:r w:rsidRPr="009767D7">
        <w:rPr>
          <w:sz w:val="20"/>
          <w:szCs w:val="20"/>
        </w:rPr>
        <w:t>Fifth National Aboriginal and Torres Strait Islander Blood Borne Viruses and Sexually Transmissible Infe</w:t>
      </w:r>
      <w:r>
        <w:rPr>
          <w:sz w:val="20"/>
          <w:szCs w:val="20"/>
        </w:rPr>
        <w:t>ctions Strategy</w:t>
      </w:r>
      <w:r w:rsidR="00FD53F9">
        <w:rPr>
          <w:sz w:val="20"/>
          <w:szCs w:val="20"/>
        </w:rPr>
        <w:t xml:space="preserve"> 2018</w:t>
      </w:r>
      <w:r w:rsidR="00D6764B">
        <w:rPr>
          <w:sz w:val="20"/>
          <w:szCs w:val="20"/>
        </w:rPr>
        <w:t>–</w:t>
      </w:r>
      <w:r w:rsidR="00FD53F9">
        <w:rPr>
          <w:sz w:val="20"/>
          <w:szCs w:val="20"/>
        </w:rPr>
        <w:t>2022</w:t>
      </w:r>
      <w:r>
        <w:rPr>
          <w:sz w:val="20"/>
          <w:szCs w:val="20"/>
        </w:rPr>
        <w:t xml:space="preserve"> (this strategy)</w:t>
      </w:r>
    </w:p>
    <w:p w14:paraId="5FF3F233" w14:textId="0165A280" w:rsidR="00453F1F" w:rsidRPr="009767D7" w:rsidRDefault="00453F1F" w:rsidP="009012A9">
      <w:pPr>
        <w:pStyle w:val="Listnumbered"/>
        <w:numPr>
          <w:ilvl w:val="0"/>
          <w:numId w:val="9"/>
        </w:numPr>
        <w:spacing w:after="60"/>
        <w:ind w:left="426" w:hanging="426"/>
        <w:rPr>
          <w:sz w:val="20"/>
          <w:szCs w:val="20"/>
        </w:rPr>
      </w:pPr>
      <w:r w:rsidRPr="009767D7">
        <w:rPr>
          <w:sz w:val="20"/>
          <w:szCs w:val="20"/>
        </w:rPr>
        <w:t xml:space="preserve">Third National Hepatitis B Strategy </w:t>
      </w:r>
      <w:r w:rsidR="00FD53F9">
        <w:rPr>
          <w:sz w:val="20"/>
          <w:szCs w:val="20"/>
        </w:rPr>
        <w:t>2018</w:t>
      </w:r>
      <w:r w:rsidR="00E621FB">
        <w:rPr>
          <w:sz w:val="20"/>
          <w:szCs w:val="20"/>
        </w:rPr>
        <w:t>–</w:t>
      </w:r>
      <w:r w:rsidR="00FD53F9">
        <w:rPr>
          <w:sz w:val="20"/>
          <w:szCs w:val="20"/>
        </w:rPr>
        <w:t>2022</w:t>
      </w:r>
    </w:p>
    <w:p w14:paraId="2C9F739B" w14:textId="3317C87D" w:rsidR="003E6E35" w:rsidRPr="009767D7" w:rsidRDefault="003E6E35" w:rsidP="009012A9">
      <w:pPr>
        <w:pStyle w:val="Listnumbered"/>
        <w:numPr>
          <w:ilvl w:val="0"/>
          <w:numId w:val="9"/>
        </w:numPr>
        <w:spacing w:after="60"/>
        <w:ind w:left="426" w:hanging="426"/>
        <w:rPr>
          <w:sz w:val="20"/>
          <w:szCs w:val="20"/>
        </w:rPr>
      </w:pPr>
      <w:r w:rsidRPr="009767D7">
        <w:rPr>
          <w:sz w:val="20"/>
          <w:szCs w:val="20"/>
        </w:rPr>
        <w:t xml:space="preserve">Fourth National STI Strategy </w:t>
      </w:r>
      <w:r w:rsidR="00FD53F9">
        <w:rPr>
          <w:sz w:val="20"/>
          <w:szCs w:val="20"/>
        </w:rPr>
        <w:t>2018</w:t>
      </w:r>
      <w:r w:rsidR="00E621FB">
        <w:rPr>
          <w:sz w:val="20"/>
          <w:szCs w:val="20"/>
        </w:rPr>
        <w:t>–</w:t>
      </w:r>
      <w:r w:rsidR="00FD53F9">
        <w:rPr>
          <w:sz w:val="20"/>
          <w:szCs w:val="20"/>
        </w:rPr>
        <w:t>2022</w:t>
      </w:r>
    </w:p>
    <w:p w14:paraId="7C22DC6B" w14:textId="327341E6" w:rsidR="00453F1F" w:rsidRPr="009767D7" w:rsidRDefault="00453F1F" w:rsidP="009012A9">
      <w:pPr>
        <w:pStyle w:val="Listnumbered"/>
        <w:numPr>
          <w:ilvl w:val="0"/>
          <w:numId w:val="9"/>
        </w:numPr>
        <w:spacing w:after="60"/>
        <w:ind w:left="426" w:hanging="426"/>
        <w:rPr>
          <w:sz w:val="20"/>
          <w:szCs w:val="20"/>
        </w:rPr>
      </w:pPr>
      <w:r w:rsidRPr="009767D7">
        <w:rPr>
          <w:sz w:val="20"/>
          <w:szCs w:val="20"/>
        </w:rPr>
        <w:t>Fifth National Hepatitis C Strategy</w:t>
      </w:r>
      <w:r w:rsidR="00FD53F9">
        <w:rPr>
          <w:sz w:val="20"/>
          <w:szCs w:val="20"/>
        </w:rPr>
        <w:t xml:space="preserve"> 2018</w:t>
      </w:r>
      <w:r w:rsidR="00E621FB">
        <w:rPr>
          <w:sz w:val="20"/>
          <w:szCs w:val="20"/>
        </w:rPr>
        <w:t>–</w:t>
      </w:r>
      <w:r w:rsidR="00FD53F9">
        <w:rPr>
          <w:sz w:val="20"/>
          <w:szCs w:val="20"/>
        </w:rPr>
        <w:t>2022</w:t>
      </w:r>
    </w:p>
    <w:p w14:paraId="606EF047" w14:textId="300EC57F" w:rsidR="00453F1F" w:rsidRPr="009767D7" w:rsidRDefault="00453F1F" w:rsidP="009012A9">
      <w:pPr>
        <w:pStyle w:val="Listnumbered"/>
        <w:numPr>
          <w:ilvl w:val="0"/>
          <w:numId w:val="9"/>
        </w:numPr>
        <w:ind w:left="426" w:hanging="426"/>
        <w:rPr>
          <w:sz w:val="20"/>
          <w:szCs w:val="20"/>
        </w:rPr>
      </w:pPr>
      <w:r w:rsidRPr="009767D7">
        <w:rPr>
          <w:sz w:val="20"/>
          <w:szCs w:val="20"/>
        </w:rPr>
        <w:t>Eighth National HIV Strategy</w:t>
      </w:r>
      <w:r w:rsidR="00FD53F9">
        <w:rPr>
          <w:sz w:val="20"/>
          <w:szCs w:val="20"/>
        </w:rPr>
        <w:t xml:space="preserve"> 2018</w:t>
      </w:r>
      <w:r w:rsidR="00E621FB">
        <w:rPr>
          <w:sz w:val="20"/>
          <w:szCs w:val="20"/>
        </w:rPr>
        <w:t>–</w:t>
      </w:r>
      <w:r w:rsidR="00FD53F9">
        <w:rPr>
          <w:sz w:val="20"/>
          <w:szCs w:val="20"/>
        </w:rPr>
        <w:t>2022</w:t>
      </w:r>
      <w:r w:rsidR="00E621FB">
        <w:rPr>
          <w:sz w:val="20"/>
          <w:szCs w:val="20"/>
        </w:rPr>
        <w:t>.</w:t>
      </w:r>
    </w:p>
    <w:p w14:paraId="1B04B3EE" w14:textId="3782B18E" w:rsidR="00E43E9E" w:rsidRDefault="006B6B8B" w:rsidP="007E4FE3">
      <w:pPr>
        <w:rPr>
          <w:sz w:val="20"/>
          <w:szCs w:val="20"/>
        </w:rPr>
      </w:pPr>
      <w:r w:rsidRPr="009767D7">
        <w:rPr>
          <w:sz w:val="20"/>
          <w:szCs w:val="20"/>
        </w:rPr>
        <w:t>Each strategy has a specific focus but shares some structural elements, inc</w:t>
      </w:r>
      <w:r w:rsidR="00E921D1">
        <w:rPr>
          <w:sz w:val="20"/>
          <w:szCs w:val="20"/>
        </w:rPr>
        <w:t>luding guiding principles, goal</w:t>
      </w:r>
      <w:r w:rsidRPr="009767D7">
        <w:rPr>
          <w:sz w:val="20"/>
          <w:szCs w:val="20"/>
        </w:rPr>
        <w:t>s</w:t>
      </w:r>
      <w:r w:rsidR="001160D6">
        <w:rPr>
          <w:sz w:val="20"/>
          <w:szCs w:val="20"/>
        </w:rPr>
        <w:t xml:space="preserve">, </w:t>
      </w:r>
      <w:r w:rsidRPr="009767D7">
        <w:rPr>
          <w:sz w:val="20"/>
          <w:szCs w:val="20"/>
        </w:rPr>
        <w:t>targets, priority areas</w:t>
      </w:r>
      <w:r w:rsidR="000F7189">
        <w:rPr>
          <w:sz w:val="20"/>
          <w:szCs w:val="20"/>
        </w:rPr>
        <w:t xml:space="preserve"> </w:t>
      </w:r>
      <w:r w:rsidR="001160D6">
        <w:rPr>
          <w:sz w:val="20"/>
          <w:szCs w:val="20"/>
        </w:rPr>
        <w:t>(see Section 5, ‘Measuring progress’)</w:t>
      </w:r>
      <w:r w:rsidR="00F61A33">
        <w:rPr>
          <w:sz w:val="20"/>
          <w:szCs w:val="20"/>
        </w:rPr>
        <w:t>,</w:t>
      </w:r>
      <w:r w:rsidR="001160D6">
        <w:rPr>
          <w:sz w:val="20"/>
          <w:szCs w:val="20"/>
        </w:rPr>
        <w:t xml:space="preserve"> </w:t>
      </w:r>
      <w:r w:rsidR="00B94999">
        <w:rPr>
          <w:sz w:val="20"/>
          <w:szCs w:val="20"/>
        </w:rPr>
        <w:t xml:space="preserve">and </w:t>
      </w:r>
      <w:r w:rsidRPr="009767D7">
        <w:rPr>
          <w:sz w:val="20"/>
          <w:szCs w:val="20"/>
        </w:rPr>
        <w:t xml:space="preserve">defined priority </w:t>
      </w:r>
      <w:r w:rsidR="007E4FE3">
        <w:rPr>
          <w:sz w:val="20"/>
          <w:szCs w:val="20"/>
        </w:rPr>
        <w:t>populations/</w:t>
      </w:r>
      <w:r w:rsidR="00E921D1">
        <w:rPr>
          <w:sz w:val="20"/>
          <w:szCs w:val="20"/>
        </w:rPr>
        <w:t>group</w:t>
      </w:r>
      <w:r w:rsidRPr="009767D7">
        <w:rPr>
          <w:sz w:val="20"/>
          <w:szCs w:val="20"/>
        </w:rPr>
        <w:t xml:space="preserve">s. </w:t>
      </w:r>
      <w:r w:rsidR="00D6764B">
        <w:rPr>
          <w:sz w:val="20"/>
          <w:szCs w:val="20"/>
        </w:rPr>
        <w:t>A</w:t>
      </w:r>
      <w:r w:rsidR="00B94999">
        <w:rPr>
          <w:sz w:val="20"/>
          <w:szCs w:val="20"/>
        </w:rPr>
        <w:t>lso, a</w:t>
      </w:r>
      <w:r w:rsidR="00E43E9E" w:rsidRPr="009767D7">
        <w:rPr>
          <w:sz w:val="20"/>
          <w:szCs w:val="20"/>
        </w:rPr>
        <w:t xml:space="preserve">ll </w:t>
      </w:r>
      <w:r w:rsidR="00E43E9E" w:rsidRPr="00042B53">
        <w:rPr>
          <w:sz w:val="20"/>
          <w:szCs w:val="20"/>
        </w:rPr>
        <w:t>five national BBV and STI strategies</w:t>
      </w:r>
      <w:r w:rsidR="00E43E9E" w:rsidRPr="009767D7">
        <w:rPr>
          <w:sz w:val="20"/>
          <w:szCs w:val="20"/>
        </w:rPr>
        <w:t xml:space="preserve"> </w:t>
      </w:r>
      <w:r w:rsidR="00800C26">
        <w:rPr>
          <w:sz w:val="20"/>
          <w:szCs w:val="20"/>
        </w:rPr>
        <w:t xml:space="preserve">have </w:t>
      </w:r>
      <w:r w:rsidR="00D6764B">
        <w:rPr>
          <w:sz w:val="20"/>
          <w:szCs w:val="20"/>
        </w:rPr>
        <w:t xml:space="preserve">key priority areas for action, </w:t>
      </w:r>
      <w:r w:rsidR="009D0A34">
        <w:rPr>
          <w:sz w:val="20"/>
          <w:szCs w:val="20"/>
        </w:rPr>
        <w:t>including</w:t>
      </w:r>
      <w:r w:rsidR="00E43E9E">
        <w:rPr>
          <w:sz w:val="20"/>
          <w:szCs w:val="20"/>
        </w:rPr>
        <w:t xml:space="preserve"> education and </w:t>
      </w:r>
      <w:r w:rsidR="00E43E9E" w:rsidRPr="009767D7">
        <w:rPr>
          <w:sz w:val="20"/>
          <w:szCs w:val="20"/>
        </w:rPr>
        <w:t>prevention, testing, treatment</w:t>
      </w:r>
      <w:r w:rsidR="00E43E9E">
        <w:rPr>
          <w:sz w:val="20"/>
          <w:szCs w:val="20"/>
        </w:rPr>
        <w:t xml:space="preserve"> and management</w:t>
      </w:r>
      <w:r w:rsidR="00E43E9E" w:rsidRPr="009767D7">
        <w:rPr>
          <w:sz w:val="20"/>
          <w:szCs w:val="20"/>
        </w:rPr>
        <w:t>, equitable access and coordination of care, workforce, improving data and surveillance</w:t>
      </w:r>
      <w:r w:rsidR="00E43E9E">
        <w:rPr>
          <w:sz w:val="20"/>
          <w:szCs w:val="20"/>
        </w:rPr>
        <w:t>,</w:t>
      </w:r>
      <w:r w:rsidR="00E43E9E" w:rsidRPr="009767D7">
        <w:rPr>
          <w:sz w:val="20"/>
          <w:szCs w:val="20"/>
        </w:rPr>
        <w:t xml:space="preserve"> and stigma and discrimination.</w:t>
      </w:r>
    </w:p>
    <w:p w14:paraId="1E7766AA" w14:textId="5C4C3120" w:rsidR="008E185A" w:rsidRDefault="007E4FE3" w:rsidP="008E185A">
      <w:pPr>
        <w:rPr>
          <w:sz w:val="20"/>
          <w:szCs w:val="20"/>
        </w:rPr>
      </w:pPr>
      <w:r>
        <w:rPr>
          <w:sz w:val="20"/>
          <w:szCs w:val="20"/>
        </w:rPr>
        <w:t>Aboriginal and Torres Strait Islander peoples are identified as a priority popul</w:t>
      </w:r>
      <w:r w:rsidR="00E43E9E">
        <w:rPr>
          <w:sz w:val="20"/>
          <w:szCs w:val="20"/>
        </w:rPr>
        <w:t>ation in each of the BBV and STI</w:t>
      </w:r>
      <w:r>
        <w:rPr>
          <w:sz w:val="20"/>
          <w:szCs w:val="20"/>
        </w:rPr>
        <w:t xml:space="preserve"> strategies. </w:t>
      </w:r>
      <w:r w:rsidR="008E185A">
        <w:rPr>
          <w:sz w:val="20"/>
          <w:szCs w:val="20"/>
        </w:rPr>
        <w:t xml:space="preserve">The </w:t>
      </w:r>
      <w:r w:rsidR="008E185A" w:rsidRPr="003A2422">
        <w:rPr>
          <w:sz w:val="20"/>
          <w:szCs w:val="20"/>
        </w:rPr>
        <w:t>Fifth National Aboriginal and Torres Strait Islander Blood Borne Viruses and Sexually Transmissible Infections Strategy</w:t>
      </w:r>
      <w:r w:rsidR="008E185A">
        <w:rPr>
          <w:i/>
          <w:sz w:val="20"/>
          <w:szCs w:val="20"/>
        </w:rPr>
        <w:t xml:space="preserve"> </w:t>
      </w:r>
      <w:r w:rsidR="008E185A" w:rsidRPr="008E185A">
        <w:rPr>
          <w:sz w:val="20"/>
          <w:szCs w:val="20"/>
        </w:rPr>
        <w:t>reinforces and</w:t>
      </w:r>
      <w:r w:rsidR="008E185A">
        <w:rPr>
          <w:i/>
          <w:sz w:val="20"/>
          <w:szCs w:val="20"/>
        </w:rPr>
        <w:t xml:space="preserve"> </w:t>
      </w:r>
      <w:r w:rsidR="008E185A">
        <w:rPr>
          <w:sz w:val="20"/>
          <w:szCs w:val="20"/>
          <w:lang w:eastAsia="en-AU"/>
        </w:rPr>
        <w:t xml:space="preserve">builds on the targets and actions set out </w:t>
      </w:r>
      <w:r>
        <w:rPr>
          <w:sz w:val="20"/>
          <w:szCs w:val="20"/>
          <w:lang w:eastAsia="en-AU"/>
        </w:rPr>
        <w:t>in</w:t>
      </w:r>
      <w:r w:rsidR="008E185A">
        <w:rPr>
          <w:sz w:val="20"/>
          <w:szCs w:val="20"/>
          <w:lang w:eastAsia="en-AU"/>
        </w:rPr>
        <w:t xml:space="preserve"> </w:t>
      </w:r>
      <w:r>
        <w:rPr>
          <w:sz w:val="20"/>
          <w:szCs w:val="20"/>
          <w:lang w:eastAsia="en-AU"/>
        </w:rPr>
        <w:t>each of the other four</w:t>
      </w:r>
      <w:r w:rsidR="008E185A">
        <w:rPr>
          <w:sz w:val="20"/>
          <w:szCs w:val="20"/>
          <w:lang w:eastAsia="en-AU"/>
        </w:rPr>
        <w:t xml:space="preserve"> strategies in </w:t>
      </w:r>
      <w:r>
        <w:rPr>
          <w:sz w:val="20"/>
          <w:szCs w:val="20"/>
          <w:lang w:eastAsia="en-AU"/>
        </w:rPr>
        <w:t>response to</w:t>
      </w:r>
      <w:r w:rsidR="008E185A">
        <w:rPr>
          <w:sz w:val="20"/>
          <w:szCs w:val="20"/>
          <w:lang w:eastAsia="en-AU"/>
        </w:rPr>
        <w:t xml:space="preserve"> the need for focused </w:t>
      </w:r>
      <w:r w:rsidR="00BC4309">
        <w:rPr>
          <w:sz w:val="20"/>
          <w:szCs w:val="20"/>
          <w:lang w:eastAsia="en-AU"/>
        </w:rPr>
        <w:t xml:space="preserve">effort and </w:t>
      </w:r>
      <w:r w:rsidR="008E185A">
        <w:rPr>
          <w:sz w:val="20"/>
          <w:szCs w:val="20"/>
          <w:lang w:eastAsia="en-AU"/>
        </w:rPr>
        <w:t>commitment</w:t>
      </w:r>
      <w:r>
        <w:rPr>
          <w:sz w:val="20"/>
          <w:szCs w:val="20"/>
          <w:lang w:eastAsia="en-AU"/>
        </w:rPr>
        <w:t xml:space="preserve"> in addressing BBV and STI among Aboriginal and Torres Strait Islander communities</w:t>
      </w:r>
      <w:r w:rsidR="008E185A">
        <w:rPr>
          <w:sz w:val="20"/>
          <w:szCs w:val="20"/>
          <w:lang w:eastAsia="en-AU"/>
        </w:rPr>
        <w:t xml:space="preserve">.  </w:t>
      </w:r>
    </w:p>
    <w:p w14:paraId="65AA39E2" w14:textId="7205777B" w:rsidR="006B6B8B" w:rsidRPr="001A16A6" w:rsidRDefault="00453F1F" w:rsidP="00453F1F">
      <w:pPr>
        <w:rPr>
          <w:sz w:val="20"/>
          <w:szCs w:val="20"/>
        </w:rPr>
      </w:pPr>
      <w:r w:rsidRPr="009767D7">
        <w:rPr>
          <w:sz w:val="20"/>
          <w:szCs w:val="20"/>
        </w:rPr>
        <w:t xml:space="preserve">This </w:t>
      </w:r>
      <w:r w:rsidR="00042B53" w:rsidRPr="001A16A6">
        <w:rPr>
          <w:sz w:val="20"/>
          <w:szCs w:val="20"/>
        </w:rPr>
        <w:t>s</w:t>
      </w:r>
      <w:r w:rsidRPr="001A16A6">
        <w:rPr>
          <w:sz w:val="20"/>
          <w:szCs w:val="20"/>
        </w:rPr>
        <w:t xml:space="preserve">trategy complements other jurisdictional, national and international policy instruments that </w:t>
      </w:r>
      <w:r w:rsidR="004517A8" w:rsidRPr="001A16A6">
        <w:rPr>
          <w:sz w:val="20"/>
          <w:szCs w:val="20"/>
        </w:rPr>
        <w:t xml:space="preserve">all </w:t>
      </w:r>
      <w:r w:rsidRPr="001A16A6">
        <w:rPr>
          <w:sz w:val="20"/>
          <w:szCs w:val="20"/>
        </w:rPr>
        <w:t xml:space="preserve">contribute to the </w:t>
      </w:r>
      <w:r w:rsidR="00A757E7" w:rsidRPr="001A16A6">
        <w:rPr>
          <w:sz w:val="20"/>
          <w:szCs w:val="20"/>
        </w:rPr>
        <w:t>national</w:t>
      </w:r>
      <w:r w:rsidR="00517C63" w:rsidRPr="001A16A6">
        <w:rPr>
          <w:sz w:val="20"/>
          <w:szCs w:val="20"/>
        </w:rPr>
        <w:t xml:space="preserve"> response to</w:t>
      </w:r>
      <w:r w:rsidR="00A757E7" w:rsidRPr="001A16A6">
        <w:rPr>
          <w:sz w:val="20"/>
          <w:szCs w:val="20"/>
        </w:rPr>
        <w:t xml:space="preserve"> </w:t>
      </w:r>
      <w:r w:rsidR="006B6B8B" w:rsidRPr="001A16A6">
        <w:rPr>
          <w:sz w:val="20"/>
          <w:szCs w:val="20"/>
        </w:rPr>
        <w:t xml:space="preserve">BBV and STI in Aboriginal and Torres Strait Islander </w:t>
      </w:r>
      <w:r w:rsidR="00517C63" w:rsidRPr="001A16A6">
        <w:rPr>
          <w:sz w:val="20"/>
          <w:szCs w:val="20"/>
        </w:rPr>
        <w:t xml:space="preserve">peoples </w:t>
      </w:r>
      <w:r w:rsidR="006B6B8B" w:rsidRPr="001A16A6">
        <w:rPr>
          <w:sz w:val="20"/>
          <w:szCs w:val="20"/>
        </w:rPr>
        <w:t>and supports the achievement of existing commitments</w:t>
      </w:r>
      <w:r w:rsidRPr="001A16A6">
        <w:rPr>
          <w:sz w:val="20"/>
          <w:szCs w:val="20"/>
        </w:rPr>
        <w:t xml:space="preserve">. </w:t>
      </w:r>
      <w:r w:rsidR="006B6B8B" w:rsidRPr="001A16A6">
        <w:rPr>
          <w:sz w:val="20"/>
          <w:szCs w:val="20"/>
        </w:rPr>
        <w:t>These include:</w:t>
      </w:r>
    </w:p>
    <w:p w14:paraId="4E7B80CC" w14:textId="77D3FE0E" w:rsidR="006B6B8B" w:rsidRPr="001A16A6" w:rsidRDefault="00042B53" w:rsidP="009012A9">
      <w:pPr>
        <w:pStyle w:val="ListParagraph"/>
        <w:numPr>
          <w:ilvl w:val="0"/>
          <w:numId w:val="10"/>
        </w:numPr>
        <w:rPr>
          <w:sz w:val="20"/>
        </w:rPr>
      </w:pPr>
      <w:r w:rsidRPr="001A16A6">
        <w:rPr>
          <w:sz w:val="20"/>
        </w:rPr>
        <w:t>s</w:t>
      </w:r>
      <w:r w:rsidR="006B6B8B" w:rsidRPr="001A16A6">
        <w:rPr>
          <w:sz w:val="20"/>
        </w:rPr>
        <w:t xml:space="preserve">tate and territory </w:t>
      </w:r>
      <w:r w:rsidR="002B0B5D" w:rsidRPr="001A16A6">
        <w:rPr>
          <w:sz w:val="20"/>
        </w:rPr>
        <w:t xml:space="preserve">Aboriginal and Torres Strait Islander </w:t>
      </w:r>
      <w:r w:rsidR="006B6B8B" w:rsidRPr="001A16A6">
        <w:rPr>
          <w:sz w:val="20"/>
        </w:rPr>
        <w:t xml:space="preserve">BBV and STI </w:t>
      </w:r>
      <w:r w:rsidR="002B0B5D" w:rsidRPr="001A16A6">
        <w:rPr>
          <w:sz w:val="20"/>
        </w:rPr>
        <w:t>strategies</w:t>
      </w:r>
      <w:r w:rsidR="004517A8" w:rsidRPr="001A16A6">
        <w:rPr>
          <w:sz w:val="20"/>
        </w:rPr>
        <w:t xml:space="preserve"> and action plans</w:t>
      </w:r>
    </w:p>
    <w:p w14:paraId="7308E8F3" w14:textId="44936A77" w:rsidR="001A33E9" w:rsidRPr="001A16A6" w:rsidRDefault="00884B5E" w:rsidP="009012A9">
      <w:pPr>
        <w:pStyle w:val="ListParagraph"/>
        <w:numPr>
          <w:ilvl w:val="0"/>
          <w:numId w:val="10"/>
        </w:numPr>
        <w:rPr>
          <w:sz w:val="20"/>
        </w:rPr>
      </w:pPr>
      <w:hyperlink r:id="rId16" w:history="1">
        <w:r w:rsidR="001A33E9" w:rsidRPr="001A16A6">
          <w:rPr>
            <w:rStyle w:val="Hyperlink"/>
            <w:sz w:val="20"/>
          </w:rPr>
          <w:t>National Aboriginal and Torres Strait Islander Health Plan 2013</w:t>
        </w:r>
        <w:r w:rsidR="00230AF5" w:rsidRPr="001A16A6">
          <w:rPr>
            <w:rStyle w:val="Hyperlink"/>
            <w:sz w:val="20"/>
          </w:rPr>
          <w:t>–</w:t>
        </w:r>
        <w:r w:rsidR="001A33E9" w:rsidRPr="001A16A6">
          <w:rPr>
            <w:rStyle w:val="Hyperlink"/>
            <w:sz w:val="20"/>
          </w:rPr>
          <w:t>2023</w:t>
        </w:r>
      </w:hyperlink>
      <w:r w:rsidR="007E4FE3" w:rsidRPr="001A16A6">
        <w:rPr>
          <w:sz w:val="20"/>
        </w:rPr>
        <w:t xml:space="preserve"> and Implementation Plan</w:t>
      </w:r>
    </w:p>
    <w:p w14:paraId="367C913C" w14:textId="443E0796" w:rsidR="00E06F9C" w:rsidRPr="001A16A6" w:rsidRDefault="00884B5E" w:rsidP="00E06F9C">
      <w:pPr>
        <w:pStyle w:val="ListParagraph"/>
        <w:numPr>
          <w:ilvl w:val="0"/>
          <w:numId w:val="10"/>
        </w:numPr>
        <w:spacing w:after="0"/>
        <w:rPr>
          <w:sz w:val="20"/>
        </w:rPr>
      </w:pPr>
      <w:hyperlink r:id="rId17" w:history="1">
        <w:r w:rsidR="00E06F9C" w:rsidRPr="001A16A6">
          <w:rPr>
            <w:rStyle w:val="Hyperlink"/>
            <w:sz w:val="20"/>
          </w:rPr>
          <w:t>Cultural Respect Framework for Aboriginal and Torres Strait Islander Health 2016</w:t>
        </w:r>
        <w:r w:rsidR="00230AF5" w:rsidRPr="001A16A6">
          <w:rPr>
            <w:rStyle w:val="Hyperlink"/>
            <w:sz w:val="20"/>
          </w:rPr>
          <w:t>–</w:t>
        </w:r>
        <w:r w:rsidR="00E06F9C" w:rsidRPr="001A16A6">
          <w:rPr>
            <w:rStyle w:val="Hyperlink"/>
            <w:sz w:val="20"/>
          </w:rPr>
          <w:t>2026</w:t>
        </w:r>
      </w:hyperlink>
    </w:p>
    <w:p w14:paraId="37DDA020" w14:textId="517F5C46" w:rsidR="006B6B8B" w:rsidRPr="001A16A6" w:rsidRDefault="00884B5E" w:rsidP="009012A9">
      <w:pPr>
        <w:pStyle w:val="ListParagraph"/>
        <w:numPr>
          <w:ilvl w:val="0"/>
          <w:numId w:val="10"/>
        </w:numPr>
        <w:spacing w:after="0"/>
        <w:rPr>
          <w:sz w:val="20"/>
        </w:rPr>
      </w:pPr>
      <w:hyperlink r:id="rId18" w:history="1">
        <w:r w:rsidR="006B6B8B" w:rsidRPr="001A16A6">
          <w:rPr>
            <w:rStyle w:val="Hyperlink"/>
            <w:sz w:val="20"/>
          </w:rPr>
          <w:t xml:space="preserve">National Strategic Framework for Aboriginal and Torres Strait </w:t>
        </w:r>
        <w:r w:rsidR="00A10B9B" w:rsidRPr="001A16A6">
          <w:rPr>
            <w:rStyle w:val="Hyperlink"/>
            <w:sz w:val="20"/>
          </w:rPr>
          <w:t>Islander People’s</w:t>
        </w:r>
        <w:r w:rsidR="006B6B8B" w:rsidRPr="001A16A6">
          <w:rPr>
            <w:rStyle w:val="Hyperlink"/>
            <w:sz w:val="20"/>
          </w:rPr>
          <w:t xml:space="preserve"> </w:t>
        </w:r>
        <w:r w:rsidR="00A10B9B" w:rsidRPr="001A16A6">
          <w:rPr>
            <w:rStyle w:val="Hyperlink"/>
            <w:sz w:val="20"/>
          </w:rPr>
          <w:t xml:space="preserve">Mental Health and Social </w:t>
        </w:r>
        <w:r w:rsidR="004517A8" w:rsidRPr="001A16A6">
          <w:rPr>
            <w:rStyle w:val="Hyperlink"/>
            <w:sz w:val="20"/>
          </w:rPr>
          <w:t>a</w:t>
        </w:r>
        <w:r w:rsidR="00A10B9B" w:rsidRPr="001A16A6">
          <w:rPr>
            <w:rStyle w:val="Hyperlink"/>
            <w:sz w:val="20"/>
          </w:rPr>
          <w:t>nd Emotion</w:t>
        </w:r>
        <w:r w:rsidR="004517A8" w:rsidRPr="001A16A6">
          <w:rPr>
            <w:rStyle w:val="Hyperlink"/>
            <w:sz w:val="20"/>
          </w:rPr>
          <w:t>al</w:t>
        </w:r>
        <w:r w:rsidR="00A10B9B" w:rsidRPr="001A16A6">
          <w:rPr>
            <w:rStyle w:val="Hyperlink"/>
            <w:sz w:val="20"/>
          </w:rPr>
          <w:t xml:space="preserve"> Wellbeing </w:t>
        </w:r>
        <w:r w:rsidR="006B6B8B" w:rsidRPr="001A16A6">
          <w:rPr>
            <w:rStyle w:val="Hyperlink"/>
            <w:sz w:val="20"/>
          </w:rPr>
          <w:t>201</w:t>
        </w:r>
        <w:r w:rsidR="00A10B9B" w:rsidRPr="001A16A6">
          <w:rPr>
            <w:rStyle w:val="Hyperlink"/>
            <w:sz w:val="20"/>
          </w:rPr>
          <w:t>7</w:t>
        </w:r>
        <w:r w:rsidR="00230AF5" w:rsidRPr="001A16A6">
          <w:rPr>
            <w:rStyle w:val="Hyperlink"/>
            <w:sz w:val="20"/>
          </w:rPr>
          <w:t>–</w:t>
        </w:r>
        <w:r w:rsidR="006B6B8B" w:rsidRPr="001A16A6">
          <w:rPr>
            <w:rStyle w:val="Hyperlink"/>
            <w:sz w:val="20"/>
          </w:rPr>
          <w:t>2023</w:t>
        </w:r>
      </w:hyperlink>
    </w:p>
    <w:p w14:paraId="4C54AA31" w14:textId="77777777" w:rsidR="00842D34" w:rsidRPr="001A16A6" w:rsidRDefault="00884B5E" w:rsidP="009012A9">
      <w:pPr>
        <w:pStyle w:val="ListParagraph"/>
        <w:numPr>
          <w:ilvl w:val="0"/>
          <w:numId w:val="10"/>
        </w:numPr>
        <w:spacing w:after="0"/>
        <w:rPr>
          <w:sz w:val="20"/>
        </w:rPr>
      </w:pPr>
      <w:hyperlink r:id="rId19" w:history="1">
        <w:r w:rsidR="00842D34" w:rsidRPr="001A16A6">
          <w:rPr>
            <w:rStyle w:val="Hyperlink"/>
            <w:lang w:val="en"/>
          </w:rPr>
          <w:t>Closing the Gap</w:t>
        </w:r>
      </w:hyperlink>
    </w:p>
    <w:p w14:paraId="6711E6FA" w14:textId="6009598E" w:rsidR="00F32A6B" w:rsidRPr="001A16A6" w:rsidRDefault="00884B5E" w:rsidP="009012A9">
      <w:pPr>
        <w:pStyle w:val="ListParagraph"/>
        <w:numPr>
          <w:ilvl w:val="0"/>
          <w:numId w:val="10"/>
        </w:numPr>
        <w:rPr>
          <w:sz w:val="20"/>
        </w:rPr>
      </w:pPr>
      <w:hyperlink r:id="rId20" w:history="1">
        <w:r w:rsidR="00900B6C" w:rsidRPr="001A16A6">
          <w:rPr>
            <w:rStyle w:val="Hyperlink"/>
            <w:sz w:val="20"/>
          </w:rPr>
          <w:t>National strategic a</w:t>
        </w:r>
        <w:r w:rsidR="003571CF" w:rsidRPr="001A16A6">
          <w:rPr>
            <w:rStyle w:val="Hyperlink"/>
            <w:sz w:val="20"/>
          </w:rPr>
          <w:t>pproach</w:t>
        </w:r>
      </w:hyperlink>
      <w:r w:rsidR="003571CF" w:rsidRPr="001A16A6">
        <w:rPr>
          <w:sz w:val="20"/>
        </w:rPr>
        <w:t xml:space="preserve"> and </w:t>
      </w:r>
      <w:hyperlink r:id="rId21" w:history="1">
        <w:r w:rsidR="00900B6C" w:rsidRPr="001A16A6">
          <w:rPr>
            <w:rStyle w:val="Hyperlink"/>
            <w:sz w:val="20"/>
          </w:rPr>
          <w:t>a</w:t>
        </w:r>
        <w:r w:rsidR="00F32A6B" w:rsidRPr="001A16A6">
          <w:rPr>
            <w:rStyle w:val="Hyperlink"/>
            <w:sz w:val="20"/>
          </w:rPr>
          <w:t xml:space="preserve">ction </w:t>
        </w:r>
        <w:r w:rsidR="00900B6C" w:rsidRPr="001A16A6">
          <w:rPr>
            <w:rStyle w:val="Hyperlink"/>
            <w:sz w:val="20"/>
          </w:rPr>
          <w:t>p</w:t>
        </w:r>
        <w:r w:rsidR="00F32A6B" w:rsidRPr="001A16A6">
          <w:rPr>
            <w:rStyle w:val="Hyperlink"/>
            <w:sz w:val="20"/>
          </w:rPr>
          <w:t>lan</w:t>
        </w:r>
      </w:hyperlink>
      <w:r w:rsidR="00900B6C" w:rsidRPr="001A16A6">
        <w:rPr>
          <w:sz w:val="20"/>
        </w:rPr>
        <w:t xml:space="preserve"> for an</w:t>
      </w:r>
      <w:r w:rsidR="00F32A6B" w:rsidRPr="001A16A6">
        <w:rPr>
          <w:sz w:val="20"/>
        </w:rPr>
        <w:t xml:space="preserve"> </w:t>
      </w:r>
      <w:r w:rsidR="00900B6C" w:rsidRPr="001A16A6">
        <w:rPr>
          <w:sz w:val="20"/>
        </w:rPr>
        <w:t>e</w:t>
      </w:r>
      <w:r w:rsidR="00F32A6B" w:rsidRPr="001A16A6">
        <w:rPr>
          <w:sz w:val="20"/>
        </w:rPr>
        <w:t xml:space="preserve">nhanced response to </w:t>
      </w:r>
      <w:r w:rsidR="00900B6C" w:rsidRPr="001A16A6">
        <w:rPr>
          <w:sz w:val="20"/>
        </w:rPr>
        <w:t xml:space="preserve">the </w:t>
      </w:r>
      <w:r w:rsidR="003571CF" w:rsidRPr="001A16A6">
        <w:rPr>
          <w:sz w:val="20"/>
        </w:rPr>
        <w:t>disproportionately high rates of</w:t>
      </w:r>
      <w:r w:rsidR="00F32A6B" w:rsidRPr="001A16A6">
        <w:rPr>
          <w:sz w:val="20"/>
        </w:rPr>
        <w:t xml:space="preserve"> sexually transmissible infections (and blood borne viruses) in Indigenous populations</w:t>
      </w:r>
      <w:r w:rsidR="008B797C" w:rsidRPr="001A16A6">
        <w:rPr>
          <w:sz w:val="20"/>
        </w:rPr>
        <w:t xml:space="preserve">, </w:t>
      </w:r>
      <w:r w:rsidR="004517A8" w:rsidRPr="001A16A6">
        <w:rPr>
          <w:sz w:val="20"/>
        </w:rPr>
        <w:t>Australian Health Protection Principal Committee</w:t>
      </w:r>
      <w:r w:rsidR="00614F5F" w:rsidRPr="001A16A6">
        <w:rPr>
          <w:sz w:val="20"/>
        </w:rPr>
        <w:t>,</w:t>
      </w:r>
      <w:r w:rsidR="004517A8" w:rsidRPr="001A16A6">
        <w:rPr>
          <w:sz w:val="20"/>
        </w:rPr>
        <w:t xml:space="preserve"> 2017</w:t>
      </w:r>
    </w:p>
    <w:p w14:paraId="34D6E21B" w14:textId="61BD7DEB" w:rsidR="007E4FE3" w:rsidRPr="001A16A6" w:rsidRDefault="00884B5E" w:rsidP="009012A9">
      <w:pPr>
        <w:pStyle w:val="ListParagraph"/>
        <w:numPr>
          <w:ilvl w:val="0"/>
          <w:numId w:val="10"/>
        </w:numPr>
        <w:rPr>
          <w:sz w:val="20"/>
        </w:rPr>
      </w:pPr>
      <w:hyperlink r:id="rId22" w:history="1">
        <w:r w:rsidR="007E4FE3" w:rsidRPr="001A16A6">
          <w:rPr>
            <w:rStyle w:val="Hyperlink"/>
            <w:sz w:val="20"/>
          </w:rPr>
          <w:t>Australian Health Ministers AIDS 2014 Legacy Statement</w:t>
        </w:r>
      </w:hyperlink>
    </w:p>
    <w:p w14:paraId="32AD051E" w14:textId="03D95E87" w:rsidR="00F32A6B" w:rsidRPr="001A16A6" w:rsidRDefault="00884B5E" w:rsidP="009012A9">
      <w:pPr>
        <w:pStyle w:val="ListParagraph"/>
        <w:numPr>
          <w:ilvl w:val="0"/>
          <w:numId w:val="10"/>
        </w:numPr>
        <w:spacing w:after="0"/>
        <w:rPr>
          <w:sz w:val="20"/>
        </w:rPr>
      </w:pPr>
      <w:hyperlink r:id="rId23" w:history="1">
        <w:r w:rsidR="00F32A6B" w:rsidRPr="001A16A6">
          <w:rPr>
            <w:rStyle w:val="Hyperlink"/>
            <w:sz w:val="20"/>
          </w:rPr>
          <w:t>National Aboriginal and Torres Strait Islander Health Workforce Strategic Framework 2016</w:t>
        </w:r>
        <w:r w:rsidR="00614F5F" w:rsidRPr="001A16A6">
          <w:rPr>
            <w:rStyle w:val="Hyperlink"/>
            <w:sz w:val="20"/>
          </w:rPr>
          <w:t>–</w:t>
        </w:r>
        <w:r w:rsidR="00F32A6B" w:rsidRPr="001A16A6">
          <w:rPr>
            <w:rStyle w:val="Hyperlink"/>
            <w:sz w:val="20"/>
          </w:rPr>
          <w:t>2023</w:t>
        </w:r>
      </w:hyperlink>
    </w:p>
    <w:p w14:paraId="4555063A" w14:textId="799BF995" w:rsidR="006B6B8B" w:rsidRPr="001A16A6" w:rsidRDefault="00884B5E" w:rsidP="009012A9">
      <w:pPr>
        <w:pStyle w:val="ListParagraph"/>
        <w:numPr>
          <w:ilvl w:val="0"/>
          <w:numId w:val="10"/>
        </w:numPr>
        <w:rPr>
          <w:sz w:val="20"/>
        </w:rPr>
      </w:pPr>
      <w:hyperlink r:id="rId24" w:history="1">
        <w:r w:rsidR="006B6B8B" w:rsidRPr="001A16A6">
          <w:rPr>
            <w:rStyle w:val="Hyperlink"/>
            <w:sz w:val="20"/>
          </w:rPr>
          <w:t>National Drug Strategy 2017</w:t>
        </w:r>
        <w:r w:rsidR="00230AF5" w:rsidRPr="001A16A6">
          <w:rPr>
            <w:rStyle w:val="Hyperlink"/>
            <w:sz w:val="20"/>
          </w:rPr>
          <w:t>–</w:t>
        </w:r>
        <w:r w:rsidR="006B6B8B" w:rsidRPr="001A16A6">
          <w:rPr>
            <w:rStyle w:val="Hyperlink"/>
            <w:sz w:val="20"/>
          </w:rPr>
          <w:t>2026</w:t>
        </w:r>
      </w:hyperlink>
    </w:p>
    <w:p w14:paraId="69DCC8A4" w14:textId="6FC2C68E" w:rsidR="006B6B8B" w:rsidRPr="001A16A6" w:rsidRDefault="00884B5E" w:rsidP="009012A9">
      <w:pPr>
        <w:pStyle w:val="ListParagraph"/>
        <w:numPr>
          <w:ilvl w:val="0"/>
          <w:numId w:val="10"/>
        </w:numPr>
        <w:rPr>
          <w:sz w:val="20"/>
        </w:rPr>
      </w:pPr>
      <w:hyperlink r:id="rId25" w:history="1">
        <w:r w:rsidR="006B6B8B" w:rsidRPr="001A16A6">
          <w:rPr>
            <w:rStyle w:val="Hyperlink"/>
            <w:sz w:val="20"/>
          </w:rPr>
          <w:t>Aged Care Diversity Framework</w:t>
        </w:r>
      </w:hyperlink>
    </w:p>
    <w:p w14:paraId="560A3928" w14:textId="254FDAA1" w:rsidR="006B6B8B" w:rsidRPr="001A16A6" w:rsidRDefault="00884B5E" w:rsidP="009012A9">
      <w:pPr>
        <w:pStyle w:val="ListParagraph"/>
        <w:numPr>
          <w:ilvl w:val="0"/>
          <w:numId w:val="10"/>
        </w:numPr>
        <w:rPr>
          <w:sz w:val="20"/>
        </w:rPr>
      </w:pPr>
      <w:hyperlink r:id="rId26" w:history="1">
        <w:r w:rsidR="006B6B8B" w:rsidRPr="001A16A6">
          <w:rPr>
            <w:rStyle w:val="Hyperlink"/>
            <w:sz w:val="20"/>
          </w:rPr>
          <w:t>World Health Organization (WHO) Global Health Sector Strategies for HIV, Viral Hepatitis and STI</w:t>
        </w:r>
      </w:hyperlink>
    </w:p>
    <w:p w14:paraId="613F9DDA" w14:textId="6B37D333" w:rsidR="00245827" w:rsidRPr="001A16A6" w:rsidRDefault="00884B5E" w:rsidP="009012A9">
      <w:pPr>
        <w:pStyle w:val="ListParagraph"/>
        <w:numPr>
          <w:ilvl w:val="0"/>
          <w:numId w:val="10"/>
        </w:numPr>
        <w:rPr>
          <w:sz w:val="20"/>
        </w:rPr>
      </w:pPr>
      <w:hyperlink r:id="rId27" w:history="1">
        <w:r w:rsidR="00245827" w:rsidRPr="001A16A6">
          <w:rPr>
            <w:rStyle w:val="Hyperlink"/>
            <w:sz w:val="20"/>
          </w:rPr>
          <w:t>WHO Western Pacific Region Regional Action Plan for Viral Hepatitis in the Western Pacific 2016</w:t>
        </w:r>
        <w:r w:rsidR="00230AF5" w:rsidRPr="001A16A6">
          <w:rPr>
            <w:rStyle w:val="Hyperlink"/>
            <w:sz w:val="20"/>
          </w:rPr>
          <w:t>–</w:t>
        </w:r>
        <w:r w:rsidR="00245827" w:rsidRPr="001A16A6">
          <w:rPr>
            <w:rStyle w:val="Hyperlink"/>
            <w:sz w:val="20"/>
          </w:rPr>
          <w:t>2020</w:t>
        </w:r>
      </w:hyperlink>
    </w:p>
    <w:p w14:paraId="6097AABB" w14:textId="57AE3121" w:rsidR="00CF2584" w:rsidRPr="001A16A6" w:rsidRDefault="00884B5E" w:rsidP="009012A9">
      <w:pPr>
        <w:pStyle w:val="ListParagraph"/>
        <w:numPr>
          <w:ilvl w:val="0"/>
          <w:numId w:val="10"/>
        </w:numPr>
        <w:rPr>
          <w:sz w:val="20"/>
        </w:rPr>
      </w:pPr>
      <w:hyperlink r:id="rId28" w:history="1">
        <w:r w:rsidR="00CF2584" w:rsidRPr="001A16A6">
          <w:rPr>
            <w:rStyle w:val="Hyperlink"/>
            <w:sz w:val="20"/>
          </w:rPr>
          <w:t>United Nations Declaration on the Rights of Indigenous Peoples</w:t>
        </w:r>
      </w:hyperlink>
    </w:p>
    <w:p w14:paraId="357DAF69" w14:textId="59D5695C" w:rsidR="008E185A" w:rsidRPr="001A16A6" w:rsidRDefault="00884B5E" w:rsidP="009012A9">
      <w:pPr>
        <w:pStyle w:val="ListParagraph"/>
        <w:numPr>
          <w:ilvl w:val="0"/>
          <w:numId w:val="10"/>
        </w:numPr>
        <w:rPr>
          <w:sz w:val="20"/>
        </w:rPr>
      </w:pPr>
      <w:hyperlink r:id="rId29" w:history="1">
        <w:r w:rsidR="00A53B24" w:rsidRPr="001A16A6">
          <w:rPr>
            <w:rStyle w:val="Hyperlink"/>
            <w:sz w:val="20"/>
            <w:szCs w:val="24"/>
            <w:lang w:eastAsia="en-AU"/>
          </w:rPr>
          <w:t>The Toronto Charter</w:t>
        </w:r>
        <w:r w:rsidR="00230AF5" w:rsidRPr="001A16A6">
          <w:rPr>
            <w:rStyle w:val="Hyperlink"/>
            <w:sz w:val="20"/>
            <w:szCs w:val="24"/>
            <w:lang w:eastAsia="en-AU"/>
          </w:rPr>
          <w:t>—</w:t>
        </w:r>
        <w:r w:rsidR="00A53B24" w:rsidRPr="001A16A6">
          <w:rPr>
            <w:rStyle w:val="Hyperlink"/>
            <w:sz w:val="20"/>
            <w:szCs w:val="24"/>
            <w:lang w:eastAsia="en-AU"/>
          </w:rPr>
          <w:t>Indigenous Peoples Action Plan on HIV/AIDS 2006</w:t>
        </w:r>
      </w:hyperlink>
    </w:p>
    <w:p w14:paraId="31BF2311" w14:textId="540C9645" w:rsidR="00D90FDE" w:rsidRPr="005D6D8B" w:rsidRDefault="00D90FDE" w:rsidP="009012A9">
      <w:pPr>
        <w:pStyle w:val="ListParagraph"/>
        <w:numPr>
          <w:ilvl w:val="0"/>
          <w:numId w:val="10"/>
        </w:numPr>
        <w:rPr>
          <w:sz w:val="20"/>
        </w:rPr>
      </w:pPr>
      <w:r w:rsidRPr="005D6D8B">
        <w:rPr>
          <w:sz w:val="20"/>
        </w:rPr>
        <w:t>International Indigenous Working Group on HIV &amp; AIDS,</w:t>
      </w:r>
      <w:r w:rsidRPr="005D6D8B">
        <w:rPr>
          <w:i/>
          <w:sz w:val="20"/>
        </w:rPr>
        <w:t xml:space="preserve"> </w:t>
      </w:r>
      <w:hyperlink r:id="rId30" w:history="1">
        <w:r w:rsidRPr="005D6D8B">
          <w:rPr>
            <w:rStyle w:val="Hyperlink"/>
            <w:sz w:val="20"/>
          </w:rPr>
          <w:t>International Indigenous Strategic Plan on HIV and AIDS for Indigenous Peoples and Communities from 2011</w:t>
        </w:r>
        <w:r w:rsidR="00230AF5" w:rsidRPr="005D6D8B">
          <w:rPr>
            <w:rStyle w:val="Hyperlink"/>
            <w:sz w:val="20"/>
          </w:rPr>
          <w:t>–</w:t>
        </w:r>
        <w:r w:rsidRPr="005D6D8B">
          <w:rPr>
            <w:rStyle w:val="Hyperlink"/>
            <w:sz w:val="20"/>
          </w:rPr>
          <w:t>2017</w:t>
        </w:r>
      </w:hyperlink>
    </w:p>
    <w:p w14:paraId="0CB10770" w14:textId="01EDB760" w:rsidR="006B6B8B" w:rsidRPr="005D6D8B" w:rsidRDefault="006B6B8B" w:rsidP="009012A9">
      <w:pPr>
        <w:pStyle w:val="ListParagraph"/>
        <w:numPr>
          <w:ilvl w:val="0"/>
          <w:numId w:val="10"/>
        </w:numPr>
        <w:rPr>
          <w:sz w:val="20"/>
        </w:rPr>
      </w:pPr>
      <w:r w:rsidRPr="005D6D8B">
        <w:rPr>
          <w:sz w:val="20"/>
        </w:rPr>
        <w:t xml:space="preserve">2016 United Nations </w:t>
      </w:r>
      <w:hyperlink r:id="rId31" w:history="1">
        <w:r w:rsidRPr="005D6D8B">
          <w:rPr>
            <w:rStyle w:val="Hyperlink"/>
            <w:sz w:val="20"/>
          </w:rPr>
          <w:t>Political Declaration on HIV and AIDS: On the Fast-Track to Accelerating the Fight against HIV and to Ending the AIDS Epidemic by 2030</w:t>
        </w:r>
      </w:hyperlink>
    </w:p>
    <w:p w14:paraId="7E77195E" w14:textId="77777777" w:rsidR="006B6B8B" w:rsidRPr="005D6D8B" w:rsidRDefault="006B6B8B" w:rsidP="009012A9">
      <w:pPr>
        <w:pStyle w:val="ListParagraph"/>
        <w:numPr>
          <w:ilvl w:val="0"/>
          <w:numId w:val="10"/>
        </w:numPr>
        <w:rPr>
          <w:sz w:val="20"/>
        </w:rPr>
      </w:pPr>
      <w:r w:rsidRPr="005D6D8B">
        <w:rPr>
          <w:sz w:val="20"/>
        </w:rPr>
        <w:t>Regional Action Plan on the Triple Elimination of Mother-to-Child Transmission of HIV, Hepatitis B and Syphilis.</w:t>
      </w:r>
    </w:p>
    <w:p w14:paraId="3A152881" w14:textId="0E5E640D" w:rsidR="00CF2584" w:rsidRPr="009767D7" w:rsidRDefault="00CF2584" w:rsidP="00CF2584">
      <w:pPr>
        <w:rPr>
          <w:i/>
          <w:sz w:val="20"/>
          <w:szCs w:val="20"/>
        </w:rPr>
      </w:pPr>
      <w:r w:rsidRPr="009767D7">
        <w:rPr>
          <w:sz w:val="20"/>
          <w:szCs w:val="20"/>
        </w:rPr>
        <w:t xml:space="preserve">This </w:t>
      </w:r>
      <w:r w:rsidR="00614F5F">
        <w:rPr>
          <w:sz w:val="20"/>
          <w:szCs w:val="20"/>
        </w:rPr>
        <w:t>s</w:t>
      </w:r>
      <w:r w:rsidRPr="009767D7">
        <w:rPr>
          <w:sz w:val="20"/>
          <w:szCs w:val="20"/>
        </w:rPr>
        <w:t xml:space="preserve">trategy also supports progress towards </w:t>
      </w:r>
      <w:hyperlink r:id="rId32" w:history="1">
        <w:r w:rsidRPr="00680D7A">
          <w:rPr>
            <w:rStyle w:val="Hyperlink"/>
            <w:sz w:val="20"/>
            <w:szCs w:val="20"/>
          </w:rPr>
          <w:t>Sustainable Development Goal 3</w:t>
        </w:r>
      </w:hyperlink>
      <w:r w:rsidRPr="009767D7">
        <w:rPr>
          <w:sz w:val="20"/>
          <w:szCs w:val="20"/>
        </w:rPr>
        <w:t xml:space="preserve"> (</w:t>
      </w:r>
      <w:r w:rsidR="00D02F9F">
        <w:rPr>
          <w:sz w:val="20"/>
          <w:szCs w:val="20"/>
        </w:rPr>
        <w:t>‘</w:t>
      </w:r>
      <w:r w:rsidRPr="009767D7">
        <w:rPr>
          <w:iCs/>
          <w:sz w:val="20"/>
          <w:szCs w:val="20"/>
        </w:rPr>
        <w:t>Ensure healthy lives and promote well</w:t>
      </w:r>
      <w:r w:rsidR="00D02F9F">
        <w:rPr>
          <w:iCs/>
          <w:sz w:val="20"/>
          <w:szCs w:val="20"/>
        </w:rPr>
        <w:t>-</w:t>
      </w:r>
      <w:r w:rsidRPr="009767D7">
        <w:rPr>
          <w:iCs/>
          <w:sz w:val="20"/>
          <w:szCs w:val="20"/>
        </w:rPr>
        <w:t>being for all at all ages</w:t>
      </w:r>
      <w:r w:rsidR="00D02F9F">
        <w:rPr>
          <w:iCs/>
          <w:sz w:val="20"/>
          <w:szCs w:val="20"/>
        </w:rPr>
        <w:t>’</w:t>
      </w:r>
      <w:r w:rsidRPr="009767D7">
        <w:rPr>
          <w:sz w:val="20"/>
          <w:szCs w:val="20"/>
        </w:rPr>
        <w:t xml:space="preserve">) of </w:t>
      </w:r>
      <w:r w:rsidRPr="00614F5F">
        <w:rPr>
          <w:sz w:val="20"/>
          <w:szCs w:val="20"/>
        </w:rPr>
        <w:t>the United Nations</w:t>
      </w:r>
      <w:r w:rsidRPr="00614F5F">
        <w:rPr>
          <w:i/>
          <w:sz w:val="20"/>
          <w:szCs w:val="20"/>
        </w:rPr>
        <w:t xml:space="preserve"> </w:t>
      </w:r>
      <w:r w:rsidRPr="00614F5F">
        <w:rPr>
          <w:sz w:val="20"/>
          <w:szCs w:val="20"/>
        </w:rPr>
        <w:t>2030 Agenda for Sustainable Development</w:t>
      </w:r>
      <w:r w:rsidRPr="009767D7">
        <w:rPr>
          <w:i/>
          <w:sz w:val="20"/>
          <w:szCs w:val="20"/>
        </w:rPr>
        <w:t>.</w:t>
      </w:r>
    </w:p>
    <w:p w14:paraId="58BFB25B" w14:textId="06E6389A" w:rsidR="00CF2584" w:rsidRPr="009767D7" w:rsidRDefault="00CF2584" w:rsidP="00CF2584">
      <w:pPr>
        <w:rPr>
          <w:sz w:val="20"/>
          <w:szCs w:val="20"/>
          <w:lang w:eastAsia="en-AU"/>
        </w:rPr>
      </w:pPr>
      <w:r w:rsidRPr="009767D7">
        <w:rPr>
          <w:sz w:val="20"/>
          <w:szCs w:val="20"/>
          <w:lang w:eastAsia="en-AU"/>
        </w:rPr>
        <w:t xml:space="preserve">This </w:t>
      </w:r>
      <w:r w:rsidR="00D02F9F">
        <w:rPr>
          <w:sz w:val="20"/>
          <w:szCs w:val="20"/>
          <w:lang w:eastAsia="en-AU"/>
        </w:rPr>
        <w:t>s</w:t>
      </w:r>
      <w:r w:rsidRPr="009767D7">
        <w:rPr>
          <w:sz w:val="20"/>
          <w:szCs w:val="20"/>
          <w:lang w:eastAsia="en-AU"/>
        </w:rPr>
        <w:t xml:space="preserve">trategy acknowledges that </w:t>
      </w:r>
      <w:r w:rsidRPr="00D02F9F">
        <w:rPr>
          <w:sz w:val="20"/>
          <w:szCs w:val="20"/>
          <w:lang w:eastAsia="en-AU"/>
        </w:rPr>
        <w:t xml:space="preserve">some </w:t>
      </w:r>
      <w:r w:rsidR="00A808CB" w:rsidRPr="00D02F9F">
        <w:rPr>
          <w:sz w:val="20"/>
          <w:szCs w:val="20"/>
          <w:lang w:eastAsia="en-AU"/>
        </w:rPr>
        <w:t>s</w:t>
      </w:r>
      <w:r w:rsidRPr="00D02F9F">
        <w:rPr>
          <w:sz w:val="20"/>
          <w:szCs w:val="20"/>
          <w:lang w:eastAsia="en-AU"/>
        </w:rPr>
        <w:t>tates</w:t>
      </w:r>
      <w:r w:rsidR="00D02F9F" w:rsidRPr="00D02F9F">
        <w:rPr>
          <w:sz w:val="20"/>
          <w:szCs w:val="20"/>
          <w:lang w:eastAsia="en-AU"/>
        </w:rPr>
        <w:t xml:space="preserve"> and </w:t>
      </w:r>
      <w:r w:rsidR="00A808CB" w:rsidRPr="00D02F9F">
        <w:rPr>
          <w:sz w:val="20"/>
          <w:szCs w:val="20"/>
          <w:lang w:eastAsia="en-AU"/>
        </w:rPr>
        <w:t>t</w:t>
      </w:r>
      <w:r w:rsidRPr="00D02F9F">
        <w:rPr>
          <w:sz w:val="20"/>
          <w:szCs w:val="20"/>
          <w:lang w:eastAsia="en-AU"/>
        </w:rPr>
        <w:t>erritories have</w:t>
      </w:r>
      <w:r w:rsidRPr="009767D7">
        <w:rPr>
          <w:sz w:val="20"/>
          <w:szCs w:val="20"/>
          <w:lang w:eastAsia="en-AU"/>
        </w:rPr>
        <w:t xml:space="preserve"> set or may set different targets to drive progress, and </w:t>
      </w:r>
      <w:r w:rsidR="00A808CB">
        <w:rPr>
          <w:sz w:val="20"/>
          <w:szCs w:val="20"/>
          <w:lang w:eastAsia="en-AU"/>
        </w:rPr>
        <w:t xml:space="preserve">the </w:t>
      </w:r>
      <w:r w:rsidR="00CC6D0F" w:rsidRPr="00B56E86">
        <w:rPr>
          <w:sz w:val="20"/>
          <w:szCs w:val="20"/>
          <w:lang w:eastAsia="en-AU"/>
        </w:rPr>
        <w:t xml:space="preserve">national </w:t>
      </w:r>
      <w:r w:rsidRPr="00B56E86">
        <w:rPr>
          <w:sz w:val="20"/>
          <w:szCs w:val="20"/>
          <w:lang w:eastAsia="en-AU"/>
        </w:rPr>
        <w:t>goal</w:t>
      </w:r>
      <w:r w:rsidR="00CC6D0F" w:rsidRPr="00B56E86">
        <w:rPr>
          <w:sz w:val="20"/>
          <w:szCs w:val="20"/>
          <w:lang w:eastAsia="en-AU"/>
        </w:rPr>
        <w:t>s</w:t>
      </w:r>
      <w:r w:rsidRPr="00B56E86">
        <w:rPr>
          <w:sz w:val="20"/>
          <w:szCs w:val="20"/>
          <w:lang w:eastAsia="en-AU"/>
        </w:rPr>
        <w:t xml:space="preserve"> and</w:t>
      </w:r>
      <w:r w:rsidRPr="009767D7">
        <w:rPr>
          <w:sz w:val="20"/>
          <w:szCs w:val="20"/>
          <w:lang w:eastAsia="en-AU"/>
        </w:rPr>
        <w:t xml:space="preserve"> targets of this </w:t>
      </w:r>
      <w:r w:rsidR="00D02F9F">
        <w:rPr>
          <w:sz w:val="20"/>
          <w:szCs w:val="20"/>
          <w:lang w:eastAsia="en-AU"/>
        </w:rPr>
        <w:t>s</w:t>
      </w:r>
      <w:r w:rsidRPr="009767D7">
        <w:rPr>
          <w:sz w:val="20"/>
          <w:szCs w:val="20"/>
          <w:lang w:eastAsia="en-AU"/>
        </w:rPr>
        <w:t xml:space="preserve">trategy are intended to </w:t>
      </w:r>
      <w:r w:rsidR="00CC6D0F">
        <w:rPr>
          <w:sz w:val="20"/>
          <w:szCs w:val="20"/>
          <w:lang w:eastAsia="en-AU"/>
        </w:rPr>
        <w:t>facilitate jurisdictional efforts</w:t>
      </w:r>
      <w:r w:rsidRPr="009767D7">
        <w:rPr>
          <w:sz w:val="20"/>
          <w:szCs w:val="20"/>
          <w:lang w:eastAsia="en-AU"/>
        </w:rPr>
        <w:t>. </w:t>
      </w:r>
      <w:r w:rsidR="00CC6D0F">
        <w:rPr>
          <w:sz w:val="20"/>
          <w:szCs w:val="20"/>
          <w:lang w:eastAsia="en-AU"/>
        </w:rPr>
        <w:t>J</w:t>
      </w:r>
      <w:r w:rsidRPr="009767D7">
        <w:rPr>
          <w:sz w:val="20"/>
          <w:szCs w:val="20"/>
          <w:lang w:eastAsia="en-AU"/>
        </w:rPr>
        <w:t xml:space="preserve">urisdictions are encouraged to match or exceed the targets of this </w:t>
      </w:r>
      <w:r w:rsidR="00D02F9F">
        <w:rPr>
          <w:sz w:val="20"/>
          <w:szCs w:val="20"/>
          <w:lang w:eastAsia="en-AU"/>
        </w:rPr>
        <w:t>s</w:t>
      </w:r>
      <w:r w:rsidRPr="009767D7">
        <w:rPr>
          <w:sz w:val="20"/>
          <w:szCs w:val="20"/>
          <w:lang w:eastAsia="en-AU"/>
        </w:rPr>
        <w:t>trategy.</w:t>
      </w:r>
    </w:p>
    <w:p w14:paraId="4D2A3090" w14:textId="05303356" w:rsidR="00CF2584" w:rsidRDefault="00CF2584" w:rsidP="00CF2584">
      <w:pPr>
        <w:spacing w:after="160" w:line="259" w:lineRule="auto"/>
        <w:rPr>
          <w:sz w:val="20"/>
          <w:szCs w:val="20"/>
        </w:rPr>
      </w:pPr>
      <w:r w:rsidRPr="009767D7">
        <w:rPr>
          <w:sz w:val="20"/>
          <w:szCs w:val="20"/>
        </w:rPr>
        <w:t xml:space="preserve">Further detail on the implementation of this </w:t>
      </w:r>
      <w:r w:rsidR="00D02F9F">
        <w:rPr>
          <w:sz w:val="20"/>
          <w:szCs w:val="20"/>
        </w:rPr>
        <w:t>s</w:t>
      </w:r>
      <w:r w:rsidRPr="009767D7">
        <w:rPr>
          <w:sz w:val="20"/>
          <w:szCs w:val="20"/>
        </w:rPr>
        <w:t xml:space="preserve">trategy, including the associated </w:t>
      </w:r>
      <w:r w:rsidR="008917DE" w:rsidRPr="009767D7">
        <w:rPr>
          <w:sz w:val="20"/>
          <w:szCs w:val="20"/>
        </w:rPr>
        <w:t>action plan</w:t>
      </w:r>
      <w:r w:rsidRPr="009767D7">
        <w:rPr>
          <w:sz w:val="20"/>
          <w:szCs w:val="20"/>
        </w:rPr>
        <w:t xml:space="preserve">, is provided under </w:t>
      </w:r>
      <w:r w:rsidRPr="00230AF5">
        <w:rPr>
          <w:sz w:val="20"/>
          <w:szCs w:val="20"/>
        </w:rPr>
        <w:t>Section 8</w:t>
      </w:r>
      <w:r w:rsidR="00230AF5">
        <w:rPr>
          <w:sz w:val="20"/>
          <w:szCs w:val="20"/>
        </w:rPr>
        <w:t>,</w:t>
      </w:r>
      <w:r w:rsidRPr="00230AF5">
        <w:rPr>
          <w:sz w:val="20"/>
          <w:szCs w:val="20"/>
        </w:rPr>
        <w:t xml:space="preserve"> </w:t>
      </w:r>
      <w:r w:rsidR="0078705E" w:rsidRPr="00230AF5">
        <w:rPr>
          <w:sz w:val="20"/>
          <w:szCs w:val="20"/>
        </w:rPr>
        <w:t>‘</w:t>
      </w:r>
      <w:r w:rsidR="0078705E" w:rsidRPr="00230AF5">
        <w:rPr>
          <w:sz w:val="20"/>
          <w:szCs w:val="20"/>
        </w:rPr>
        <w:fldChar w:fldCharType="begin"/>
      </w:r>
      <w:r w:rsidR="0078705E" w:rsidRPr="00230AF5">
        <w:rPr>
          <w:sz w:val="20"/>
          <w:szCs w:val="20"/>
        </w:rPr>
        <w:instrText xml:space="preserve"> REF _Ref514668071 \h  \* MERGEFORMAT </w:instrText>
      </w:r>
      <w:r w:rsidR="0078705E" w:rsidRPr="00230AF5">
        <w:rPr>
          <w:sz w:val="20"/>
          <w:szCs w:val="20"/>
        </w:rPr>
      </w:r>
      <w:r w:rsidR="0078705E" w:rsidRPr="00230AF5">
        <w:rPr>
          <w:sz w:val="20"/>
          <w:szCs w:val="20"/>
        </w:rPr>
        <w:fldChar w:fldCharType="separate"/>
      </w:r>
      <w:r w:rsidR="00376B98" w:rsidRPr="00376B98">
        <w:rPr>
          <w:sz w:val="20"/>
          <w:szCs w:val="20"/>
        </w:rPr>
        <w:t>Implementing this strategy</w:t>
      </w:r>
      <w:r w:rsidR="0078705E" w:rsidRPr="00230AF5">
        <w:rPr>
          <w:sz w:val="20"/>
          <w:szCs w:val="20"/>
        </w:rPr>
        <w:fldChar w:fldCharType="end"/>
      </w:r>
      <w:r w:rsidR="0078705E" w:rsidRPr="00230AF5">
        <w:rPr>
          <w:sz w:val="20"/>
          <w:szCs w:val="20"/>
        </w:rPr>
        <w:t>’</w:t>
      </w:r>
      <w:r w:rsidRPr="009767D7">
        <w:rPr>
          <w:sz w:val="20"/>
          <w:szCs w:val="20"/>
        </w:rPr>
        <w:t xml:space="preserve">. </w:t>
      </w:r>
    </w:p>
    <w:p w14:paraId="6695E68B" w14:textId="1FA4BAC7" w:rsidR="000B7574" w:rsidRPr="009767D7" w:rsidRDefault="000B7574" w:rsidP="00CF2584">
      <w:pPr>
        <w:spacing w:after="160" w:line="259" w:lineRule="auto"/>
        <w:rPr>
          <w:sz w:val="20"/>
          <w:szCs w:val="20"/>
        </w:rPr>
      </w:pPr>
    </w:p>
    <w:p w14:paraId="1FBA415C" w14:textId="0341D4D3" w:rsidR="003F6B13" w:rsidRDefault="000B7574">
      <w:pPr>
        <w:spacing w:after="0"/>
        <w:rPr>
          <w:b/>
          <w:color w:val="00264D"/>
          <w:sz w:val="24"/>
        </w:rPr>
      </w:pPr>
      <w:bookmarkStart w:id="8" w:name="_Toc495354911"/>
      <w:bookmarkStart w:id="9" w:name="_Toc495355006"/>
      <w:bookmarkStart w:id="10" w:name="_Toc495937269"/>
      <w:bookmarkStart w:id="11" w:name="_Toc496128400"/>
      <w:bookmarkStart w:id="12" w:name="_Toc496278954"/>
      <w:bookmarkStart w:id="13" w:name="_Toc496280857"/>
      <w:bookmarkStart w:id="14" w:name="_Toc496281664"/>
      <w:bookmarkStart w:id="15" w:name="_Toc496282250"/>
      <w:bookmarkStart w:id="16" w:name="_Toc496282324"/>
      <w:bookmarkStart w:id="17" w:name="_Toc496282928"/>
      <w:bookmarkStart w:id="18" w:name="_Toc497122336"/>
      <w:r>
        <w:rPr>
          <w:b/>
          <w:color w:val="00264D"/>
          <w:sz w:val="24"/>
        </w:rPr>
        <w:br w:type="page"/>
      </w:r>
    </w:p>
    <w:p w14:paraId="476A1840" w14:textId="675854AE" w:rsidR="00CF3C9C" w:rsidRPr="00F97E23" w:rsidRDefault="00CF3C9C" w:rsidP="000B7574">
      <w:pPr>
        <w:spacing w:after="160"/>
        <w:rPr>
          <w:b/>
          <w:color w:val="00264D"/>
          <w:sz w:val="24"/>
        </w:rPr>
      </w:pPr>
      <w:r>
        <w:rPr>
          <w:b/>
          <w:color w:val="00264D"/>
          <w:sz w:val="24"/>
        </w:rPr>
        <w:lastRenderedPageBreak/>
        <w:t xml:space="preserve">PROGRESS UNDER THE FOURTH </w:t>
      </w:r>
      <w:r w:rsidRPr="00EC4978">
        <w:rPr>
          <w:b/>
          <w:color w:val="00264D"/>
          <w:sz w:val="24"/>
        </w:rPr>
        <w:t>NATIONAL</w:t>
      </w:r>
      <w:r>
        <w:rPr>
          <w:b/>
          <w:color w:val="00264D"/>
          <w:sz w:val="24"/>
        </w:rPr>
        <w:t xml:space="preserve"> ABORIGINAL AND TORRES STRAIT ISLANDER BBV AND STI</w:t>
      </w:r>
      <w:r w:rsidRPr="00EC4978">
        <w:rPr>
          <w:b/>
          <w:color w:val="00264D"/>
          <w:sz w:val="24"/>
        </w:rPr>
        <w:t xml:space="preserve"> STRATEGY 2014</w:t>
      </w:r>
      <w:r w:rsidR="00230AF5">
        <w:rPr>
          <w:b/>
          <w:color w:val="00264D"/>
          <w:sz w:val="24"/>
        </w:rPr>
        <w:t>–</w:t>
      </w:r>
      <w:r w:rsidRPr="00EC4978">
        <w:rPr>
          <w:b/>
          <w:color w:val="00264D"/>
          <w:sz w:val="24"/>
        </w:rPr>
        <w:t>2017</w:t>
      </w:r>
    </w:p>
    <w:p w14:paraId="4C312112" w14:textId="49D52252" w:rsidR="000B7574" w:rsidRDefault="000B7574" w:rsidP="000B7574">
      <w:pPr>
        <w:rPr>
          <w:bCs/>
          <w:sz w:val="20"/>
          <w:szCs w:val="20"/>
          <w:lang w:eastAsia="en-AU"/>
        </w:rPr>
      </w:pPr>
      <w:r>
        <w:rPr>
          <w:sz w:val="20"/>
          <w:szCs w:val="20"/>
          <w:lang w:eastAsia="en-AU"/>
        </w:rPr>
        <w:t>It is important to reflect on the p</w:t>
      </w:r>
      <w:r w:rsidRPr="009767D7">
        <w:rPr>
          <w:sz w:val="20"/>
          <w:szCs w:val="20"/>
          <w:lang w:eastAsia="en-AU"/>
        </w:rPr>
        <w:t xml:space="preserve">rogress </w:t>
      </w:r>
      <w:r>
        <w:rPr>
          <w:sz w:val="20"/>
          <w:szCs w:val="20"/>
          <w:lang w:eastAsia="en-AU"/>
        </w:rPr>
        <w:t xml:space="preserve">that has been made </w:t>
      </w:r>
      <w:r w:rsidRPr="009767D7">
        <w:rPr>
          <w:sz w:val="20"/>
          <w:szCs w:val="20"/>
          <w:lang w:eastAsia="en-AU"/>
        </w:rPr>
        <w:t xml:space="preserve">under the </w:t>
      </w:r>
      <w:r w:rsidRPr="005F7C36">
        <w:rPr>
          <w:sz w:val="20"/>
          <w:szCs w:val="20"/>
        </w:rPr>
        <w:t>Fourth Aboriginal and Torres Strait Islander BBV and STI Strategy 2014</w:t>
      </w:r>
      <w:r w:rsidR="00230AF5" w:rsidRPr="005F7C36">
        <w:rPr>
          <w:sz w:val="20"/>
          <w:szCs w:val="20"/>
        </w:rPr>
        <w:t>–</w:t>
      </w:r>
      <w:r w:rsidRPr="005F7C36">
        <w:rPr>
          <w:sz w:val="20"/>
          <w:szCs w:val="20"/>
        </w:rPr>
        <w:t>2017</w:t>
      </w:r>
      <w:r>
        <w:rPr>
          <w:i/>
          <w:sz w:val="20"/>
          <w:szCs w:val="20"/>
        </w:rPr>
        <w:t xml:space="preserve"> </w:t>
      </w:r>
      <w:r w:rsidRPr="009767D7">
        <w:rPr>
          <w:sz w:val="20"/>
          <w:szCs w:val="20"/>
          <w:lang w:eastAsia="en-AU"/>
        </w:rPr>
        <w:t>(</w:t>
      </w:r>
      <w:r w:rsidR="00230AF5">
        <w:rPr>
          <w:sz w:val="20"/>
          <w:szCs w:val="20"/>
          <w:lang w:eastAsia="en-AU"/>
        </w:rPr>
        <w:t xml:space="preserve">see </w:t>
      </w:r>
      <w:r w:rsidRPr="009767D7">
        <w:rPr>
          <w:sz w:val="20"/>
          <w:szCs w:val="20"/>
          <w:lang w:eastAsia="en-AU"/>
        </w:rPr>
        <w:t xml:space="preserve">Figure </w:t>
      </w:r>
      <w:r>
        <w:rPr>
          <w:sz w:val="20"/>
          <w:szCs w:val="20"/>
          <w:lang w:eastAsia="en-AU"/>
        </w:rPr>
        <w:t>3</w:t>
      </w:r>
      <w:r w:rsidRPr="009767D7">
        <w:rPr>
          <w:sz w:val="20"/>
          <w:szCs w:val="20"/>
          <w:lang w:eastAsia="en-AU"/>
        </w:rPr>
        <w:t>)</w:t>
      </w:r>
      <w:r>
        <w:rPr>
          <w:sz w:val="20"/>
          <w:szCs w:val="20"/>
          <w:lang w:eastAsia="en-AU"/>
        </w:rPr>
        <w:t>, acknowledging that much more needs to be done</w:t>
      </w:r>
      <w:r w:rsidRPr="009767D7">
        <w:rPr>
          <w:sz w:val="20"/>
          <w:szCs w:val="20"/>
          <w:lang w:eastAsia="en-AU"/>
        </w:rPr>
        <w:t xml:space="preserve">. </w:t>
      </w:r>
      <w:r w:rsidRPr="009767D7">
        <w:rPr>
          <w:bCs/>
          <w:sz w:val="20"/>
          <w:szCs w:val="20"/>
          <w:lang w:eastAsia="en-AU"/>
        </w:rPr>
        <w:t xml:space="preserve">These achievements reflect the joint efforts of </w:t>
      </w:r>
      <w:r>
        <w:rPr>
          <w:bCs/>
          <w:sz w:val="20"/>
          <w:szCs w:val="20"/>
          <w:lang w:eastAsia="en-AU"/>
        </w:rPr>
        <w:t>g</w:t>
      </w:r>
      <w:r w:rsidRPr="009767D7">
        <w:rPr>
          <w:bCs/>
          <w:sz w:val="20"/>
          <w:szCs w:val="20"/>
          <w:lang w:eastAsia="en-AU"/>
        </w:rPr>
        <w:t xml:space="preserve">overnments, </w:t>
      </w:r>
      <w:r>
        <w:rPr>
          <w:bCs/>
          <w:sz w:val="20"/>
          <w:szCs w:val="20"/>
          <w:lang w:eastAsia="en-AU"/>
        </w:rPr>
        <w:t xml:space="preserve">Aboriginal and Torres Strait Islander </w:t>
      </w:r>
      <w:r w:rsidRPr="009767D7">
        <w:rPr>
          <w:bCs/>
          <w:sz w:val="20"/>
          <w:szCs w:val="20"/>
          <w:lang w:eastAsia="en-AU"/>
        </w:rPr>
        <w:t>communities</w:t>
      </w:r>
      <w:r>
        <w:rPr>
          <w:bCs/>
          <w:sz w:val="20"/>
          <w:szCs w:val="20"/>
          <w:lang w:eastAsia="en-AU"/>
        </w:rPr>
        <w:t xml:space="preserve"> and organisations</w:t>
      </w:r>
      <w:r w:rsidRPr="009767D7">
        <w:rPr>
          <w:bCs/>
          <w:sz w:val="20"/>
          <w:szCs w:val="20"/>
          <w:lang w:eastAsia="en-AU"/>
        </w:rPr>
        <w:t xml:space="preserve">, </w:t>
      </w:r>
      <w:r w:rsidR="00DF1E3A">
        <w:rPr>
          <w:bCs/>
          <w:sz w:val="20"/>
          <w:szCs w:val="20"/>
          <w:lang w:eastAsia="en-AU"/>
        </w:rPr>
        <w:t xml:space="preserve">BBV and STI and </w:t>
      </w:r>
      <w:r>
        <w:rPr>
          <w:bCs/>
          <w:sz w:val="20"/>
          <w:szCs w:val="20"/>
          <w:lang w:eastAsia="en-AU"/>
        </w:rPr>
        <w:t xml:space="preserve">other </w:t>
      </w:r>
      <w:r w:rsidRPr="009767D7">
        <w:rPr>
          <w:bCs/>
          <w:sz w:val="20"/>
          <w:szCs w:val="20"/>
          <w:lang w:eastAsia="en-AU"/>
        </w:rPr>
        <w:t>community organisations, researchers</w:t>
      </w:r>
      <w:r>
        <w:rPr>
          <w:bCs/>
          <w:sz w:val="20"/>
          <w:szCs w:val="20"/>
          <w:lang w:eastAsia="en-AU"/>
        </w:rPr>
        <w:t>, general practice</w:t>
      </w:r>
      <w:r w:rsidRPr="009767D7">
        <w:rPr>
          <w:bCs/>
          <w:sz w:val="20"/>
          <w:szCs w:val="20"/>
          <w:lang w:eastAsia="en-AU"/>
        </w:rPr>
        <w:t xml:space="preserve"> and clinicians through the partnership approach.</w:t>
      </w:r>
    </w:p>
    <w:p w14:paraId="13CE96DE" w14:textId="63C40FA0" w:rsidR="000B7574" w:rsidRDefault="000B7574" w:rsidP="000B7574">
      <w:pPr>
        <w:rPr>
          <w:sz w:val="20"/>
          <w:szCs w:val="20"/>
        </w:rPr>
      </w:pPr>
      <w:r w:rsidRPr="00F42443">
        <w:rPr>
          <w:sz w:val="20"/>
          <w:szCs w:val="20"/>
        </w:rPr>
        <w:t xml:space="preserve">The </w:t>
      </w:r>
      <w:r w:rsidRPr="00C24FA8">
        <w:rPr>
          <w:sz w:val="20"/>
          <w:szCs w:val="20"/>
        </w:rPr>
        <w:t xml:space="preserve">Aboriginal Community Controlled Health </w:t>
      </w:r>
      <w:r w:rsidR="00C24FA8" w:rsidRPr="00C24FA8">
        <w:rPr>
          <w:sz w:val="20"/>
          <w:szCs w:val="20"/>
        </w:rPr>
        <w:t xml:space="preserve">(ACCH) </w:t>
      </w:r>
      <w:r w:rsidRPr="00C24FA8">
        <w:rPr>
          <w:sz w:val="20"/>
          <w:szCs w:val="20"/>
        </w:rPr>
        <w:t>sector</w:t>
      </w:r>
      <w:r w:rsidR="008F7236" w:rsidRPr="00C24FA8">
        <w:rPr>
          <w:sz w:val="20"/>
          <w:szCs w:val="20"/>
        </w:rPr>
        <w:t>, i</w:t>
      </w:r>
      <w:r w:rsidRPr="00C24FA8">
        <w:rPr>
          <w:sz w:val="20"/>
          <w:szCs w:val="20"/>
        </w:rPr>
        <w:t xml:space="preserve">ncluding Aboriginal Community Controlled Health Services (ACCHS) and ACCH </w:t>
      </w:r>
      <w:r w:rsidR="00C24FA8" w:rsidRPr="00C24FA8">
        <w:rPr>
          <w:sz w:val="20"/>
          <w:szCs w:val="20"/>
        </w:rPr>
        <w:t>s</w:t>
      </w:r>
      <w:r w:rsidRPr="00C24FA8">
        <w:rPr>
          <w:sz w:val="20"/>
          <w:szCs w:val="20"/>
        </w:rPr>
        <w:t xml:space="preserve">ector </w:t>
      </w:r>
      <w:r w:rsidR="00C24FA8" w:rsidRPr="00C24FA8">
        <w:rPr>
          <w:sz w:val="20"/>
          <w:szCs w:val="20"/>
        </w:rPr>
        <w:t>s</w:t>
      </w:r>
      <w:r w:rsidRPr="00C24FA8">
        <w:rPr>
          <w:sz w:val="20"/>
          <w:szCs w:val="20"/>
        </w:rPr>
        <w:t xml:space="preserve">upport </w:t>
      </w:r>
      <w:r w:rsidR="00C24FA8" w:rsidRPr="00C24FA8">
        <w:rPr>
          <w:sz w:val="20"/>
          <w:szCs w:val="20"/>
        </w:rPr>
        <w:t>o</w:t>
      </w:r>
      <w:r w:rsidRPr="00C24FA8">
        <w:rPr>
          <w:sz w:val="20"/>
          <w:szCs w:val="20"/>
        </w:rPr>
        <w:t>rganisations</w:t>
      </w:r>
      <w:r w:rsidR="008F7236" w:rsidRPr="00C24FA8">
        <w:rPr>
          <w:sz w:val="20"/>
          <w:szCs w:val="20"/>
        </w:rPr>
        <w:t xml:space="preserve"> </w:t>
      </w:r>
      <w:r w:rsidRPr="00C24FA8">
        <w:rPr>
          <w:sz w:val="20"/>
          <w:szCs w:val="20"/>
        </w:rPr>
        <w:t>and broader community</w:t>
      </w:r>
      <w:r w:rsidRPr="00914AAA">
        <w:rPr>
          <w:sz w:val="20"/>
          <w:szCs w:val="20"/>
        </w:rPr>
        <w:t xml:space="preserve"> organisations</w:t>
      </w:r>
      <w:r w:rsidR="008F7236">
        <w:rPr>
          <w:sz w:val="20"/>
          <w:szCs w:val="20"/>
        </w:rPr>
        <w:t xml:space="preserve"> </w:t>
      </w:r>
      <w:r w:rsidRPr="00914AAA">
        <w:rPr>
          <w:sz w:val="20"/>
          <w:szCs w:val="20"/>
        </w:rPr>
        <w:t>at the national, state and te</w:t>
      </w:r>
      <w:r>
        <w:rPr>
          <w:sz w:val="20"/>
          <w:szCs w:val="20"/>
        </w:rPr>
        <w:t>rritory level</w:t>
      </w:r>
      <w:r w:rsidR="00AB5AF4">
        <w:rPr>
          <w:sz w:val="20"/>
          <w:szCs w:val="20"/>
        </w:rPr>
        <w:t xml:space="preserve"> </w:t>
      </w:r>
      <w:r>
        <w:rPr>
          <w:sz w:val="20"/>
          <w:szCs w:val="20"/>
        </w:rPr>
        <w:t>are central to this</w:t>
      </w:r>
      <w:r w:rsidRPr="00914AAA">
        <w:rPr>
          <w:sz w:val="20"/>
          <w:szCs w:val="20"/>
        </w:rPr>
        <w:t xml:space="preserve"> partnership approach. They </w:t>
      </w:r>
      <w:r>
        <w:rPr>
          <w:sz w:val="20"/>
          <w:szCs w:val="20"/>
        </w:rPr>
        <w:t>continue to play</w:t>
      </w:r>
      <w:r w:rsidRPr="00914AAA">
        <w:rPr>
          <w:sz w:val="20"/>
          <w:szCs w:val="20"/>
        </w:rPr>
        <w:t xml:space="preserve"> a vital role in the national response through coordination, capacity building, resource development and provision, policy translation and being a</w:t>
      </w:r>
      <w:r>
        <w:rPr>
          <w:sz w:val="20"/>
          <w:szCs w:val="20"/>
        </w:rPr>
        <w:t xml:space="preserve"> facilitator</w:t>
      </w:r>
      <w:r w:rsidRPr="00914AAA">
        <w:rPr>
          <w:sz w:val="20"/>
          <w:szCs w:val="20"/>
        </w:rPr>
        <w:t xml:space="preserve"> between government and priority </w:t>
      </w:r>
      <w:r>
        <w:rPr>
          <w:sz w:val="20"/>
          <w:szCs w:val="20"/>
        </w:rPr>
        <w:t xml:space="preserve">Aboriginal and Torres Strait Islander </w:t>
      </w:r>
      <w:r w:rsidRPr="00C24FA8">
        <w:rPr>
          <w:sz w:val="20"/>
          <w:szCs w:val="20"/>
        </w:rPr>
        <w:t>sub-populations.</w:t>
      </w:r>
    </w:p>
    <w:p w14:paraId="777E88A1" w14:textId="7E2873E0" w:rsidR="000B7574" w:rsidRPr="009767D7" w:rsidRDefault="000B7574" w:rsidP="000B7574">
      <w:pPr>
        <w:pStyle w:val="Caption"/>
        <w:spacing w:before="240"/>
        <w:rPr>
          <w:szCs w:val="20"/>
        </w:rPr>
      </w:pPr>
      <w:r w:rsidRPr="009767D7">
        <w:rPr>
          <w:szCs w:val="20"/>
        </w:rPr>
        <w:t>F</w:t>
      </w:r>
      <w:r>
        <w:rPr>
          <w:szCs w:val="20"/>
        </w:rPr>
        <w:t>igure 3</w:t>
      </w:r>
      <w:r w:rsidRPr="009767D7">
        <w:rPr>
          <w:szCs w:val="20"/>
        </w:rPr>
        <w:t xml:space="preserve">: </w:t>
      </w:r>
      <w:r>
        <w:rPr>
          <w:szCs w:val="20"/>
        </w:rPr>
        <w:t>Key</w:t>
      </w:r>
      <w:r w:rsidRPr="009767D7">
        <w:rPr>
          <w:szCs w:val="20"/>
        </w:rPr>
        <w:t xml:space="preserve"> achievements under the </w:t>
      </w:r>
      <w:r w:rsidRPr="00C24FA8">
        <w:rPr>
          <w:szCs w:val="20"/>
        </w:rPr>
        <w:t>Fourth National Aboriginal and Torres Strait Islander BBV and STI Strategy 2014</w:t>
      </w:r>
      <w:r w:rsidR="00230AF5" w:rsidRPr="00C24FA8">
        <w:rPr>
          <w:szCs w:val="20"/>
        </w:rPr>
        <w:t>–</w:t>
      </w:r>
      <w:r w:rsidRPr="00C24FA8">
        <w:rPr>
          <w:szCs w:val="20"/>
        </w:rPr>
        <w:t>2017</w:t>
      </w:r>
      <w:r w:rsidRPr="0054035C">
        <w:rPr>
          <w:rStyle w:val="FootnoteReference"/>
          <w:sz w:val="24"/>
          <w:szCs w:val="20"/>
        </w:rPr>
        <w:footnoteReference w:id="4"/>
      </w:r>
      <w:r w:rsidR="00230AF5" w:rsidRPr="00230AF5">
        <w:rPr>
          <w:i/>
          <w:szCs w:val="20"/>
          <w:vertAlign w:val="superscript"/>
        </w:rPr>
        <w:t>,</w:t>
      </w:r>
      <w:r w:rsidR="002A68F0">
        <w:rPr>
          <w:sz w:val="24"/>
          <w:szCs w:val="24"/>
          <w:vertAlign w:val="superscript"/>
        </w:rPr>
        <w:t>6</w:t>
      </w:r>
      <w:r w:rsidR="00431391" w:rsidRPr="00431391">
        <w:rPr>
          <w:sz w:val="24"/>
          <w:szCs w:val="24"/>
          <w:vertAlign w:val="superscript"/>
        </w:rPr>
        <w:t>,</w:t>
      </w:r>
      <w:r w:rsidRPr="00431391">
        <w:rPr>
          <w:rStyle w:val="EndnoteReference"/>
          <w:sz w:val="24"/>
          <w:szCs w:val="24"/>
        </w:rPr>
        <w:endnoteReference w:id="8"/>
      </w:r>
      <w:r w:rsidRPr="00431391">
        <w:rPr>
          <w:sz w:val="24"/>
          <w:szCs w:val="24"/>
          <w:vertAlign w:val="superscript"/>
        </w:rPr>
        <w:t>,</w:t>
      </w:r>
      <w:r w:rsidRPr="00431391">
        <w:rPr>
          <w:rStyle w:val="EndnoteReference"/>
          <w:sz w:val="24"/>
          <w:szCs w:val="24"/>
        </w:rPr>
        <w:endnoteReference w:id="9"/>
      </w:r>
      <w:r w:rsidRPr="00431391">
        <w:rPr>
          <w:sz w:val="24"/>
          <w:szCs w:val="24"/>
          <w:vertAlign w:val="superscript"/>
        </w:rPr>
        <w:t>,</w:t>
      </w:r>
      <w:r w:rsidRPr="00431391">
        <w:rPr>
          <w:rStyle w:val="EndnoteReference"/>
          <w:sz w:val="24"/>
          <w:szCs w:val="24"/>
        </w:rPr>
        <w:endnoteReference w:id="10"/>
      </w:r>
      <w:r w:rsidRPr="00431391">
        <w:rPr>
          <w:sz w:val="24"/>
          <w:szCs w:val="24"/>
          <w:vertAlign w:val="superscript"/>
        </w:rPr>
        <w:t>,</w:t>
      </w:r>
      <w:r w:rsidRPr="00431391">
        <w:rPr>
          <w:rStyle w:val="EndnoteReference"/>
          <w:sz w:val="24"/>
          <w:szCs w:val="24"/>
        </w:rPr>
        <w:endnoteReference w:id="11"/>
      </w:r>
    </w:p>
    <w:tbl>
      <w:tblPr>
        <w:tblW w:w="5000" w:type="pct"/>
        <w:tblBorders>
          <w:insideH w:val="single" w:sz="4" w:space="0" w:color="D8D8CE"/>
          <w:insideV w:val="single" w:sz="4" w:space="0" w:color="D8D8CE"/>
        </w:tblBorders>
        <w:tblLook w:val="04A0" w:firstRow="1" w:lastRow="0" w:firstColumn="1" w:lastColumn="0" w:noHBand="0" w:noVBand="1"/>
      </w:tblPr>
      <w:tblGrid>
        <w:gridCol w:w="1200"/>
        <w:gridCol w:w="8763"/>
      </w:tblGrid>
      <w:tr w:rsidR="000B7574" w:rsidRPr="00AB4260" w14:paraId="02F2CC2F" w14:textId="77777777" w:rsidTr="00947DBB">
        <w:trPr>
          <w:trHeight w:val="737"/>
        </w:trPr>
        <w:tc>
          <w:tcPr>
            <w:tcW w:w="602" w:type="pct"/>
            <w:shd w:val="clear" w:color="auto" w:fill="00264D"/>
            <w:vAlign w:val="center"/>
          </w:tcPr>
          <w:p w14:paraId="4C4C7B5A" w14:textId="77777777" w:rsidR="000B7574" w:rsidRPr="00AB4260" w:rsidRDefault="000B7574" w:rsidP="00947DBB">
            <w:pPr>
              <w:spacing w:before="40" w:after="40"/>
              <w:jc w:val="center"/>
              <w:rPr>
                <w:color w:val="000000"/>
                <w:sz w:val="17"/>
                <w:szCs w:val="17"/>
                <w:lang w:eastAsia="en-AU"/>
              </w:rPr>
            </w:pPr>
            <w:r>
              <w:rPr>
                <w:noProof/>
                <w:color w:val="000000"/>
                <w:sz w:val="17"/>
                <w:szCs w:val="17"/>
                <w:lang w:eastAsia="en-AU"/>
              </w:rPr>
              <w:drawing>
                <wp:inline distT="0" distB="0" distL="0" distR="0" wp14:anchorId="43A9DA69" wp14:editId="2DC0865E">
                  <wp:extent cx="289560" cy="289560"/>
                  <wp:effectExtent l="0" t="0" r="0" b="0"/>
                  <wp:docPr id="23" name="Picture 1" descr="Image only " title="Imag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4398" w:type="pct"/>
            <w:shd w:val="clear" w:color="auto" w:fill="auto"/>
            <w:vAlign w:val="center"/>
          </w:tcPr>
          <w:p w14:paraId="2D251712" w14:textId="77777777" w:rsidR="000B7574" w:rsidRPr="00AB4260" w:rsidRDefault="000B7574" w:rsidP="00947DBB">
            <w:pPr>
              <w:autoSpaceDE w:val="0"/>
              <w:autoSpaceDN w:val="0"/>
              <w:adjustRightInd w:val="0"/>
              <w:spacing w:after="0"/>
              <w:rPr>
                <w:sz w:val="17"/>
                <w:szCs w:val="17"/>
              </w:rPr>
            </w:pPr>
            <w:r w:rsidRPr="00AB4260">
              <w:rPr>
                <w:sz w:val="17"/>
                <w:szCs w:val="17"/>
              </w:rPr>
              <w:t xml:space="preserve">Sexual health education and STI control programs contributed to </w:t>
            </w:r>
            <w:r w:rsidRPr="00AB4260">
              <w:rPr>
                <w:color w:val="000000"/>
                <w:sz w:val="17"/>
                <w:szCs w:val="17"/>
              </w:rPr>
              <w:t xml:space="preserve">a stabilisation of </w:t>
            </w:r>
            <w:r w:rsidRPr="00AB4260">
              <w:rPr>
                <w:color w:val="2E368F"/>
                <w:sz w:val="17"/>
                <w:szCs w:val="17"/>
              </w:rPr>
              <w:t xml:space="preserve">chlamydia notification rates </w:t>
            </w:r>
            <w:r w:rsidRPr="00AB4260">
              <w:rPr>
                <w:color w:val="000000"/>
                <w:sz w:val="17"/>
                <w:szCs w:val="17"/>
              </w:rPr>
              <w:t xml:space="preserve">and </w:t>
            </w:r>
            <w:r>
              <w:rPr>
                <w:color w:val="000000"/>
                <w:sz w:val="17"/>
                <w:szCs w:val="17"/>
              </w:rPr>
              <w:t xml:space="preserve">a </w:t>
            </w:r>
            <w:r w:rsidRPr="00AB4260">
              <w:rPr>
                <w:color w:val="000000"/>
                <w:sz w:val="17"/>
                <w:szCs w:val="17"/>
              </w:rPr>
              <w:t>17</w:t>
            </w:r>
            <w:r>
              <w:rPr>
                <w:color w:val="000000"/>
                <w:sz w:val="17"/>
                <w:szCs w:val="17"/>
              </w:rPr>
              <w:t>%</w:t>
            </w:r>
            <w:r w:rsidRPr="00AB4260">
              <w:rPr>
                <w:color w:val="000000"/>
                <w:sz w:val="17"/>
                <w:szCs w:val="17"/>
              </w:rPr>
              <w:t xml:space="preserve"> decline in </w:t>
            </w:r>
            <w:r w:rsidRPr="00AB4260">
              <w:rPr>
                <w:color w:val="2E368F"/>
                <w:sz w:val="17"/>
                <w:szCs w:val="17"/>
              </w:rPr>
              <w:t>gonorrhoea notification rates</w:t>
            </w:r>
            <w:r w:rsidRPr="00AB4260">
              <w:rPr>
                <w:sz w:val="17"/>
                <w:szCs w:val="17"/>
              </w:rPr>
              <w:t xml:space="preserve"> from 2012 to 2016</w:t>
            </w:r>
          </w:p>
        </w:tc>
      </w:tr>
      <w:tr w:rsidR="000B7574" w:rsidRPr="00AB4260" w14:paraId="3D6CE5E5" w14:textId="77777777" w:rsidTr="00947DBB">
        <w:trPr>
          <w:trHeight w:val="737"/>
        </w:trPr>
        <w:tc>
          <w:tcPr>
            <w:tcW w:w="602" w:type="pct"/>
            <w:shd w:val="clear" w:color="auto" w:fill="00264D"/>
            <w:vAlign w:val="center"/>
          </w:tcPr>
          <w:p w14:paraId="378FD4DB" w14:textId="77777777" w:rsidR="000B7574" w:rsidRPr="00AB4260" w:rsidRDefault="000B7574" w:rsidP="00947DBB">
            <w:pPr>
              <w:spacing w:before="40" w:after="40"/>
              <w:jc w:val="center"/>
              <w:rPr>
                <w:color w:val="000000"/>
                <w:sz w:val="17"/>
                <w:szCs w:val="17"/>
              </w:rPr>
            </w:pPr>
            <w:r>
              <w:rPr>
                <w:noProof/>
                <w:color w:val="000000"/>
                <w:sz w:val="17"/>
                <w:szCs w:val="17"/>
                <w:lang w:eastAsia="en-AU"/>
              </w:rPr>
              <w:drawing>
                <wp:inline distT="0" distB="0" distL="0" distR="0" wp14:anchorId="5CED1824" wp14:editId="7962290C">
                  <wp:extent cx="335280" cy="335280"/>
                  <wp:effectExtent l="0" t="0" r="7620" b="7620"/>
                  <wp:docPr id="24" name="Picture 2" descr="Image only " title="Imag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4398" w:type="pct"/>
            <w:shd w:val="clear" w:color="auto" w:fill="auto"/>
            <w:vAlign w:val="center"/>
          </w:tcPr>
          <w:p w14:paraId="23E5AEBA" w14:textId="70F266F6" w:rsidR="000B7574" w:rsidRPr="00AB4260" w:rsidRDefault="000B7574" w:rsidP="00F939F9">
            <w:pPr>
              <w:autoSpaceDE w:val="0"/>
              <w:autoSpaceDN w:val="0"/>
              <w:adjustRightInd w:val="0"/>
              <w:spacing w:before="80" w:after="80"/>
              <w:rPr>
                <w:sz w:val="17"/>
                <w:szCs w:val="17"/>
              </w:rPr>
            </w:pPr>
            <w:r w:rsidRPr="00501DED">
              <w:rPr>
                <w:sz w:val="17"/>
                <w:szCs w:val="17"/>
              </w:rPr>
              <w:t xml:space="preserve">The incidence of genital warts, once the most common STI managed at sexual health clinics, has declined by </w:t>
            </w:r>
            <w:r w:rsidR="00234BC1">
              <w:rPr>
                <w:color w:val="00B0F0"/>
                <w:sz w:val="17"/>
                <w:szCs w:val="17"/>
              </w:rPr>
              <w:t xml:space="preserve">88% </w:t>
            </w:r>
            <w:r w:rsidRPr="00501DED">
              <w:rPr>
                <w:color w:val="00B0F0"/>
                <w:sz w:val="17"/>
                <w:szCs w:val="17"/>
              </w:rPr>
              <w:t>in Aboriginal and Torres Strait Islander men</w:t>
            </w:r>
            <w:r w:rsidRPr="00501DED">
              <w:rPr>
                <w:sz w:val="17"/>
                <w:szCs w:val="17"/>
              </w:rPr>
              <w:t xml:space="preserve"> and </w:t>
            </w:r>
            <w:r w:rsidR="00234BC1">
              <w:rPr>
                <w:color w:val="00B0F0"/>
                <w:sz w:val="17"/>
                <w:szCs w:val="17"/>
              </w:rPr>
              <w:t xml:space="preserve">100% </w:t>
            </w:r>
            <w:r w:rsidRPr="00501DED">
              <w:rPr>
                <w:color w:val="00B0F0"/>
                <w:sz w:val="17"/>
                <w:szCs w:val="17"/>
              </w:rPr>
              <w:t>in Aboriginal and Torres Strait Islander women</w:t>
            </w:r>
            <w:r w:rsidRPr="00501DED">
              <w:rPr>
                <w:sz w:val="17"/>
                <w:szCs w:val="17"/>
              </w:rPr>
              <w:t xml:space="preserve"> at their first visit since the introduction of a national vaccination program for </w:t>
            </w:r>
            <w:r w:rsidR="001741B6">
              <w:rPr>
                <w:sz w:val="17"/>
                <w:szCs w:val="17"/>
              </w:rPr>
              <w:t>human papillomavirus (</w:t>
            </w:r>
            <w:r w:rsidRPr="00326A5B">
              <w:rPr>
                <w:sz w:val="17"/>
                <w:szCs w:val="17"/>
              </w:rPr>
              <w:t>HPV</w:t>
            </w:r>
            <w:r w:rsidR="001741B6">
              <w:rPr>
                <w:sz w:val="17"/>
                <w:szCs w:val="17"/>
              </w:rPr>
              <w:t>)</w:t>
            </w:r>
            <w:r w:rsidRPr="00326A5B">
              <w:rPr>
                <w:sz w:val="17"/>
                <w:szCs w:val="17"/>
              </w:rPr>
              <w:t xml:space="preserve"> </w:t>
            </w:r>
            <w:r w:rsidR="00DA5A02">
              <w:rPr>
                <w:sz w:val="17"/>
                <w:szCs w:val="17"/>
              </w:rPr>
              <w:t>in 2007</w:t>
            </w:r>
          </w:p>
        </w:tc>
      </w:tr>
      <w:tr w:rsidR="000B7574" w:rsidRPr="00AB4260" w14:paraId="410726E6" w14:textId="77777777" w:rsidTr="00947DBB">
        <w:trPr>
          <w:trHeight w:val="737"/>
        </w:trPr>
        <w:tc>
          <w:tcPr>
            <w:tcW w:w="602" w:type="pct"/>
            <w:shd w:val="clear" w:color="auto" w:fill="00264D"/>
            <w:vAlign w:val="center"/>
          </w:tcPr>
          <w:p w14:paraId="15BC513E" w14:textId="77777777" w:rsidR="000B7574" w:rsidRPr="00AB4260" w:rsidRDefault="000B7574" w:rsidP="00947DBB">
            <w:pPr>
              <w:spacing w:before="40" w:after="40"/>
              <w:jc w:val="center"/>
              <w:rPr>
                <w:color w:val="000000"/>
                <w:sz w:val="17"/>
                <w:szCs w:val="17"/>
              </w:rPr>
            </w:pPr>
            <w:r>
              <w:rPr>
                <w:noProof/>
                <w:lang w:eastAsia="en-AU"/>
              </w:rPr>
              <mc:AlternateContent>
                <mc:Choice Requires="wpg">
                  <w:drawing>
                    <wp:anchor distT="0" distB="0" distL="114300" distR="114300" simplePos="0" relativeHeight="251656192" behindDoc="0" locked="0" layoutInCell="1" allowOverlap="1" wp14:anchorId="13D80E03" wp14:editId="0B2C8A86">
                      <wp:simplePos x="0" y="0"/>
                      <wp:positionH relativeFrom="column">
                        <wp:posOffset>153670</wp:posOffset>
                      </wp:positionH>
                      <wp:positionV relativeFrom="paragraph">
                        <wp:posOffset>128270</wp:posOffset>
                      </wp:positionV>
                      <wp:extent cx="287655" cy="287655"/>
                      <wp:effectExtent l="76200" t="76200" r="0" b="74295"/>
                      <wp:wrapNone/>
                      <wp:docPr id="7" name="Group 7" descr="Image only " title="Image only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4" cy="287656"/>
                                <a:chOff x="0" y="0"/>
                                <a:chExt cx="636588" cy="638175"/>
                              </a:xfrm>
                              <a:solidFill>
                                <a:srgbClr val="FED13B"/>
                              </a:solidFill>
                              <a:effectLst>
                                <a:glow rad="63500">
                                  <a:srgbClr val="FFC000">
                                    <a:alpha val="40000"/>
                                  </a:srgbClr>
                                </a:glow>
                              </a:effectLst>
                            </wpg:grpSpPr>
                            <wps:wsp>
                              <wps:cNvPr id="9" name="Freeform 16"/>
                              <wps:cNvSpPr>
                                <a:spLocks noEditPoints="1"/>
                              </wps:cNvSpPr>
                              <wps:spPr bwMode="auto">
                                <a:xfrm>
                                  <a:off x="0" y="0"/>
                                  <a:ext cx="636588" cy="638175"/>
                                </a:xfrm>
                                <a:custGeom>
                                  <a:avLst/>
                                  <a:gdLst>
                                    <a:gd name="T0" fmla="*/ 85 w 170"/>
                                    <a:gd name="T1" fmla="*/ 162 h 170"/>
                                    <a:gd name="T2" fmla="*/ 70 w 170"/>
                                    <a:gd name="T3" fmla="*/ 168 h 170"/>
                                    <a:gd name="T4" fmla="*/ 71 w 170"/>
                                    <a:gd name="T5" fmla="*/ 168 h 170"/>
                                    <a:gd name="T6" fmla="*/ 103 w 170"/>
                                    <a:gd name="T7" fmla="*/ 164 h 170"/>
                                    <a:gd name="T8" fmla="*/ 56 w 170"/>
                                    <a:gd name="T9" fmla="*/ 165 h 170"/>
                                    <a:gd name="T10" fmla="*/ 61 w 170"/>
                                    <a:gd name="T11" fmla="*/ 162 h 170"/>
                                    <a:gd name="T12" fmla="*/ 116 w 170"/>
                                    <a:gd name="T13" fmla="*/ 160 h 170"/>
                                    <a:gd name="T14" fmla="*/ 43 w 170"/>
                                    <a:gd name="T15" fmla="*/ 158 h 170"/>
                                    <a:gd name="T16" fmla="*/ 44 w 170"/>
                                    <a:gd name="T17" fmla="*/ 159 h 170"/>
                                    <a:gd name="T18" fmla="*/ 129 w 170"/>
                                    <a:gd name="T19" fmla="*/ 153 h 170"/>
                                    <a:gd name="T20" fmla="*/ 31 w 170"/>
                                    <a:gd name="T21" fmla="*/ 150 h 170"/>
                                    <a:gd name="T22" fmla="*/ 36 w 170"/>
                                    <a:gd name="T23" fmla="*/ 149 h 170"/>
                                    <a:gd name="T24" fmla="*/ 135 w 170"/>
                                    <a:gd name="T25" fmla="*/ 144 h 170"/>
                                    <a:gd name="T26" fmla="*/ 23 w 170"/>
                                    <a:gd name="T27" fmla="*/ 141 h 170"/>
                                    <a:gd name="T28" fmla="*/ 26 w 170"/>
                                    <a:gd name="T29" fmla="*/ 135 h 170"/>
                                    <a:gd name="T30" fmla="*/ 144 w 170"/>
                                    <a:gd name="T31" fmla="*/ 135 h 170"/>
                                    <a:gd name="T32" fmla="*/ 147 w 170"/>
                                    <a:gd name="T33" fmla="*/ 141 h 170"/>
                                    <a:gd name="T34" fmla="*/ 17 w 170"/>
                                    <a:gd name="T35" fmla="*/ 123 h 170"/>
                                    <a:gd name="T36" fmla="*/ 153 w 170"/>
                                    <a:gd name="T37" fmla="*/ 129 h 170"/>
                                    <a:gd name="T38" fmla="*/ 155 w 170"/>
                                    <a:gd name="T39" fmla="*/ 129 h 170"/>
                                    <a:gd name="T40" fmla="*/ 162 w 170"/>
                                    <a:gd name="T41" fmla="*/ 109 h 170"/>
                                    <a:gd name="T42" fmla="*/ 5 w 170"/>
                                    <a:gd name="T43" fmla="*/ 114 h 170"/>
                                    <a:gd name="T44" fmla="*/ 8 w 170"/>
                                    <a:gd name="T45" fmla="*/ 116 h 170"/>
                                    <a:gd name="T46" fmla="*/ 8 w 170"/>
                                    <a:gd name="T47" fmla="*/ 98 h 170"/>
                                    <a:gd name="T48" fmla="*/ 164 w 170"/>
                                    <a:gd name="T49" fmla="*/ 103 h 170"/>
                                    <a:gd name="T50" fmla="*/ 168 w 170"/>
                                    <a:gd name="T51" fmla="*/ 100 h 170"/>
                                    <a:gd name="T52" fmla="*/ 4 w 170"/>
                                    <a:gd name="T53" fmla="*/ 81 h 170"/>
                                    <a:gd name="T54" fmla="*/ 162 w 170"/>
                                    <a:gd name="T55" fmla="*/ 85 h 170"/>
                                    <a:gd name="T56" fmla="*/ 166 w 170"/>
                                    <a:gd name="T57" fmla="*/ 89 h 170"/>
                                    <a:gd name="T58" fmla="*/ 168 w 170"/>
                                    <a:gd name="T59" fmla="*/ 70 h 170"/>
                                    <a:gd name="T60" fmla="*/ 4 w 170"/>
                                    <a:gd name="T61" fmla="*/ 74 h 170"/>
                                    <a:gd name="T62" fmla="*/ 8 w 170"/>
                                    <a:gd name="T63" fmla="*/ 71 h 170"/>
                                    <a:gd name="T64" fmla="*/ 164 w 170"/>
                                    <a:gd name="T65" fmla="*/ 56 h 170"/>
                                    <a:gd name="T66" fmla="*/ 7 w 170"/>
                                    <a:gd name="T67" fmla="*/ 60 h 170"/>
                                    <a:gd name="T68" fmla="*/ 8 w 170"/>
                                    <a:gd name="T69" fmla="*/ 60 h 170"/>
                                    <a:gd name="T70" fmla="*/ 158 w 170"/>
                                    <a:gd name="T71" fmla="*/ 42 h 170"/>
                                    <a:gd name="T72" fmla="*/ 13 w 170"/>
                                    <a:gd name="T73" fmla="*/ 47 h 170"/>
                                    <a:gd name="T74" fmla="*/ 14 w 170"/>
                                    <a:gd name="T75" fmla="*/ 48 h 170"/>
                                    <a:gd name="T76" fmla="*/ 150 w 170"/>
                                    <a:gd name="T77" fmla="*/ 30 h 170"/>
                                    <a:gd name="T78" fmla="*/ 20 w 170"/>
                                    <a:gd name="T79" fmla="*/ 35 h 170"/>
                                    <a:gd name="T80" fmla="*/ 23 w 170"/>
                                    <a:gd name="T81" fmla="*/ 36 h 170"/>
                                    <a:gd name="T82" fmla="*/ 139 w 170"/>
                                    <a:gd name="T83" fmla="*/ 20 h 170"/>
                                    <a:gd name="T84" fmla="*/ 30 w 170"/>
                                    <a:gd name="T85" fmla="*/ 25 h 170"/>
                                    <a:gd name="T86" fmla="*/ 35 w 170"/>
                                    <a:gd name="T87" fmla="*/ 25 h 170"/>
                                    <a:gd name="T88" fmla="*/ 127 w 170"/>
                                    <a:gd name="T89" fmla="*/ 11 h 170"/>
                                    <a:gd name="T90" fmla="*/ 41 w 170"/>
                                    <a:gd name="T91" fmla="*/ 16 h 170"/>
                                    <a:gd name="T92" fmla="*/ 46 w 170"/>
                                    <a:gd name="T93" fmla="*/ 18 h 170"/>
                                    <a:gd name="T94" fmla="*/ 109 w 170"/>
                                    <a:gd name="T95" fmla="*/ 7 h 170"/>
                                    <a:gd name="T96" fmla="*/ 57 w 170"/>
                                    <a:gd name="T97" fmla="*/ 12 h 170"/>
                                    <a:gd name="T98" fmla="*/ 59 w 170"/>
                                    <a:gd name="T99" fmla="*/ 12 h 170"/>
                                    <a:gd name="T100" fmla="*/ 95 w 170"/>
                                    <a:gd name="T101" fmla="*/ 4 h 170"/>
                                    <a:gd name="T102" fmla="*/ 71 w 170"/>
                                    <a:gd name="T103" fmla="*/ 8 h 170"/>
                                    <a:gd name="T104" fmla="*/ 72 w 170"/>
                                    <a:gd name="T105" fmla="*/ 8 h 170"/>
                                    <a:gd name="T106" fmla="*/ 85 w 170"/>
                                    <a:gd name="T107" fmla="*/ 7 h 170"/>
                                    <a:gd name="T108" fmla="*/ 85 w 170"/>
                                    <a:gd name="T109" fmla="*/ 7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0" h="170">
                                      <a:moveTo>
                                        <a:pt x="85" y="170"/>
                                      </a:moveTo>
                                      <a:cubicBezTo>
                                        <a:pt x="85" y="170"/>
                                        <a:pt x="85" y="170"/>
                                        <a:pt x="85" y="170"/>
                                      </a:cubicBezTo>
                                      <a:cubicBezTo>
                                        <a:pt x="83" y="170"/>
                                        <a:pt x="81" y="168"/>
                                        <a:pt x="81" y="166"/>
                                      </a:cubicBezTo>
                                      <a:cubicBezTo>
                                        <a:pt x="81" y="164"/>
                                        <a:pt x="83" y="162"/>
                                        <a:pt x="85" y="162"/>
                                      </a:cubicBezTo>
                                      <a:cubicBezTo>
                                        <a:pt x="85" y="162"/>
                                        <a:pt x="85" y="162"/>
                                        <a:pt x="85" y="162"/>
                                      </a:cubicBezTo>
                                      <a:cubicBezTo>
                                        <a:pt x="87" y="162"/>
                                        <a:pt x="89" y="164"/>
                                        <a:pt x="89" y="166"/>
                                      </a:cubicBezTo>
                                      <a:cubicBezTo>
                                        <a:pt x="89" y="168"/>
                                        <a:pt x="87" y="170"/>
                                        <a:pt x="85" y="170"/>
                                      </a:cubicBezTo>
                                      <a:close/>
                                      <a:moveTo>
                                        <a:pt x="71" y="168"/>
                                      </a:moveTo>
                                      <a:cubicBezTo>
                                        <a:pt x="71" y="168"/>
                                        <a:pt x="71" y="168"/>
                                        <a:pt x="70" y="168"/>
                                      </a:cubicBezTo>
                                      <a:cubicBezTo>
                                        <a:pt x="70" y="168"/>
                                        <a:pt x="70" y="168"/>
                                        <a:pt x="70" y="168"/>
                                      </a:cubicBezTo>
                                      <a:cubicBezTo>
                                        <a:pt x="68" y="168"/>
                                        <a:pt x="67" y="166"/>
                                        <a:pt x="67" y="164"/>
                                      </a:cubicBezTo>
                                      <a:cubicBezTo>
                                        <a:pt x="67" y="162"/>
                                        <a:pt x="69" y="161"/>
                                        <a:pt x="71" y="161"/>
                                      </a:cubicBezTo>
                                      <a:cubicBezTo>
                                        <a:pt x="72" y="161"/>
                                        <a:pt x="72" y="161"/>
                                        <a:pt x="72" y="161"/>
                                      </a:cubicBezTo>
                                      <a:cubicBezTo>
                                        <a:pt x="74" y="162"/>
                                        <a:pt x="75" y="163"/>
                                        <a:pt x="75" y="165"/>
                                      </a:cubicBezTo>
                                      <a:cubicBezTo>
                                        <a:pt x="74" y="167"/>
                                        <a:pt x="73" y="168"/>
                                        <a:pt x="71" y="168"/>
                                      </a:cubicBezTo>
                                      <a:close/>
                                      <a:moveTo>
                                        <a:pt x="99" y="168"/>
                                      </a:moveTo>
                                      <a:cubicBezTo>
                                        <a:pt x="97" y="168"/>
                                        <a:pt x="95" y="167"/>
                                        <a:pt x="95" y="165"/>
                                      </a:cubicBezTo>
                                      <a:cubicBezTo>
                                        <a:pt x="95" y="163"/>
                                        <a:pt x="96" y="162"/>
                                        <a:pt x="98" y="161"/>
                                      </a:cubicBezTo>
                                      <a:cubicBezTo>
                                        <a:pt x="98" y="161"/>
                                        <a:pt x="98" y="161"/>
                                        <a:pt x="98" y="161"/>
                                      </a:cubicBezTo>
                                      <a:cubicBezTo>
                                        <a:pt x="100" y="161"/>
                                        <a:pt x="102" y="162"/>
                                        <a:pt x="103" y="164"/>
                                      </a:cubicBezTo>
                                      <a:cubicBezTo>
                                        <a:pt x="103" y="166"/>
                                        <a:pt x="102" y="168"/>
                                        <a:pt x="100" y="168"/>
                                      </a:cubicBezTo>
                                      <a:cubicBezTo>
                                        <a:pt x="99" y="168"/>
                                        <a:pt x="99" y="168"/>
                                        <a:pt x="99" y="168"/>
                                      </a:cubicBezTo>
                                      <a:cubicBezTo>
                                        <a:pt x="99" y="168"/>
                                        <a:pt x="99" y="168"/>
                                        <a:pt x="99" y="168"/>
                                      </a:cubicBezTo>
                                      <a:close/>
                                      <a:moveTo>
                                        <a:pt x="57" y="165"/>
                                      </a:moveTo>
                                      <a:cubicBezTo>
                                        <a:pt x="57" y="165"/>
                                        <a:pt x="56" y="165"/>
                                        <a:pt x="56" y="165"/>
                                      </a:cubicBezTo>
                                      <a:cubicBezTo>
                                        <a:pt x="56" y="164"/>
                                        <a:pt x="56" y="164"/>
                                        <a:pt x="56" y="164"/>
                                      </a:cubicBezTo>
                                      <a:cubicBezTo>
                                        <a:pt x="54" y="164"/>
                                        <a:pt x="53" y="162"/>
                                        <a:pt x="53" y="160"/>
                                      </a:cubicBezTo>
                                      <a:cubicBezTo>
                                        <a:pt x="54" y="158"/>
                                        <a:pt x="56" y="157"/>
                                        <a:pt x="58" y="158"/>
                                      </a:cubicBezTo>
                                      <a:cubicBezTo>
                                        <a:pt x="59" y="158"/>
                                        <a:pt x="59" y="158"/>
                                        <a:pt x="59" y="158"/>
                                      </a:cubicBezTo>
                                      <a:cubicBezTo>
                                        <a:pt x="60" y="158"/>
                                        <a:pt x="61" y="161"/>
                                        <a:pt x="61" y="162"/>
                                      </a:cubicBezTo>
                                      <a:cubicBezTo>
                                        <a:pt x="60" y="164"/>
                                        <a:pt x="59" y="165"/>
                                        <a:pt x="57" y="165"/>
                                      </a:cubicBezTo>
                                      <a:close/>
                                      <a:moveTo>
                                        <a:pt x="112" y="165"/>
                                      </a:moveTo>
                                      <a:cubicBezTo>
                                        <a:pt x="111" y="165"/>
                                        <a:pt x="109" y="164"/>
                                        <a:pt x="109" y="162"/>
                                      </a:cubicBezTo>
                                      <a:cubicBezTo>
                                        <a:pt x="108" y="160"/>
                                        <a:pt x="109" y="158"/>
                                        <a:pt x="111" y="158"/>
                                      </a:cubicBezTo>
                                      <a:cubicBezTo>
                                        <a:pt x="113" y="157"/>
                                        <a:pt x="115" y="158"/>
                                        <a:pt x="116" y="160"/>
                                      </a:cubicBezTo>
                                      <a:cubicBezTo>
                                        <a:pt x="117" y="162"/>
                                        <a:pt x="116" y="164"/>
                                        <a:pt x="114" y="164"/>
                                      </a:cubicBezTo>
                                      <a:cubicBezTo>
                                        <a:pt x="114" y="165"/>
                                        <a:pt x="114" y="165"/>
                                        <a:pt x="114" y="165"/>
                                      </a:cubicBezTo>
                                      <a:cubicBezTo>
                                        <a:pt x="113" y="165"/>
                                        <a:pt x="113" y="165"/>
                                        <a:pt x="112" y="165"/>
                                      </a:cubicBezTo>
                                      <a:close/>
                                      <a:moveTo>
                                        <a:pt x="44" y="159"/>
                                      </a:moveTo>
                                      <a:cubicBezTo>
                                        <a:pt x="44" y="159"/>
                                        <a:pt x="43" y="159"/>
                                        <a:pt x="43" y="158"/>
                                      </a:cubicBezTo>
                                      <a:cubicBezTo>
                                        <a:pt x="42" y="158"/>
                                        <a:pt x="42" y="158"/>
                                        <a:pt x="42" y="158"/>
                                      </a:cubicBezTo>
                                      <a:cubicBezTo>
                                        <a:pt x="40" y="157"/>
                                        <a:pt x="40" y="155"/>
                                        <a:pt x="41" y="153"/>
                                      </a:cubicBezTo>
                                      <a:cubicBezTo>
                                        <a:pt x="42" y="151"/>
                                        <a:pt x="44" y="151"/>
                                        <a:pt x="46" y="152"/>
                                      </a:cubicBezTo>
                                      <a:cubicBezTo>
                                        <a:pt x="48" y="153"/>
                                        <a:pt x="48" y="155"/>
                                        <a:pt x="47" y="157"/>
                                      </a:cubicBezTo>
                                      <a:cubicBezTo>
                                        <a:pt x="47" y="158"/>
                                        <a:pt x="46" y="159"/>
                                        <a:pt x="44" y="159"/>
                                      </a:cubicBezTo>
                                      <a:close/>
                                      <a:moveTo>
                                        <a:pt x="125" y="159"/>
                                      </a:moveTo>
                                      <a:cubicBezTo>
                                        <a:pt x="124" y="159"/>
                                        <a:pt x="123" y="158"/>
                                        <a:pt x="122" y="157"/>
                                      </a:cubicBezTo>
                                      <a:cubicBezTo>
                                        <a:pt x="121" y="155"/>
                                        <a:pt x="122" y="153"/>
                                        <a:pt x="123" y="152"/>
                                      </a:cubicBezTo>
                                      <a:cubicBezTo>
                                        <a:pt x="124" y="152"/>
                                        <a:pt x="124" y="152"/>
                                        <a:pt x="124" y="152"/>
                                      </a:cubicBezTo>
                                      <a:cubicBezTo>
                                        <a:pt x="126" y="151"/>
                                        <a:pt x="128" y="151"/>
                                        <a:pt x="129" y="153"/>
                                      </a:cubicBezTo>
                                      <a:cubicBezTo>
                                        <a:pt x="130" y="155"/>
                                        <a:pt x="129" y="157"/>
                                        <a:pt x="127" y="158"/>
                                      </a:cubicBezTo>
                                      <a:cubicBezTo>
                                        <a:pt x="127" y="158"/>
                                        <a:pt x="127" y="158"/>
                                        <a:pt x="127" y="158"/>
                                      </a:cubicBezTo>
                                      <a:cubicBezTo>
                                        <a:pt x="126" y="159"/>
                                        <a:pt x="126" y="159"/>
                                        <a:pt x="125" y="159"/>
                                      </a:cubicBezTo>
                                      <a:close/>
                                      <a:moveTo>
                                        <a:pt x="33" y="151"/>
                                      </a:moveTo>
                                      <a:cubicBezTo>
                                        <a:pt x="32" y="151"/>
                                        <a:pt x="31" y="150"/>
                                        <a:pt x="31" y="150"/>
                                      </a:cubicBezTo>
                                      <a:cubicBezTo>
                                        <a:pt x="31" y="150"/>
                                        <a:pt x="30" y="150"/>
                                        <a:pt x="30" y="150"/>
                                      </a:cubicBezTo>
                                      <a:cubicBezTo>
                                        <a:pt x="29" y="148"/>
                                        <a:pt x="29" y="146"/>
                                        <a:pt x="30" y="145"/>
                                      </a:cubicBezTo>
                                      <a:cubicBezTo>
                                        <a:pt x="31" y="143"/>
                                        <a:pt x="33" y="143"/>
                                        <a:pt x="35" y="144"/>
                                      </a:cubicBezTo>
                                      <a:cubicBezTo>
                                        <a:pt x="35" y="144"/>
                                        <a:pt x="35" y="144"/>
                                        <a:pt x="35" y="144"/>
                                      </a:cubicBezTo>
                                      <a:cubicBezTo>
                                        <a:pt x="37" y="146"/>
                                        <a:pt x="37" y="148"/>
                                        <a:pt x="36" y="149"/>
                                      </a:cubicBezTo>
                                      <a:cubicBezTo>
                                        <a:pt x="35" y="150"/>
                                        <a:pt x="34" y="151"/>
                                        <a:pt x="33" y="151"/>
                                      </a:cubicBezTo>
                                      <a:close/>
                                      <a:moveTo>
                                        <a:pt x="137" y="151"/>
                                      </a:moveTo>
                                      <a:cubicBezTo>
                                        <a:pt x="136" y="151"/>
                                        <a:pt x="135" y="150"/>
                                        <a:pt x="134" y="149"/>
                                      </a:cubicBezTo>
                                      <a:cubicBezTo>
                                        <a:pt x="133" y="148"/>
                                        <a:pt x="133" y="146"/>
                                        <a:pt x="134" y="144"/>
                                      </a:cubicBezTo>
                                      <a:cubicBezTo>
                                        <a:pt x="135" y="144"/>
                                        <a:pt x="135" y="144"/>
                                        <a:pt x="135" y="144"/>
                                      </a:cubicBezTo>
                                      <a:cubicBezTo>
                                        <a:pt x="136" y="143"/>
                                        <a:pt x="139" y="143"/>
                                        <a:pt x="140" y="144"/>
                                      </a:cubicBezTo>
                                      <a:cubicBezTo>
                                        <a:pt x="141" y="146"/>
                                        <a:pt x="141" y="148"/>
                                        <a:pt x="139" y="150"/>
                                      </a:cubicBezTo>
                                      <a:cubicBezTo>
                                        <a:pt x="139" y="150"/>
                                        <a:pt x="139" y="150"/>
                                        <a:pt x="139" y="150"/>
                                      </a:cubicBezTo>
                                      <a:cubicBezTo>
                                        <a:pt x="138" y="150"/>
                                        <a:pt x="138" y="151"/>
                                        <a:pt x="137" y="151"/>
                                      </a:cubicBezTo>
                                      <a:close/>
                                      <a:moveTo>
                                        <a:pt x="23" y="141"/>
                                      </a:moveTo>
                                      <a:cubicBezTo>
                                        <a:pt x="22" y="141"/>
                                        <a:pt x="21" y="140"/>
                                        <a:pt x="20" y="139"/>
                                      </a:cubicBezTo>
                                      <a:cubicBezTo>
                                        <a:pt x="20" y="139"/>
                                        <a:pt x="20" y="139"/>
                                        <a:pt x="20" y="139"/>
                                      </a:cubicBezTo>
                                      <a:cubicBezTo>
                                        <a:pt x="18" y="138"/>
                                        <a:pt x="19" y="135"/>
                                        <a:pt x="20" y="134"/>
                                      </a:cubicBezTo>
                                      <a:cubicBezTo>
                                        <a:pt x="22" y="133"/>
                                        <a:pt x="24" y="133"/>
                                        <a:pt x="25" y="134"/>
                                      </a:cubicBezTo>
                                      <a:cubicBezTo>
                                        <a:pt x="26" y="135"/>
                                        <a:pt x="26" y="135"/>
                                        <a:pt x="26" y="135"/>
                                      </a:cubicBezTo>
                                      <a:cubicBezTo>
                                        <a:pt x="27" y="136"/>
                                        <a:pt x="27" y="139"/>
                                        <a:pt x="25" y="140"/>
                                      </a:cubicBezTo>
                                      <a:cubicBezTo>
                                        <a:pt x="24" y="140"/>
                                        <a:pt x="24" y="141"/>
                                        <a:pt x="23" y="141"/>
                                      </a:cubicBezTo>
                                      <a:close/>
                                      <a:moveTo>
                                        <a:pt x="147" y="141"/>
                                      </a:moveTo>
                                      <a:cubicBezTo>
                                        <a:pt x="146" y="141"/>
                                        <a:pt x="145" y="140"/>
                                        <a:pt x="144" y="140"/>
                                      </a:cubicBezTo>
                                      <a:cubicBezTo>
                                        <a:pt x="143" y="139"/>
                                        <a:pt x="143" y="136"/>
                                        <a:pt x="144" y="135"/>
                                      </a:cubicBezTo>
                                      <a:cubicBezTo>
                                        <a:pt x="144" y="134"/>
                                        <a:pt x="144" y="134"/>
                                        <a:pt x="144" y="134"/>
                                      </a:cubicBezTo>
                                      <a:cubicBezTo>
                                        <a:pt x="146" y="133"/>
                                        <a:pt x="148" y="133"/>
                                        <a:pt x="149" y="134"/>
                                      </a:cubicBezTo>
                                      <a:cubicBezTo>
                                        <a:pt x="151" y="135"/>
                                        <a:pt x="151" y="138"/>
                                        <a:pt x="150" y="139"/>
                                      </a:cubicBezTo>
                                      <a:cubicBezTo>
                                        <a:pt x="150" y="139"/>
                                        <a:pt x="150" y="139"/>
                                        <a:pt x="150" y="139"/>
                                      </a:cubicBezTo>
                                      <a:cubicBezTo>
                                        <a:pt x="149" y="140"/>
                                        <a:pt x="148" y="141"/>
                                        <a:pt x="147" y="141"/>
                                      </a:cubicBezTo>
                                      <a:close/>
                                      <a:moveTo>
                                        <a:pt x="15" y="129"/>
                                      </a:moveTo>
                                      <a:cubicBezTo>
                                        <a:pt x="13" y="129"/>
                                        <a:pt x="12" y="129"/>
                                        <a:pt x="11" y="127"/>
                                      </a:cubicBezTo>
                                      <a:cubicBezTo>
                                        <a:pt x="11" y="127"/>
                                        <a:pt x="11" y="127"/>
                                        <a:pt x="11" y="127"/>
                                      </a:cubicBezTo>
                                      <a:cubicBezTo>
                                        <a:pt x="10" y="125"/>
                                        <a:pt x="11" y="123"/>
                                        <a:pt x="12" y="122"/>
                                      </a:cubicBezTo>
                                      <a:cubicBezTo>
                                        <a:pt x="14" y="121"/>
                                        <a:pt x="16" y="122"/>
                                        <a:pt x="17" y="123"/>
                                      </a:cubicBezTo>
                                      <a:cubicBezTo>
                                        <a:pt x="18" y="124"/>
                                        <a:pt x="18" y="124"/>
                                        <a:pt x="18" y="124"/>
                                      </a:cubicBezTo>
                                      <a:cubicBezTo>
                                        <a:pt x="19" y="126"/>
                                        <a:pt x="18" y="128"/>
                                        <a:pt x="16" y="129"/>
                                      </a:cubicBezTo>
                                      <a:cubicBezTo>
                                        <a:pt x="16" y="129"/>
                                        <a:pt x="15" y="129"/>
                                        <a:pt x="15" y="129"/>
                                      </a:cubicBezTo>
                                      <a:close/>
                                      <a:moveTo>
                                        <a:pt x="155" y="129"/>
                                      </a:moveTo>
                                      <a:cubicBezTo>
                                        <a:pt x="154" y="129"/>
                                        <a:pt x="154" y="129"/>
                                        <a:pt x="153" y="129"/>
                                      </a:cubicBezTo>
                                      <a:cubicBezTo>
                                        <a:pt x="151" y="128"/>
                                        <a:pt x="151" y="125"/>
                                        <a:pt x="152" y="124"/>
                                      </a:cubicBezTo>
                                      <a:cubicBezTo>
                                        <a:pt x="153" y="122"/>
                                        <a:pt x="155" y="121"/>
                                        <a:pt x="157" y="122"/>
                                      </a:cubicBezTo>
                                      <a:cubicBezTo>
                                        <a:pt x="159" y="123"/>
                                        <a:pt x="159" y="125"/>
                                        <a:pt x="158" y="127"/>
                                      </a:cubicBezTo>
                                      <a:cubicBezTo>
                                        <a:pt x="158" y="127"/>
                                        <a:pt x="158" y="127"/>
                                        <a:pt x="158" y="127"/>
                                      </a:cubicBezTo>
                                      <a:cubicBezTo>
                                        <a:pt x="157" y="129"/>
                                        <a:pt x="156" y="129"/>
                                        <a:pt x="155" y="129"/>
                                      </a:cubicBezTo>
                                      <a:close/>
                                      <a:moveTo>
                                        <a:pt x="161" y="116"/>
                                      </a:moveTo>
                                      <a:cubicBezTo>
                                        <a:pt x="161" y="116"/>
                                        <a:pt x="160" y="116"/>
                                        <a:pt x="160" y="116"/>
                                      </a:cubicBezTo>
                                      <a:cubicBezTo>
                                        <a:pt x="158" y="116"/>
                                        <a:pt x="157" y="113"/>
                                        <a:pt x="158" y="112"/>
                                      </a:cubicBezTo>
                                      <a:cubicBezTo>
                                        <a:pt x="158" y="111"/>
                                        <a:pt x="158" y="111"/>
                                        <a:pt x="158" y="111"/>
                                      </a:cubicBezTo>
                                      <a:cubicBezTo>
                                        <a:pt x="158" y="109"/>
                                        <a:pt x="160" y="108"/>
                                        <a:pt x="162" y="109"/>
                                      </a:cubicBezTo>
                                      <a:cubicBezTo>
                                        <a:pt x="164" y="110"/>
                                        <a:pt x="165" y="112"/>
                                        <a:pt x="165" y="114"/>
                                      </a:cubicBezTo>
                                      <a:cubicBezTo>
                                        <a:pt x="164" y="114"/>
                                        <a:pt x="164" y="114"/>
                                        <a:pt x="164" y="114"/>
                                      </a:cubicBezTo>
                                      <a:cubicBezTo>
                                        <a:pt x="164" y="115"/>
                                        <a:pt x="162" y="116"/>
                                        <a:pt x="161" y="116"/>
                                      </a:cubicBezTo>
                                      <a:close/>
                                      <a:moveTo>
                                        <a:pt x="8" y="116"/>
                                      </a:moveTo>
                                      <a:cubicBezTo>
                                        <a:pt x="7" y="116"/>
                                        <a:pt x="6" y="116"/>
                                        <a:pt x="5" y="114"/>
                                      </a:cubicBezTo>
                                      <a:cubicBezTo>
                                        <a:pt x="5" y="114"/>
                                        <a:pt x="5" y="114"/>
                                        <a:pt x="5" y="114"/>
                                      </a:cubicBezTo>
                                      <a:cubicBezTo>
                                        <a:pt x="4" y="112"/>
                                        <a:pt x="5" y="110"/>
                                        <a:pt x="7" y="109"/>
                                      </a:cubicBezTo>
                                      <a:cubicBezTo>
                                        <a:pt x="9" y="108"/>
                                        <a:pt x="11" y="109"/>
                                        <a:pt x="12" y="111"/>
                                      </a:cubicBezTo>
                                      <a:cubicBezTo>
                                        <a:pt x="13" y="113"/>
                                        <a:pt x="12" y="115"/>
                                        <a:pt x="10" y="116"/>
                                      </a:cubicBezTo>
                                      <a:cubicBezTo>
                                        <a:pt x="9" y="116"/>
                                        <a:pt x="9" y="116"/>
                                        <a:pt x="8" y="116"/>
                                      </a:cubicBezTo>
                                      <a:close/>
                                      <a:moveTo>
                                        <a:pt x="5" y="103"/>
                                      </a:moveTo>
                                      <a:cubicBezTo>
                                        <a:pt x="3" y="103"/>
                                        <a:pt x="2" y="102"/>
                                        <a:pt x="1" y="100"/>
                                      </a:cubicBezTo>
                                      <a:cubicBezTo>
                                        <a:pt x="1" y="99"/>
                                        <a:pt x="1" y="99"/>
                                        <a:pt x="1" y="99"/>
                                      </a:cubicBezTo>
                                      <a:cubicBezTo>
                                        <a:pt x="1" y="97"/>
                                        <a:pt x="2" y="96"/>
                                        <a:pt x="4" y="95"/>
                                      </a:cubicBezTo>
                                      <a:cubicBezTo>
                                        <a:pt x="6" y="95"/>
                                        <a:pt x="8" y="96"/>
                                        <a:pt x="8" y="98"/>
                                      </a:cubicBezTo>
                                      <a:cubicBezTo>
                                        <a:pt x="8" y="99"/>
                                        <a:pt x="8" y="99"/>
                                        <a:pt x="8" y="99"/>
                                      </a:cubicBezTo>
                                      <a:cubicBezTo>
                                        <a:pt x="9" y="101"/>
                                        <a:pt x="7" y="102"/>
                                        <a:pt x="6" y="103"/>
                                      </a:cubicBezTo>
                                      <a:cubicBezTo>
                                        <a:pt x="5" y="103"/>
                                        <a:pt x="5" y="103"/>
                                        <a:pt x="5" y="103"/>
                                      </a:cubicBezTo>
                                      <a:close/>
                                      <a:moveTo>
                                        <a:pt x="165" y="103"/>
                                      </a:moveTo>
                                      <a:cubicBezTo>
                                        <a:pt x="164" y="103"/>
                                        <a:pt x="164" y="103"/>
                                        <a:pt x="164" y="103"/>
                                      </a:cubicBezTo>
                                      <a:cubicBezTo>
                                        <a:pt x="162" y="102"/>
                                        <a:pt x="161" y="100"/>
                                        <a:pt x="161" y="98"/>
                                      </a:cubicBezTo>
                                      <a:cubicBezTo>
                                        <a:pt x="161" y="98"/>
                                        <a:pt x="161" y="98"/>
                                        <a:pt x="161" y="98"/>
                                      </a:cubicBezTo>
                                      <a:cubicBezTo>
                                        <a:pt x="162" y="96"/>
                                        <a:pt x="163" y="95"/>
                                        <a:pt x="165" y="95"/>
                                      </a:cubicBezTo>
                                      <a:cubicBezTo>
                                        <a:pt x="167" y="95"/>
                                        <a:pt x="169" y="97"/>
                                        <a:pt x="168" y="99"/>
                                      </a:cubicBezTo>
                                      <a:cubicBezTo>
                                        <a:pt x="168" y="100"/>
                                        <a:pt x="168" y="100"/>
                                        <a:pt x="168" y="100"/>
                                      </a:cubicBezTo>
                                      <a:cubicBezTo>
                                        <a:pt x="168" y="102"/>
                                        <a:pt x="166" y="103"/>
                                        <a:pt x="165" y="103"/>
                                      </a:cubicBezTo>
                                      <a:close/>
                                      <a:moveTo>
                                        <a:pt x="4" y="89"/>
                                      </a:moveTo>
                                      <a:cubicBezTo>
                                        <a:pt x="2" y="89"/>
                                        <a:pt x="0" y="87"/>
                                        <a:pt x="0" y="85"/>
                                      </a:cubicBezTo>
                                      <a:cubicBezTo>
                                        <a:pt x="0" y="84"/>
                                        <a:pt x="0" y="84"/>
                                        <a:pt x="0" y="84"/>
                                      </a:cubicBezTo>
                                      <a:cubicBezTo>
                                        <a:pt x="0" y="82"/>
                                        <a:pt x="2" y="81"/>
                                        <a:pt x="4" y="81"/>
                                      </a:cubicBezTo>
                                      <a:cubicBezTo>
                                        <a:pt x="6" y="81"/>
                                        <a:pt x="7" y="82"/>
                                        <a:pt x="7" y="84"/>
                                      </a:cubicBezTo>
                                      <a:cubicBezTo>
                                        <a:pt x="7" y="85"/>
                                        <a:pt x="7" y="85"/>
                                        <a:pt x="7" y="85"/>
                                      </a:cubicBezTo>
                                      <a:cubicBezTo>
                                        <a:pt x="7" y="87"/>
                                        <a:pt x="6" y="89"/>
                                        <a:pt x="4" y="89"/>
                                      </a:cubicBezTo>
                                      <a:close/>
                                      <a:moveTo>
                                        <a:pt x="166" y="89"/>
                                      </a:moveTo>
                                      <a:cubicBezTo>
                                        <a:pt x="164" y="89"/>
                                        <a:pt x="162" y="87"/>
                                        <a:pt x="162" y="85"/>
                                      </a:cubicBezTo>
                                      <a:cubicBezTo>
                                        <a:pt x="162" y="85"/>
                                        <a:pt x="162" y="85"/>
                                        <a:pt x="162" y="85"/>
                                      </a:cubicBezTo>
                                      <a:cubicBezTo>
                                        <a:pt x="162" y="83"/>
                                        <a:pt x="164" y="81"/>
                                        <a:pt x="166" y="81"/>
                                      </a:cubicBezTo>
                                      <a:cubicBezTo>
                                        <a:pt x="168" y="81"/>
                                        <a:pt x="170" y="83"/>
                                        <a:pt x="170" y="85"/>
                                      </a:cubicBezTo>
                                      <a:cubicBezTo>
                                        <a:pt x="170" y="85"/>
                                        <a:pt x="170" y="85"/>
                                        <a:pt x="170" y="85"/>
                                      </a:cubicBezTo>
                                      <a:cubicBezTo>
                                        <a:pt x="170" y="87"/>
                                        <a:pt x="168" y="89"/>
                                        <a:pt x="166" y="89"/>
                                      </a:cubicBezTo>
                                      <a:close/>
                                      <a:moveTo>
                                        <a:pt x="165" y="75"/>
                                      </a:moveTo>
                                      <a:cubicBezTo>
                                        <a:pt x="163" y="75"/>
                                        <a:pt x="161" y="73"/>
                                        <a:pt x="161" y="72"/>
                                      </a:cubicBezTo>
                                      <a:cubicBezTo>
                                        <a:pt x="161" y="71"/>
                                        <a:pt x="161" y="71"/>
                                        <a:pt x="161" y="71"/>
                                      </a:cubicBezTo>
                                      <a:cubicBezTo>
                                        <a:pt x="161" y="69"/>
                                        <a:pt x="162" y="67"/>
                                        <a:pt x="164" y="67"/>
                                      </a:cubicBezTo>
                                      <a:cubicBezTo>
                                        <a:pt x="166" y="67"/>
                                        <a:pt x="168" y="68"/>
                                        <a:pt x="168" y="70"/>
                                      </a:cubicBezTo>
                                      <a:cubicBezTo>
                                        <a:pt x="168" y="70"/>
                                        <a:pt x="168" y="70"/>
                                        <a:pt x="168" y="70"/>
                                      </a:cubicBezTo>
                                      <a:cubicBezTo>
                                        <a:pt x="169" y="72"/>
                                        <a:pt x="167" y="74"/>
                                        <a:pt x="165" y="75"/>
                                      </a:cubicBezTo>
                                      <a:cubicBezTo>
                                        <a:pt x="165" y="75"/>
                                        <a:pt x="165" y="75"/>
                                        <a:pt x="165" y="75"/>
                                      </a:cubicBezTo>
                                      <a:close/>
                                      <a:moveTo>
                                        <a:pt x="5" y="74"/>
                                      </a:moveTo>
                                      <a:cubicBezTo>
                                        <a:pt x="5" y="74"/>
                                        <a:pt x="4" y="74"/>
                                        <a:pt x="4" y="74"/>
                                      </a:cubicBezTo>
                                      <a:cubicBezTo>
                                        <a:pt x="2" y="74"/>
                                        <a:pt x="1" y="72"/>
                                        <a:pt x="1" y="70"/>
                                      </a:cubicBezTo>
                                      <a:cubicBezTo>
                                        <a:pt x="1" y="70"/>
                                        <a:pt x="1" y="70"/>
                                        <a:pt x="1" y="70"/>
                                      </a:cubicBezTo>
                                      <a:cubicBezTo>
                                        <a:pt x="2" y="68"/>
                                        <a:pt x="4" y="66"/>
                                        <a:pt x="6" y="67"/>
                                      </a:cubicBezTo>
                                      <a:cubicBezTo>
                                        <a:pt x="8" y="67"/>
                                        <a:pt x="9" y="69"/>
                                        <a:pt x="8" y="71"/>
                                      </a:cubicBezTo>
                                      <a:cubicBezTo>
                                        <a:pt x="8" y="71"/>
                                        <a:pt x="8" y="71"/>
                                        <a:pt x="8" y="71"/>
                                      </a:cubicBezTo>
                                      <a:cubicBezTo>
                                        <a:pt x="8" y="73"/>
                                        <a:pt x="7" y="74"/>
                                        <a:pt x="5" y="74"/>
                                      </a:cubicBezTo>
                                      <a:close/>
                                      <a:moveTo>
                                        <a:pt x="161" y="61"/>
                                      </a:moveTo>
                                      <a:cubicBezTo>
                                        <a:pt x="160" y="61"/>
                                        <a:pt x="158" y="60"/>
                                        <a:pt x="158" y="59"/>
                                      </a:cubicBezTo>
                                      <a:cubicBezTo>
                                        <a:pt x="157" y="57"/>
                                        <a:pt x="158" y="54"/>
                                        <a:pt x="160" y="54"/>
                                      </a:cubicBezTo>
                                      <a:cubicBezTo>
                                        <a:pt x="162" y="53"/>
                                        <a:pt x="164" y="54"/>
                                        <a:pt x="164" y="56"/>
                                      </a:cubicBezTo>
                                      <a:cubicBezTo>
                                        <a:pt x="165" y="56"/>
                                        <a:pt x="165" y="56"/>
                                        <a:pt x="165" y="56"/>
                                      </a:cubicBezTo>
                                      <a:cubicBezTo>
                                        <a:pt x="165" y="58"/>
                                        <a:pt x="164" y="60"/>
                                        <a:pt x="162" y="61"/>
                                      </a:cubicBezTo>
                                      <a:cubicBezTo>
                                        <a:pt x="162" y="61"/>
                                        <a:pt x="162" y="61"/>
                                        <a:pt x="161" y="61"/>
                                      </a:cubicBezTo>
                                      <a:close/>
                                      <a:moveTo>
                                        <a:pt x="8" y="60"/>
                                      </a:moveTo>
                                      <a:cubicBezTo>
                                        <a:pt x="8" y="60"/>
                                        <a:pt x="8" y="60"/>
                                        <a:pt x="7" y="60"/>
                                      </a:cubicBezTo>
                                      <a:cubicBezTo>
                                        <a:pt x="5" y="60"/>
                                        <a:pt x="4" y="58"/>
                                        <a:pt x="5" y="56"/>
                                      </a:cubicBezTo>
                                      <a:cubicBezTo>
                                        <a:pt x="5" y="55"/>
                                        <a:pt x="5" y="55"/>
                                        <a:pt x="5" y="55"/>
                                      </a:cubicBezTo>
                                      <a:cubicBezTo>
                                        <a:pt x="6" y="53"/>
                                        <a:pt x="8" y="53"/>
                                        <a:pt x="10" y="53"/>
                                      </a:cubicBezTo>
                                      <a:cubicBezTo>
                                        <a:pt x="12" y="54"/>
                                        <a:pt x="13" y="56"/>
                                        <a:pt x="12" y="58"/>
                                      </a:cubicBezTo>
                                      <a:cubicBezTo>
                                        <a:pt x="11" y="59"/>
                                        <a:pt x="10" y="60"/>
                                        <a:pt x="8" y="60"/>
                                      </a:cubicBezTo>
                                      <a:close/>
                                      <a:moveTo>
                                        <a:pt x="155" y="48"/>
                                      </a:moveTo>
                                      <a:cubicBezTo>
                                        <a:pt x="154" y="48"/>
                                        <a:pt x="153" y="47"/>
                                        <a:pt x="152" y="46"/>
                                      </a:cubicBezTo>
                                      <a:cubicBezTo>
                                        <a:pt x="152" y="46"/>
                                        <a:pt x="152" y="46"/>
                                        <a:pt x="152" y="46"/>
                                      </a:cubicBezTo>
                                      <a:cubicBezTo>
                                        <a:pt x="151" y="44"/>
                                        <a:pt x="151" y="42"/>
                                        <a:pt x="153" y="41"/>
                                      </a:cubicBezTo>
                                      <a:cubicBezTo>
                                        <a:pt x="155" y="40"/>
                                        <a:pt x="157" y="41"/>
                                        <a:pt x="158" y="42"/>
                                      </a:cubicBezTo>
                                      <a:cubicBezTo>
                                        <a:pt x="158" y="43"/>
                                        <a:pt x="158" y="43"/>
                                        <a:pt x="158" y="43"/>
                                      </a:cubicBezTo>
                                      <a:cubicBezTo>
                                        <a:pt x="159" y="44"/>
                                        <a:pt x="159" y="46"/>
                                        <a:pt x="157" y="48"/>
                                      </a:cubicBezTo>
                                      <a:cubicBezTo>
                                        <a:pt x="157" y="48"/>
                                        <a:pt x="156" y="48"/>
                                        <a:pt x="155" y="48"/>
                                      </a:cubicBezTo>
                                      <a:close/>
                                      <a:moveTo>
                                        <a:pt x="14" y="48"/>
                                      </a:moveTo>
                                      <a:cubicBezTo>
                                        <a:pt x="14" y="48"/>
                                        <a:pt x="13" y="47"/>
                                        <a:pt x="13" y="47"/>
                                      </a:cubicBezTo>
                                      <a:cubicBezTo>
                                        <a:pt x="11" y="46"/>
                                        <a:pt x="10" y="44"/>
                                        <a:pt x="11" y="42"/>
                                      </a:cubicBezTo>
                                      <a:cubicBezTo>
                                        <a:pt x="12" y="42"/>
                                        <a:pt x="12" y="42"/>
                                        <a:pt x="12" y="42"/>
                                      </a:cubicBezTo>
                                      <a:cubicBezTo>
                                        <a:pt x="13" y="40"/>
                                        <a:pt x="15" y="40"/>
                                        <a:pt x="17" y="41"/>
                                      </a:cubicBezTo>
                                      <a:cubicBezTo>
                                        <a:pt x="18" y="42"/>
                                        <a:pt x="19" y="44"/>
                                        <a:pt x="18" y="46"/>
                                      </a:cubicBezTo>
                                      <a:cubicBezTo>
                                        <a:pt x="17" y="47"/>
                                        <a:pt x="16" y="48"/>
                                        <a:pt x="14" y="48"/>
                                      </a:cubicBezTo>
                                      <a:close/>
                                      <a:moveTo>
                                        <a:pt x="147" y="36"/>
                                      </a:moveTo>
                                      <a:cubicBezTo>
                                        <a:pt x="146" y="36"/>
                                        <a:pt x="145" y="36"/>
                                        <a:pt x="144" y="35"/>
                                      </a:cubicBezTo>
                                      <a:cubicBezTo>
                                        <a:pt x="144" y="35"/>
                                        <a:pt x="144" y="35"/>
                                        <a:pt x="144" y="35"/>
                                      </a:cubicBezTo>
                                      <a:cubicBezTo>
                                        <a:pt x="143" y="33"/>
                                        <a:pt x="143" y="31"/>
                                        <a:pt x="145" y="30"/>
                                      </a:cubicBezTo>
                                      <a:cubicBezTo>
                                        <a:pt x="146" y="28"/>
                                        <a:pt x="148" y="29"/>
                                        <a:pt x="150" y="30"/>
                                      </a:cubicBezTo>
                                      <a:cubicBezTo>
                                        <a:pt x="150" y="31"/>
                                        <a:pt x="150" y="31"/>
                                        <a:pt x="150" y="31"/>
                                      </a:cubicBezTo>
                                      <a:cubicBezTo>
                                        <a:pt x="151" y="32"/>
                                        <a:pt x="151" y="34"/>
                                        <a:pt x="149" y="36"/>
                                      </a:cubicBezTo>
                                      <a:cubicBezTo>
                                        <a:pt x="149" y="36"/>
                                        <a:pt x="148" y="36"/>
                                        <a:pt x="147" y="36"/>
                                      </a:cubicBezTo>
                                      <a:close/>
                                      <a:moveTo>
                                        <a:pt x="23" y="36"/>
                                      </a:moveTo>
                                      <a:cubicBezTo>
                                        <a:pt x="22" y="36"/>
                                        <a:pt x="21" y="36"/>
                                        <a:pt x="20" y="35"/>
                                      </a:cubicBezTo>
                                      <a:cubicBezTo>
                                        <a:pt x="19" y="34"/>
                                        <a:pt x="19" y="32"/>
                                        <a:pt x="20" y="30"/>
                                      </a:cubicBezTo>
                                      <a:cubicBezTo>
                                        <a:pt x="20" y="30"/>
                                        <a:pt x="20" y="30"/>
                                        <a:pt x="20" y="30"/>
                                      </a:cubicBezTo>
                                      <a:cubicBezTo>
                                        <a:pt x="21" y="28"/>
                                        <a:pt x="24" y="28"/>
                                        <a:pt x="25" y="30"/>
                                      </a:cubicBezTo>
                                      <a:cubicBezTo>
                                        <a:pt x="27" y="31"/>
                                        <a:pt x="27" y="33"/>
                                        <a:pt x="26" y="35"/>
                                      </a:cubicBezTo>
                                      <a:cubicBezTo>
                                        <a:pt x="25" y="36"/>
                                        <a:pt x="24" y="36"/>
                                        <a:pt x="23" y="36"/>
                                      </a:cubicBezTo>
                                      <a:close/>
                                      <a:moveTo>
                                        <a:pt x="137" y="26"/>
                                      </a:moveTo>
                                      <a:cubicBezTo>
                                        <a:pt x="136" y="26"/>
                                        <a:pt x="136" y="26"/>
                                        <a:pt x="135" y="26"/>
                                      </a:cubicBezTo>
                                      <a:cubicBezTo>
                                        <a:pt x="134" y="25"/>
                                        <a:pt x="134" y="25"/>
                                        <a:pt x="134" y="25"/>
                                      </a:cubicBezTo>
                                      <a:cubicBezTo>
                                        <a:pt x="133" y="24"/>
                                        <a:pt x="133" y="22"/>
                                        <a:pt x="134" y="20"/>
                                      </a:cubicBezTo>
                                      <a:cubicBezTo>
                                        <a:pt x="135" y="19"/>
                                        <a:pt x="138" y="18"/>
                                        <a:pt x="139" y="20"/>
                                      </a:cubicBezTo>
                                      <a:cubicBezTo>
                                        <a:pt x="139" y="20"/>
                                        <a:pt x="139" y="20"/>
                                        <a:pt x="139" y="20"/>
                                      </a:cubicBezTo>
                                      <a:cubicBezTo>
                                        <a:pt x="141" y="21"/>
                                        <a:pt x="141" y="24"/>
                                        <a:pt x="140" y="25"/>
                                      </a:cubicBezTo>
                                      <a:cubicBezTo>
                                        <a:pt x="139" y="26"/>
                                        <a:pt x="138" y="26"/>
                                        <a:pt x="137" y="26"/>
                                      </a:cubicBezTo>
                                      <a:close/>
                                      <a:moveTo>
                                        <a:pt x="33" y="26"/>
                                      </a:moveTo>
                                      <a:cubicBezTo>
                                        <a:pt x="32" y="26"/>
                                        <a:pt x="31" y="26"/>
                                        <a:pt x="30" y="25"/>
                                      </a:cubicBezTo>
                                      <a:cubicBezTo>
                                        <a:pt x="29" y="23"/>
                                        <a:pt x="29" y="21"/>
                                        <a:pt x="30" y="20"/>
                                      </a:cubicBezTo>
                                      <a:cubicBezTo>
                                        <a:pt x="31" y="20"/>
                                        <a:pt x="31" y="20"/>
                                        <a:pt x="31" y="20"/>
                                      </a:cubicBezTo>
                                      <a:cubicBezTo>
                                        <a:pt x="32" y="18"/>
                                        <a:pt x="34" y="18"/>
                                        <a:pt x="36" y="20"/>
                                      </a:cubicBezTo>
                                      <a:cubicBezTo>
                                        <a:pt x="37" y="22"/>
                                        <a:pt x="37" y="24"/>
                                        <a:pt x="35" y="25"/>
                                      </a:cubicBezTo>
                                      <a:cubicBezTo>
                                        <a:pt x="35" y="25"/>
                                        <a:pt x="35" y="25"/>
                                        <a:pt x="35" y="25"/>
                                      </a:cubicBezTo>
                                      <a:cubicBezTo>
                                        <a:pt x="34" y="26"/>
                                        <a:pt x="33" y="26"/>
                                        <a:pt x="33" y="26"/>
                                      </a:cubicBezTo>
                                      <a:close/>
                                      <a:moveTo>
                                        <a:pt x="126" y="18"/>
                                      </a:moveTo>
                                      <a:cubicBezTo>
                                        <a:pt x="125" y="18"/>
                                        <a:pt x="124" y="18"/>
                                        <a:pt x="124" y="18"/>
                                      </a:cubicBezTo>
                                      <a:cubicBezTo>
                                        <a:pt x="122" y="17"/>
                                        <a:pt x="121" y="14"/>
                                        <a:pt x="122" y="13"/>
                                      </a:cubicBezTo>
                                      <a:cubicBezTo>
                                        <a:pt x="123" y="11"/>
                                        <a:pt x="125" y="10"/>
                                        <a:pt x="127" y="11"/>
                                      </a:cubicBezTo>
                                      <a:cubicBezTo>
                                        <a:pt x="127" y="12"/>
                                        <a:pt x="127" y="12"/>
                                        <a:pt x="127" y="12"/>
                                      </a:cubicBezTo>
                                      <a:cubicBezTo>
                                        <a:pt x="129" y="13"/>
                                        <a:pt x="130" y="15"/>
                                        <a:pt x="129" y="17"/>
                                      </a:cubicBezTo>
                                      <a:cubicBezTo>
                                        <a:pt x="128" y="18"/>
                                        <a:pt x="127" y="18"/>
                                        <a:pt x="126" y="18"/>
                                      </a:cubicBezTo>
                                      <a:close/>
                                      <a:moveTo>
                                        <a:pt x="44" y="18"/>
                                      </a:moveTo>
                                      <a:cubicBezTo>
                                        <a:pt x="43" y="18"/>
                                        <a:pt x="42" y="17"/>
                                        <a:pt x="41" y="16"/>
                                      </a:cubicBezTo>
                                      <a:cubicBezTo>
                                        <a:pt x="40" y="15"/>
                                        <a:pt x="41" y="12"/>
                                        <a:pt x="42" y="11"/>
                                      </a:cubicBezTo>
                                      <a:cubicBezTo>
                                        <a:pt x="43" y="11"/>
                                        <a:pt x="43" y="11"/>
                                        <a:pt x="43" y="11"/>
                                      </a:cubicBezTo>
                                      <a:cubicBezTo>
                                        <a:pt x="44" y="10"/>
                                        <a:pt x="47" y="11"/>
                                        <a:pt x="48" y="12"/>
                                      </a:cubicBezTo>
                                      <a:cubicBezTo>
                                        <a:pt x="49" y="14"/>
                                        <a:pt x="48" y="16"/>
                                        <a:pt x="46" y="17"/>
                                      </a:cubicBezTo>
                                      <a:cubicBezTo>
                                        <a:pt x="46" y="18"/>
                                        <a:pt x="46" y="18"/>
                                        <a:pt x="46" y="18"/>
                                      </a:cubicBezTo>
                                      <a:cubicBezTo>
                                        <a:pt x="45" y="18"/>
                                        <a:pt x="45" y="18"/>
                                        <a:pt x="44" y="18"/>
                                      </a:cubicBezTo>
                                      <a:close/>
                                      <a:moveTo>
                                        <a:pt x="113" y="12"/>
                                      </a:moveTo>
                                      <a:cubicBezTo>
                                        <a:pt x="112" y="12"/>
                                        <a:pt x="112" y="12"/>
                                        <a:pt x="112" y="12"/>
                                      </a:cubicBezTo>
                                      <a:cubicBezTo>
                                        <a:pt x="111" y="12"/>
                                        <a:pt x="111" y="12"/>
                                        <a:pt x="111" y="12"/>
                                      </a:cubicBezTo>
                                      <a:cubicBezTo>
                                        <a:pt x="109" y="11"/>
                                        <a:pt x="108" y="9"/>
                                        <a:pt x="109" y="7"/>
                                      </a:cubicBezTo>
                                      <a:cubicBezTo>
                                        <a:pt x="110" y="5"/>
                                        <a:pt x="112" y="4"/>
                                        <a:pt x="114" y="5"/>
                                      </a:cubicBezTo>
                                      <a:cubicBezTo>
                                        <a:pt x="114" y="5"/>
                                        <a:pt x="114" y="5"/>
                                        <a:pt x="114" y="5"/>
                                      </a:cubicBezTo>
                                      <a:cubicBezTo>
                                        <a:pt x="116" y="6"/>
                                        <a:pt x="117" y="8"/>
                                        <a:pt x="116" y="10"/>
                                      </a:cubicBezTo>
                                      <a:cubicBezTo>
                                        <a:pt x="116" y="11"/>
                                        <a:pt x="114" y="12"/>
                                        <a:pt x="113" y="12"/>
                                      </a:cubicBezTo>
                                      <a:close/>
                                      <a:moveTo>
                                        <a:pt x="57" y="12"/>
                                      </a:moveTo>
                                      <a:cubicBezTo>
                                        <a:pt x="56" y="12"/>
                                        <a:pt x="54" y="11"/>
                                        <a:pt x="54" y="10"/>
                                      </a:cubicBezTo>
                                      <a:cubicBezTo>
                                        <a:pt x="53" y="8"/>
                                        <a:pt x="54" y="6"/>
                                        <a:pt x="56" y="5"/>
                                      </a:cubicBezTo>
                                      <a:cubicBezTo>
                                        <a:pt x="56" y="5"/>
                                        <a:pt x="56" y="5"/>
                                        <a:pt x="56" y="5"/>
                                      </a:cubicBezTo>
                                      <a:cubicBezTo>
                                        <a:pt x="58" y="4"/>
                                        <a:pt x="60" y="5"/>
                                        <a:pt x="61" y="7"/>
                                      </a:cubicBezTo>
                                      <a:cubicBezTo>
                                        <a:pt x="61" y="9"/>
                                        <a:pt x="60" y="11"/>
                                        <a:pt x="59" y="12"/>
                                      </a:cubicBezTo>
                                      <a:cubicBezTo>
                                        <a:pt x="58" y="12"/>
                                        <a:pt x="58" y="12"/>
                                        <a:pt x="57" y="12"/>
                                      </a:cubicBezTo>
                                      <a:close/>
                                      <a:moveTo>
                                        <a:pt x="99" y="9"/>
                                      </a:moveTo>
                                      <a:cubicBezTo>
                                        <a:pt x="99" y="9"/>
                                        <a:pt x="99" y="8"/>
                                        <a:pt x="99" y="8"/>
                                      </a:cubicBezTo>
                                      <a:cubicBezTo>
                                        <a:pt x="98" y="8"/>
                                        <a:pt x="98" y="8"/>
                                        <a:pt x="98" y="8"/>
                                      </a:cubicBezTo>
                                      <a:cubicBezTo>
                                        <a:pt x="96" y="8"/>
                                        <a:pt x="95" y="6"/>
                                        <a:pt x="95" y="4"/>
                                      </a:cubicBezTo>
                                      <a:cubicBezTo>
                                        <a:pt x="96" y="2"/>
                                        <a:pt x="97" y="1"/>
                                        <a:pt x="99" y="1"/>
                                      </a:cubicBezTo>
                                      <a:cubicBezTo>
                                        <a:pt x="100" y="1"/>
                                        <a:pt x="100" y="1"/>
                                        <a:pt x="100" y="1"/>
                                      </a:cubicBezTo>
                                      <a:cubicBezTo>
                                        <a:pt x="102" y="2"/>
                                        <a:pt x="103" y="4"/>
                                        <a:pt x="103" y="6"/>
                                      </a:cubicBezTo>
                                      <a:cubicBezTo>
                                        <a:pt x="102" y="7"/>
                                        <a:pt x="101" y="9"/>
                                        <a:pt x="99" y="9"/>
                                      </a:cubicBezTo>
                                      <a:close/>
                                      <a:moveTo>
                                        <a:pt x="71" y="8"/>
                                      </a:moveTo>
                                      <a:cubicBezTo>
                                        <a:pt x="69" y="8"/>
                                        <a:pt x="67" y="7"/>
                                        <a:pt x="67" y="5"/>
                                      </a:cubicBezTo>
                                      <a:cubicBezTo>
                                        <a:pt x="67" y="4"/>
                                        <a:pt x="68" y="2"/>
                                        <a:pt x="70" y="1"/>
                                      </a:cubicBezTo>
                                      <a:cubicBezTo>
                                        <a:pt x="70" y="1"/>
                                        <a:pt x="70" y="1"/>
                                        <a:pt x="70" y="1"/>
                                      </a:cubicBezTo>
                                      <a:cubicBezTo>
                                        <a:pt x="72" y="1"/>
                                        <a:pt x="74" y="2"/>
                                        <a:pt x="75" y="4"/>
                                      </a:cubicBezTo>
                                      <a:cubicBezTo>
                                        <a:pt x="75" y="6"/>
                                        <a:pt x="74" y="8"/>
                                        <a:pt x="72" y="8"/>
                                      </a:cubicBezTo>
                                      <a:cubicBezTo>
                                        <a:pt x="71" y="8"/>
                                        <a:pt x="71" y="8"/>
                                        <a:pt x="71" y="8"/>
                                      </a:cubicBezTo>
                                      <a:cubicBezTo>
                                        <a:pt x="71" y="8"/>
                                        <a:pt x="71" y="8"/>
                                        <a:pt x="71" y="8"/>
                                      </a:cubicBezTo>
                                      <a:close/>
                                      <a:moveTo>
                                        <a:pt x="85" y="7"/>
                                      </a:moveTo>
                                      <a:cubicBezTo>
                                        <a:pt x="85" y="7"/>
                                        <a:pt x="85" y="7"/>
                                        <a:pt x="85" y="7"/>
                                      </a:cubicBezTo>
                                      <a:cubicBezTo>
                                        <a:pt x="85" y="7"/>
                                        <a:pt x="85" y="7"/>
                                        <a:pt x="85" y="7"/>
                                      </a:cubicBezTo>
                                      <a:cubicBezTo>
                                        <a:pt x="83" y="7"/>
                                        <a:pt x="81" y="6"/>
                                        <a:pt x="81" y="4"/>
                                      </a:cubicBezTo>
                                      <a:cubicBezTo>
                                        <a:pt x="81" y="2"/>
                                        <a:pt x="83" y="0"/>
                                        <a:pt x="85" y="0"/>
                                      </a:cubicBezTo>
                                      <a:cubicBezTo>
                                        <a:pt x="85" y="0"/>
                                        <a:pt x="85" y="0"/>
                                        <a:pt x="85" y="0"/>
                                      </a:cubicBezTo>
                                      <a:cubicBezTo>
                                        <a:pt x="87" y="0"/>
                                        <a:pt x="89" y="2"/>
                                        <a:pt x="89" y="4"/>
                                      </a:cubicBezTo>
                                      <a:cubicBezTo>
                                        <a:pt x="89" y="6"/>
                                        <a:pt x="87" y="7"/>
                                        <a:pt x="85" y="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Freeform 17"/>
                              <wps:cNvSpPr>
                                <a:spLocks/>
                              </wps:cNvSpPr>
                              <wps:spPr bwMode="auto">
                                <a:xfrm>
                                  <a:off x="187325" y="146050"/>
                                  <a:ext cx="258763" cy="344488"/>
                                </a:xfrm>
                                <a:custGeom>
                                  <a:avLst/>
                                  <a:gdLst>
                                    <a:gd name="T0" fmla="*/ 37 w 69"/>
                                    <a:gd name="T1" fmla="*/ 91 h 92"/>
                                    <a:gd name="T2" fmla="*/ 68 w 69"/>
                                    <a:gd name="T3" fmla="*/ 60 h 92"/>
                                    <a:gd name="T4" fmla="*/ 69 w 69"/>
                                    <a:gd name="T5" fmla="*/ 57 h 92"/>
                                    <a:gd name="T6" fmla="*/ 65 w 69"/>
                                    <a:gd name="T7" fmla="*/ 53 h 92"/>
                                    <a:gd name="T8" fmla="*/ 63 w 69"/>
                                    <a:gd name="T9" fmla="*/ 55 h 92"/>
                                    <a:gd name="T10" fmla="*/ 39 w 69"/>
                                    <a:gd name="T11" fmla="*/ 79 h 92"/>
                                    <a:gd name="T12" fmla="*/ 39 w 69"/>
                                    <a:gd name="T13" fmla="*/ 4 h 92"/>
                                    <a:gd name="T14" fmla="*/ 35 w 69"/>
                                    <a:gd name="T15" fmla="*/ 0 h 92"/>
                                    <a:gd name="T16" fmla="*/ 31 w 69"/>
                                    <a:gd name="T17" fmla="*/ 4 h 92"/>
                                    <a:gd name="T18" fmla="*/ 31 w 69"/>
                                    <a:gd name="T19" fmla="*/ 79 h 92"/>
                                    <a:gd name="T20" fmla="*/ 7 w 69"/>
                                    <a:gd name="T21" fmla="*/ 55 h 92"/>
                                    <a:gd name="T22" fmla="*/ 4 w 69"/>
                                    <a:gd name="T23" fmla="*/ 53 h 92"/>
                                    <a:gd name="T24" fmla="*/ 0 w 69"/>
                                    <a:gd name="T25" fmla="*/ 57 h 92"/>
                                    <a:gd name="T26" fmla="*/ 1 w 69"/>
                                    <a:gd name="T27" fmla="*/ 60 h 92"/>
                                    <a:gd name="T28" fmla="*/ 32 w 69"/>
                                    <a:gd name="T29" fmla="*/ 91 h 92"/>
                                    <a:gd name="T30" fmla="*/ 35 w 69"/>
                                    <a:gd name="T31" fmla="*/ 92 h 92"/>
                                    <a:gd name="T32" fmla="*/ 37 w 69"/>
                                    <a:gd name="T33" fmla="*/ 9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92">
                                      <a:moveTo>
                                        <a:pt x="37" y="91"/>
                                      </a:moveTo>
                                      <a:cubicBezTo>
                                        <a:pt x="68" y="60"/>
                                        <a:pt x="68" y="60"/>
                                        <a:pt x="68" y="60"/>
                                      </a:cubicBezTo>
                                      <a:cubicBezTo>
                                        <a:pt x="69" y="59"/>
                                        <a:pt x="69" y="58"/>
                                        <a:pt x="69" y="57"/>
                                      </a:cubicBezTo>
                                      <a:cubicBezTo>
                                        <a:pt x="69" y="55"/>
                                        <a:pt x="68" y="53"/>
                                        <a:pt x="65" y="53"/>
                                      </a:cubicBezTo>
                                      <a:cubicBezTo>
                                        <a:pt x="64" y="53"/>
                                        <a:pt x="63" y="54"/>
                                        <a:pt x="63" y="55"/>
                                      </a:cubicBezTo>
                                      <a:cubicBezTo>
                                        <a:pt x="39" y="79"/>
                                        <a:pt x="39" y="79"/>
                                        <a:pt x="39" y="79"/>
                                      </a:cubicBezTo>
                                      <a:cubicBezTo>
                                        <a:pt x="39" y="4"/>
                                        <a:pt x="39" y="4"/>
                                        <a:pt x="39" y="4"/>
                                      </a:cubicBezTo>
                                      <a:cubicBezTo>
                                        <a:pt x="39" y="1"/>
                                        <a:pt x="37" y="0"/>
                                        <a:pt x="35" y="0"/>
                                      </a:cubicBezTo>
                                      <a:cubicBezTo>
                                        <a:pt x="33" y="0"/>
                                        <a:pt x="31" y="1"/>
                                        <a:pt x="31" y="4"/>
                                      </a:cubicBezTo>
                                      <a:cubicBezTo>
                                        <a:pt x="31" y="79"/>
                                        <a:pt x="31" y="79"/>
                                        <a:pt x="31" y="79"/>
                                      </a:cubicBezTo>
                                      <a:cubicBezTo>
                                        <a:pt x="7" y="55"/>
                                        <a:pt x="7" y="55"/>
                                        <a:pt x="7" y="55"/>
                                      </a:cubicBezTo>
                                      <a:cubicBezTo>
                                        <a:pt x="6" y="54"/>
                                        <a:pt x="5" y="53"/>
                                        <a:pt x="4" y="53"/>
                                      </a:cubicBezTo>
                                      <a:cubicBezTo>
                                        <a:pt x="2" y="53"/>
                                        <a:pt x="0" y="55"/>
                                        <a:pt x="0" y="57"/>
                                      </a:cubicBezTo>
                                      <a:cubicBezTo>
                                        <a:pt x="0" y="58"/>
                                        <a:pt x="1" y="59"/>
                                        <a:pt x="1" y="60"/>
                                      </a:cubicBezTo>
                                      <a:cubicBezTo>
                                        <a:pt x="32" y="91"/>
                                        <a:pt x="32" y="91"/>
                                        <a:pt x="32" y="91"/>
                                      </a:cubicBezTo>
                                      <a:cubicBezTo>
                                        <a:pt x="33" y="91"/>
                                        <a:pt x="34" y="92"/>
                                        <a:pt x="35" y="92"/>
                                      </a:cubicBezTo>
                                      <a:cubicBezTo>
                                        <a:pt x="36" y="92"/>
                                        <a:pt x="37" y="91"/>
                                        <a:pt x="37" y="9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AACFA40" id="Group 7" o:spid="_x0000_s1026" alt="Title: Image only  - Description: Image only " style="position:absolute;margin-left:12.1pt;margin-top:10.1pt;width:22.65pt;height:22.65pt;z-index:251656192;mso-width-relative:margin;mso-height-relative:margin" coordsize="636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">
                      <v:shape id="Freeform 16" o:spid="_x0000_s1027" style="position:absolute;width:6365;height:6381;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" path="m85,170v,,,,,c83,170,81,168,81,166v,-2,2,-4,4,-4c85,162,85,162,85,162v2,,4,2,4,4c89,168,87,170,85,170xm71,168v,,,,-1,c70,168,70,168,70,168v-2,,-3,-2,-3,-4c67,162,69,161,71,161v1,,1,,1,c74,162,75,163,75,165v-1,2,-2,3,-4,3xm99,168v-2,,-4,-1,-4,-3c95,163,96,162,98,161v,,,,,c100,161,102,162,103,164v,2,-1,4,-3,4c99,168,99,168,99,168v,,,,,xm57,165v,,-1,,-1,c56,164,56,164,56,164v-2,,-3,-2,-3,-4c54,158,56,157,58,158v1,,1,,1,c60,158,61,161,61,162v-1,2,-2,3,-4,3xm112,165v-1,,-3,-1,-3,-3c108,160,109,158,111,158v2,-1,4,,5,2c117,162,116,164,114,164v,1,,1,,1c113,165,113,165,112,165xm44,159v,,-1,,-1,-1c42,158,42,158,42,158v-2,-1,-2,-3,-1,-5c42,151,44,151,46,152v2,1,2,3,1,5c47,158,46,159,44,159xm125,159v-1,,-2,-1,-3,-2c121,155,122,153,123,152v1,,1,,1,c126,151,128,151,129,153v1,2,,4,-2,5c127,158,127,158,127,158v-1,1,-1,1,-2,1xm33,151v-1,,-2,-1,-2,-1c31,150,30,150,30,150v-1,-2,-1,-4,,-5c31,143,33,143,35,144v,,,,,c37,146,37,148,36,149v-1,1,-2,2,-3,2xm137,151v-1,,-2,-1,-3,-2c133,148,133,146,134,144v1,,1,,1,c136,143,139,143,140,144v1,2,1,4,-1,6c139,150,139,150,139,150v-1,,-1,1,-2,1xm23,141v-1,,-2,-1,-3,-2c20,139,20,139,20,139v-2,-1,-1,-4,,-5c22,133,24,133,25,134v1,1,1,1,1,1c27,136,27,139,25,140v-1,,-1,1,-2,1xm147,141v-1,,-2,-1,-3,-1c143,139,143,136,144,135v,-1,,-1,,-1c146,133,148,133,149,134v2,1,2,4,1,5c150,139,150,139,150,139v-1,1,-2,2,-3,2xm15,129v-2,,-3,,-4,-2c11,127,11,127,11,127v-1,-2,,-4,1,-5c14,121,16,122,17,123v1,1,1,1,1,1c19,126,18,128,16,129v,,-1,,-1,xm155,129v-1,,-1,,-2,c151,128,151,125,152,124v1,-2,3,-3,5,-2c159,123,159,125,158,127v,,,,,c157,129,156,129,155,129xm161,116v,,-1,,-1,c158,116,157,113,158,112v,-1,,-1,,-1c158,109,160,108,162,109v2,1,3,3,3,5c164,114,164,114,164,114v,1,-2,2,-3,2xm8,116v-1,,-2,,-3,-2c5,114,5,114,5,114v-1,-2,,-4,2,-5c9,108,11,109,12,111v1,2,,4,-2,5c9,116,9,116,8,116xm5,103v-2,,-3,-1,-4,-3c1,99,1,99,1,99v,-2,1,-3,3,-4c6,95,8,96,8,98v,1,,1,,1c9,101,7,102,6,103v-1,,-1,,-1,xm165,103v-1,,-1,,-1,c162,102,161,100,161,98v,,,,,c162,96,163,95,165,95v2,,4,2,3,4c168,100,168,100,168,100v,2,-2,3,-3,3xm4,89c2,89,,87,,85,,84,,84,,84,,82,2,81,4,81v2,,3,1,3,3c7,85,7,85,7,85v,2,-1,4,-3,4xm166,89v-2,,-4,-2,-4,-4c162,85,162,85,162,85v,-2,2,-4,4,-4c168,81,170,83,170,85v,,,,,c170,87,168,89,166,89xm165,75v-2,,-4,-2,-4,-3c161,71,161,71,161,71v,-2,1,-4,3,-4c166,67,168,68,168,70v,,,,,c169,72,167,74,165,75v,,,,,xm5,74v,,-1,,-1,c2,74,1,72,1,70v,,,,,c2,68,4,66,6,67v2,,3,2,2,4c8,71,8,71,8,71v,2,-1,3,-3,3xm161,61v-1,,-3,-1,-3,-2c157,57,158,54,160,54v2,-1,4,,4,2c165,56,165,56,165,56v,2,-1,4,-3,5c162,61,162,61,161,61xm8,60v,,,,-1,c5,60,4,58,5,56v,-1,,-1,,-1c6,53,8,53,10,53v2,1,3,3,2,5c11,59,10,60,8,60xm155,48v-1,,-2,-1,-3,-2c152,46,152,46,152,46v-1,-2,-1,-4,1,-5c155,40,157,41,158,42v,1,,1,,1c159,44,159,46,157,48v,,-1,,-2,xm14,48v,,-1,-1,-1,-1c11,46,10,44,11,42v1,,1,,1,c13,40,15,40,17,41v1,1,2,3,1,5c17,47,16,48,14,48xm147,36v-1,,-2,,-3,-1c144,35,144,35,144,35v-1,-2,-1,-4,1,-5c146,28,148,29,150,30v,1,,1,,1c151,32,151,34,149,36v,,-1,,-2,xm23,36v-1,,-2,,-3,-1c19,34,19,32,20,30v,,,,,c21,28,24,28,25,30v2,1,2,3,1,5c25,36,24,36,23,36xm137,26v-1,,-1,,-2,c134,25,134,25,134,25v-1,-1,-1,-3,,-5c135,19,138,18,139,20v,,,,,c141,21,141,24,140,25v-1,1,-2,1,-3,1xm33,26v-1,,-2,,-3,-1c29,23,29,21,30,20v1,,1,,1,c32,18,34,18,36,20v1,2,1,4,-1,5c35,25,35,25,35,25v-1,1,-2,1,-2,1xm126,18v-1,,-2,,-2,c122,17,121,14,122,13v1,-2,3,-3,5,-2c127,12,127,12,127,12v2,1,3,3,2,5c128,18,127,18,126,18xm44,18v-1,,-2,-1,-3,-2c40,15,41,12,42,11v1,,1,,1,c44,10,47,11,48,12v1,2,,4,-2,5c46,18,46,18,46,18v-1,,-1,,-2,xm113,12v-1,,-1,,-1,c111,12,111,12,111,12v-2,-1,-3,-3,-2,-5c110,5,112,4,114,5v,,,,,c116,6,117,8,116,10v,1,-2,2,-3,2xm57,12v-1,,-3,-1,-3,-2c53,8,54,6,56,5v,,,,,c58,4,60,5,61,7v,2,-1,4,-2,5c58,12,58,12,57,12xm99,9v,,,-1,,-1c98,8,98,8,98,8,96,8,95,6,95,4,96,2,97,1,99,1v1,,1,,1,c102,2,103,4,103,6v-1,1,-2,3,-4,3xm71,8c69,8,67,7,67,5v,-1,1,-3,3,-4c70,1,70,1,70,1v2,,4,1,5,3c75,6,74,8,72,8v-1,,-1,,-1,c71,8,71,8,71,8xm85,7v,,,,,c85,7,85,7,85,7,83,7,81,6,81,4,81,2,83,,85,v,,,,,c87,,89,2,89,4v,2,-2,3,-4,3xe" filled="f" stroked="f">
                        <v:path arrowok="t" o:connecttype="custom" o:connectlocs="318294,608143;262124,630667;265869,630667;385697,615651;209700,619405;228423,608143;434378,600635;161019,593127;164764,596881;483058,574358;116084,563096;134807,559342;505526,540572;86127,529310;97361,506786;539227,506786;550461,529310;63659,461738;572929,484262;580418,484262;606631,409183;18723,427953;29957,435461;29957,367889;614120,386659;629099,375397;14979,304072;606631,319088;621609,334103;629099,262778;14979,277794;29957,266532;614120,210222;26212,225238;29957,225238;591652,157667;48680,176437;52425,180191;561695,112619;74893,131389;86127,135143;520504,75079;112339,93849;131062,93849;475569,41294;153530,60064;172253,67571;408165,26278;213444,45048;220933,45048;355740,15016;265869,30032;269614,30032;318294,26278;318294,26278" o:connectangles="0,0,0,0,0,0,0,0,0,0,0,0,0,0,0,0,0,0,0,0,0,0,0,0,0,0,0,0,0,0,0,0,0,0,0,0,0,0,0,0,0,0,0,0,0,0,0,0,0,0,0,0,0,0,0"/>
                        <o:lock v:ext="edit" verticies="t"/>
                      </v:shape>
                      <v:shape id="Freeform 17" o:spid="_x0000_s1028" style="position:absolute;left:1873;top:1460;width:2587;height:3445;visibility:visible;mso-wrap-style:square;v-text-anchor:top" coordsize="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" path="m37,91c68,60,68,60,68,60v1,-1,1,-2,1,-3c69,55,68,53,65,53v-1,,-2,1,-2,2c39,79,39,79,39,79,39,4,39,4,39,4,39,1,37,,35,,33,,31,1,31,4v,75,,75,,75c7,55,7,55,7,55,6,54,5,53,4,53,2,53,,55,,57v,1,1,2,1,3c32,91,32,91,32,91v1,,2,1,3,1c36,92,37,91,37,91e" filled="f" stroked="f">
                        <v:path arrowok="t" o:connecttype="custom" o:connectlocs="138757,340744;255013,224666;258763,213433;243762,198455;236262,205944;146257,295810;146257,14978;131257,0;116256,14978;116256,295810;26251,205944;15001,198455;0,213433;3750,224666;120006,340744;131257,344488;138757,340744" o:connectangles="0,0,0,0,0,0,0,0,0,0,0,0,0,0,0,0,0"/>
                      </v:shape>
                    </v:group>
                  </w:pict>
                </mc:Fallback>
              </mc:AlternateContent>
            </w:r>
            <w:r>
              <w:rPr>
                <w:noProof/>
                <w:color w:val="000000"/>
                <w:sz w:val="17"/>
                <w:szCs w:val="17"/>
                <w:lang w:eastAsia="en-AU"/>
              </w:rPr>
              <mc:AlternateContent>
                <mc:Choice Requires="wpg">
                  <w:drawing>
                    <wp:inline distT="0" distB="0" distL="0" distR="0" wp14:anchorId="6F0FCF9C" wp14:editId="57EEF432">
                      <wp:extent cx="236220" cy="288290"/>
                      <wp:effectExtent l="2540" t="635" r="0" b="0"/>
                      <wp:docPr id="19" name="Group 15390" descr="Image only" title="Image only"/>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6220" cy="288290"/>
                                <a:chOff x="0" y="0"/>
                                <a:chExt cx="3921" cy="5397"/>
                              </a:xfrm>
                            </wpg:grpSpPr>
                            <wps:wsp>
                              <wps:cNvPr id="20" name="Freeform 58"/>
                              <wps:cNvSpPr>
                                <a:spLocks noChangeAspect="1" noEditPoints="1"/>
                              </wps:cNvSpPr>
                              <wps:spPr bwMode="auto">
                                <a:xfrm>
                                  <a:off x="1047" y="2524"/>
                                  <a:ext cx="1826" cy="1857"/>
                                </a:xfrm>
                                <a:custGeom>
                                  <a:avLst/>
                                  <a:gdLst>
                                    <a:gd name="T0" fmla="*/ 115888 w 115"/>
                                    <a:gd name="T1" fmla="*/ 19050 h 117"/>
                                    <a:gd name="T2" fmla="*/ 115888 w 115"/>
                                    <a:gd name="T3" fmla="*/ 69850 h 117"/>
                                    <a:gd name="T4" fmla="*/ 163513 w 115"/>
                                    <a:gd name="T5" fmla="*/ 69850 h 117"/>
                                    <a:gd name="T6" fmla="*/ 163513 w 115"/>
                                    <a:gd name="T7" fmla="*/ 115888 h 117"/>
                                    <a:gd name="T8" fmla="*/ 115888 w 115"/>
                                    <a:gd name="T9" fmla="*/ 115888 h 117"/>
                                    <a:gd name="T10" fmla="*/ 115888 w 115"/>
                                    <a:gd name="T11" fmla="*/ 166688 h 117"/>
                                    <a:gd name="T12" fmla="*/ 66675 w 115"/>
                                    <a:gd name="T13" fmla="*/ 166688 h 117"/>
                                    <a:gd name="T14" fmla="*/ 66675 w 115"/>
                                    <a:gd name="T15" fmla="*/ 115888 h 117"/>
                                    <a:gd name="T16" fmla="*/ 19050 w 115"/>
                                    <a:gd name="T17" fmla="*/ 115888 h 117"/>
                                    <a:gd name="T18" fmla="*/ 19050 w 115"/>
                                    <a:gd name="T19" fmla="*/ 69850 h 117"/>
                                    <a:gd name="T20" fmla="*/ 66675 w 115"/>
                                    <a:gd name="T21" fmla="*/ 69850 h 117"/>
                                    <a:gd name="T22" fmla="*/ 66675 w 115"/>
                                    <a:gd name="T23" fmla="*/ 19050 h 117"/>
                                    <a:gd name="T24" fmla="*/ 115888 w 115"/>
                                    <a:gd name="T25" fmla="*/ 19050 h 117"/>
                                    <a:gd name="T26" fmla="*/ 134938 w 115"/>
                                    <a:gd name="T27" fmla="*/ 0 h 117"/>
                                    <a:gd name="T28" fmla="*/ 115888 w 115"/>
                                    <a:gd name="T29" fmla="*/ 0 h 117"/>
                                    <a:gd name="T30" fmla="*/ 66675 w 115"/>
                                    <a:gd name="T31" fmla="*/ 0 h 117"/>
                                    <a:gd name="T32" fmla="*/ 47625 w 115"/>
                                    <a:gd name="T33" fmla="*/ 0 h 117"/>
                                    <a:gd name="T34" fmla="*/ 47625 w 115"/>
                                    <a:gd name="T35" fmla="*/ 19050 h 117"/>
                                    <a:gd name="T36" fmla="*/ 47625 w 115"/>
                                    <a:gd name="T37" fmla="*/ 50800 h 117"/>
                                    <a:gd name="T38" fmla="*/ 19050 w 115"/>
                                    <a:gd name="T39" fmla="*/ 50800 h 117"/>
                                    <a:gd name="T40" fmla="*/ 0 w 115"/>
                                    <a:gd name="T41" fmla="*/ 50800 h 117"/>
                                    <a:gd name="T42" fmla="*/ 0 w 115"/>
                                    <a:gd name="T43" fmla="*/ 69850 h 117"/>
                                    <a:gd name="T44" fmla="*/ 0 w 115"/>
                                    <a:gd name="T45" fmla="*/ 115888 h 117"/>
                                    <a:gd name="T46" fmla="*/ 0 w 115"/>
                                    <a:gd name="T47" fmla="*/ 134938 h 117"/>
                                    <a:gd name="T48" fmla="*/ 19050 w 115"/>
                                    <a:gd name="T49" fmla="*/ 134938 h 117"/>
                                    <a:gd name="T50" fmla="*/ 47625 w 115"/>
                                    <a:gd name="T51" fmla="*/ 134938 h 117"/>
                                    <a:gd name="T52" fmla="*/ 47625 w 115"/>
                                    <a:gd name="T53" fmla="*/ 166688 h 117"/>
                                    <a:gd name="T54" fmla="*/ 47625 w 115"/>
                                    <a:gd name="T55" fmla="*/ 185738 h 117"/>
                                    <a:gd name="T56" fmla="*/ 66675 w 115"/>
                                    <a:gd name="T57" fmla="*/ 185738 h 117"/>
                                    <a:gd name="T58" fmla="*/ 115888 w 115"/>
                                    <a:gd name="T59" fmla="*/ 185738 h 117"/>
                                    <a:gd name="T60" fmla="*/ 134938 w 115"/>
                                    <a:gd name="T61" fmla="*/ 185738 h 117"/>
                                    <a:gd name="T62" fmla="*/ 134938 w 115"/>
                                    <a:gd name="T63" fmla="*/ 166688 h 117"/>
                                    <a:gd name="T64" fmla="*/ 134938 w 115"/>
                                    <a:gd name="T65" fmla="*/ 134938 h 117"/>
                                    <a:gd name="T66" fmla="*/ 163513 w 115"/>
                                    <a:gd name="T67" fmla="*/ 134938 h 117"/>
                                    <a:gd name="T68" fmla="*/ 182563 w 115"/>
                                    <a:gd name="T69" fmla="*/ 134938 h 117"/>
                                    <a:gd name="T70" fmla="*/ 182563 w 115"/>
                                    <a:gd name="T71" fmla="*/ 115888 h 117"/>
                                    <a:gd name="T72" fmla="*/ 182563 w 115"/>
                                    <a:gd name="T73" fmla="*/ 69850 h 117"/>
                                    <a:gd name="T74" fmla="*/ 182563 w 115"/>
                                    <a:gd name="T75" fmla="*/ 50800 h 117"/>
                                    <a:gd name="T76" fmla="*/ 163513 w 115"/>
                                    <a:gd name="T77" fmla="*/ 50800 h 117"/>
                                    <a:gd name="T78" fmla="*/ 134938 w 115"/>
                                    <a:gd name="T79" fmla="*/ 50800 h 117"/>
                                    <a:gd name="T80" fmla="*/ 134938 w 115"/>
                                    <a:gd name="T81" fmla="*/ 19050 h 117"/>
                                    <a:gd name="T82" fmla="*/ 134938 w 115"/>
                                    <a:gd name="T83" fmla="*/ 0 h 117"/>
                                    <a:gd name="T84" fmla="*/ 134938 w 115"/>
                                    <a:gd name="T85" fmla="*/ 0 h 11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15" h="117">
                                      <a:moveTo>
                                        <a:pt x="73" y="12"/>
                                      </a:moveTo>
                                      <a:lnTo>
                                        <a:pt x="73" y="44"/>
                                      </a:lnTo>
                                      <a:lnTo>
                                        <a:pt x="103" y="44"/>
                                      </a:lnTo>
                                      <a:lnTo>
                                        <a:pt x="103" y="73"/>
                                      </a:lnTo>
                                      <a:lnTo>
                                        <a:pt x="73" y="73"/>
                                      </a:lnTo>
                                      <a:lnTo>
                                        <a:pt x="73" y="105"/>
                                      </a:lnTo>
                                      <a:lnTo>
                                        <a:pt x="42" y="105"/>
                                      </a:lnTo>
                                      <a:lnTo>
                                        <a:pt x="42" y="73"/>
                                      </a:lnTo>
                                      <a:lnTo>
                                        <a:pt x="12" y="73"/>
                                      </a:lnTo>
                                      <a:lnTo>
                                        <a:pt x="12" y="44"/>
                                      </a:lnTo>
                                      <a:lnTo>
                                        <a:pt x="42" y="44"/>
                                      </a:lnTo>
                                      <a:lnTo>
                                        <a:pt x="42" y="12"/>
                                      </a:lnTo>
                                      <a:lnTo>
                                        <a:pt x="73" y="12"/>
                                      </a:lnTo>
                                      <a:close/>
                                      <a:moveTo>
                                        <a:pt x="85" y="0"/>
                                      </a:moveTo>
                                      <a:lnTo>
                                        <a:pt x="73" y="0"/>
                                      </a:lnTo>
                                      <a:lnTo>
                                        <a:pt x="42" y="0"/>
                                      </a:lnTo>
                                      <a:lnTo>
                                        <a:pt x="30" y="0"/>
                                      </a:lnTo>
                                      <a:lnTo>
                                        <a:pt x="30" y="12"/>
                                      </a:lnTo>
                                      <a:lnTo>
                                        <a:pt x="30" y="32"/>
                                      </a:lnTo>
                                      <a:lnTo>
                                        <a:pt x="12" y="32"/>
                                      </a:lnTo>
                                      <a:lnTo>
                                        <a:pt x="0" y="32"/>
                                      </a:lnTo>
                                      <a:lnTo>
                                        <a:pt x="0" y="44"/>
                                      </a:lnTo>
                                      <a:lnTo>
                                        <a:pt x="0" y="73"/>
                                      </a:lnTo>
                                      <a:lnTo>
                                        <a:pt x="0" y="85"/>
                                      </a:lnTo>
                                      <a:lnTo>
                                        <a:pt x="12" y="85"/>
                                      </a:lnTo>
                                      <a:lnTo>
                                        <a:pt x="30" y="85"/>
                                      </a:lnTo>
                                      <a:lnTo>
                                        <a:pt x="30" y="105"/>
                                      </a:lnTo>
                                      <a:lnTo>
                                        <a:pt x="30" y="117"/>
                                      </a:lnTo>
                                      <a:lnTo>
                                        <a:pt x="42" y="117"/>
                                      </a:lnTo>
                                      <a:lnTo>
                                        <a:pt x="73" y="117"/>
                                      </a:lnTo>
                                      <a:lnTo>
                                        <a:pt x="85" y="117"/>
                                      </a:lnTo>
                                      <a:lnTo>
                                        <a:pt x="85" y="105"/>
                                      </a:lnTo>
                                      <a:lnTo>
                                        <a:pt x="85" y="85"/>
                                      </a:lnTo>
                                      <a:lnTo>
                                        <a:pt x="103" y="85"/>
                                      </a:lnTo>
                                      <a:lnTo>
                                        <a:pt x="115" y="85"/>
                                      </a:lnTo>
                                      <a:lnTo>
                                        <a:pt x="115" y="73"/>
                                      </a:lnTo>
                                      <a:lnTo>
                                        <a:pt x="115" y="44"/>
                                      </a:lnTo>
                                      <a:lnTo>
                                        <a:pt x="115" y="32"/>
                                      </a:lnTo>
                                      <a:lnTo>
                                        <a:pt x="103" y="32"/>
                                      </a:lnTo>
                                      <a:lnTo>
                                        <a:pt x="85" y="32"/>
                                      </a:lnTo>
                                      <a:lnTo>
                                        <a:pt x="85" y="12"/>
                                      </a:lnTo>
                                      <a:lnTo>
                                        <a:pt x="85"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1" name="Freeform 59"/>
                              <wps:cNvSpPr>
                                <a:spLocks noChangeAspect="1" noEditPoints="1"/>
                              </wps:cNvSpPr>
                              <wps:spPr bwMode="auto">
                                <a:xfrm>
                                  <a:off x="1047" y="2524"/>
                                  <a:ext cx="1826" cy="1857"/>
                                </a:xfrm>
                                <a:custGeom>
                                  <a:avLst/>
                                  <a:gdLst>
                                    <a:gd name="T0" fmla="*/ 115888 w 115"/>
                                    <a:gd name="T1" fmla="*/ 19050 h 117"/>
                                    <a:gd name="T2" fmla="*/ 115888 w 115"/>
                                    <a:gd name="T3" fmla="*/ 69850 h 117"/>
                                    <a:gd name="T4" fmla="*/ 163513 w 115"/>
                                    <a:gd name="T5" fmla="*/ 69850 h 117"/>
                                    <a:gd name="T6" fmla="*/ 163513 w 115"/>
                                    <a:gd name="T7" fmla="*/ 115888 h 117"/>
                                    <a:gd name="T8" fmla="*/ 115888 w 115"/>
                                    <a:gd name="T9" fmla="*/ 115888 h 117"/>
                                    <a:gd name="T10" fmla="*/ 115888 w 115"/>
                                    <a:gd name="T11" fmla="*/ 166688 h 117"/>
                                    <a:gd name="T12" fmla="*/ 66675 w 115"/>
                                    <a:gd name="T13" fmla="*/ 166688 h 117"/>
                                    <a:gd name="T14" fmla="*/ 66675 w 115"/>
                                    <a:gd name="T15" fmla="*/ 115888 h 117"/>
                                    <a:gd name="T16" fmla="*/ 19050 w 115"/>
                                    <a:gd name="T17" fmla="*/ 115888 h 117"/>
                                    <a:gd name="T18" fmla="*/ 19050 w 115"/>
                                    <a:gd name="T19" fmla="*/ 69850 h 117"/>
                                    <a:gd name="T20" fmla="*/ 66675 w 115"/>
                                    <a:gd name="T21" fmla="*/ 69850 h 117"/>
                                    <a:gd name="T22" fmla="*/ 66675 w 115"/>
                                    <a:gd name="T23" fmla="*/ 19050 h 117"/>
                                    <a:gd name="T24" fmla="*/ 115888 w 115"/>
                                    <a:gd name="T25" fmla="*/ 19050 h 117"/>
                                    <a:gd name="T26" fmla="*/ 134938 w 115"/>
                                    <a:gd name="T27" fmla="*/ 0 h 117"/>
                                    <a:gd name="T28" fmla="*/ 115888 w 115"/>
                                    <a:gd name="T29" fmla="*/ 0 h 117"/>
                                    <a:gd name="T30" fmla="*/ 66675 w 115"/>
                                    <a:gd name="T31" fmla="*/ 0 h 117"/>
                                    <a:gd name="T32" fmla="*/ 47625 w 115"/>
                                    <a:gd name="T33" fmla="*/ 0 h 117"/>
                                    <a:gd name="T34" fmla="*/ 47625 w 115"/>
                                    <a:gd name="T35" fmla="*/ 19050 h 117"/>
                                    <a:gd name="T36" fmla="*/ 47625 w 115"/>
                                    <a:gd name="T37" fmla="*/ 50800 h 117"/>
                                    <a:gd name="T38" fmla="*/ 19050 w 115"/>
                                    <a:gd name="T39" fmla="*/ 50800 h 117"/>
                                    <a:gd name="T40" fmla="*/ 0 w 115"/>
                                    <a:gd name="T41" fmla="*/ 50800 h 117"/>
                                    <a:gd name="T42" fmla="*/ 0 w 115"/>
                                    <a:gd name="T43" fmla="*/ 69850 h 117"/>
                                    <a:gd name="T44" fmla="*/ 0 w 115"/>
                                    <a:gd name="T45" fmla="*/ 115888 h 117"/>
                                    <a:gd name="T46" fmla="*/ 0 w 115"/>
                                    <a:gd name="T47" fmla="*/ 134938 h 117"/>
                                    <a:gd name="T48" fmla="*/ 19050 w 115"/>
                                    <a:gd name="T49" fmla="*/ 134938 h 117"/>
                                    <a:gd name="T50" fmla="*/ 47625 w 115"/>
                                    <a:gd name="T51" fmla="*/ 134938 h 117"/>
                                    <a:gd name="T52" fmla="*/ 47625 w 115"/>
                                    <a:gd name="T53" fmla="*/ 166688 h 117"/>
                                    <a:gd name="T54" fmla="*/ 47625 w 115"/>
                                    <a:gd name="T55" fmla="*/ 185738 h 117"/>
                                    <a:gd name="T56" fmla="*/ 66675 w 115"/>
                                    <a:gd name="T57" fmla="*/ 185738 h 117"/>
                                    <a:gd name="T58" fmla="*/ 115888 w 115"/>
                                    <a:gd name="T59" fmla="*/ 185738 h 117"/>
                                    <a:gd name="T60" fmla="*/ 134938 w 115"/>
                                    <a:gd name="T61" fmla="*/ 185738 h 117"/>
                                    <a:gd name="T62" fmla="*/ 134938 w 115"/>
                                    <a:gd name="T63" fmla="*/ 166688 h 117"/>
                                    <a:gd name="T64" fmla="*/ 134938 w 115"/>
                                    <a:gd name="T65" fmla="*/ 134938 h 117"/>
                                    <a:gd name="T66" fmla="*/ 163513 w 115"/>
                                    <a:gd name="T67" fmla="*/ 134938 h 117"/>
                                    <a:gd name="T68" fmla="*/ 182563 w 115"/>
                                    <a:gd name="T69" fmla="*/ 134938 h 117"/>
                                    <a:gd name="T70" fmla="*/ 182563 w 115"/>
                                    <a:gd name="T71" fmla="*/ 115888 h 117"/>
                                    <a:gd name="T72" fmla="*/ 182563 w 115"/>
                                    <a:gd name="T73" fmla="*/ 69850 h 117"/>
                                    <a:gd name="T74" fmla="*/ 182563 w 115"/>
                                    <a:gd name="T75" fmla="*/ 50800 h 117"/>
                                    <a:gd name="T76" fmla="*/ 163513 w 115"/>
                                    <a:gd name="T77" fmla="*/ 50800 h 117"/>
                                    <a:gd name="T78" fmla="*/ 134938 w 115"/>
                                    <a:gd name="T79" fmla="*/ 50800 h 117"/>
                                    <a:gd name="T80" fmla="*/ 134938 w 115"/>
                                    <a:gd name="T81" fmla="*/ 19050 h 117"/>
                                    <a:gd name="T82" fmla="*/ 134938 w 115"/>
                                    <a:gd name="T83" fmla="*/ 0 h 117"/>
                                    <a:gd name="T84" fmla="*/ 134938 w 115"/>
                                    <a:gd name="T85" fmla="*/ 0 h 11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15" h="117">
                                      <a:moveTo>
                                        <a:pt x="73" y="12"/>
                                      </a:moveTo>
                                      <a:lnTo>
                                        <a:pt x="73" y="44"/>
                                      </a:lnTo>
                                      <a:lnTo>
                                        <a:pt x="103" y="44"/>
                                      </a:lnTo>
                                      <a:lnTo>
                                        <a:pt x="103" y="73"/>
                                      </a:lnTo>
                                      <a:lnTo>
                                        <a:pt x="73" y="73"/>
                                      </a:lnTo>
                                      <a:lnTo>
                                        <a:pt x="73" y="105"/>
                                      </a:lnTo>
                                      <a:lnTo>
                                        <a:pt x="42" y="105"/>
                                      </a:lnTo>
                                      <a:lnTo>
                                        <a:pt x="42" y="73"/>
                                      </a:lnTo>
                                      <a:lnTo>
                                        <a:pt x="12" y="73"/>
                                      </a:lnTo>
                                      <a:lnTo>
                                        <a:pt x="12" y="44"/>
                                      </a:lnTo>
                                      <a:lnTo>
                                        <a:pt x="42" y="44"/>
                                      </a:lnTo>
                                      <a:lnTo>
                                        <a:pt x="42" y="12"/>
                                      </a:lnTo>
                                      <a:lnTo>
                                        <a:pt x="73" y="12"/>
                                      </a:lnTo>
                                      <a:moveTo>
                                        <a:pt x="85" y="0"/>
                                      </a:moveTo>
                                      <a:lnTo>
                                        <a:pt x="73" y="0"/>
                                      </a:lnTo>
                                      <a:lnTo>
                                        <a:pt x="42" y="0"/>
                                      </a:lnTo>
                                      <a:lnTo>
                                        <a:pt x="30" y="0"/>
                                      </a:lnTo>
                                      <a:lnTo>
                                        <a:pt x="30" y="12"/>
                                      </a:lnTo>
                                      <a:lnTo>
                                        <a:pt x="30" y="32"/>
                                      </a:lnTo>
                                      <a:lnTo>
                                        <a:pt x="12" y="32"/>
                                      </a:lnTo>
                                      <a:lnTo>
                                        <a:pt x="0" y="32"/>
                                      </a:lnTo>
                                      <a:lnTo>
                                        <a:pt x="0" y="44"/>
                                      </a:lnTo>
                                      <a:lnTo>
                                        <a:pt x="0" y="73"/>
                                      </a:lnTo>
                                      <a:lnTo>
                                        <a:pt x="0" y="85"/>
                                      </a:lnTo>
                                      <a:lnTo>
                                        <a:pt x="12" y="85"/>
                                      </a:lnTo>
                                      <a:lnTo>
                                        <a:pt x="30" y="85"/>
                                      </a:lnTo>
                                      <a:lnTo>
                                        <a:pt x="30" y="105"/>
                                      </a:lnTo>
                                      <a:lnTo>
                                        <a:pt x="30" y="117"/>
                                      </a:lnTo>
                                      <a:lnTo>
                                        <a:pt x="42" y="117"/>
                                      </a:lnTo>
                                      <a:lnTo>
                                        <a:pt x="73" y="117"/>
                                      </a:lnTo>
                                      <a:lnTo>
                                        <a:pt x="85" y="117"/>
                                      </a:lnTo>
                                      <a:lnTo>
                                        <a:pt x="85" y="105"/>
                                      </a:lnTo>
                                      <a:lnTo>
                                        <a:pt x="85" y="85"/>
                                      </a:lnTo>
                                      <a:lnTo>
                                        <a:pt x="103" y="85"/>
                                      </a:lnTo>
                                      <a:lnTo>
                                        <a:pt x="115" y="85"/>
                                      </a:lnTo>
                                      <a:lnTo>
                                        <a:pt x="115" y="73"/>
                                      </a:lnTo>
                                      <a:lnTo>
                                        <a:pt x="115" y="44"/>
                                      </a:lnTo>
                                      <a:lnTo>
                                        <a:pt x="115" y="32"/>
                                      </a:lnTo>
                                      <a:lnTo>
                                        <a:pt x="103" y="32"/>
                                      </a:lnTo>
                                      <a:lnTo>
                                        <a:pt x="85" y="32"/>
                                      </a:lnTo>
                                      <a:lnTo>
                                        <a:pt x="85" y="12"/>
                                      </a:lnTo>
                                      <a:lnTo>
                                        <a:pt x="85"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22" name="Freeform 60"/>
                              <wps:cNvSpPr>
                                <a:spLocks noChangeAspect="1" noEditPoints="1"/>
                              </wps:cNvSpPr>
                              <wps:spPr bwMode="auto">
                                <a:xfrm>
                                  <a:off x="0" y="0"/>
                                  <a:ext cx="3921" cy="5397"/>
                                </a:xfrm>
                                <a:custGeom>
                                  <a:avLst/>
                                  <a:gdLst>
                                    <a:gd name="T0" fmla="*/ 73322 w 123"/>
                                    <a:gd name="T1" fmla="*/ 539750 h 169"/>
                                    <a:gd name="T2" fmla="*/ 318791 w 123"/>
                                    <a:gd name="T3" fmla="*/ 539750 h 169"/>
                                    <a:gd name="T4" fmla="*/ 392113 w 123"/>
                                    <a:gd name="T5" fmla="*/ 469487 h 169"/>
                                    <a:gd name="T6" fmla="*/ 392113 w 123"/>
                                    <a:gd name="T7" fmla="*/ 220371 h 169"/>
                                    <a:gd name="T8" fmla="*/ 318791 w 123"/>
                                    <a:gd name="T9" fmla="*/ 150108 h 169"/>
                                    <a:gd name="T10" fmla="*/ 293288 w 123"/>
                                    <a:gd name="T11" fmla="*/ 150108 h 169"/>
                                    <a:gd name="T12" fmla="*/ 293288 w 123"/>
                                    <a:gd name="T13" fmla="*/ 22357 h 169"/>
                                    <a:gd name="T14" fmla="*/ 270972 w 123"/>
                                    <a:gd name="T15" fmla="*/ 0 h 169"/>
                                    <a:gd name="T16" fmla="*/ 121141 w 123"/>
                                    <a:gd name="T17" fmla="*/ 0 h 169"/>
                                    <a:gd name="T18" fmla="*/ 98825 w 123"/>
                                    <a:gd name="T19" fmla="*/ 22357 h 169"/>
                                    <a:gd name="T20" fmla="*/ 98825 w 123"/>
                                    <a:gd name="T21" fmla="*/ 150108 h 169"/>
                                    <a:gd name="T22" fmla="*/ 73322 w 123"/>
                                    <a:gd name="T23" fmla="*/ 150108 h 169"/>
                                    <a:gd name="T24" fmla="*/ 0 w 123"/>
                                    <a:gd name="T25" fmla="*/ 220371 h 169"/>
                                    <a:gd name="T26" fmla="*/ 0 w 123"/>
                                    <a:gd name="T27" fmla="*/ 469487 h 169"/>
                                    <a:gd name="T28" fmla="*/ 73322 w 123"/>
                                    <a:gd name="T29" fmla="*/ 539750 h 169"/>
                                    <a:gd name="T30" fmla="*/ 121141 w 123"/>
                                    <a:gd name="T31" fmla="*/ 22357 h 169"/>
                                    <a:gd name="T32" fmla="*/ 270972 w 123"/>
                                    <a:gd name="T33" fmla="*/ 22357 h 169"/>
                                    <a:gd name="T34" fmla="*/ 270972 w 123"/>
                                    <a:gd name="T35" fmla="*/ 51101 h 169"/>
                                    <a:gd name="T36" fmla="*/ 121141 w 123"/>
                                    <a:gd name="T37" fmla="*/ 51101 h 169"/>
                                    <a:gd name="T38" fmla="*/ 121141 w 123"/>
                                    <a:gd name="T39" fmla="*/ 22357 h 169"/>
                                    <a:gd name="T40" fmla="*/ 121141 w 123"/>
                                    <a:gd name="T41" fmla="*/ 73457 h 169"/>
                                    <a:gd name="T42" fmla="*/ 270972 w 123"/>
                                    <a:gd name="T43" fmla="*/ 73457 h 169"/>
                                    <a:gd name="T44" fmla="*/ 270972 w 123"/>
                                    <a:gd name="T45" fmla="*/ 150108 h 169"/>
                                    <a:gd name="T46" fmla="*/ 121141 w 123"/>
                                    <a:gd name="T47" fmla="*/ 150108 h 169"/>
                                    <a:gd name="T48" fmla="*/ 121141 w 123"/>
                                    <a:gd name="T49" fmla="*/ 73457 h 169"/>
                                    <a:gd name="T50" fmla="*/ 22315 w 123"/>
                                    <a:gd name="T51" fmla="*/ 220371 h 169"/>
                                    <a:gd name="T52" fmla="*/ 73322 w 123"/>
                                    <a:gd name="T53" fmla="*/ 169271 h 169"/>
                                    <a:gd name="T54" fmla="*/ 318791 w 123"/>
                                    <a:gd name="T55" fmla="*/ 169271 h 169"/>
                                    <a:gd name="T56" fmla="*/ 369798 w 123"/>
                                    <a:gd name="T57" fmla="*/ 220371 h 169"/>
                                    <a:gd name="T58" fmla="*/ 369798 w 123"/>
                                    <a:gd name="T59" fmla="*/ 469487 h 169"/>
                                    <a:gd name="T60" fmla="*/ 318791 w 123"/>
                                    <a:gd name="T61" fmla="*/ 517393 h 169"/>
                                    <a:gd name="T62" fmla="*/ 73322 w 123"/>
                                    <a:gd name="T63" fmla="*/ 517393 h 169"/>
                                    <a:gd name="T64" fmla="*/ 22315 w 123"/>
                                    <a:gd name="T65" fmla="*/ 469487 h 169"/>
                                    <a:gd name="T66" fmla="*/ 22315 w 123"/>
                                    <a:gd name="T67" fmla="*/ 220371 h 16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23" h="169">
                                      <a:moveTo>
                                        <a:pt x="23" y="169"/>
                                      </a:moveTo>
                                      <a:cubicBezTo>
                                        <a:pt x="100" y="169"/>
                                        <a:pt x="100" y="169"/>
                                        <a:pt x="100" y="169"/>
                                      </a:cubicBezTo>
                                      <a:cubicBezTo>
                                        <a:pt x="111" y="169"/>
                                        <a:pt x="123" y="160"/>
                                        <a:pt x="123" y="147"/>
                                      </a:cubicBezTo>
                                      <a:cubicBezTo>
                                        <a:pt x="123" y="69"/>
                                        <a:pt x="123" y="69"/>
                                        <a:pt x="123" y="69"/>
                                      </a:cubicBezTo>
                                      <a:cubicBezTo>
                                        <a:pt x="123" y="58"/>
                                        <a:pt x="112" y="47"/>
                                        <a:pt x="100" y="47"/>
                                      </a:cubicBezTo>
                                      <a:cubicBezTo>
                                        <a:pt x="92" y="47"/>
                                        <a:pt x="92" y="47"/>
                                        <a:pt x="92" y="47"/>
                                      </a:cubicBezTo>
                                      <a:cubicBezTo>
                                        <a:pt x="92" y="7"/>
                                        <a:pt x="92" y="7"/>
                                        <a:pt x="92" y="7"/>
                                      </a:cubicBezTo>
                                      <a:cubicBezTo>
                                        <a:pt x="92" y="4"/>
                                        <a:pt x="88" y="0"/>
                                        <a:pt x="85" y="0"/>
                                      </a:cubicBezTo>
                                      <a:cubicBezTo>
                                        <a:pt x="38" y="0"/>
                                        <a:pt x="38" y="0"/>
                                        <a:pt x="38" y="0"/>
                                      </a:cubicBezTo>
                                      <a:cubicBezTo>
                                        <a:pt x="32" y="0"/>
                                        <a:pt x="31" y="5"/>
                                        <a:pt x="31" y="7"/>
                                      </a:cubicBezTo>
                                      <a:cubicBezTo>
                                        <a:pt x="31" y="47"/>
                                        <a:pt x="31" y="47"/>
                                        <a:pt x="31" y="47"/>
                                      </a:cubicBezTo>
                                      <a:cubicBezTo>
                                        <a:pt x="23" y="47"/>
                                        <a:pt x="23" y="47"/>
                                        <a:pt x="23" y="47"/>
                                      </a:cubicBezTo>
                                      <a:cubicBezTo>
                                        <a:pt x="9" y="47"/>
                                        <a:pt x="0" y="58"/>
                                        <a:pt x="0" y="69"/>
                                      </a:cubicBezTo>
                                      <a:cubicBezTo>
                                        <a:pt x="0" y="147"/>
                                        <a:pt x="0" y="147"/>
                                        <a:pt x="0" y="147"/>
                                      </a:cubicBezTo>
                                      <a:cubicBezTo>
                                        <a:pt x="0" y="160"/>
                                        <a:pt x="9" y="169"/>
                                        <a:pt x="23" y="169"/>
                                      </a:cubicBezTo>
                                      <a:close/>
                                      <a:moveTo>
                                        <a:pt x="38" y="7"/>
                                      </a:moveTo>
                                      <a:cubicBezTo>
                                        <a:pt x="85" y="7"/>
                                        <a:pt x="85" y="7"/>
                                        <a:pt x="85" y="7"/>
                                      </a:cubicBezTo>
                                      <a:cubicBezTo>
                                        <a:pt x="85" y="16"/>
                                        <a:pt x="85" y="16"/>
                                        <a:pt x="85" y="16"/>
                                      </a:cubicBezTo>
                                      <a:cubicBezTo>
                                        <a:pt x="38" y="16"/>
                                        <a:pt x="38" y="16"/>
                                        <a:pt x="38" y="16"/>
                                      </a:cubicBezTo>
                                      <a:lnTo>
                                        <a:pt x="38" y="7"/>
                                      </a:lnTo>
                                      <a:close/>
                                      <a:moveTo>
                                        <a:pt x="38" y="23"/>
                                      </a:moveTo>
                                      <a:cubicBezTo>
                                        <a:pt x="85" y="23"/>
                                        <a:pt x="85" y="23"/>
                                        <a:pt x="85" y="23"/>
                                      </a:cubicBezTo>
                                      <a:cubicBezTo>
                                        <a:pt x="85" y="47"/>
                                        <a:pt x="85" y="47"/>
                                        <a:pt x="85" y="47"/>
                                      </a:cubicBezTo>
                                      <a:cubicBezTo>
                                        <a:pt x="38" y="47"/>
                                        <a:pt x="38" y="47"/>
                                        <a:pt x="38" y="47"/>
                                      </a:cubicBezTo>
                                      <a:lnTo>
                                        <a:pt x="38" y="23"/>
                                      </a:lnTo>
                                      <a:close/>
                                      <a:moveTo>
                                        <a:pt x="7" y="69"/>
                                      </a:moveTo>
                                      <a:cubicBezTo>
                                        <a:pt x="7" y="62"/>
                                        <a:pt x="13" y="53"/>
                                        <a:pt x="23" y="53"/>
                                      </a:cubicBezTo>
                                      <a:cubicBezTo>
                                        <a:pt x="100" y="53"/>
                                        <a:pt x="100" y="53"/>
                                        <a:pt x="100" y="53"/>
                                      </a:cubicBezTo>
                                      <a:cubicBezTo>
                                        <a:pt x="108" y="53"/>
                                        <a:pt x="116" y="61"/>
                                        <a:pt x="116" y="69"/>
                                      </a:cubicBezTo>
                                      <a:cubicBezTo>
                                        <a:pt x="116" y="147"/>
                                        <a:pt x="116" y="147"/>
                                        <a:pt x="116" y="147"/>
                                      </a:cubicBezTo>
                                      <a:cubicBezTo>
                                        <a:pt x="116" y="157"/>
                                        <a:pt x="108" y="162"/>
                                        <a:pt x="100" y="162"/>
                                      </a:cubicBezTo>
                                      <a:cubicBezTo>
                                        <a:pt x="23" y="162"/>
                                        <a:pt x="23" y="162"/>
                                        <a:pt x="23" y="162"/>
                                      </a:cubicBezTo>
                                      <a:cubicBezTo>
                                        <a:pt x="13" y="162"/>
                                        <a:pt x="7" y="157"/>
                                        <a:pt x="7" y="147"/>
                                      </a:cubicBezTo>
                                      <a:lnTo>
                                        <a:pt x="7" y="6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231A77" id="Group 15390" o:spid="_x0000_s1026" alt="Title: Image only - Description: Image only" style="width:18.6pt;height:22.7pt;mso-position-horizontal-relative:char;mso-position-vertical-relative:line" coordsize="392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">
                      <o:lock v:ext="edit" aspectratio="t"/>
                      <v:shape id="Freeform 58" o:spid="_x0000_s1027" style="position:absolute;left:1047;top:2524;width:1826;height:1857;visibility:visible;mso-wrap-style:square;v-text-anchor:top" coordsize="11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" path="m73,12r,32l103,44r,29l73,73r,32l42,105r,-32l12,73r,-29l42,44r,-32l73,12xm85,l73,,42,,30,r,12l30,32r-18,l,32,,44,,73,,85r12,l30,85r,20l30,117r12,l73,117r12,l85,105r,-20l103,85r12,l115,73r,-29l115,32r-12,l85,32r,-20l85,xe" filled="f" stroked="f" strokeweight=".25pt">
                        <v:path arrowok="t" o:connecttype="custom" o:connectlocs="1840100,302358;1840100,1108645;2596302,1108645;2596302,1839351;1840100,1839351;1840100,2645638;1058683,2645638;1058683,1839351;302481,1839351;302481,1108645;1058683,1108645;1058683,302358;1840100,302358;2142581,0;1840100,0;1058683,0;756202,0;756202,302358;756202,806287;302481,806287;0,806287;0,1108645;0,1839351;0,2141708;302481,2141708;756202,2141708;756202,2645638;756202,2947995;1058683,2947995;1840100,2947995;2142581,2947995;2142581,2645638;2142581,2141708;2596302,2141708;2898783,2141708;2898783,1839351;2898783,1108645;2898783,806287;2596302,806287;2142581,806287;2142581,302358;2142581,0;2142581,0" o:connectangles="0,0,0,0,0,0,0,0,0,0,0,0,0,0,0,0,0,0,0,0,0,0,0,0,0,0,0,0,0,0,0,0,0,0,0,0,0,0,0,0,0,0,0"/>
                        <o:lock v:ext="edit" aspectratio="t" verticies="t"/>
                      </v:shape>
                      <v:shape id="Freeform 59" o:spid="_x0000_s1028" style="position:absolute;left:1047;top:2524;width:1826;height:1857;visibility:visible;mso-wrap-style:square;v-text-anchor:top" coordsize="115,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" path="m73,12r,32l103,44r,29l73,73r,32l42,105r,-32l12,73r,-29l42,44r,-32l73,12m85,l73,,42,,30,r,12l30,32r-18,l,32,,44,,73,,85r12,l30,85r,20l30,117r12,l73,117r12,l85,105r,-20l103,85r12,l115,73r,-29l115,32r-12,l85,32r,-20l85,e" filled="f" stroked="f" strokeweight=".25pt">
                        <v:path arrowok="t" o:connecttype="custom" o:connectlocs="1840100,302358;1840100,1108645;2596302,1108645;2596302,1839351;1840100,1839351;1840100,2645638;1058683,2645638;1058683,1839351;302481,1839351;302481,1108645;1058683,1108645;1058683,302358;1840100,302358;2142581,0;1840100,0;1058683,0;756202,0;756202,302358;756202,806287;302481,806287;0,806287;0,1108645;0,1839351;0,2141708;302481,2141708;756202,2141708;756202,2645638;756202,2947995;1058683,2947995;1840100,2947995;2142581,2947995;2142581,2645638;2142581,2141708;2596302,2141708;2898783,2141708;2898783,1839351;2898783,1108645;2898783,806287;2596302,806287;2142581,806287;2142581,302358;2142581,0;2142581,0" o:connectangles="0,0,0,0,0,0,0,0,0,0,0,0,0,0,0,0,0,0,0,0,0,0,0,0,0,0,0,0,0,0,0,0,0,0,0,0,0,0,0,0,0,0,0"/>
                        <o:lock v:ext="edit" aspectratio="t" verticies="t"/>
                      </v:shape>
                      <v:shape id="Freeform 60" o:spid="_x0000_s1029" style="position:absolute;width:3921;height:5397;visibility:visible;mso-wrap-style:square;v-text-anchor:top" coordsize="12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" path="m23,169v77,,77,,77,c111,169,123,160,123,147v,-78,,-78,,-78c123,58,112,47,100,47v-8,,-8,,-8,c92,7,92,7,92,7,92,4,88,,85,,38,,38,,38,,32,,31,5,31,7v,40,,40,,40c23,47,23,47,23,47,9,47,,58,,69v,78,,78,,78c,160,9,169,23,169xm38,7v47,,47,,47,c85,16,85,16,85,16v-47,,-47,,-47,l38,7xm38,23v47,,47,,47,c85,47,85,47,85,47v-47,,-47,,-47,l38,23xm7,69c7,62,13,53,23,53v77,,77,,77,c108,53,116,61,116,69v,78,,78,,78c116,157,108,162,100,162v-77,,-77,,-77,c13,162,7,157,7,147l7,69xe" filled="f" stroked="f" strokeweight=".25pt">
                        <v:path arrowok="t" o:connecttype="custom" o:connectlocs="2337362,17236868;10162435,17236868;12499797,14993026;12499797,7037528;10162435,4793686;9349449,4793686;9349449,713969;8638059,0;3861739,0;3150348,713969;3150348,4793686;2337362,4793686;0,7037528;0,14993026;2337362,17236868;3861739,713969;8638059,713969;8638059,1631906;3861739,1631906;3861739,713969;3861739,2345843;8638059,2345843;8638059,4793686;3861739,4793686;3861739,2345843;711359,7037528;2337362,5405654;10162435,5405654;11788439,7037528;11788439,14993026;10162435,16522900;2337362,16522900;711359,14993026;711359,7037528" o:connectangles="0,0,0,0,0,0,0,0,0,0,0,0,0,0,0,0,0,0,0,0,0,0,0,0,0,0,0,0,0,0,0,0,0,0"/>
                        <o:lock v:ext="edit" aspectratio="t" verticies="t"/>
                      </v:shape>
                      <w10:anchorlock/>
                    </v:group>
                  </w:pict>
                </mc:Fallback>
              </mc:AlternateContent>
            </w:r>
          </w:p>
        </w:tc>
        <w:tc>
          <w:tcPr>
            <w:tcW w:w="4398" w:type="pct"/>
            <w:shd w:val="clear" w:color="auto" w:fill="auto"/>
            <w:vAlign w:val="center"/>
          </w:tcPr>
          <w:p w14:paraId="74858333" w14:textId="2B552DC8" w:rsidR="000B7574" w:rsidRPr="00AB4260" w:rsidRDefault="000B7574" w:rsidP="00947DBB">
            <w:pPr>
              <w:spacing w:before="40" w:after="40"/>
              <w:rPr>
                <w:sz w:val="17"/>
                <w:szCs w:val="17"/>
              </w:rPr>
            </w:pPr>
            <w:r w:rsidRPr="00006D2B">
              <w:rPr>
                <w:color w:val="000000"/>
                <w:sz w:val="17"/>
                <w:szCs w:val="17"/>
              </w:rPr>
              <w:t>Continued decline in</w:t>
            </w:r>
            <w:r>
              <w:rPr>
                <w:color w:val="E9B301"/>
                <w:sz w:val="17"/>
                <w:szCs w:val="17"/>
              </w:rPr>
              <w:t xml:space="preserve"> </w:t>
            </w:r>
            <w:r w:rsidRPr="005811E8">
              <w:rPr>
                <w:color w:val="943634" w:themeColor="accent2" w:themeShade="BF"/>
                <w:sz w:val="17"/>
                <w:szCs w:val="17"/>
              </w:rPr>
              <w:t xml:space="preserve">hepatitis B notification rates </w:t>
            </w:r>
            <w:r>
              <w:rPr>
                <w:color w:val="000000"/>
                <w:sz w:val="17"/>
                <w:szCs w:val="17"/>
              </w:rPr>
              <w:t>in younger age groups</w:t>
            </w:r>
            <w:r w:rsidR="005373CB">
              <w:rPr>
                <w:color w:val="000000"/>
                <w:sz w:val="17"/>
                <w:szCs w:val="17"/>
              </w:rPr>
              <w:t>,</w:t>
            </w:r>
            <w:r w:rsidRPr="00AB4260">
              <w:rPr>
                <w:sz w:val="17"/>
                <w:szCs w:val="17"/>
              </w:rPr>
              <w:t xml:space="preserve"> reflecting the</w:t>
            </w:r>
            <w:r>
              <w:rPr>
                <w:sz w:val="17"/>
                <w:szCs w:val="17"/>
              </w:rPr>
              <w:t xml:space="preserve"> </w:t>
            </w:r>
            <w:r w:rsidRPr="000B0AF1">
              <w:rPr>
                <w:sz w:val="17"/>
                <w:szCs w:val="17"/>
              </w:rPr>
              <w:t xml:space="preserve">impact of </w:t>
            </w:r>
            <w:r>
              <w:rPr>
                <w:sz w:val="17"/>
                <w:szCs w:val="17"/>
              </w:rPr>
              <w:t>Aboriginal and Torres Strait Islander</w:t>
            </w:r>
            <w:r w:rsidRPr="00676905">
              <w:rPr>
                <w:sz w:val="17"/>
                <w:szCs w:val="17"/>
              </w:rPr>
              <w:t xml:space="preserve"> </w:t>
            </w:r>
            <w:r w:rsidRPr="000B0AF1">
              <w:rPr>
                <w:sz w:val="17"/>
                <w:szCs w:val="17"/>
              </w:rPr>
              <w:t>childhood and adolescent vaccination programs</w:t>
            </w:r>
          </w:p>
        </w:tc>
      </w:tr>
      <w:tr w:rsidR="000B7574" w:rsidRPr="00AB4260" w14:paraId="1A83CFC7" w14:textId="77777777" w:rsidTr="00947DBB">
        <w:trPr>
          <w:trHeight w:val="737"/>
        </w:trPr>
        <w:tc>
          <w:tcPr>
            <w:tcW w:w="602" w:type="pct"/>
            <w:shd w:val="clear" w:color="auto" w:fill="00264D"/>
          </w:tcPr>
          <w:p w14:paraId="4A6C2AA2" w14:textId="77777777" w:rsidR="000B7574" w:rsidRDefault="000B7574" w:rsidP="00947DBB">
            <w:pPr>
              <w:spacing w:before="140" w:after="40"/>
              <w:jc w:val="center"/>
              <w:rPr>
                <w:noProof/>
                <w:color w:val="000000"/>
                <w:sz w:val="17"/>
                <w:szCs w:val="17"/>
                <w:lang w:eastAsia="en-AU"/>
              </w:rPr>
            </w:pPr>
            <w:r>
              <w:rPr>
                <w:noProof/>
                <w:color w:val="000000"/>
                <w:sz w:val="17"/>
                <w:szCs w:val="17"/>
                <w:lang w:eastAsia="en-AU"/>
              </w:rPr>
              <w:drawing>
                <wp:inline distT="0" distB="0" distL="0" distR="0" wp14:anchorId="28FF624E" wp14:editId="13C0DD7F">
                  <wp:extent cx="289560" cy="289560"/>
                  <wp:effectExtent l="0" t="0" r="0" b="0"/>
                  <wp:docPr id="13" name="Picture 1" descr="Image only " title="Imag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4398" w:type="pct"/>
            <w:shd w:val="clear" w:color="auto" w:fill="auto"/>
            <w:vAlign w:val="center"/>
          </w:tcPr>
          <w:p w14:paraId="32AC63F7" w14:textId="22572038" w:rsidR="000B7574" w:rsidRPr="002E19E4" w:rsidRDefault="000B7574" w:rsidP="00947DBB">
            <w:pPr>
              <w:spacing w:before="40" w:after="40"/>
              <w:rPr>
                <w:color w:val="000000"/>
                <w:sz w:val="17"/>
                <w:szCs w:val="17"/>
              </w:rPr>
            </w:pPr>
            <w:r w:rsidRPr="002E19E4">
              <w:rPr>
                <w:color w:val="F79646" w:themeColor="accent6"/>
                <w:sz w:val="17"/>
                <w:szCs w:val="17"/>
                <w:lang w:eastAsia="en-AU"/>
              </w:rPr>
              <w:t>Donovanosis</w:t>
            </w:r>
            <w:r w:rsidRPr="002E19E4">
              <w:rPr>
                <w:color w:val="000000"/>
                <w:sz w:val="17"/>
                <w:szCs w:val="17"/>
                <w:lang w:eastAsia="en-AU"/>
              </w:rPr>
              <w:t xml:space="preserve">, a bacterial infection that causes genital ulcers, was once a frequently diagnosed STI among remote Aboriginal and Torres Strait Islander populations. Donovanosis is </w:t>
            </w:r>
            <w:r w:rsidRPr="002E19E4">
              <w:rPr>
                <w:color w:val="F79646" w:themeColor="accent6"/>
                <w:sz w:val="17"/>
                <w:szCs w:val="17"/>
                <w:lang w:eastAsia="en-AU"/>
              </w:rPr>
              <w:t>close to elimination</w:t>
            </w:r>
            <w:r w:rsidRPr="002E19E4">
              <w:rPr>
                <w:color w:val="000000"/>
                <w:sz w:val="17"/>
                <w:szCs w:val="17"/>
                <w:lang w:eastAsia="en-AU"/>
              </w:rPr>
              <w:t xml:space="preserve"> in Australia, with only two c</w:t>
            </w:r>
            <w:r w:rsidR="00DA5A02" w:rsidRPr="002E19E4">
              <w:rPr>
                <w:color w:val="000000"/>
                <w:sz w:val="17"/>
                <w:szCs w:val="17"/>
                <w:lang w:eastAsia="en-AU"/>
              </w:rPr>
              <w:t>ases detected from 2011 to 2016</w:t>
            </w:r>
          </w:p>
        </w:tc>
      </w:tr>
      <w:tr w:rsidR="000B7574" w:rsidRPr="00AB4260" w14:paraId="1214657A" w14:textId="77777777" w:rsidTr="00947DBB">
        <w:trPr>
          <w:trHeight w:val="737"/>
        </w:trPr>
        <w:tc>
          <w:tcPr>
            <w:tcW w:w="602" w:type="pct"/>
            <w:shd w:val="clear" w:color="auto" w:fill="00264D"/>
            <w:vAlign w:val="center"/>
          </w:tcPr>
          <w:p w14:paraId="4DC6BEFD" w14:textId="77777777" w:rsidR="000B7574" w:rsidRPr="00AB4260" w:rsidRDefault="000B7574" w:rsidP="00947DBB">
            <w:pPr>
              <w:spacing w:before="40" w:after="40"/>
              <w:jc w:val="center"/>
              <w:rPr>
                <w:color w:val="000000"/>
                <w:sz w:val="17"/>
                <w:szCs w:val="17"/>
              </w:rPr>
            </w:pPr>
            <w:r>
              <w:rPr>
                <w:noProof/>
                <w:color w:val="000000"/>
                <w:sz w:val="17"/>
                <w:szCs w:val="17"/>
                <w:lang w:eastAsia="en-AU"/>
              </w:rPr>
              <w:drawing>
                <wp:inline distT="0" distB="0" distL="0" distR="0" wp14:anchorId="6FB6D6C5" wp14:editId="73547498">
                  <wp:extent cx="297180" cy="297180"/>
                  <wp:effectExtent l="0" t="0" r="7620" b="7620"/>
                  <wp:docPr id="25" name="Picture 25" descr="Image only " title="Imag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 cy="297180"/>
                          </a:xfrm>
                          <a:prstGeom prst="rect">
                            <a:avLst/>
                          </a:prstGeom>
                          <a:noFill/>
                          <a:ln>
                            <a:noFill/>
                          </a:ln>
                        </pic:spPr>
                      </pic:pic>
                    </a:graphicData>
                  </a:graphic>
                </wp:inline>
              </w:drawing>
            </w:r>
          </w:p>
        </w:tc>
        <w:tc>
          <w:tcPr>
            <w:tcW w:w="4398" w:type="pct"/>
            <w:shd w:val="clear" w:color="auto" w:fill="auto"/>
            <w:vAlign w:val="center"/>
          </w:tcPr>
          <w:p w14:paraId="5C99C481" w14:textId="6FC124A8" w:rsidR="000B7574" w:rsidRPr="00AB4260" w:rsidRDefault="000B7574" w:rsidP="00DA5A02">
            <w:pPr>
              <w:spacing w:before="40" w:after="40"/>
              <w:rPr>
                <w:sz w:val="17"/>
                <w:szCs w:val="17"/>
              </w:rPr>
            </w:pPr>
            <w:r>
              <w:rPr>
                <w:color w:val="FF0000"/>
                <w:sz w:val="17"/>
                <w:szCs w:val="17"/>
              </w:rPr>
              <w:t>Uptake of sexual health services</w:t>
            </w:r>
            <w:r>
              <w:rPr>
                <w:color w:val="000000"/>
                <w:sz w:val="17"/>
                <w:szCs w:val="17"/>
              </w:rPr>
              <w:t xml:space="preserve"> </w:t>
            </w:r>
            <w:r>
              <w:rPr>
                <w:sz w:val="17"/>
                <w:szCs w:val="17"/>
              </w:rPr>
              <w:t xml:space="preserve">by </w:t>
            </w:r>
            <w:r w:rsidR="00DD3146">
              <w:rPr>
                <w:sz w:val="17"/>
                <w:szCs w:val="17"/>
              </w:rPr>
              <w:t xml:space="preserve">young </w:t>
            </w:r>
            <w:r w:rsidR="002A5917">
              <w:rPr>
                <w:sz w:val="17"/>
                <w:szCs w:val="17"/>
              </w:rPr>
              <w:t xml:space="preserve">Aboriginal and Torres Strait Islander </w:t>
            </w:r>
            <w:r>
              <w:rPr>
                <w:sz w:val="17"/>
                <w:szCs w:val="17"/>
              </w:rPr>
              <w:t xml:space="preserve">people </w:t>
            </w:r>
            <w:r>
              <w:rPr>
                <w:color w:val="FF0000"/>
                <w:sz w:val="17"/>
                <w:szCs w:val="17"/>
              </w:rPr>
              <w:t>increased,</w:t>
            </w:r>
            <w:r>
              <w:rPr>
                <w:color w:val="000000"/>
                <w:sz w:val="17"/>
                <w:szCs w:val="17"/>
              </w:rPr>
              <w:t xml:space="preserve"> indicating that improvements have been made in the delivery of </w:t>
            </w:r>
            <w:r w:rsidR="002A5917">
              <w:rPr>
                <w:color w:val="000000"/>
                <w:sz w:val="17"/>
                <w:szCs w:val="17"/>
              </w:rPr>
              <w:t xml:space="preserve">more </w:t>
            </w:r>
            <w:r>
              <w:rPr>
                <w:color w:val="000000"/>
                <w:sz w:val="17"/>
                <w:szCs w:val="17"/>
              </w:rPr>
              <w:t xml:space="preserve">accessible </w:t>
            </w:r>
            <w:r>
              <w:rPr>
                <w:sz w:val="17"/>
                <w:szCs w:val="17"/>
              </w:rPr>
              <w:t>health services</w:t>
            </w:r>
            <w:r w:rsidR="002A5917">
              <w:rPr>
                <w:sz w:val="17"/>
                <w:szCs w:val="17"/>
              </w:rPr>
              <w:t xml:space="preserve">. This may also indicate improved health literacy among </w:t>
            </w:r>
            <w:r w:rsidR="00064AF3">
              <w:rPr>
                <w:sz w:val="17"/>
                <w:szCs w:val="17"/>
              </w:rPr>
              <w:t xml:space="preserve">young </w:t>
            </w:r>
            <w:r w:rsidR="002A5917">
              <w:rPr>
                <w:sz w:val="17"/>
                <w:szCs w:val="17"/>
              </w:rPr>
              <w:t xml:space="preserve">Aboriginal and Torres Strait Islander </w:t>
            </w:r>
            <w:r w:rsidR="00064AF3">
              <w:rPr>
                <w:sz w:val="17"/>
                <w:szCs w:val="17"/>
              </w:rPr>
              <w:t>people</w:t>
            </w:r>
          </w:p>
        </w:tc>
      </w:tr>
      <w:tr w:rsidR="000B7574" w:rsidRPr="00AB4260" w14:paraId="6213609E" w14:textId="77777777" w:rsidTr="00947DBB">
        <w:trPr>
          <w:trHeight w:val="737"/>
        </w:trPr>
        <w:tc>
          <w:tcPr>
            <w:tcW w:w="602" w:type="pct"/>
            <w:shd w:val="clear" w:color="auto" w:fill="00264D"/>
            <w:vAlign w:val="center"/>
          </w:tcPr>
          <w:p w14:paraId="3385C047" w14:textId="77777777" w:rsidR="000B7574" w:rsidRPr="00AB4260" w:rsidRDefault="000B7574" w:rsidP="00947DBB">
            <w:pPr>
              <w:spacing w:before="40" w:after="40"/>
              <w:jc w:val="center"/>
              <w:rPr>
                <w:color w:val="000000"/>
                <w:sz w:val="17"/>
                <w:szCs w:val="17"/>
                <w:lang w:eastAsia="en-AU"/>
              </w:rPr>
            </w:pPr>
            <w:r>
              <w:rPr>
                <w:noProof/>
                <w:color w:val="000000"/>
                <w:sz w:val="17"/>
                <w:szCs w:val="17"/>
                <w:lang w:eastAsia="en-AU"/>
              </w:rPr>
              <w:drawing>
                <wp:inline distT="0" distB="0" distL="0" distR="0" wp14:anchorId="2365AB14" wp14:editId="36F5DE4C">
                  <wp:extent cx="289560" cy="289560"/>
                  <wp:effectExtent l="0" t="0" r="0" b="0"/>
                  <wp:docPr id="26" name="Picture 26" descr="Image only " title="Imag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tc>
        <w:tc>
          <w:tcPr>
            <w:tcW w:w="4398" w:type="pct"/>
            <w:shd w:val="clear" w:color="auto" w:fill="auto"/>
            <w:vAlign w:val="center"/>
          </w:tcPr>
          <w:p w14:paraId="2D2E3E28" w14:textId="77777777" w:rsidR="00A14030" w:rsidRPr="00AB4260" w:rsidRDefault="000B7574" w:rsidP="00FE5FB6">
            <w:pPr>
              <w:spacing w:before="40" w:after="40"/>
              <w:rPr>
                <w:sz w:val="17"/>
                <w:szCs w:val="17"/>
              </w:rPr>
            </w:pPr>
            <w:r w:rsidRPr="00AB4260">
              <w:rPr>
                <w:sz w:val="17"/>
                <w:szCs w:val="17"/>
              </w:rPr>
              <w:t>The proportion of</w:t>
            </w:r>
            <w:r w:rsidR="00A14030">
              <w:rPr>
                <w:sz w:val="17"/>
                <w:szCs w:val="17"/>
              </w:rPr>
              <w:t xml:space="preserve"> respondents from an</w:t>
            </w:r>
            <w:r w:rsidRPr="00AB4260">
              <w:rPr>
                <w:sz w:val="17"/>
                <w:szCs w:val="17"/>
              </w:rPr>
              <w:t xml:space="preserve"> </w:t>
            </w:r>
            <w:r w:rsidR="00FE5FB6">
              <w:rPr>
                <w:sz w:val="17"/>
                <w:szCs w:val="17"/>
              </w:rPr>
              <w:t>Aboriginal and Torres Strait Islander</w:t>
            </w:r>
            <w:r w:rsidR="00A14030">
              <w:rPr>
                <w:sz w:val="17"/>
                <w:szCs w:val="17"/>
              </w:rPr>
              <w:t xml:space="preserve"> background p</w:t>
            </w:r>
            <w:r>
              <w:rPr>
                <w:sz w:val="17"/>
                <w:szCs w:val="17"/>
              </w:rPr>
              <w:t>articipating in the Australian Needle and Syringe Program Survey</w:t>
            </w:r>
            <w:r w:rsidRPr="00AB4260">
              <w:rPr>
                <w:color w:val="005BB9"/>
                <w:sz w:val="17"/>
                <w:szCs w:val="17"/>
              </w:rPr>
              <w:t xml:space="preserve"> </w:t>
            </w:r>
            <w:r w:rsidRPr="00AB4260">
              <w:rPr>
                <w:sz w:val="17"/>
                <w:szCs w:val="17"/>
              </w:rPr>
              <w:t>increased</w:t>
            </w:r>
            <w:r>
              <w:rPr>
                <w:sz w:val="17"/>
                <w:szCs w:val="17"/>
              </w:rPr>
              <w:t xml:space="preserve"> from</w:t>
            </w:r>
            <w:r w:rsidR="00A14030">
              <w:rPr>
                <w:color w:val="0070C0"/>
                <w:sz w:val="17"/>
                <w:szCs w:val="17"/>
              </w:rPr>
              <w:t xml:space="preserve"> 11</w:t>
            </w:r>
            <w:r>
              <w:rPr>
                <w:color w:val="0070C0"/>
                <w:sz w:val="17"/>
                <w:szCs w:val="17"/>
              </w:rPr>
              <w:t>%</w:t>
            </w:r>
            <w:r w:rsidRPr="00B96904">
              <w:rPr>
                <w:color w:val="0070C0"/>
                <w:sz w:val="17"/>
                <w:szCs w:val="17"/>
              </w:rPr>
              <w:t xml:space="preserve"> in 200</w:t>
            </w:r>
            <w:r>
              <w:rPr>
                <w:color w:val="0070C0"/>
                <w:sz w:val="17"/>
                <w:szCs w:val="17"/>
              </w:rPr>
              <w:t xml:space="preserve">7 to 18% </w:t>
            </w:r>
            <w:r w:rsidRPr="00B96904">
              <w:rPr>
                <w:color w:val="0070C0"/>
                <w:sz w:val="17"/>
                <w:szCs w:val="17"/>
              </w:rPr>
              <w:t>in 201</w:t>
            </w:r>
            <w:r w:rsidR="00A14030">
              <w:rPr>
                <w:color w:val="0070C0"/>
                <w:sz w:val="17"/>
                <w:szCs w:val="17"/>
              </w:rPr>
              <w:t>7</w:t>
            </w:r>
            <w:r>
              <w:rPr>
                <w:sz w:val="17"/>
                <w:szCs w:val="17"/>
              </w:rPr>
              <w:t xml:space="preserve">. However, it must be noted that during this period </w:t>
            </w:r>
            <w:r w:rsidR="00A14030">
              <w:rPr>
                <w:sz w:val="17"/>
                <w:szCs w:val="17"/>
              </w:rPr>
              <w:t xml:space="preserve">the prevalence of </w:t>
            </w:r>
            <w:r>
              <w:rPr>
                <w:sz w:val="17"/>
                <w:szCs w:val="17"/>
              </w:rPr>
              <w:t>receptive needle and syringe sharing</w:t>
            </w:r>
            <w:r w:rsidR="00A14030">
              <w:rPr>
                <w:sz w:val="17"/>
                <w:szCs w:val="17"/>
              </w:rPr>
              <w:t xml:space="preserve"> by </w:t>
            </w:r>
            <w:r w:rsidR="00A14030" w:rsidRPr="00A14030">
              <w:rPr>
                <w:sz w:val="17"/>
                <w:szCs w:val="17"/>
              </w:rPr>
              <w:t xml:space="preserve">Aboriginal and Torres Strait Islander </w:t>
            </w:r>
            <w:r w:rsidR="00A14030">
              <w:rPr>
                <w:sz w:val="17"/>
                <w:szCs w:val="17"/>
              </w:rPr>
              <w:t>program participants</w:t>
            </w:r>
            <w:r>
              <w:rPr>
                <w:sz w:val="17"/>
                <w:szCs w:val="17"/>
              </w:rPr>
              <w:t xml:space="preserve"> increased from </w:t>
            </w:r>
            <w:r w:rsidRPr="00741D08">
              <w:rPr>
                <w:sz w:val="17"/>
                <w:szCs w:val="17"/>
              </w:rPr>
              <w:t xml:space="preserve">18% to 28% </w:t>
            </w:r>
          </w:p>
        </w:tc>
      </w:tr>
      <w:tr w:rsidR="000B7574" w:rsidRPr="00AB4260" w14:paraId="0186B18B" w14:textId="77777777" w:rsidTr="00947DBB">
        <w:trPr>
          <w:trHeight w:val="737"/>
        </w:trPr>
        <w:tc>
          <w:tcPr>
            <w:tcW w:w="602" w:type="pct"/>
            <w:shd w:val="clear" w:color="auto" w:fill="00264D"/>
            <w:vAlign w:val="center"/>
          </w:tcPr>
          <w:p w14:paraId="1C6E704E" w14:textId="77777777" w:rsidR="000B7574" w:rsidRPr="00AB4260" w:rsidRDefault="000B7574" w:rsidP="00947DBB">
            <w:pPr>
              <w:spacing w:before="40" w:after="40"/>
              <w:jc w:val="center"/>
              <w:rPr>
                <w:color w:val="000000"/>
                <w:sz w:val="17"/>
                <w:szCs w:val="17"/>
              </w:rPr>
            </w:pPr>
            <w:r>
              <w:rPr>
                <w:noProof/>
                <w:color w:val="000000"/>
                <w:sz w:val="17"/>
                <w:szCs w:val="17"/>
                <w:lang w:eastAsia="en-AU"/>
              </w:rPr>
              <w:drawing>
                <wp:inline distT="0" distB="0" distL="0" distR="0" wp14:anchorId="38C7993B" wp14:editId="5B41950F">
                  <wp:extent cx="304800" cy="297180"/>
                  <wp:effectExtent l="0" t="0" r="0" b="7620"/>
                  <wp:docPr id="27" name="Picture 27" descr="Image only " title="Imag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297180"/>
                          </a:xfrm>
                          <a:prstGeom prst="rect">
                            <a:avLst/>
                          </a:prstGeom>
                          <a:noFill/>
                          <a:ln>
                            <a:noFill/>
                          </a:ln>
                        </pic:spPr>
                      </pic:pic>
                    </a:graphicData>
                  </a:graphic>
                </wp:inline>
              </w:drawing>
            </w:r>
          </w:p>
        </w:tc>
        <w:tc>
          <w:tcPr>
            <w:tcW w:w="4398" w:type="pct"/>
            <w:shd w:val="clear" w:color="auto" w:fill="auto"/>
            <w:vAlign w:val="center"/>
          </w:tcPr>
          <w:p w14:paraId="53D7312F" w14:textId="1E64DEAF" w:rsidR="000B7574" w:rsidRPr="00AB4260" w:rsidRDefault="000B7574" w:rsidP="00947DBB">
            <w:pPr>
              <w:rPr>
                <w:sz w:val="17"/>
                <w:szCs w:val="17"/>
              </w:rPr>
            </w:pPr>
            <w:r w:rsidRPr="00AB4260">
              <w:rPr>
                <w:sz w:val="17"/>
                <w:szCs w:val="17"/>
              </w:rPr>
              <w:t xml:space="preserve">There was progress in efforts to integrate sexual health services with </w:t>
            </w:r>
            <w:r w:rsidRPr="00AB4260">
              <w:rPr>
                <w:color w:val="808080"/>
                <w:sz w:val="17"/>
                <w:szCs w:val="17"/>
              </w:rPr>
              <w:t>primary health care</w:t>
            </w:r>
            <w:r w:rsidRPr="00AB4260">
              <w:rPr>
                <w:sz w:val="17"/>
                <w:szCs w:val="17"/>
              </w:rPr>
              <w:t xml:space="preserve">, including through </w:t>
            </w:r>
            <w:r w:rsidRPr="00AB4260">
              <w:rPr>
                <w:color w:val="808080"/>
                <w:sz w:val="17"/>
                <w:szCs w:val="17"/>
              </w:rPr>
              <w:t>A</w:t>
            </w:r>
            <w:r>
              <w:rPr>
                <w:color w:val="808080"/>
                <w:sz w:val="17"/>
                <w:szCs w:val="17"/>
              </w:rPr>
              <w:t>boriginal Community</w:t>
            </w:r>
            <w:r w:rsidR="00C24FA8">
              <w:rPr>
                <w:color w:val="808080"/>
                <w:sz w:val="17"/>
                <w:szCs w:val="17"/>
              </w:rPr>
              <w:t xml:space="preserve"> </w:t>
            </w:r>
            <w:r>
              <w:rPr>
                <w:color w:val="808080"/>
                <w:sz w:val="17"/>
                <w:szCs w:val="17"/>
              </w:rPr>
              <w:t>Controlled Health Services</w:t>
            </w:r>
          </w:p>
        </w:tc>
      </w:tr>
      <w:tr w:rsidR="000B7574" w:rsidRPr="00AB4260" w14:paraId="242DFFA9" w14:textId="77777777" w:rsidTr="00947DBB">
        <w:trPr>
          <w:trHeight w:val="737"/>
        </w:trPr>
        <w:tc>
          <w:tcPr>
            <w:tcW w:w="602" w:type="pct"/>
            <w:shd w:val="clear" w:color="auto" w:fill="00264D"/>
            <w:vAlign w:val="center"/>
          </w:tcPr>
          <w:p w14:paraId="2755D054" w14:textId="77777777" w:rsidR="000B7574" w:rsidRDefault="000B7574" w:rsidP="00947DBB">
            <w:pPr>
              <w:spacing w:before="40" w:after="40"/>
              <w:jc w:val="center"/>
              <w:rPr>
                <w:color w:val="000000"/>
                <w:sz w:val="17"/>
                <w:szCs w:val="17"/>
              </w:rPr>
            </w:pPr>
            <w:r>
              <w:rPr>
                <w:noProof/>
                <w:lang w:eastAsia="en-AU"/>
              </w:rPr>
              <mc:AlternateContent>
                <mc:Choice Requires="wpg">
                  <w:drawing>
                    <wp:anchor distT="0" distB="0" distL="114300" distR="114300" simplePos="0" relativeHeight="251654144" behindDoc="0" locked="0" layoutInCell="1" allowOverlap="1" wp14:anchorId="4283163F" wp14:editId="6AF6CCF9">
                      <wp:simplePos x="0" y="0"/>
                      <wp:positionH relativeFrom="column">
                        <wp:posOffset>161925</wp:posOffset>
                      </wp:positionH>
                      <wp:positionV relativeFrom="paragraph">
                        <wp:posOffset>-10795</wp:posOffset>
                      </wp:positionV>
                      <wp:extent cx="287655" cy="287655"/>
                      <wp:effectExtent l="0" t="0" r="0" b="0"/>
                      <wp:wrapNone/>
                      <wp:docPr id="1" name="Group 1" descr="Image only " title="Image only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654" cy="287656"/>
                                <a:chOff x="0" y="0"/>
                                <a:chExt cx="636588" cy="638175"/>
                              </a:xfrm>
                              <a:solidFill>
                                <a:srgbClr val="FED13B"/>
                              </a:solidFill>
                            </wpg:grpSpPr>
                            <wps:wsp>
                              <wps:cNvPr id="3" name="Freeform 16"/>
                              <wps:cNvSpPr>
                                <a:spLocks noEditPoints="1"/>
                              </wps:cNvSpPr>
                              <wps:spPr bwMode="auto">
                                <a:xfrm>
                                  <a:off x="0" y="0"/>
                                  <a:ext cx="636588" cy="638175"/>
                                </a:xfrm>
                                <a:custGeom>
                                  <a:avLst/>
                                  <a:gdLst>
                                    <a:gd name="T0" fmla="*/ 85 w 170"/>
                                    <a:gd name="T1" fmla="*/ 162 h 170"/>
                                    <a:gd name="T2" fmla="*/ 70 w 170"/>
                                    <a:gd name="T3" fmla="*/ 168 h 170"/>
                                    <a:gd name="T4" fmla="*/ 71 w 170"/>
                                    <a:gd name="T5" fmla="*/ 168 h 170"/>
                                    <a:gd name="T6" fmla="*/ 103 w 170"/>
                                    <a:gd name="T7" fmla="*/ 164 h 170"/>
                                    <a:gd name="T8" fmla="*/ 56 w 170"/>
                                    <a:gd name="T9" fmla="*/ 165 h 170"/>
                                    <a:gd name="T10" fmla="*/ 61 w 170"/>
                                    <a:gd name="T11" fmla="*/ 162 h 170"/>
                                    <a:gd name="T12" fmla="*/ 116 w 170"/>
                                    <a:gd name="T13" fmla="*/ 160 h 170"/>
                                    <a:gd name="T14" fmla="*/ 43 w 170"/>
                                    <a:gd name="T15" fmla="*/ 158 h 170"/>
                                    <a:gd name="T16" fmla="*/ 44 w 170"/>
                                    <a:gd name="T17" fmla="*/ 159 h 170"/>
                                    <a:gd name="T18" fmla="*/ 129 w 170"/>
                                    <a:gd name="T19" fmla="*/ 153 h 170"/>
                                    <a:gd name="T20" fmla="*/ 31 w 170"/>
                                    <a:gd name="T21" fmla="*/ 150 h 170"/>
                                    <a:gd name="T22" fmla="*/ 36 w 170"/>
                                    <a:gd name="T23" fmla="*/ 149 h 170"/>
                                    <a:gd name="T24" fmla="*/ 135 w 170"/>
                                    <a:gd name="T25" fmla="*/ 144 h 170"/>
                                    <a:gd name="T26" fmla="*/ 23 w 170"/>
                                    <a:gd name="T27" fmla="*/ 141 h 170"/>
                                    <a:gd name="T28" fmla="*/ 26 w 170"/>
                                    <a:gd name="T29" fmla="*/ 135 h 170"/>
                                    <a:gd name="T30" fmla="*/ 144 w 170"/>
                                    <a:gd name="T31" fmla="*/ 135 h 170"/>
                                    <a:gd name="T32" fmla="*/ 147 w 170"/>
                                    <a:gd name="T33" fmla="*/ 141 h 170"/>
                                    <a:gd name="T34" fmla="*/ 17 w 170"/>
                                    <a:gd name="T35" fmla="*/ 123 h 170"/>
                                    <a:gd name="T36" fmla="*/ 153 w 170"/>
                                    <a:gd name="T37" fmla="*/ 129 h 170"/>
                                    <a:gd name="T38" fmla="*/ 155 w 170"/>
                                    <a:gd name="T39" fmla="*/ 129 h 170"/>
                                    <a:gd name="T40" fmla="*/ 162 w 170"/>
                                    <a:gd name="T41" fmla="*/ 109 h 170"/>
                                    <a:gd name="T42" fmla="*/ 5 w 170"/>
                                    <a:gd name="T43" fmla="*/ 114 h 170"/>
                                    <a:gd name="T44" fmla="*/ 8 w 170"/>
                                    <a:gd name="T45" fmla="*/ 116 h 170"/>
                                    <a:gd name="T46" fmla="*/ 8 w 170"/>
                                    <a:gd name="T47" fmla="*/ 98 h 170"/>
                                    <a:gd name="T48" fmla="*/ 164 w 170"/>
                                    <a:gd name="T49" fmla="*/ 103 h 170"/>
                                    <a:gd name="T50" fmla="*/ 168 w 170"/>
                                    <a:gd name="T51" fmla="*/ 100 h 170"/>
                                    <a:gd name="T52" fmla="*/ 4 w 170"/>
                                    <a:gd name="T53" fmla="*/ 81 h 170"/>
                                    <a:gd name="T54" fmla="*/ 162 w 170"/>
                                    <a:gd name="T55" fmla="*/ 85 h 170"/>
                                    <a:gd name="T56" fmla="*/ 166 w 170"/>
                                    <a:gd name="T57" fmla="*/ 89 h 170"/>
                                    <a:gd name="T58" fmla="*/ 168 w 170"/>
                                    <a:gd name="T59" fmla="*/ 70 h 170"/>
                                    <a:gd name="T60" fmla="*/ 4 w 170"/>
                                    <a:gd name="T61" fmla="*/ 74 h 170"/>
                                    <a:gd name="T62" fmla="*/ 8 w 170"/>
                                    <a:gd name="T63" fmla="*/ 71 h 170"/>
                                    <a:gd name="T64" fmla="*/ 164 w 170"/>
                                    <a:gd name="T65" fmla="*/ 56 h 170"/>
                                    <a:gd name="T66" fmla="*/ 7 w 170"/>
                                    <a:gd name="T67" fmla="*/ 60 h 170"/>
                                    <a:gd name="T68" fmla="*/ 8 w 170"/>
                                    <a:gd name="T69" fmla="*/ 60 h 170"/>
                                    <a:gd name="T70" fmla="*/ 158 w 170"/>
                                    <a:gd name="T71" fmla="*/ 42 h 170"/>
                                    <a:gd name="T72" fmla="*/ 13 w 170"/>
                                    <a:gd name="T73" fmla="*/ 47 h 170"/>
                                    <a:gd name="T74" fmla="*/ 14 w 170"/>
                                    <a:gd name="T75" fmla="*/ 48 h 170"/>
                                    <a:gd name="T76" fmla="*/ 150 w 170"/>
                                    <a:gd name="T77" fmla="*/ 30 h 170"/>
                                    <a:gd name="T78" fmla="*/ 20 w 170"/>
                                    <a:gd name="T79" fmla="*/ 35 h 170"/>
                                    <a:gd name="T80" fmla="*/ 23 w 170"/>
                                    <a:gd name="T81" fmla="*/ 36 h 170"/>
                                    <a:gd name="T82" fmla="*/ 139 w 170"/>
                                    <a:gd name="T83" fmla="*/ 20 h 170"/>
                                    <a:gd name="T84" fmla="*/ 30 w 170"/>
                                    <a:gd name="T85" fmla="*/ 25 h 170"/>
                                    <a:gd name="T86" fmla="*/ 35 w 170"/>
                                    <a:gd name="T87" fmla="*/ 25 h 170"/>
                                    <a:gd name="T88" fmla="*/ 127 w 170"/>
                                    <a:gd name="T89" fmla="*/ 11 h 170"/>
                                    <a:gd name="T90" fmla="*/ 41 w 170"/>
                                    <a:gd name="T91" fmla="*/ 16 h 170"/>
                                    <a:gd name="T92" fmla="*/ 46 w 170"/>
                                    <a:gd name="T93" fmla="*/ 18 h 170"/>
                                    <a:gd name="T94" fmla="*/ 109 w 170"/>
                                    <a:gd name="T95" fmla="*/ 7 h 170"/>
                                    <a:gd name="T96" fmla="*/ 57 w 170"/>
                                    <a:gd name="T97" fmla="*/ 12 h 170"/>
                                    <a:gd name="T98" fmla="*/ 59 w 170"/>
                                    <a:gd name="T99" fmla="*/ 12 h 170"/>
                                    <a:gd name="T100" fmla="*/ 95 w 170"/>
                                    <a:gd name="T101" fmla="*/ 4 h 170"/>
                                    <a:gd name="T102" fmla="*/ 71 w 170"/>
                                    <a:gd name="T103" fmla="*/ 8 h 170"/>
                                    <a:gd name="T104" fmla="*/ 72 w 170"/>
                                    <a:gd name="T105" fmla="*/ 8 h 170"/>
                                    <a:gd name="T106" fmla="*/ 85 w 170"/>
                                    <a:gd name="T107" fmla="*/ 7 h 170"/>
                                    <a:gd name="T108" fmla="*/ 85 w 170"/>
                                    <a:gd name="T109" fmla="*/ 7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70" h="170">
                                      <a:moveTo>
                                        <a:pt x="85" y="170"/>
                                      </a:moveTo>
                                      <a:cubicBezTo>
                                        <a:pt x="85" y="170"/>
                                        <a:pt x="85" y="170"/>
                                        <a:pt x="85" y="170"/>
                                      </a:cubicBezTo>
                                      <a:cubicBezTo>
                                        <a:pt x="83" y="170"/>
                                        <a:pt x="81" y="168"/>
                                        <a:pt x="81" y="166"/>
                                      </a:cubicBezTo>
                                      <a:cubicBezTo>
                                        <a:pt x="81" y="164"/>
                                        <a:pt x="83" y="162"/>
                                        <a:pt x="85" y="162"/>
                                      </a:cubicBezTo>
                                      <a:cubicBezTo>
                                        <a:pt x="85" y="162"/>
                                        <a:pt x="85" y="162"/>
                                        <a:pt x="85" y="162"/>
                                      </a:cubicBezTo>
                                      <a:cubicBezTo>
                                        <a:pt x="87" y="162"/>
                                        <a:pt x="89" y="164"/>
                                        <a:pt x="89" y="166"/>
                                      </a:cubicBezTo>
                                      <a:cubicBezTo>
                                        <a:pt x="89" y="168"/>
                                        <a:pt x="87" y="170"/>
                                        <a:pt x="85" y="170"/>
                                      </a:cubicBezTo>
                                      <a:close/>
                                      <a:moveTo>
                                        <a:pt x="71" y="168"/>
                                      </a:moveTo>
                                      <a:cubicBezTo>
                                        <a:pt x="71" y="168"/>
                                        <a:pt x="71" y="168"/>
                                        <a:pt x="70" y="168"/>
                                      </a:cubicBezTo>
                                      <a:cubicBezTo>
                                        <a:pt x="70" y="168"/>
                                        <a:pt x="70" y="168"/>
                                        <a:pt x="70" y="168"/>
                                      </a:cubicBezTo>
                                      <a:cubicBezTo>
                                        <a:pt x="68" y="168"/>
                                        <a:pt x="67" y="166"/>
                                        <a:pt x="67" y="164"/>
                                      </a:cubicBezTo>
                                      <a:cubicBezTo>
                                        <a:pt x="67" y="162"/>
                                        <a:pt x="69" y="161"/>
                                        <a:pt x="71" y="161"/>
                                      </a:cubicBezTo>
                                      <a:cubicBezTo>
                                        <a:pt x="72" y="161"/>
                                        <a:pt x="72" y="161"/>
                                        <a:pt x="72" y="161"/>
                                      </a:cubicBezTo>
                                      <a:cubicBezTo>
                                        <a:pt x="74" y="162"/>
                                        <a:pt x="75" y="163"/>
                                        <a:pt x="75" y="165"/>
                                      </a:cubicBezTo>
                                      <a:cubicBezTo>
                                        <a:pt x="74" y="167"/>
                                        <a:pt x="73" y="168"/>
                                        <a:pt x="71" y="168"/>
                                      </a:cubicBezTo>
                                      <a:close/>
                                      <a:moveTo>
                                        <a:pt x="99" y="168"/>
                                      </a:moveTo>
                                      <a:cubicBezTo>
                                        <a:pt x="97" y="168"/>
                                        <a:pt x="95" y="167"/>
                                        <a:pt x="95" y="165"/>
                                      </a:cubicBezTo>
                                      <a:cubicBezTo>
                                        <a:pt x="95" y="163"/>
                                        <a:pt x="96" y="162"/>
                                        <a:pt x="98" y="161"/>
                                      </a:cubicBezTo>
                                      <a:cubicBezTo>
                                        <a:pt x="98" y="161"/>
                                        <a:pt x="98" y="161"/>
                                        <a:pt x="98" y="161"/>
                                      </a:cubicBezTo>
                                      <a:cubicBezTo>
                                        <a:pt x="100" y="161"/>
                                        <a:pt x="102" y="162"/>
                                        <a:pt x="103" y="164"/>
                                      </a:cubicBezTo>
                                      <a:cubicBezTo>
                                        <a:pt x="103" y="166"/>
                                        <a:pt x="102" y="168"/>
                                        <a:pt x="100" y="168"/>
                                      </a:cubicBezTo>
                                      <a:cubicBezTo>
                                        <a:pt x="99" y="168"/>
                                        <a:pt x="99" y="168"/>
                                        <a:pt x="99" y="168"/>
                                      </a:cubicBezTo>
                                      <a:cubicBezTo>
                                        <a:pt x="99" y="168"/>
                                        <a:pt x="99" y="168"/>
                                        <a:pt x="99" y="168"/>
                                      </a:cubicBezTo>
                                      <a:close/>
                                      <a:moveTo>
                                        <a:pt x="57" y="165"/>
                                      </a:moveTo>
                                      <a:cubicBezTo>
                                        <a:pt x="57" y="165"/>
                                        <a:pt x="56" y="165"/>
                                        <a:pt x="56" y="165"/>
                                      </a:cubicBezTo>
                                      <a:cubicBezTo>
                                        <a:pt x="56" y="164"/>
                                        <a:pt x="56" y="164"/>
                                        <a:pt x="56" y="164"/>
                                      </a:cubicBezTo>
                                      <a:cubicBezTo>
                                        <a:pt x="54" y="164"/>
                                        <a:pt x="53" y="162"/>
                                        <a:pt x="53" y="160"/>
                                      </a:cubicBezTo>
                                      <a:cubicBezTo>
                                        <a:pt x="54" y="158"/>
                                        <a:pt x="56" y="157"/>
                                        <a:pt x="58" y="158"/>
                                      </a:cubicBezTo>
                                      <a:cubicBezTo>
                                        <a:pt x="59" y="158"/>
                                        <a:pt x="59" y="158"/>
                                        <a:pt x="59" y="158"/>
                                      </a:cubicBezTo>
                                      <a:cubicBezTo>
                                        <a:pt x="60" y="158"/>
                                        <a:pt x="61" y="161"/>
                                        <a:pt x="61" y="162"/>
                                      </a:cubicBezTo>
                                      <a:cubicBezTo>
                                        <a:pt x="60" y="164"/>
                                        <a:pt x="59" y="165"/>
                                        <a:pt x="57" y="165"/>
                                      </a:cubicBezTo>
                                      <a:close/>
                                      <a:moveTo>
                                        <a:pt x="112" y="165"/>
                                      </a:moveTo>
                                      <a:cubicBezTo>
                                        <a:pt x="111" y="165"/>
                                        <a:pt x="109" y="164"/>
                                        <a:pt x="109" y="162"/>
                                      </a:cubicBezTo>
                                      <a:cubicBezTo>
                                        <a:pt x="108" y="160"/>
                                        <a:pt x="109" y="158"/>
                                        <a:pt x="111" y="158"/>
                                      </a:cubicBezTo>
                                      <a:cubicBezTo>
                                        <a:pt x="113" y="157"/>
                                        <a:pt x="115" y="158"/>
                                        <a:pt x="116" y="160"/>
                                      </a:cubicBezTo>
                                      <a:cubicBezTo>
                                        <a:pt x="117" y="162"/>
                                        <a:pt x="116" y="164"/>
                                        <a:pt x="114" y="164"/>
                                      </a:cubicBezTo>
                                      <a:cubicBezTo>
                                        <a:pt x="114" y="165"/>
                                        <a:pt x="114" y="165"/>
                                        <a:pt x="114" y="165"/>
                                      </a:cubicBezTo>
                                      <a:cubicBezTo>
                                        <a:pt x="113" y="165"/>
                                        <a:pt x="113" y="165"/>
                                        <a:pt x="112" y="165"/>
                                      </a:cubicBezTo>
                                      <a:close/>
                                      <a:moveTo>
                                        <a:pt x="44" y="159"/>
                                      </a:moveTo>
                                      <a:cubicBezTo>
                                        <a:pt x="44" y="159"/>
                                        <a:pt x="43" y="159"/>
                                        <a:pt x="43" y="158"/>
                                      </a:cubicBezTo>
                                      <a:cubicBezTo>
                                        <a:pt x="42" y="158"/>
                                        <a:pt x="42" y="158"/>
                                        <a:pt x="42" y="158"/>
                                      </a:cubicBezTo>
                                      <a:cubicBezTo>
                                        <a:pt x="40" y="157"/>
                                        <a:pt x="40" y="155"/>
                                        <a:pt x="41" y="153"/>
                                      </a:cubicBezTo>
                                      <a:cubicBezTo>
                                        <a:pt x="42" y="151"/>
                                        <a:pt x="44" y="151"/>
                                        <a:pt x="46" y="152"/>
                                      </a:cubicBezTo>
                                      <a:cubicBezTo>
                                        <a:pt x="48" y="153"/>
                                        <a:pt x="48" y="155"/>
                                        <a:pt x="47" y="157"/>
                                      </a:cubicBezTo>
                                      <a:cubicBezTo>
                                        <a:pt x="47" y="158"/>
                                        <a:pt x="46" y="159"/>
                                        <a:pt x="44" y="159"/>
                                      </a:cubicBezTo>
                                      <a:close/>
                                      <a:moveTo>
                                        <a:pt x="125" y="159"/>
                                      </a:moveTo>
                                      <a:cubicBezTo>
                                        <a:pt x="124" y="159"/>
                                        <a:pt x="123" y="158"/>
                                        <a:pt x="122" y="157"/>
                                      </a:cubicBezTo>
                                      <a:cubicBezTo>
                                        <a:pt x="121" y="155"/>
                                        <a:pt x="122" y="153"/>
                                        <a:pt x="123" y="152"/>
                                      </a:cubicBezTo>
                                      <a:cubicBezTo>
                                        <a:pt x="124" y="152"/>
                                        <a:pt x="124" y="152"/>
                                        <a:pt x="124" y="152"/>
                                      </a:cubicBezTo>
                                      <a:cubicBezTo>
                                        <a:pt x="126" y="151"/>
                                        <a:pt x="128" y="151"/>
                                        <a:pt x="129" y="153"/>
                                      </a:cubicBezTo>
                                      <a:cubicBezTo>
                                        <a:pt x="130" y="155"/>
                                        <a:pt x="129" y="157"/>
                                        <a:pt x="127" y="158"/>
                                      </a:cubicBezTo>
                                      <a:cubicBezTo>
                                        <a:pt x="127" y="158"/>
                                        <a:pt x="127" y="158"/>
                                        <a:pt x="127" y="158"/>
                                      </a:cubicBezTo>
                                      <a:cubicBezTo>
                                        <a:pt x="126" y="159"/>
                                        <a:pt x="126" y="159"/>
                                        <a:pt x="125" y="159"/>
                                      </a:cubicBezTo>
                                      <a:close/>
                                      <a:moveTo>
                                        <a:pt x="33" y="151"/>
                                      </a:moveTo>
                                      <a:cubicBezTo>
                                        <a:pt x="32" y="151"/>
                                        <a:pt x="31" y="150"/>
                                        <a:pt x="31" y="150"/>
                                      </a:cubicBezTo>
                                      <a:cubicBezTo>
                                        <a:pt x="31" y="150"/>
                                        <a:pt x="30" y="150"/>
                                        <a:pt x="30" y="150"/>
                                      </a:cubicBezTo>
                                      <a:cubicBezTo>
                                        <a:pt x="29" y="148"/>
                                        <a:pt x="29" y="146"/>
                                        <a:pt x="30" y="145"/>
                                      </a:cubicBezTo>
                                      <a:cubicBezTo>
                                        <a:pt x="31" y="143"/>
                                        <a:pt x="33" y="143"/>
                                        <a:pt x="35" y="144"/>
                                      </a:cubicBezTo>
                                      <a:cubicBezTo>
                                        <a:pt x="35" y="144"/>
                                        <a:pt x="35" y="144"/>
                                        <a:pt x="35" y="144"/>
                                      </a:cubicBezTo>
                                      <a:cubicBezTo>
                                        <a:pt x="37" y="146"/>
                                        <a:pt x="37" y="148"/>
                                        <a:pt x="36" y="149"/>
                                      </a:cubicBezTo>
                                      <a:cubicBezTo>
                                        <a:pt x="35" y="150"/>
                                        <a:pt x="34" y="151"/>
                                        <a:pt x="33" y="151"/>
                                      </a:cubicBezTo>
                                      <a:close/>
                                      <a:moveTo>
                                        <a:pt x="137" y="151"/>
                                      </a:moveTo>
                                      <a:cubicBezTo>
                                        <a:pt x="136" y="151"/>
                                        <a:pt x="135" y="150"/>
                                        <a:pt x="134" y="149"/>
                                      </a:cubicBezTo>
                                      <a:cubicBezTo>
                                        <a:pt x="133" y="148"/>
                                        <a:pt x="133" y="146"/>
                                        <a:pt x="134" y="144"/>
                                      </a:cubicBezTo>
                                      <a:cubicBezTo>
                                        <a:pt x="135" y="144"/>
                                        <a:pt x="135" y="144"/>
                                        <a:pt x="135" y="144"/>
                                      </a:cubicBezTo>
                                      <a:cubicBezTo>
                                        <a:pt x="136" y="143"/>
                                        <a:pt x="139" y="143"/>
                                        <a:pt x="140" y="144"/>
                                      </a:cubicBezTo>
                                      <a:cubicBezTo>
                                        <a:pt x="141" y="146"/>
                                        <a:pt x="141" y="148"/>
                                        <a:pt x="139" y="150"/>
                                      </a:cubicBezTo>
                                      <a:cubicBezTo>
                                        <a:pt x="139" y="150"/>
                                        <a:pt x="139" y="150"/>
                                        <a:pt x="139" y="150"/>
                                      </a:cubicBezTo>
                                      <a:cubicBezTo>
                                        <a:pt x="138" y="150"/>
                                        <a:pt x="138" y="151"/>
                                        <a:pt x="137" y="151"/>
                                      </a:cubicBezTo>
                                      <a:close/>
                                      <a:moveTo>
                                        <a:pt x="23" y="141"/>
                                      </a:moveTo>
                                      <a:cubicBezTo>
                                        <a:pt x="22" y="141"/>
                                        <a:pt x="21" y="140"/>
                                        <a:pt x="20" y="139"/>
                                      </a:cubicBezTo>
                                      <a:cubicBezTo>
                                        <a:pt x="20" y="139"/>
                                        <a:pt x="20" y="139"/>
                                        <a:pt x="20" y="139"/>
                                      </a:cubicBezTo>
                                      <a:cubicBezTo>
                                        <a:pt x="18" y="138"/>
                                        <a:pt x="19" y="135"/>
                                        <a:pt x="20" y="134"/>
                                      </a:cubicBezTo>
                                      <a:cubicBezTo>
                                        <a:pt x="22" y="133"/>
                                        <a:pt x="24" y="133"/>
                                        <a:pt x="25" y="134"/>
                                      </a:cubicBezTo>
                                      <a:cubicBezTo>
                                        <a:pt x="26" y="135"/>
                                        <a:pt x="26" y="135"/>
                                        <a:pt x="26" y="135"/>
                                      </a:cubicBezTo>
                                      <a:cubicBezTo>
                                        <a:pt x="27" y="136"/>
                                        <a:pt x="27" y="139"/>
                                        <a:pt x="25" y="140"/>
                                      </a:cubicBezTo>
                                      <a:cubicBezTo>
                                        <a:pt x="24" y="140"/>
                                        <a:pt x="24" y="141"/>
                                        <a:pt x="23" y="141"/>
                                      </a:cubicBezTo>
                                      <a:close/>
                                      <a:moveTo>
                                        <a:pt x="147" y="141"/>
                                      </a:moveTo>
                                      <a:cubicBezTo>
                                        <a:pt x="146" y="141"/>
                                        <a:pt x="145" y="140"/>
                                        <a:pt x="144" y="140"/>
                                      </a:cubicBezTo>
                                      <a:cubicBezTo>
                                        <a:pt x="143" y="139"/>
                                        <a:pt x="143" y="136"/>
                                        <a:pt x="144" y="135"/>
                                      </a:cubicBezTo>
                                      <a:cubicBezTo>
                                        <a:pt x="144" y="134"/>
                                        <a:pt x="144" y="134"/>
                                        <a:pt x="144" y="134"/>
                                      </a:cubicBezTo>
                                      <a:cubicBezTo>
                                        <a:pt x="146" y="133"/>
                                        <a:pt x="148" y="133"/>
                                        <a:pt x="149" y="134"/>
                                      </a:cubicBezTo>
                                      <a:cubicBezTo>
                                        <a:pt x="151" y="135"/>
                                        <a:pt x="151" y="138"/>
                                        <a:pt x="150" y="139"/>
                                      </a:cubicBezTo>
                                      <a:cubicBezTo>
                                        <a:pt x="150" y="139"/>
                                        <a:pt x="150" y="139"/>
                                        <a:pt x="150" y="139"/>
                                      </a:cubicBezTo>
                                      <a:cubicBezTo>
                                        <a:pt x="149" y="140"/>
                                        <a:pt x="148" y="141"/>
                                        <a:pt x="147" y="141"/>
                                      </a:cubicBezTo>
                                      <a:close/>
                                      <a:moveTo>
                                        <a:pt x="15" y="129"/>
                                      </a:moveTo>
                                      <a:cubicBezTo>
                                        <a:pt x="13" y="129"/>
                                        <a:pt x="12" y="129"/>
                                        <a:pt x="11" y="127"/>
                                      </a:cubicBezTo>
                                      <a:cubicBezTo>
                                        <a:pt x="11" y="127"/>
                                        <a:pt x="11" y="127"/>
                                        <a:pt x="11" y="127"/>
                                      </a:cubicBezTo>
                                      <a:cubicBezTo>
                                        <a:pt x="10" y="125"/>
                                        <a:pt x="11" y="123"/>
                                        <a:pt x="12" y="122"/>
                                      </a:cubicBezTo>
                                      <a:cubicBezTo>
                                        <a:pt x="14" y="121"/>
                                        <a:pt x="16" y="122"/>
                                        <a:pt x="17" y="123"/>
                                      </a:cubicBezTo>
                                      <a:cubicBezTo>
                                        <a:pt x="18" y="124"/>
                                        <a:pt x="18" y="124"/>
                                        <a:pt x="18" y="124"/>
                                      </a:cubicBezTo>
                                      <a:cubicBezTo>
                                        <a:pt x="19" y="126"/>
                                        <a:pt x="18" y="128"/>
                                        <a:pt x="16" y="129"/>
                                      </a:cubicBezTo>
                                      <a:cubicBezTo>
                                        <a:pt x="16" y="129"/>
                                        <a:pt x="15" y="129"/>
                                        <a:pt x="15" y="129"/>
                                      </a:cubicBezTo>
                                      <a:close/>
                                      <a:moveTo>
                                        <a:pt x="155" y="129"/>
                                      </a:moveTo>
                                      <a:cubicBezTo>
                                        <a:pt x="154" y="129"/>
                                        <a:pt x="154" y="129"/>
                                        <a:pt x="153" y="129"/>
                                      </a:cubicBezTo>
                                      <a:cubicBezTo>
                                        <a:pt x="151" y="128"/>
                                        <a:pt x="151" y="125"/>
                                        <a:pt x="152" y="124"/>
                                      </a:cubicBezTo>
                                      <a:cubicBezTo>
                                        <a:pt x="153" y="122"/>
                                        <a:pt x="155" y="121"/>
                                        <a:pt x="157" y="122"/>
                                      </a:cubicBezTo>
                                      <a:cubicBezTo>
                                        <a:pt x="159" y="123"/>
                                        <a:pt x="159" y="125"/>
                                        <a:pt x="158" y="127"/>
                                      </a:cubicBezTo>
                                      <a:cubicBezTo>
                                        <a:pt x="158" y="127"/>
                                        <a:pt x="158" y="127"/>
                                        <a:pt x="158" y="127"/>
                                      </a:cubicBezTo>
                                      <a:cubicBezTo>
                                        <a:pt x="157" y="129"/>
                                        <a:pt x="156" y="129"/>
                                        <a:pt x="155" y="129"/>
                                      </a:cubicBezTo>
                                      <a:close/>
                                      <a:moveTo>
                                        <a:pt x="161" y="116"/>
                                      </a:moveTo>
                                      <a:cubicBezTo>
                                        <a:pt x="161" y="116"/>
                                        <a:pt x="160" y="116"/>
                                        <a:pt x="160" y="116"/>
                                      </a:cubicBezTo>
                                      <a:cubicBezTo>
                                        <a:pt x="158" y="116"/>
                                        <a:pt x="157" y="113"/>
                                        <a:pt x="158" y="112"/>
                                      </a:cubicBezTo>
                                      <a:cubicBezTo>
                                        <a:pt x="158" y="111"/>
                                        <a:pt x="158" y="111"/>
                                        <a:pt x="158" y="111"/>
                                      </a:cubicBezTo>
                                      <a:cubicBezTo>
                                        <a:pt x="158" y="109"/>
                                        <a:pt x="160" y="108"/>
                                        <a:pt x="162" y="109"/>
                                      </a:cubicBezTo>
                                      <a:cubicBezTo>
                                        <a:pt x="164" y="110"/>
                                        <a:pt x="165" y="112"/>
                                        <a:pt x="165" y="114"/>
                                      </a:cubicBezTo>
                                      <a:cubicBezTo>
                                        <a:pt x="164" y="114"/>
                                        <a:pt x="164" y="114"/>
                                        <a:pt x="164" y="114"/>
                                      </a:cubicBezTo>
                                      <a:cubicBezTo>
                                        <a:pt x="164" y="115"/>
                                        <a:pt x="162" y="116"/>
                                        <a:pt x="161" y="116"/>
                                      </a:cubicBezTo>
                                      <a:close/>
                                      <a:moveTo>
                                        <a:pt x="8" y="116"/>
                                      </a:moveTo>
                                      <a:cubicBezTo>
                                        <a:pt x="7" y="116"/>
                                        <a:pt x="6" y="116"/>
                                        <a:pt x="5" y="114"/>
                                      </a:cubicBezTo>
                                      <a:cubicBezTo>
                                        <a:pt x="5" y="114"/>
                                        <a:pt x="5" y="114"/>
                                        <a:pt x="5" y="114"/>
                                      </a:cubicBezTo>
                                      <a:cubicBezTo>
                                        <a:pt x="4" y="112"/>
                                        <a:pt x="5" y="110"/>
                                        <a:pt x="7" y="109"/>
                                      </a:cubicBezTo>
                                      <a:cubicBezTo>
                                        <a:pt x="9" y="108"/>
                                        <a:pt x="11" y="109"/>
                                        <a:pt x="12" y="111"/>
                                      </a:cubicBezTo>
                                      <a:cubicBezTo>
                                        <a:pt x="13" y="113"/>
                                        <a:pt x="12" y="115"/>
                                        <a:pt x="10" y="116"/>
                                      </a:cubicBezTo>
                                      <a:cubicBezTo>
                                        <a:pt x="9" y="116"/>
                                        <a:pt x="9" y="116"/>
                                        <a:pt x="8" y="116"/>
                                      </a:cubicBezTo>
                                      <a:close/>
                                      <a:moveTo>
                                        <a:pt x="5" y="103"/>
                                      </a:moveTo>
                                      <a:cubicBezTo>
                                        <a:pt x="3" y="103"/>
                                        <a:pt x="2" y="102"/>
                                        <a:pt x="1" y="100"/>
                                      </a:cubicBezTo>
                                      <a:cubicBezTo>
                                        <a:pt x="1" y="99"/>
                                        <a:pt x="1" y="99"/>
                                        <a:pt x="1" y="99"/>
                                      </a:cubicBezTo>
                                      <a:cubicBezTo>
                                        <a:pt x="1" y="97"/>
                                        <a:pt x="2" y="96"/>
                                        <a:pt x="4" y="95"/>
                                      </a:cubicBezTo>
                                      <a:cubicBezTo>
                                        <a:pt x="6" y="95"/>
                                        <a:pt x="8" y="96"/>
                                        <a:pt x="8" y="98"/>
                                      </a:cubicBezTo>
                                      <a:cubicBezTo>
                                        <a:pt x="8" y="99"/>
                                        <a:pt x="8" y="99"/>
                                        <a:pt x="8" y="99"/>
                                      </a:cubicBezTo>
                                      <a:cubicBezTo>
                                        <a:pt x="9" y="101"/>
                                        <a:pt x="7" y="102"/>
                                        <a:pt x="6" y="103"/>
                                      </a:cubicBezTo>
                                      <a:cubicBezTo>
                                        <a:pt x="5" y="103"/>
                                        <a:pt x="5" y="103"/>
                                        <a:pt x="5" y="103"/>
                                      </a:cubicBezTo>
                                      <a:close/>
                                      <a:moveTo>
                                        <a:pt x="165" y="103"/>
                                      </a:moveTo>
                                      <a:cubicBezTo>
                                        <a:pt x="164" y="103"/>
                                        <a:pt x="164" y="103"/>
                                        <a:pt x="164" y="103"/>
                                      </a:cubicBezTo>
                                      <a:cubicBezTo>
                                        <a:pt x="162" y="102"/>
                                        <a:pt x="161" y="100"/>
                                        <a:pt x="161" y="98"/>
                                      </a:cubicBezTo>
                                      <a:cubicBezTo>
                                        <a:pt x="161" y="98"/>
                                        <a:pt x="161" y="98"/>
                                        <a:pt x="161" y="98"/>
                                      </a:cubicBezTo>
                                      <a:cubicBezTo>
                                        <a:pt x="162" y="96"/>
                                        <a:pt x="163" y="95"/>
                                        <a:pt x="165" y="95"/>
                                      </a:cubicBezTo>
                                      <a:cubicBezTo>
                                        <a:pt x="167" y="95"/>
                                        <a:pt x="169" y="97"/>
                                        <a:pt x="168" y="99"/>
                                      </a:cubicBezTo>
                                      <a:cubicBezTo>
                                        <a:pt x="168" y="100"/>
                                        <a:pt x="168" y="100"/>
                                        <a:pt x="168" y="100"/>
                                      </a:cubicBezTo>
                                      <a:cubicBezTo>
                                        <a:pt x="168" y="102"/>
                                        <a:pt x="166" y="103"/>
                                        <a:pt x="165" y="103"/>
                                      </a:cubicBezTo>
                                      <a:close/>
                                      <a:moveTo>
                                        <a:pt x="4" y="89"/>
                                      </a:moveTo>
                                      <a:cubicBezTo>
                                        <a:pt x="2" y="89"/>
                                        <a:pt x="0" y="87"/>
                                        <a:pt x="0" y="85"/>
                                      </a:cubicBezTo>
                                      <a:cubicBezTo>
                                        <a:pt x="0" y="84"/>
                                        <a:pt x="0" y="84"/>
                                        <a:pt x="0" y="84"/>
                                      </a:cubicBezTo>
                                      <a:cubicBezTo>
                                        <a:pt x="0" y="82"/>
                                        <a:pt x="2" y="81"/>
                                        <a:pt x="4" y="81"/>
                                      </a:cubicBezTo>
                                      <a:cubicBezTo>
                                        <a:pt x="6" y="81"/>
                                        <a:pt x="7" y="82"/>
                                        <a:pt x="7" y="84"/>
                                      </a:cubicBezTo>
                                      <a:cubicBezTo>
                                        <a:pt x="7" y="85"/>
                                        <a:pt x="7" y="85"/>
                                        <a:pt x="7" y="85"/>
                                      </a:cubicBezTo>
                                      <a:cubicBezTo>
                                        <a:pt x="7" y="87"/>
                                        <a:pt x="6" y="89"/>
                                        <a:pt x="4" y="89"/>
                                      </a:cubicBezTo>
                                      <a:close/>
                                      <a:moveTo>
                                        <a:pt x="166" y="89"/>
                                      </a:moveTo>
                                      <a:cubicBezTo>
                                        <a:pt x="164" y="89"/>
                                        <a:pt x="162" y="87"/>
                                        <a:pt x="162" y="85"/>
                                      </a:cubicBezTo>
                                      <a:cubicBezTo>
                                        <a:pt x="162" y="85"/>
                                        <a:pt x="162" y="85"/>
                                        <a:pt x="162" y="85"/>
                                      </a:cubicBezTo>
                                      <a:cubicBezTo>
                                        <a:pt x="162" y="83"/>
                                        <a:pt x="164" y="81"/>
                                        <a:pt x="166" y="81"/>
                                      </a:cubicBezTo>
                                      <a:cubicBezTo>
                                        <a:pt x="168" y="81"/>
                                        <a:pt x="170" y="83"/>
                                        <a:pt x="170" y="85"/>
                                      </a:cubicBezTo>
                                      <a:cubicBezTo>
                                        <a:pt x="170" y="85"/>
                                        <a:pt x="170" y="85"/>
                                        <a:pt x="170" y="85"/>
                                      </a:cubicBezTo>
                                      <a:cubicBezTo>
                                        <a:pt x="170" y="87"/>
                                        <a:pt x="168" y="89"/>
                                        <a:pt x="166" y="89"/>
                                      </a:cubicBezTo>
                                      <a:close/>
                                      <a:moveTo>
                                        <a:pt x="165" y="75"/>
                                      </a:moveTo>
                                      <a:cubicBezTo>
                                        <a:pt x="163" y="75"/>
                                        <a:pt x="161" y="73"/>
                                        <a:pt x="161" y="72"/>
                                      </a:cubicBezTo>
                                      <a:cubicBezTo>
                                        <a:pt x="161" y="71"/>
                                        <a:pt x="161" y="71"/>
                                        <a:pt x="161" y="71"/>
                                      </a:cubicBezTo>
                                      <a:cubicBezTo>
                                        <a:pt x="161" y="69"/>
                                        <a:pt x="162" y="67"/>
                                        <a:pt x="164" y="67"/>
                                      </a:cubicBezTo>
                                      <a:cubicBezTo>
                                        <a:pt x="166" y="67"/>
                                        <a:pt x="168" y="68"/>
                                        <a:pt x="168" y="70"/>
                                      </a:cubicBezTo>
                                      <a:cubicBezTo>
                                        <a:pt x="168" y="70"/>
                                        <a:pt x="168" y="70"/>
                                        <a:pt x="168" y="70"/>
                                      </a:cubicBezTo>
                                      <a:cubicBezTo>
                                        <a:pt x="169" y="72"/>
                                        <a:pt x="167" y="74"/>
                                        <a:pt x="165" y="75"/>
                                      </a:cubicBezTo>
                                      <a:cubicBezTo>
                                        <a:pt x="165" y="75"/>
                                        <a:pt x="165" y="75"/>
                                        <a:pt x="165" y="75"/>
                                      </a:cubicBezTo>
                                      <a:close/>
                                      <a:moveTo>
                                        <a:pt x="5" y="74"/>
                                      </a:moveTo>
                                      <a:cubicBezTo>
                                        <a:pt x="5" y="74"/>
                                        <a:pt x="4" y="74"/>
                                        <a:pt x="4" y="74"/>
                                      </a:cubicBezTo>
                                      <a:cubicBezTo>
                                        <a:pt x="2" y="74"/>
                                        <a:pt x="1" y="72"/>
                                        <a:pt x="1" y="70"/>
                                      </a:cubicBezTo>
                                      <a:cubicBezTo>
                                        <a:pt x="1" y="70"/>
                                        <a:pt x="1" y="70"/>
                                        <a:pt x="1" y="70"/>
                                      </a:cubicBezTo>
                                      <a:cubicBezTo>
                                        <a:pt x="2" y="68"/>
                                        <a:pt x="4" y="66"/>
                                        <a:pt x="6" y="67"/>
                                      </a:cubicBezTo>
                                      <a:cubicBezTo>
                                        <a:pt x="8" y="67"/>
                                        <a:pt x="9" y="69"/>
                                        <a:pt x="8" y="71"/>
                                      </a:cubicBezTo>
                                      <a:cubicBezTo>
                                        <a:pt x="8" y="71"/>
                                        <a:pt x="8" y="71"/>
                                        <a:pt x="8" y="71"/>
                                      </a:cubicBezTo>
                                      <a:cubicBezTo>
                                        <a:pt x="8" y="73"/>
                                        <a:pt x="7" y="74"/>
                                        <a:pt x="5" y="74"/>
                                      </a:cubicBezTo>
                                      <a:close/>
                                      <a:moveTo>
                                        <a:pt x="161" y="61"/>
                                      </a:moveTo>
                                      <a:cubicBezTo>
                                        <a:pt x="160" y="61"/>
                                        <a:pt x="158" y="60"/>
                                        <a:pt x="158" y="59"/>
                                      </a:cubicBezTo>
                                      <a:cubicBezTo>
                                        <a:pt x="157" y="57"/>
                                        <a:pt x="158" y="54"/>
                                        <a:pt x="160" y="54"/>
                                      </a:cubicBezTo>
                                      <a:cubicBezTo>
                                        <a:pt x="162" y="53"/>
                                        <a:pt x="164" y="54"/>
                                        <a:pt x="164" y="56"/>
                                      </a:cubicBezTo>
                                      <a:cubicBezTo>
                                        <a:pt x="165" y="56"/>
                                        <a:pt x="165" y="56"/>
                                        <a:pt x="165" y="56"/>
                                      </a:cubicBezTo>
                                      <a:cubicBezTo>
                                        <a:pt x="165" y="58"/>
                                        <a:pt x="164" y="60"/>
                                        <a:pt x="162" y="61"/>
                                      </a:cubicBezTo>
                                      <a:cubicBezTo>
                                        <a:pt x="162" y="61"/>
                                        <a:pt x="162" y="61"/>
                                        <a:pt x="161" y="61"/>
                                      </a:cubicBezTo>
                                      <a:close/>
                                      <a:moveTo>
                                        <a:pt x="8" y="60"/>
                                      </a:moveTo>
                                      <a:cubicBezTo>
                                        <a:pt x="8" y="60"/>
                                        <a:pt x="8" y="60"/>
                                        <a:pt x="7" y="60"/>
                                      </a:cubicBezTo>
                                      <a:cubicBezTo>
                                        <a:pt x="5" y="60"/>
                                        <a:pt x="4" y="58"/>
                                        <a:pt x="5" y="56"/>
                                      </a:cubicBezTo>
                                      <a:cubicBezTo>
                                        <a:pt x="5" y="55"/>
                                        <a:pt x="5" y="55"/>
                                        <a:pt x="5" y="55"/>
                                      </a:cubicBezTo>
                                      <a:cubicBezTo>
                                        <a:pt x="6" y="53"/>
                                        <a:pt x="8" y="53"/>
                                        <a:pt x="10" y="53"/>
                                      </a:cubicBezTo>
                                      <a:cubicBezTo>
                                        <a:pt x="12" y="54"/>
                                        <a:pt x="13" y="56"/>
                                        <a:pt x="12" y="58"/>
                                      </a:cubicBezTo>
                                      <a:cubicBezTo>
                                        <a:pt x="11" y="59"/>
                                        <a:pt x="10" y="60"/>
                                        <a:pt x="8" y="60"/>
                                      </a:cubicBezTo>
                                      <a:close/>
                                      <a:moveTo>
                                        <a:pt x="155" y="48"/>
                                      </a:moveTo>
                                      <a:cubicBezTo>
                                        <a:pt x="154" y="48"/>
                                        <a:pt x="153" y="47"/>
                                        <a:pt x="152" y="46"/>
                                      </a:cubicBezTo>
                                      <a:cubicBezTo>
                                        <a:pt x="152" y="46"/>
                                        <a:pt x="152" y="46"/>
                                        <a:pt x="152" y="46"/>
                                      </a:cubicBezTo>
                                      <a:cubicBezTo>
                                        <a:pt x="151" y="44"/>
                                        <a:pt x="151" y="42"/>
                                        <a:pt x="153" y="41"/>
                                      </a:cubicBezTo>
                                      <a:cubicBezTo>
                                        <a:pt x="155" y="40"/>
                                        <a:pt x="157" y="41"/>
                                        <a:pt x="158" y="42"/>
                                      </a:cubicBezTo>
                                      <a:cubicBezTo>
                                        <a:pt x="158" y="43"/>
                                        <a:pt x="158" y="43"/>
                                        <a:pt x="158" y="43"/>
                                      </a:cubicBezTo>
                                      <a:cubicBezTo>
                                        <a:pt x="159" y="44"/>
                                        <a:pt x="159" y="46"/>
                                        <a:pt x="157" y="48"/>
                                      </a:cubicBezTo>
                                      <a:cubicBezTo>
                                        <a:pt x="157" y="48"/>
                                        <a:pt x="156" y="48"/>
                                        <a:pt x="155" y="48"/>
                                      </a:cubicBezTo>
                                      <a:close/>
                                      <a:moveTo>
                                        <a:pt x="14" y="48"/>
                                      </a:moveTo>
                                      <a:cubicBezTo>
                                        <a:pt x="14" y="48"/>
                                        <a:pt x="13" y="47"/>
                                        <a:pt x="13" y="47"/>
                                      </a:cubicBezTo>
                                      <a:cubicBezTo>
                                        <a:pt x="11" y="46"/>
                                        <a:pt x="10" y="44"/>
                                        <a:pt x="11" y="42"/>
                                      </a:cubicBezTo>
                                      <a:cubicBezTo>
                                        <a:pt x="12" y="42"/>
                                        <a:pt x="12" y="42"/>
                                        <a:pt x="12" y="42"/>
                                      </a:cubicBezTo>
                                      <a:cubicBezTo>
                                        <a:pt x="13" y="40"/>
                                        <a:pt x="15" y="40"/>
                                        <a:pt x="17" y="41"/>
                                      </a:cubicBezTo>
                                      <a:cubicBezTo>
                                        <a:pt x="18" y="42"/>
                                        <a:pt x="19" y="44"/>
                                        <a:pt x="18" y="46"/>
                                      </a:cubicBezTo>
                                      <a:cubicBezTo>
                                        <a:pt x="17" y="47"/>
                                        <a:pt x="16" y="48"/>
                                        <a:pt x="14" y="48"/>
                                      </a:cubicBezTo>
                                      <a:close/>
                                      <a:moveTo>
                                        <a:pt x="147" y="36"/>
                                      </a:moveTo>
                                      <a:cubicBezTo>
                                        <a:pt x="146" y="36"/>
                                        <a:pt x="145" y="36"/>
                                        <a:pt x="144" y="35"/>
                                      </a:cubicBezTo>
                                      <a:cubicBezTo>
                                        <a:pt x="144" y="35"/>
                                        <a:pt x="144" y="35"/>
                                        <a:pt x="144" y="35"/>
                                      </a:cubicBezTo>
                                      <a:cubicBezTo>
                                        <a:pt x="143" y="33"/>
                                        <a:pt x="143" y="31"/>
                                        <a:pt x="145" y="30"/>
                                      </a:cubicBezTo>
                                      <a:cubicBezTo>
                                        <a:pt x="146" y="28"/>
                                        <a:pt x="148" y="29"/>
                                        <a:pt x="150" y="30"/>
                                      </a:cubicBezTo>
                                      <a:cubicBezTo>
                                        <a:pt x="150" y="31"/>
                                        <a:pt x="150" y="31"/>
                                        <a:pt x="150" y="31"/>
                                      </a:cubicBezTo>
                                      <a:cubicBezTo>
                                        <a:pt x="151" y="32"/>
                                        <a:pt x="151" y="34"/>
                                        <a:pt x="149" y="36"/>
                                      </a:cubicBezTo>
                                      <a:cubicBezTo>
                                        <a:pt x="149" y="36"/>
                                        <a:pt x="148" y="36"/>
                                        <a:pt x="147" y="36"/>
                                      </a:cubicBezTo>
                                      <a:close/>
                                      <a:moveTo>
                                        <a:pt x="23" y="36"/>
                                      </a:moveTo>
                                      <a:cubicBezTo>
                                        <a:pt x="22" y="36"/>
                                        <a:pt x="21" y="36"/>
                                        <a:pt x="20" y="35"/>
                                      </a:cubicBezTo>
                                      <a:cubicBezTo>
                                        <a:pt x="19" y="34"/>
                                        <a:pt x="19" y="32"/>
                                        <a:pt x="20" y="30"/>
                                      </a:cubicBezTo>
                                      <a:cubicBezTo>
                                        <a:pt x="20" y="30"/>
                                        <a:pt x="20" y="30"/>
                                        <a:pt x="20" y="30"/>
                                      </a:cubicBezTo>
                                      <a:cubicBezTo>
                                        <a:pt x="21" y="28"/>
                                        <a:pt x="24" y="28"/>
                                        <a:pt x="25" y="30"/>
                                      </a:cubicBezTo>
                                      <a:cubicBezTo>
                                        <a:pt x="27" y="31"/>
                                        <a:pt x="27" y="33"/>
                                        <a:pt x="26" y="35"/>
                                      </a:cubicBezTo>
                                      <a:cubicBezTo>
                                        <a:pt x="25" y="36"/>
                                        <a:pt x="24" y="36"/>
                                        <a:pt x="23" y="36"/>
                                      </a:cubicBezTo>
                                      <a:close/>
                                      <a:moveTo>
                                        <a:pt x="137" y="26"/>
                                      </a:moveTo>
                                      <a:cubicBezTo>
                                        <a:pt x="136" y="26"/>
                                        <a:pt x="136" y="26"/>
                                        <a:pt x="135" y="26"/>
                                      </a:cubicBezTo>
                                      <a:cubicBezTo>
                                        <a:pt x="134" y="25"/>
                                        <a:pt x="134" y="25"/>
                                        <a:pt x="134" y="25"/>
                                      </a:cubicBezTo>
                                      <a:cubicBezTo>
                                        <a:pt x="133" y="24"/>
                                        <a:pt x="133" y="22"/>
                                        <a:pt x="134" y="20"/>
                                      </a:cubicBezTo>
                                      <a:cubicBezTo>
                                        <a:pt x="135" y="19"/>
                                        <a:pt x="138" y="18"/>
                                        <a:pt x="139" y="20"/>
                                      </a:cubicBezTo>
                                      <a:cubicBezTo>
                                        <a:pt x="139" y="20"/>
                                        <a:pt x="139" y="20"/>
                                        <a:pt x="139" y="20"/>
                                      </a:cubicBezTo>
                                      <a:cubicBezTo>
                                        <a:pt x="141" y="21"/>
                                        <a:pt x="141" y="24"/>
                                        <a:pt x="140" y="25"/>
                                      </a:cubicBezTo>
                                      <a:cubicBezTo>
                                        <a:pt x="139" y="26"/>
                                        <a:pt x="138" y="26"/>
                                        <a:pt x="137" y="26"/>
                                      </a:cubicBezTo>
                                      <a:close/>
                                      <a:moveTo>
                                        <a:pt x="33" y="26"/>
                                      </a:moveTo>
                                      <a:cubicBezTo>
                                        <a:pt x="32" y="26"/>
                                        <a:pt x="31" y="26"/>
                                        <a:pt x="30" y="25"/>
                                      </a:cubicBezTo>
                                      <a:cubicBezTo>
                                        <a:pt x="29" y="23"/>
                                        <a:pt x="29" y="21"/>
                                        <a:pt x="30" y="20"/>
                                      </a:cubicBezTo>
                                      <a:cubicBezTo>
                                        <a:pt x="31" y="20"/>
                                        <a:pt x="31" y="20"/>
                                        <a:pt x="31" y="20"/>
                                      </a:cubicBezTo>
                                      <a:cubicBezTo>
                                        <a:pt x="32" y="18"/>
                                        <a:pt x="34" y="18"/>
                                        <a:pt x="36" y="20"/>
                                      </a:cubicBezTo>
                                      <a:cubicBezTo>
                                        <a:pt x="37" y="22"/>
                                        <a:pt x="37" y="24"/>
                                        <a:pt x="35" y="25"/>
                                      </a:cubicBezTo>
                                      <a:cubicBezTo>
                                        <a:pt x="35" y="25"/>
                                        <a:pt x="35" y="25"/>
                                        <a:pt x="35" y="25"/>
                                      </a:cubicBezTo>
                                      <a:cubicBezTo>
                                        <a:pt x="34" y="26"/>
                                        <a:pt x="33" y="26"/>
                                        <a:pt x="33" y="26"/>
                                      </a:cubicBezTo>
                                      <a:close/>
                                      <a:moveTo>
                                        <a:pt x="126" y="18"/>
                                      </a:moveTo>
                                      <a:cubicBezTo>
                                        <a:pt x="125" y="18"/>
                                        <a:pt x="124" y="18"/>
                                        <a:pt x="124" y="18"/>
                                      </a:cubicBezTo>
                                      <a:cubicBezTo>
                                        <a:pt x="122" y="17"/>
                                        <a:pt x="121" y="14"/>
                                        <a:pt x="122" y="13"/>
                                      </a:cubicBezTo>
                                      <a:cubicBezTo>
                                        <a:pt x="123" y="11"/>
                                        <a:pt x="125" y="10"/>
                                        <a:pt x="127" y="11"/>
                                      </a:cubicBezTo>
                                      <a:cubicBezTo>
                                        <a:pt x="127" y="12"/>
                                        <a:pt x="127" y="12"/>
                                        <a:pt x="127" y="12"/>
                                      </a:cubicBezTo>
                                      <a:cubicBezTo>
                                        <a:pt x="129" y="13"/>
                                        <a:pt x="130" y="15"/>
                                        <a:pt x="129" y="17"/>
                                      </a:cubicBezTo>
                                      <a:cubicBezTo>
                                        <a:pt x="128" y="18"/>
                                        <a:pt x="127" y="18"/>
                                        <a:pt x="126" y="18"/>
                                      </a:cubicBezTo>
                                      <a:close/>
                                      <a:moveTo>
                                        <a:pt x="44" y="18"/>
                                      </a:moveTo>
                                      <a:cubicBezTo>
                                        <a:pt x="43" y="18"/>
                                        <a:pt x="42" y="17"/>
                                        <a:pt x="41" y="16"/>
                                      </a:cubicBezTo>
                                      <a:cubicBezTo>
                                        <a:pt x="40" y="15"/>
                                        <a:pt x="41" y="12"/>
                                        <a:pt x="42" y="11"/>
                                      </a:cubicBezTo>
                                      <a:cubicBezTo>
                                        <a:pt x="43" y="11"/>
                                        <a:pt x="43" y="11"/>
                                        <a:pt x="43" y="11"/>
                                      </a:cubicBezTo>
                                      <a:cubicBezTo>
                                        <a:pt x="44" y="10"/>
                                        <a:pt x="47" y="11"/>
                                        <a:pt x="48" y="12"/>
                                      </a:cubicBezTo>
                                      <a:cubicBezTo>
                                        <a:pt x="49" y="14"/>
                                        <a:pt x="48" y="16"/>
                                        <a:pt x="46" y="17"/>
                                      </a:cubicBezTo>
                                      <a:cubicBezTo>
                                        <a:pt x="46" y="18"/>
                                        <a:pt x="46" y="18"/>
                                        <a:pt x="46" y="18"/>
                                      </a:cubicBezTo>
                                      <a:cubicBezTo>
                                        <a:pt x="45" y="18"/>
                                        <a:pt x="45" y="18"/>
                                        <a:pt x="44" y="18"/>
                                      </a:cubicBezTo>
                                      <a:close/>
                                      <a:moveTo>
                                        <a:pt x="113" y="12"/>
                                      </a:moveTo>
                                      <a:cubicBezTo>
                                        <a:pt x="112" y="12"/>
                                        <a:pt x="112" y="12"/>
                                        <a:pt x="112" y="12"/>
                                      </a:cubicBezTo>
                                      <a:cubicBezTo>
                                        <a:pt x="111" y="12"/>
                                        <a:pt x="111" y="12"/>
                                        <a:pt x="111" y="12"/>
                                      </a:cubicBezTo>
                                      <a:cubicBezTo>
                                        <a:pt x="109" y="11"/>
                                        <a:pt x="108" y="9"/>
                                        <a:pt x="109" y="7"/>
                                      </a:cubicBezTo>
                                      <a:cubicBezTo>
                                        <a:pt x="110" y="5"/>
                                        <a:pt x="112" y="4"/>
                                        <a:pt x="114" y="5"/>
                                      </a:cubicBezTo>
                                      <a:cubicBezTo>
                                        <a:pt x="114" y="5"/>
                                        <a:pt x="114" y="5"/>
                                        <a:pt x="114" y="5"/>
                                      </a:cubicBezTo>
                                      <a:cubicBezTo>
                                        <a:pt x="116" y="6"/>
                                        <a:pt x="117" y="8"/>
                                        <a:pt x="116" y="10"/>
                                      </a:cubicBezTo>
                                      <a:cubicBezTo>
                                        <a:pt x="116" y="11"/>
                                        <a:pt x="114" y="12"/>
                                        <a:pt x="113" y="12"/>
                                      </a:cubicBezTo>
                                      <a:close/>
                                      <a:moveTo>
                                        <a:pt x="57" y="12"/>
                                      </a:moveTo>
                                      <a:cubicBezTo>
                                        <a:pt x="56" y="12"/>
                                        <a:pt x="54" y="11"/>
                                        <a:pt x="54" y="10"/>
                                      </a:cubicBezTo>
                                      <a:cubicBezTo>
                                        <a:pt x="53" y="8"/>
                                        <a:pt x="54" y="6"/>
                                        <a:pt x="56" y="5"/>
                                      </a:cubicBezTo>
                                      <a:cubicBezTo>
                                        <a:pt x="56" y="5"/>
                                        <a:pt x="56" y="5"/>
                                        <a:pt x="56" y="5"/>
                                      </a:cubicBezTo>
                                      <a:cubicBezTo>
                                        <a:pt x="58" y="4"/>
                                        <a:pt x="60" y="5"/>
                                        <a:pt x="61" y="7"/>
                                      </a:cubicBezTo>
                                      <a:cubicBezTo>
                                        <a:pt x="61" y="9"/>
                                        <a:pt x="60" y="11"/>
                                        <a:pt x="59" y="12"/>
                                      </a:cubicBezTo>
                                      <a:cubicBezTo>
                                        <a:pt x="58" y="12"/>
                                        <a:pt x="58" y="12"/>
                                        <a:pt x="57" y="12"/>
                                      </a:cubicBezTo>
                                      <a:close/>
                                      <a:moveTo>
                                        <a:pt x="99" y="9"/>
                                      </a:moveTo>
                                      <a:cubicBezTo>
                                        <a:pt x="99" y="9"/>
                                        <a:pt x="99" y="8"/>
                                        <a:pt x="99" y="8"/>
                                      </a:cubicBezTo>
                                      <a:cubicBezTo>
                                        <a:pt x="98" y="8"/>
                                        <a:pt x="98" y="8"/>
                                        <a:pt x="98" y="8"/>
                                      </a:cubicBezTo>
                                      <a:cubicBezTo>
                                        <a:pt x="96" y="8"/>
                                        <a:pt x="95" y="6"/>
                                        <a:pt x="95" y="4"/>
                                      </a:cubicBezTo>
                                      <a:cubicBezTo>
                                        <a:pt x="96" y="2"/>
                                        <a:pt x="97" y="1"/>
                                        <a:pt x="99" y="1"/>
                                      </a:cubicBezTo>
                                      <a:cubicBezTo>
                                        <a:pt x="100" y="1"/>
                                        <a:pt x="100" y="1"/>
                                        <a:pt x="100" y="1"/>
                                      </a:cubicBezTo>
                                      <a:cubicBezTo>
                                        <a:pt x="102" y="2"/>
                                        <a:pt x="103" y="4"/>
                                        <a:pt x="103" y="6"/>
                                      </a:cubicBezTo>
                                      <a:cubicBezTo>
                                        <a:pt x="102" y="7"/>
                                        <a:pt x="101" y="9"/>
                                        <a:pt x="99" y="9"/>
                                      </a:cubicBezTo>
                                      <a:close/>
                                      <a:moveTo>
                                        <a:pt x="71" y="8"/>
                                      </a:moveTo>
                                      <a:cubicBezTo>
                                        <a:pt x="69" y="8"/>
                                        <a:pt x="67" y="7"/>
                                        <a:pt x="67" y="5"/>
                                      </a:cubicBezTo>
                                      <a:cubicBezTo>
                                        <a:pt x="67" y="4"/>
                                        <a:pt x="68" y="2"/>
                                        <a:pt x="70" y="1"/>
                                      </a:cubicBezTo>
                                      <a:cubicBezTo>
                                        <a:pt x="70" y="1"/>
                                        <a:pt x="70" y="1"/>
                                        <a:pt x="70" y="1"/>
                                      </a:cubicBezTo>
                                      <a:cubicBezTo>
                                        <a:pt x="72" y="1"/>
                                        <a:pt x="74" y="2"/>
                                        <a:pt x="75" y="4"/>
                                      </a:cubicBezTo>
                                      <a:cubicBezTo>
                                        <a:pt x="75" y="6"/>
                                        <a:pt x="74" y="8"/>
                                        <a:pt x="72" y="8"/>
                                      </a:cubicBezTo>
                                      <a:cubicBezTo>
                                        <a:pt x="71" y="8"/>
                                        <a:pt x="71" y="8"/>
                                        <a:pt x="71" y="8"/>
                                      </a:cubicBezTo>
                                      <a:cubicBezTo>
                                        <a:pt x="71" y="8"/>
                                        <a:pt x="71" y="8"/>
                                        <a:pt x="71" y="8"/>
                                      </a:cubicBezTo>
                                      <a:close/>
                                      <a:moveTo>
                                        <a:pt x="85" y="7"/>
                                      </a:moveTo>
                                      <a:cubicBezTo>
                                        <a:pt x="85" y="7"/>
                                        <a:pt x="85" y="7"/>
                                        <a:pt x="85" y="7"/>
                                      </a:cubicBezTo>
                                      <a:cubicBezTo>
                                        <a:pt x="85" y="7"/>
                                        <a:pt x="85" y="7"/>
                                        <a:pt x="85" y="7"/>
                                      </a:cubicBezTo>
                                      <a:cubicBezTo>
                                        <a:pt x="83" y="7"/>
                                        <a:pt x="81" y="6"/>
                                        <a:pt x="81" y="4"/>
                                      </a:cubicBezTo>
                                      <a:cubicBezTo>
                                        <a:pt x="81" y="2"/>
                                        <a:pt x="83" y="0"/>
                                        <a:pt x="85" y="0"/>
                                      </a:cubicBezTo>
                                      <a:cubicBezTo>
                                        <a:pt x="85" y="0"/>
                                        <a:pt x="85" y="0"/>
                                        <a:pt x="85" y="0"/>
                                      </a:cubicBezTo>
                                      <a:cubicBezTo>
                                        <a:pt x="87" y="0"/>
                                        <a:pt x="89" y="2"/>
                                        <a:pt x="89" y="4"/>
                                      </a:cubicBezTo>
                                      <a:cubicBezTo>
                                        <a:pt x="89" y="6"/>
                                        <a:pt x="87" y="7"/>
                                        <a:pt x="85" y="7"/>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 name="Freeform 17"/>
                              <wps:cNvSpPr>
                                <a:spLocks/>
                              </wps:cNvSpPr>
                              <wps:spPr bwMode="auto">
                                <a:xfrm>
                                  <a:off x="187325" y="146050"/>
                                  <a:ext cx="258763" cy="344488"/>
                                </a:xfrm>
                                <a:custGeom>
                                  <a:avLst/>
                                  <a:gdLst>
                                    <a:gd name="T0" fmla="*/ 37 w 69"/>
                                    <a:gd name="T1" fmla="*/ 91 h 92"/>
                                    <a:gd name="T2" fmla="*/ 68 w 69"/>
                                    <a:gd name="T3" fmla="*/ 60 h 92"/>
                                    <a:gd name="T4" fmla="*/ 69 w 69"/>
                                    <a:gd name="T5" fmla="*/ 57 h 92"/>
                                    <a:gd name="T6" fmla="*/ 65 w 69"/>
                                    <a:gd name="T7" fmla="*/ 53 h 92"/>
                                    <a:gd name="T8" fmla="*/ 63 w 69"/>
                                    <a:gd name="T9" fmla="*/ 55 h 92"/>
                                    <a:gd name="T10" fmla="*/ 39 w 69"/>
                                    <a:gd name="T11" fmla="*/ 79 h 92"/>
                                    <a:gd name="T12" fmla="*/ 39 w 69"/>
                                    <a:gd name="T13" fmla="*/ 4 h 92"/>
                                    <a:gd name="T14" fmla="*/ 35 w 69"/>
                                    <a:gd name="T15" fmla="*/ 0 h 92"/>
                                    <a:gd name="T16" fmla="*/ 31 w 69"/>
                                    <a:gd name="T17" fmla="*/ 4 h 92"/>
                                    <a:gd name="T18" fmla="*/ 31 w 69"/>
                                    <a:gd name="T19" fmla="*/ 79 h 92"/>
                                    <a:gd name="T20" fmla="*/ 7 w 69"/>
                                    <a:gd name="T21" fmla="*/ 55 h 92"/>
                                    <a:gd name="T22" fmla="*/ 4 w 69"/>
                                    <a:gd name="T23" fmla="*/ 53 h 92"/>
                                    <a:gd name="T24" fmla="*/ 0 w 69"/>
                                    <a:gd name="T25" fmla="*/ 57 h 92"/>
                                    <a:gd name="T26" fmla="*/ 1 w 69"/>
                                    <a:gd name="T27" fmla="*/ 60 h 92"/>
                                    <a:gd name="T28" fmla="*/ 32 w 69"/>
                                    <a:gd name="T29" fmla="*/ 91 h 92"/>
                                    <a:gd name="T30" fmla="*/ 35 w 69"/>
                                    <a:gd name="T31" fmla="*/ 92 h 92"/>
                                    <a:gd name="T32" fmla="*/ 37 w 69"/>
                                    <a:gd name="T33" fmla="*/ 91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9" h="92">
                                      <a:moveTo>
                                        <a:pt x="37" y="91"/>
                                      </a:moveTo>
                                      <a:cubicBezTo>
                                        <a:pt x="68" y="60"/>
                                        <a:pt x="68" y="60"/>
                                        <a:pt x="68" y="60"/>
                                      </a:cubicBezTo>
                                      <a:cubicBezTo>
                                        <a:pt x="69" y="59"/>
                                        <a:pt x="69" y="58"/>
                                        <a:pt x="69" y="57"/>
                                      </a:cubicBezTo>
                                      <a:cubicBezTo>
                                        <a:pt x="69" y="55"/>
                                        <a:pt x="68" y="53"/>
                                        <a:pt x="65" y="53"/>
                                      </a:cubicBezTo>
                                      <a:cubicBezTo>
                                        <a:pt x="64" y="53"/>
                                        <a:pt x="63" y="54"/>
                                        <a:pt x="63" y="55"/>
                                      </a:cubicBezTo>
                                      <a:cubicBezTo>
                                        <a:pt x="39" y="79"/>
                                        <a:pt x="39" y="79"/>
                                        <a:pt x="39" y="79"/>
                                      </a:cubicBezTo>
                                      <a:cubicBezTo>
                                        <a:pt x="39" y="4"/>
                                        <a:pt x="39" y="4"/>
                                        <a:pt x="39" y="4"/>
                                      </a:cubicBezTo>
                                      <a:cubicBezTo>
                                        <a:pt x="39" y="1"/>
                                        <a:pt x="37" y="0"/>
                                        <a:pt x="35" y="0"/>
                                      </a:cubicBezTo>
                                      <a:cubicBezTo>
                                        <a:pt x="33" y="0"/>
                                        <a:pt x="31" y="1"/>
                                        <a:pt x="31" y="4"/>
                                      </a:cubicBezTo>
                                      <a:cubicBezTo>
                                        <a:pt x="31" y="79"/>
                                        <a:pt x="31" y="79"/>
                                        <a:pt x="31" y="79"/>
                                      </a:cubicBezTo>
                                      <a:cubicBezTo>
                                        <a:pt x="7" y="55"/>
                                        <a:pt x="7" y="55"/>
                                        <a:pt x="7" y="55"/>
                                      </a:cubicBezTo>
                                      <a:cubicBezTo>
                                        <a:pt x="6" y="54"/>
                                        <a:pt x="5" y="53"/>
                                        <a:pt x="4" y="53"/>
                                      </a:cubicBezTo>
                                      <a:cubicBezTo>
                                        <a:pt x="2" y="53"/>
                                        <a:pt x="0" y="55"/>
                                        <a:pt x="0" y="57"/>
                                      </a:cubicBezTo>
                                      <a:cubicBezTo>
                                        <a:pt x="0" y="58"/>
                                        <a:pt x="1" y="59"/>
                                        <a:pt x="1" y="60"/>
                                      </a:cubicBezTo>
                                      <a:cubicBezTo>
                                        <a:pt x="32" y="91"/>
                                        <a:pt x="32" y="91"/>
                                        <a:pt x="32" y="91"/>
                                      </a:cubicBezTo>
                                      <a:cubicBezTo>
                                        <a:pt x="33" y="91"/>
                                        <a:pt x="34" y="92"/>
                                        <a:pt x="35" y="92"/>
                                      </a:cubicBezTo>
                                      <a:cubicBezTo>
                                        <a:pt x="36" y="92"/>
                                        <a:pt x="37" y="91"/>
                                        <a:pt x="37" y="9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F440F84" id="Group 1" o:spid="_x0000_s1026" alt="Title: Image only  - Description: Image only " style="position:absolute;margin-left:12.75pt;margin-top:-.85pt;width:22.65pt;height:22.65pt;z-index:251654144;mso-width-relative:margin;mso-height-relative:margin" coordsize="636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">
                      <v:shape id="Freeform 16" o:spid="_x0000_s1027" style="position:absolute;width:6365;height:6381;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" path="m85,170v,,,,,c83,170,81,168,81,166v,-2,2,-4,4,-4c85,162,85,162,85,162v2,,4,2,4,4c89,168,87,170,85,170xm71,168v,,,,-1,c70,168,70,168,70,168v-2,,-3,-2,-3,-4c67,162,69,161,71,161v1,,1,,1,c74,162,75,163,75,165v-1,2,-2,3,-4,3xm99,168v-2,,-4,-1,-4,-3c95,163,96,162,98,161v,,,,,c100,161,102,162,103,164v,2,-1,4,-3,4c99,168,99,168,99,168v,,,,,xm57,165v,,-1,,-1,c56,164,56,164,56,164v-2,,-3,-2,-3,-4c54,158,56,157,58,158v1,,1,,1,c60,158,61,161,61,162v-1,2,-2,3,-4,3xm112,165v-1,,-3,-1,-3,-3c108,160,109,158,111,158v2,-1,4,,5,2c117,162,116,164,114,164v,1,,1,,1c113,165,113,165,112,165xm44,159v,,-1,,-1,-1c42,158,42,158,42,158v-2,-1,-2,-3,-1,-5c42,151,44,151,46,152v2,1,2,3,1,5c47,158,46,159,44,159xm125,159v-1,,-2,-1,-3,-2c121,155,122,153,123,152v1,,1,,1,c126,151,128,151,129,153v1,2,,4,-2,5c127,158,127,158,127,158v-1,1,-1,1,-2,1xm33,151v-1,,-2,-1,-2,-1c31,150,30,150,30,150v-1,-2,-1,-4,,-5c31,143,33,143,35,144v,,,,,c37,146,37,148,36,149v-1,1,-2,2,-3,2xm137,151v-1,,-2,-1,-3,-2c133,148,133,146,134,144v1,,1,,1,c136,143,139,143,140,144v1,2,1,4,-1,6c139,150,139,150,139,150v-1,,-1,1,-2,1xm23,141v-1,,-2,-1,-3,-2c20,139,20,139,20,139v-2,-1,-1,-4,,-5c22,133,24,133,25,134v1,1,1,1,1,1c27,136,27,139,25,140v-1,,-1,1,-2,1xm147,141v-1,,-2,-1,-3,-1c143,139,143,136,144,135v,-1,,-1,,-1c146,133,148,133,149,134v2,1,2,4,1,5c150,139,150,139,150,139v-1,1,-2,2,-3,2xm15,129v-2,,-3,,-4,-2c11,127,11,127,11,127v-1,-2,,-4,1,-5c14,121,16,122,17,123v1,1,1,1,1,1c19,126,18,128,16,129v,,-1,,-1,xm155,129v-1,,-1,,-2,c151,128,151,125,152,124v1,-2,3,-3,5,-2c159,123,159,125,158,127v,,,,,c157,129,156,129,155,129xm161,116v,,-1,,-1,c158,116,157,113,158,112v,-1,,-1,,-1c158,109,160,108,162,109v2,1,3,3,3,5c164,114,164,114,164,114v,1,-2,2,-3,2xm8,116v-1,,-2,,-3,-2c5,114,5,114,5,114v-1,-2,,-4,2,-5c9,108,11,109,12,111v1,2,,4,-2,5c9,116,9,116,8,116xm5,103v-2,,-3,-1,-4,-3c1,99,1,99,1,99v,-2,1,-3,3,-4c6,95,8,96,8,98v,1,,1,,1c9,101,7,102,6,103v-1,,-1,,-1,xm165,103v-1,,-1,,-1,c162,102,161,100,161,98v,,,,,c162,96,163,95,165,95v2,,4,2,3,4c168,100,168,100,168,100v,2,-2,3,-3,3xm4,89c2,89,,87,,85,,84,,84,,84,,82,2,81,4,81v2,,3,1,3,3c7,85,7,85,7,85v,2,-1,4,-3,4xm166,89v-2,,-4,-2,-4,-4c162,85,162,85,162,85v,-2,2,-4,4,-4c168,81,170,83,170,85v,,,,,c170,87,168,89,166,89xm165,75v-2,,-4,-2,-4,-3c161,71,161,71,161,71v,-2,1,-4,3,-4c166,67,168,68,168,70v,,,,,c169,72,167,74,165,75v,,,,,xm5,74v,,-1,,-1,c2,74,1,72,1,70v,,,,,c2,68,4,66,6,67v2,,3,2,2,4c8,71,8,71,8,71v,2,-1,3,-3,3xm161,61v-1,,-3,-1,-3,-2c157,57,158,54,160,54v2,-1,4,,4,2c165,56,165,56,165,56v,2,-1,4,-3,5c162,61,162,61,161,61xm8,60v,,,,-1,c5,60,4,58,5,56v,-1,,-1,,-1c6,53,8,53,10,53v2,1,3,3,2,5c11,59,10,60,8,60xm155,48v-1,,-2,-1,-3,-2c152,46,152,46,152,46v-1,-2,-1,-4,1,-5c155,40,157,41,158,42v,1,,1,,1c159,44,159,46,157,48v,,-1,,-2,xm14,48v,,-1,-1,-1,-1c11,46,10,44,11,42v1,,1,,1,c13,40,15,40,17,41v1,1,2,3,1,5c17,47,16,48,14,48xm147,36v-1,,-2,,-3,-1c144,35,144,35,144,35v-1,-2,-1,-4,1,-5c146,28,148,29,150,30v,1,,1,,1c151,32,151,34,149,36v,,-1,,-2,xm23,36v-1,,-2,,-3,-1c19,34,19,32,20,30v,,,,,c21,28,24,28,25,30v2,1,2,3,1,5c25,36,24,36,23,36xm137,26v-1,,-1,,-2,c134,25,134,25,134,25v-1,-1,-1,-3,,-5c135,19,138,18,139,20v,,,,,c141,21,141,24,140,25v-1,1,-2,1,-3,1xm33,26v-1,,-2,,-3,-1c29,23,29,21,30,20v1,,1,,1,c32,18,34,18,36,20v1,2,1,4,-1,5c35,25,35,25,35,25v-1,1,-2,1,-2,1xm126,18v-1,,-2,,-2,c122,17,121,14,122,13v1,-2,3,-3,5,-2c127,12,127,12,127,12v2,1,3,3,2,5c128,18,127,18,126,18xm44,18v-1,,-2,-1,-3,-2c40,15,41,12,42,11v1,,1,,1,c44,10,47,11,48,12v1,2,,4,-2,5c46,18,46,18,46,18v-1,,-1,,-2,xm113,12v-1,,-1,,-1,c111,12,111,12,111,12v-2,-1,-3,-3,-2,-5c110,5,112,4,114,5v,,,,,c116,6,117,8,116,10v,1,-2,2,-3,2xm57,12v-1,,-3,-1,-3,-2c53,8,54,6,56,5v,,,,,c58,4,60,5,61,7v,2,-1,4,-2,5c58,12,58,12,57,12xm99,9v,,,-1,,-1c98,8,98,8,98,8,96,8,95,6,95,4,96,2,97,1,99,1v1,,1,,1,c102,2,103,4,103,6v-1,1,-2,3,-4,3xm71,8c69,8,67,7,67,5v,-1,1,-3,3,-4c70,1,70,1,70,1v2,,4,1,5,3c75,6,74,8,72,8v-1,,-1,,-1,c71,8,71,8,71,8xm85,7v,,,,,c85,7,85,7,85,7,83,7,81,6,81,4,81,2,83,,85,v,,,,,c87,,89,2,89,4v,2,-2,3,-4,3xe" filled="f" stroked="f">
                        <v:path arrowok="t" o:connecttype="custom" o:connectlocs="318294,608143;262124,630667;265869,630667;385697,615651;209700,619405;228423,608143;434378,600635;161019,593127;164764,596881;483058,574358;116084,563096;134807,559342;505526,540572;86127,529310;97361,506786;539227,506786;550461,529310;63659,461738;572929,484262;580418,484262;606631,409183;18723,427953;29957,435461;29957,367889;614120,386659;629099,375397;14979,304072;606631,319088;621609,334103;629099,262778;14979,277794;29957,266532;614120,210222;26212,225238;29957,225238;591652,157667;48680,176437;52425,180191;561695,112619;74893,131389;86127,135143;520504,75079;112339,93849;131062,93849;475569,41294;153530,60064;172253,67571;408165,26278;213444,45048;220933,45048;355740,15016;265869,30032;269614,30032;318294,26278;318294,26278" o:connectangles="0,0,0,0,0,0,0,0,0,0,0,0,0,0,0,0,0,0,0,0,0,0,0,0,0,0,0,0,0,0,0,0,0,0,0,0,0,0,0,0,0,0,0,0,0,0,0,0,0,0,0,0,0,0,0"/>
                        <o:lock v:ext="edit" verticies="t"/>
                      </v:shape>
                      <v:shape id="Freeform 17" o:spid="_x0000_s1028" style="position:absolute;left:1873;top:1460;width:2587;height:3445;visibility:visible;mso-wrap-style:square;v-text-anchor:top" coordsize="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" path="m37,91c68,60,68,60,68,60v1,-1,1,-2,1,-3c69,55,68,53,65,53v-1,,-2,1,-2,2c39,79,39,79,39,79,39,4,39,4,39,4,39,1,37,,35,,33,,31,1,31,4v,75,,75,,75c7,55,7,55,7,55,6,54,5,53,4,53,2,53,,55,,57v,1,1,2,1,3c32,91,32,91,32,91v1,,2,1,3,1c36,92,37,91,37,91e" filled="f" stroked="f">
                        <v:path arrowok="t" o:connecttype="custom" o:connectlocs="138757,340744;255013,224666;258763,213433;243762,198455;236262,205944;146257,295810;146257,14978;131257,0;116256,14978;116256,295810;26251,205944;15001,198455;0,213433;3750,224666;120006,340744;131257,344488;138757,340744" o:connectangles="0,0,0,0,0,0,0,0,0,0,0,0,0,0,0,0,0"/>
                      </v:shape>
                    </v:group>
                  </w:pict>
                </mc:Fallback>
              </mc:AlternateContent>
            </w:r>
          </w:p>
        </w:tc>
        <w:tc>
          <w:tcPr>
            <w:tcW w:w="4398" w:type="pct"/>
            <w:shd w:val="clear" w:color="auto" w:fill="auto"/>
            <w:vAlign w:val="center"/>
          </w:tcPr>
          <w:p w14:paraId="2225EE27" w14:textId="5E9ADD24" w:rsidR="000B7574" w:rsidRPr="00AB4260" w:rsidRDefault="000B7574" w:rsidP="00FE2D07">
            <w:pPr>
              <w:rPr>
                <w:sz w:val="17"/>
                <w:szCs w:val="17"/>
              </w:rPr>
            </w:pPr>
            <w:r w:rsidRPr="00AB4260">
              <w:rPr>
                <w:sz w:val="17"/>
                <w:szCs w:val="17"/>
              </w:rPr>
              <w:t xml:space="preserve">Highly successful STI control programs delivered by </w:t>
            </w:r>
            <w:r w:rsidRPr="00AB4260">
              <w:rPr>
                <w:color w:val="F25E21"/>
                <w:sz w:val="17"/>
                <w:szCs w:val="17"/>
              </w:rPr>
              <w:t xml:space="preserve">Nganampa Health Council </w:t>
            </w:r>
            <w:r w:rsidRPr="00AB4260">
              <w:rPr>
                <w:sz w:val="17"/>
                <w:szCs w:val="17"/>
              </w:rPr>
              <w:t>in the Anangu Pitjantjatjara</w:t>
            </w:r>
            <w:r>
              <w:rPr>
                <w:sz w:val="17"/>
                <w:szCs w:val="17"/>
              </w:rPr>
              <w:t xml:space="preserve"> </w:t>
            </w:r>
            <w:r w:rsidRPr="00781A97">
              <w:rPr>
                <w:sz w:val="17"/>
                <w:szCs w:val="17"/>
              </w:rPr>
              <w:t>Yankunytjatjara</w:t>
            </w:r>
            <w:r w:rsidRPr="00AB4260">
              <w:rPr>
                <w:sz w:val="17"/>
                <w:szCs w:val="17"/>
              </w:rPr>
              <w:t xml:space="preserve"> lands and health services in the </w:t>
            </w:r>
            <w:r w:rsidRPr="00AB4260">
              <w:rPr>
                <w:color w:val="F25E21"/>
                <w:sz w:val="17"/>
                <w:szCs w:val="17"/>
              </w:rPr>
              <w:t>Ngaanyatjara Lands</w:t>
            </w:r>
            <w:r w:rsidR="00C24FA8">
              <w:rPr>
                <w:color w:val="F25E21"/>
                <w:sz w:val="17"/>
                <w:szCs w:val="17"/>
              </w:rPr>
              <w:t>,</w:t>
            </w:r>
            <w:r w:rsidRPr="00AB4260">
              <w:rPr>
                <w:color w:val="F25E21"/>
                <w:sz w:val="17"/>
                <w:szCs w:val="17"/>
              </w:rPr>
              <w:t xml:space="preserve"> </w:t>
            </w:r>
            <w:r w:rsidRPr="00AB4260">
              <w:rPr>
                <w:sz w:val="17"/>
                <w:szCs w:val="17"/>
              </w:rPr>
              <w:t xml:space="preserve">and </w:t>
            </w:r>
            <w:r w:rsidRPr="00AB4260">
              <w:rPr>
                <w:color w:val="F25E21"/>
                <w:sz w:val="17"/>
                <w:szCs w:val="17"/>
              </w:rPr>
              <w:t xml:space="preserve">Tiwi Islands </w:t>
            </w:r>
            <w:r w:rsidR="005E5EB4">
              <w:rPr>
                <w:color w:val="F25E21"/>
                <w:sz w:val="17"/>
                <w:szCs w:val="17"/>
              </w:rPr>
              <w:t xml:space="preserve">has </w:t>
            </w:r>
            <w:r w:rsidRPr="00CD2925">
              <w:rPr>
                <w:sz w:val="17"/>
                <w:szCs w:val="17"/>
              </w:rPr>
              <w:t>kept</w:t>
            </w:r>
            <w:r w:rsidRPr="00AB4260">
              <w:rPr>
                <w:sz w:val="17"/>
                <w:szCs w:val="17"/>
              </w:rPr>
              <w:t xml:space="preserve"> STI </w:t>
            </w:r>
            <w:r w:rsidR="00FE2D07">
              <w:rPr>
                <w:sz w:val="17"/>
                <w:szCs w:val="17"/>
              </w:rPr>
              <w:t>testing</w:t>
            </w:r>
            <w:r w:rsidR="005E5EB4">
              <w:rPr>
                <w:sz w:val="17"/>
                <w:szCs w:val="17"/>
              </w:rPr>
              <w:t xml:space="preserve"> comprehensively embedded in community controlled primary care </w:t>
            </w:r>
            <w:r w:rsidRPr="00AB4260">
              <w:rPr>
                <w:sz w:val="17"/>
                <w:szCs w:val="17"/>
              </w:rPr>
              <w:t>in these remote communities</w:t>
            </w:r>
          </w:p>
        </w:tc>
      </w:tr>
    </w:tbl>
    <w:p w14:paraId="13B5BC0B" w14:textId="77777777" w:rsidR="000B7574" w:rsidRDefault="000B7574" w:rsidP="000B7574">
      <w:pPr>
        <w:rPr>
          <w:bCs/>
          <w:sz w:val="20"/>
          <w:szCs w:val="20"/>
          <w:lang w:eastAsia="en-AU"/>
        </w:rPr>
      </w:pPr>
    </w:p>
    <w:p w14:paraId="3DFBB253" w14:textId="05FBFBA2" w:rsidR="00234BC1" w:rsidRPr="0097370E" w:rsidRDefault="000B7574" w:rsidP="00234BC1">
      <w:pPr>
        <w:rPr>
          <w:sz w:val="20"/>
          <w:szCs w:val="20"/>
        </w:rPr>
      </w:pPr>
      <w:r>
        <w:rPr>
          <w:sz w:val="20"/>
          <w:szCs w:val="20"/>
        </w:rPr>
        <w:t>W</w:t>
      </w:r>
      <w:r w:rsidRPr="00CB6CB6">
        <w:rPr>
          <w:sz w:val="20"/>
          <w:szCs w:val="20"/>
        </w:rPr>
        <w:t>hil</w:t>
      </w:r>
      <w:r w:rsidR="00367641">
        <w:rPr>
          <w:sz w:val="20"/>
          <w:szCs w:val="20"/>
        </w:rPr>
        <w:t>e</w:t>
      </w:r>
      <w:r w:rsidRPr="00CB6CB6">
        <w:rPr>
          <w:sz w:val="20"/>
          <w:szCs w:val="20"/>
        </w:rPr>
        <w:t xml:space="preserve"> progress under the </w:t>
      </w:r>
      <w:r w:rsidRPr="00C24FA8">
        <w:rPr>
          <w:sz w:val="20"/>
          <w:szCs w:val="20"/>
          <w:lang w:eastAsia="en-AU"/>
        </w:rPr>
        <w:t>Fourth National Aboriginal and Torres Strait Islander BBV and STI Strategy 2014</w:t>
      </w:r>
      <w:r w:rsidR="0082460E" w:rsidRPr="00C24FA8">
        <w:rPr>
          <w:sz w:val="20"/>
          <w:szCs w:val="20"/>
          <w:lang w:eastAsia="en-AU"/>
        </w:rPr>
        <w:t>–</w:t>
      </w:r>
      <w:r w:rsidRPr="00C24FA8">
        <w:rPr>
          <w:sz w:val="20"/>
          <w:szCs w:val="20"/>
          <w:lang w:eastAsia="en-AU"/>
        </w:rPr>
        <w:t>2017</w:t>
      </w:r>
      <w:r w:rsidRPr="00D4613A">
        <w:rPr>
          <w:sz w:val="20"/>
          <w:szCs w:val="20"/>
          <w:lang w:eastAsia="en-AU"/>
        </w:rPr>
        <w:t xml:space="preserve"> </w:t>
      </w:r>
      <w:r w:rsidRPr="00D4613A">
        <w:rPr>
          <w:sz w:val="20"/>
          <w:szCs w:val="20"/>
        </w:rPr>
        <w:t xml:space="preserve">has been notable in some areas, there are </w:t>
      </w:r>
      <w:r>
        <w:rPr>
          <w:sz w:val="20"/>
          <w:szCs w:val="20"/>
        </w:rPr>
        <w:t xml:space="preserve">significant </w:t>
      </w:r>
      <w:r w:rsidRPr="00D4613A">
        <w:rPr>
          <w:sz w:val="20"/>
          <w:szCs w:val="20"/>
        </w:rPr>
        <w:t xml:space="preserve">challenges remaining that </w:t>
      </w:r>
      <w:r>
        <w:rPr>
          <w:sz w:val="20"/>
          <w:szCs w:val="20"/>
        </w:rPr>
        <w:t xml:space="preserve">still </w:t>
      </w:r>
      <w:r w:rsidRPr="00D4613A">
        <w:rPr>
          <w:sz w:val="20"/>
          <w:szCs w:val="20"/>
        </w:rPr>
        <w:t xml:space="preserve">need to be </w:t>
      </w:r>
      <w:r>
        <w:rPr>
          <w:sz w:val="20"/>
          <w:szCs w:val="20"/>
        </w:rPr>
        <w:t xml:space="preserve">addressed and </w:t>
      </w:r>
      <w:r w:rsidRPr="00D4613A">
        <w:rPr>
          <w:sz w:val="20"/>
          <w:szCs w:val="20"/>
        </w:rPr>
        <w:t>overcome.</w:t>
      </w:r>
      <w:r>
        <w:rPr>
          <w:sz w:val="20"/>
          <w:szCs w:val="20"/>
        </w:rPr>
        <w:t xml:space="preserve"> </w:t>
      </w:r>
      <w:r w:rsidR="00234BC1" w:rsidRPr="00914AAA">
        <w:rPr>
          <w:sz w:val="20"/>
          <w:szCs w:val="20"/>
        </w:rPr>
        <w:t xml:space="preserve">Over the past five years new diagnoses for several BBV and </w:t>
      </w:r>
      <w:r w:rsidR="00234BC1">
        <w:rPr>
          <w:sz w:val="20"/>
          <w:szCs w:val="20"/>
        </w:rPr>
        <w:t>STI, including HIV, hepatitis C and</w:t>
      </w:r>
      <w:r w:rsidR="00234BC1" w:rsidRPr="00914AAA">
        <w:rPr>
          <w:sz w:val="20"/>
          <w:szCs w:val="20"/>
        </w:rPr>
        <w:t xml:space="preserve"> syphilis, have </w:t>
      </w:r>
      <w:r w:rsidR="00234BC1">
        <w:rPr>
          <w:sz w:val="20"/>
          <w:szCs w:val="20"/>
        </w:rPr>
        <w:t>increased</w:t>
      </w:r>
      <w:r w:rsidR="00234BC1" w:rsidRPr="00914AAA">
        <w:rPr>
          <w:sz w:val="20"/>
          <w:szCs w:val="20"/>
        </w:rPr>
        <w:t xml:space="preserve"> significantly</w:t>
      </w:r>
      <w:r w:rsidR="00234BC1">
        <w:rPr>
          <w:sz w:val="20"/>
          <w:szCs w:val="20"/>
        </w:rPr>
        <w:t xml:space="preserve"> among Aboriginal and Torres Strait Islander communities</w:t>
      </w:r>
      <w:r w:rsidR="00234BC1" w:rsidRPr="00914AAA">
        <w:rPr>
          <w:sz w:val="20"/>
          <w:szCs w:val="20"/>
        </w:rPr>
        <w:t xml:space="preserve">. </w:t>
      </w:r>
      <w:r w:rsidR="00234BC1" w:rsidRPr="00914AAA">
        <w:rPr>
          <w:sz w:val="20"/>
          <w:szCs w:val="20"/>
        </w:rPr>
        <w:lastRenderedPageBreak/>
        <w:t>Th</w:t>
      </w:r>
      <w:r w:rsidR="005E5EB4">
        <w:rPr>
          <w:sz w:val="20"/>
          <w:szCs w:val="20"/>
        </w:rPr>
        <w:t xml:space="preserve">ese increases in new diagnoses </w:t>
      </w:r>
      <w:r w:rsidR="00234BC1">
        <w:rPr>
          <w:sz w:val="20"/>
          <w:szCs w:val="20"/>
        </w:rPr>
        <w:t>may</w:t>
      </w:r>
      <w:r w:rsidR="00234BC1" w:rsidRPr="00914AAA">
        <w:rPr>
          <w:sz w:val="20"/>
          <w:szCs w:val="20"/>
        </w:rPr>
        <w:t xml:space="preserve"> reflect an increase in testing</w:t>
      </w:r>
      <w:r w:rsidR="00C5586C">
        <w:rPr>
          <w:sz w:val="20"/>
          <w:szCs w:val="20"/>
        </w:rPr>
        <w:t>—</w:t>
      </w:r>
      <w:r w:rsidR="00234BC1" w:rsidRPr="00914AAA">
        <w:rPr>
          <w:sz w:val="20"/>
          <w:szCs w:val="20"/>
        </w:rPr>
        <w:t>a key achievement of the previous strategies</w:t>
      </w:r>
      <w:r w:rsidR="00C5586C">
        <w:rPr>
          <w:sz w:val="20"/>
          <w:szCs w:val="20"/>
        </w:rPr>
        <w:t>—</w:t>
      </w:r>
      <w:r w:rsidR="00234BC1" w:rsidRPr="0097370E">
        <w:rPr>
          <w:sz w:val="20"/>
          <w:szCs w:val="20"/>
        </w:rPr>
        <w:t xml:space="preserve">but </w:t>
      </w:r>
      <w:r w:rsidR="005E5EB4">
        <w:rPr>
          <w:sz w:val="20"/>
          <w:szCs w:val="20"/>
        </w:rPr>
        <w:t>are</w:t>
      </w:r>
      <w:r w:rsidR="00234BC1" w:rsidRPr="0097370E">
        <w:rPr>
          <w:sz w:val="20"/>
          <w:szCs w:val="20"/>
        </w:rPr>
        <w:t xml:space="preserve"> a </w:t>
      </w:r>
      <w:r w:rsidR="00234BC1">
        <w:rPr>
          <w:sz w:val="20"/>
          <w:szCs w:val="20"/>
        </w:rPr>
        <w:t xml:space="preserve">very </w:t>
      </w:r>
      <w:r w:rsidR="00234BC1" w:rsidRPr="0097370E">
        <w:rPr>
          <w:sz w:val="20"/>
          <w:szCs w:val="20"/>
        </w:rPr>
        <w:t>co</w:t>
      </w:r>
      <w:r w:rsidR="00234BC1">
        <w:rPr>
          <w:sz w:val="20"/>
          <w:szCs w:val="20"/>
        </w:rPr>
        <w:t>ncerning trend.</w:t>
      </w:r>
    </w:p>
    <w:p w14:paraId="7BF4DE72" w14:textId="7463D1D7" w:rsidR="0097370E" w:rsidRPr="00093507" w:rsidRDefault="0097370E" w:rsidP="0097370E">
      <w:pPr>
        <w:autoSpaceDE w:val="0"/>
        <w:autoSpaceDN w:val="0"/>
        <w:adjustRightInd w:val="0"/>
        <w:rPr>
          <w:sz w:val="20"/>
          <w:szCs w:val="20"/>
        </w:rPr>
      </w:pPr>
      <w:r w:rsidRPr="00093507">
        <w:rPr>
          <w:sz w:val="20"/>
          <w:szCs w:val="20"/>
        </w:rPr>
        <w:t xml:space="preserve">The following summarises progress </w:t>
      </w:r>
      <w:r w:rsidR="00234BC1" w:rsidRPr="00093507">
        <w:rPr>
          <w:sz w:val="20"/>
          <w:szCs w:val="20"/>
        </w:rPr>
        <w:t xml:space="preserve">over the period of </w:t>
      </w:r>
      <w:r w:rsidRPr="00093507">
        <w:rPr>
          <w:sz w:val="20"/>
          <w:szCs w:val="20"/>
        </w:rPr>
        <w:t xml:space="preserve">the </w:t>
      </w:r>
      <w:r w:rsidR="00234BC1" w:rsidRPr="00C24FA8">
        <w:rPr>
          <w:sz w:val="20"/>
          <w:szCs w:val="20"/>
          <w:lang w:eastAsia="en-AU"/>
        </w:rPr>
        <w:t>Fourth National Aboriginal and Torres Strait Islander BBV and STI Strategy 2014</w:t>
      </w:r>
      <w:r w:rsidR="00E436E3" w:rsidRPr="00C24FA8">
        <w:rPr>
          <w:sz w:val="20"/>
          <w:szCs w:val="20"/>
          <w:lang w:eastAsia="en-AU"/>
        </w:rPr>
        <w:t>–</w:t>
      </w:r>
      <w:r w:rsidR="00234BC1" w:rsidRPr="00C24FA8">
        <w:rPr>
          <w:sz w:val="20"/>
          <w:szCs w:val="20"/>
          <w:lang w:eastAsia="en-AU"/>
        </w:rPr>
        <w:t>2017</w:t>
      </w:r>
      <w:r w:rsidR="00234BC1" w:rsidRPr="00C24FA8">
        <w:rPr>
          <w:sz w:val="20"/>
          <w:szCs w:val="20"/>
        </w:rPr>
        <w:t>,</w:t>
      </w:r>
      <w:r w:rsidR="00234BC1" w:rsidRPr="00093507">
        <w:rPr>
          <w:sz w:val="20"/>
          <w:szCs w:val="20"/>
        </w:rPr>
        <w:t xml:space="preserve"> including </w:t>
      </w:r>
      <w:r w:rsidR="00093507">
        <w:rPr>
          <w:sz w:val="20"/>
          <w:szCs w:val="20"/>
        </w:rPr>
        <w:t xml:space="preserve">(where relevant) </w:t>
      </w:r>
      <w:r w:rsidR="00234BC1" w:rsidRPr="00093507">
        <w:rPr>
          <w:sz w:val="20"/>
          <w:szCs w:val="20"/>
        </w:rPr>
        <w:t xml:space="preserve">progress against the specific targets set </w:t>
      </w:r>
      <w:r w:rsidR="00093507" w:rsidRPr="00093507">
        <w:rPr>
          <w:sz w:val="20"/>
          <w:szCs w:val="20"/>
        </w:rPr>
        <w:t>i</w:t>
      </w:r>
      <w:r w:rsidR="004B66F8">
        <w:rPr>
          <w:sz w:val="20"/>
          <w:szCs w:val="20"/>
        </w:rPr>
        <w:t>n this previous</w:t>
      </w:r>
      <w:r w:rsidR="00093507" w:rsidRPr="00093507">
        <w:rPr>
          <w:sz w:val="20"/>
          <w:szCs w:val="20"/>
        </w:rPr>
        <w:t xml:space="preserve"> strategy</w:t>
      </w:r>
      <w:r w:rsidR="00E436E3">
        <w:rPr>
          <w:sz w:val="20"/>
          <w:szCs w:val="20"/>
        </w:rPr>
        <w:t>:</w:t>
      </w:r>
    </w:p>
    <w:p w14:paraId="7C06BE16" w14:textId="76D943A0" w:rsidR="009D04CA" w:rsidRPr="0097370E" w:rsidRDefault="009D04CA" w:rsidP="009012A9">
      <w:pPr>
        <w:pStyle w:val="ListParagraph"/>
        <w:numPr>
          <w:ilvl w:val="0"/>
          <w:numId w:val="15"/>
        </w:numPr>
        <w:autoSpaceDE w:val="0"/>
        <w:autoSpaceDN w:val="0"/>
        <w:adjustRightInd w:val="0"/>
        <w:spacing w:before="120"/>
        <w:rPr>
          <w:sz w:val="20"/>
        </w:rPr>
      </w:pPr>
      <w:r w:rsidRPr="0097370E">
        <w:rPr>
          <w:sz w:val="20"/>
        </w:rPr>
        <w:t xml:space="preserve">Due to an ongoing outbreak of </w:t>
      </w:r>
      <w:r w:rsidRPr="00E436E3">
        <w:rPr>
          <w:b/>
          <w:sz w:val="20"/>
        </w:rPr>
        <w:t>infectious syphilis</w:t>
      </w:r>
      <w:r w:rsidRPr="0097370E">
        <w:rPr>
          <w:sz w:val="20"/>
        </w:rPr>
        <w:t xml:space="preserve"> in northern and central Australia, the notification rate in Aboriginal and Torres Strait Islander people increased by 193 per cent between 2012 and 2016.</w:t>
      </w:r>
      <w:r w:rsidR="002E19E4">
        <w:rPr>
          <w:sz w:val="20"/>
          <w:vertAlign w:val="superscript"/>
        </w:rPr>
        <w:t>2</w:t>
      </w:r>
      <w:r w:rsidRPr="0097370E">
        <w:rPr>
          <w:sz w:val="20"/>
        </w:rPr>
        <w:t xml:space="preserve"> The previous strategy’s target of decreasing the notification rate of syphilis in Aboriginal and Torres Strait Islander people and communities was not achieved.</w:t>
      </w:r>
    </w:p>
    <w:p w14:paraId="29B749CE" w14:textId="34761FC4" w:rsidR="004C148A" w:rsidRPr="0097370E" w:rsidRDefault="004C148A" w:rsidP="009012A9">
      <w:pPr>
        <w:numPr>
          <w:ilvl w:val="0"/>
          <w:numId w:val="15"/>
        </w:numPr>
        <w:rPr>
          <w:sz w:val="20"/>
          <w:szCs w:val="20"/>
        </w:rPr>
      </w:pPr>
      <w:r w:rsidRPr="0097370E">
        <w:rPr>
          <w:sz w:val="20"/>
          <w:szCs w:val="20"/>
        </w:rPr>
        <w:t xml:space="preserve">Between 2012 and 2016, there were 10 cases of </w:t>
      </w:r>
      <w:r w:rsidRPr="00E436E3">
        <w:rPr>
          <w:b/>
          <w:sz w:val="20"/>
          <w:szCs w:val="20"/>
        </w:rPr>
        <w:t>congenital syphilis</w:t>
      </w:r>
      <w:r w:rsidRPr="0097370E">
        <w:rPr>
          <w:sz w:val="20"/>
          <w:szCs w:val="20"/>
        </w:rPr>
        <w:t xml:space="preserve"> in the Aboriginal and Torres Strait Islander population, representing more than half (63 per cent) of total congenital syphilis cases reported in Australia during this period. This is of significant concern. The majority of these cases were related to an ongoing outbreak of infectious syphilis affecting Aboriginal and Torres Strait Islander communities and reflect the high rates among Aboriginal and Torres Strait women of </w:t>
      </w:r>
      <w:r w:rsidRPr="00C24FA8">
        <w:rPr>
          <w:sz w:val="20"/>
          <w:szCs w:val="20"/>
        </w:rPr>
        <w:t>child</w:t>
      </w:r>
      <w:r w:rsidR="00C24FA8" w:rsidRPr="00C24FA8">
        <w:rPr>
          <w:sz w:val="20"/>
          <w:szCs w:val="20"/>
        </w:rPr>
        <w:t>-</w:t>
      </w:r>
      <w:r w:rsidRPr="00C24FA8">
        <w:rPr>
          <w:sz w:val="20"/>
          <w:szCs w:val="20"/>
        </w:rPr>
        <w:t>bearing age</w:t>
      </w:r>
      <w:r w:rsidRPr="0097370E">
        <w:rPr>
          <w:sz w:val="20"/>
          <w:szCs w:val="20"/>
        </w:rPr>
        <w:t xml:space="preserve">. </w:t>
      </w:r>
    </w:p>
    <w:p w14:paraId="77972864" w14:textId="17F5E908" w:rsidR="004C148A" w:rsidRPr="0097370E" w:rsidRDefault="004C148A" w:rsidP="009012A9">
      <w:pPr>
        <w:numPr>
          <w:ilvl w:val="0"/>
          <w:numId w:val="15"/>
        </w:numPr>
        <w:rPr>
          <w:sz w:val="20"/>
          <w:szCs w:val="20"/>
        </w:rPr>
      </w:pPr>
      <w:r w:rsidRPr="0097370E">
        <w:rPr>
          <w:sz w:val="20"/>
          <w:szCs w:val="20"/>
        </w:rPr>
        <w:t xml:space="preserve">A reduction in the notifications of </w:t>
      </w:r>
      <w:r w:rsidRPr="00E436E3">
        <w:rPr>
          <w:b/>
          <w:sz w:val="20"/>
          <w:szCs w:val="20"/>
        </w:rPr>
        <w:t>chlamydia</w:t>
      </w:r>
      <w:r w:rsidRPr="0097370E">
        <w:rPr>
          <w:sz w:val="20"/>
          <w:szCs w:val="20"/>
        </w:rPr>
        <w:t xml:space="preserve"> in people </w:t>
      </w:r>
      <w:r w:rsidR="00C24FA8">
        <w:rPr>
          <w:sz w:val="20"/>
          <w:szCs w:val="20"/>
        </w:rPr>
        <w:t xml:space="preserve">under </w:t>
      </w:r>
      <w:r w:rsidRPr="0097370E">
        <w:rPr>
          <w:sz w:val="20"/>
          <w:szCs w:val="20"/>
        </w:rPr>
        <w:t xml:space="preserve">30 years of age was achieved. Between 2012 and 2016 the notification rate in Aboriginal and Torres Strait Islander people declined by 11 per cent in people aged 15 to 19 years and by 6 per cent in those aged 20 to 29 years. However, the chlamydia notification rate was approximately </w:t>
      </w:r>
      <w:r w:rsidR="00E436E3">
        <w:rPr>
          <w:sz w:val="20"/>
          <w:szCs w:val="20"/>
        </w:rPr>
        <w:t xml:space="preserve">three </w:t>
      </w:r>
      <w:r w:rsidRPr="0097370E">
        <w:rPr>
          <w:sz w:val="20"/>
          <w:szCs w:val="20"/>
        </w:rPr>
        <w:t xml:space="preserve">times higher in Aboriginal and Torres Strait Islander people in 2016 </w:t>
      </w:r>
      <w:r w:rsidR="00C24FA8">
        <w:rPr>
          <w:sz w:val="20"/>
          <w:szCs w:val="20"/>
        </w:rPr>
        <w:t xml:space="preserve">when </w:t>
      </w:r>
      <w:r w:rsidRPr="0097370E">
        <w:rPr>
          <w:sz w:val="20"/>
          <w:szCs w:val="20"/>
        </w:rPr>
        <w:t xml:space="preserve">compared </w:t>
      </w:r>
      <w:r w:rsidR="00C24FA8">
        <w:rPr>
          <w:sz w:val="20"/>
          <w:szCs w:val="20"/>
        </w:rPr>
        <w:t xml:space="preserve">with </w:t>
      </w:r>
      <w:r w:rsidRPr="0097370E">
        <w:rPr>
          <w:sz w:val="20"/>
          <w:szCs w:val="20"/>
        </w:rPr>
        <w:t xml:space="preserve">the non-Indigenous population.  </w:t>
      </w:r>
    </w:p>
    <w:p w14:paraId="7CF58C3F" w14:textId="343161BB" w:rsidR="004C148A" w:rsidRPr="0097370E" w:rsidRDefault="004C148A" w:rsidP="009012A9">
      <w:pPr>
        <w:numPr>
          <w:ilvl w:val="0"/>
          <w:numId w:val="15"/>
        </w:numPr>
        <w:rPr>
          <w:sz w:val="20"/>
          <w:szCs w:val="20"/>
        </w:rPr>
      </w:pPr>
      <w:r w:rsidRPr="0097370E">
        <w:rPr>
          <w:sz w:val="20"/>
          <w:szCs w:val="20"/>
        </w:rPr>
        <w:t xml:space="preserve">Since 2012, the </w:t>
      </w:r>
      <w:r w:rsidRPr="00E436E3">
        <w:rPr>
          <w:b/>
          <w:sz w:val="20"/>
          <w:szCs w:val="20"/>
        </w:rPr>
        <w:t>gonorrhoea</w:t>
      </w:r>
      <w:r w:rsidRPr="0097370E">
        <w:rPr>
          <w:sz w:val="20"/>
          <w:szCs w:val="20"/>
        </w:rPr>
        <w:t xml:space="preserve"> notification rate in Aboriginal and Torres Strait Islander people declined 20 per cent in people aged 15</w:t>
      </w:r>
      <w:r w:rsidR="00623A2B">
        <w:rPr>
          <w:sz w:val="20"/>
          <w:szCs w:val="20"/>
        </w:rPr>
        <w:t xml:space="preserve"> to </w:t>
      </w:r>
      <w:r w:rsidRPr="0097370E">
        <w:rPr>
          <w:sz w:val="20"/>
          <w:szCs w:val="20"/>
        </w:rPr>
        <w:t>19 years and 28 per</w:t>
      </w:r>
      <w:r w:rsidR="00623A2B">
        <w:rPr>
          <w:sz w:val="20"/>
          <w:szCs w:val="20"/>
        </w:rPr>
        <w:t xml:space="preserve"> </w:t>
      </w:r>
      <w:r w:rsidRPr="0097370E">
        <w:rPr>
          <w:sz w:val="20"/>
          <w:szCs w:val="20"/>
        </w:rPr>
        <w:t>cent in people aged 20</w:t>
      </w:r>
      <w:r w:rsidR="00623A2B">
        <w:rPr>
          <w:sz w:val="20"/>
          <w:szCs w:val="20"/>
        </w:rPr>
        <w:t xml:space="preserve"> to </w:t>
      </w:r>
      <w:r w:rsidRPr="0097370E">
        <w:rPr>
          <w:sz w:val="20"/>
          <w:szCs w:val="20"/>
        </w:rPr>
        <w:t xml:space="preserve">29 years, which was in line with the target of reducing gonorrhoea among people </w:t>
      </w:r>
      <w:r w:rsidR="00C24FA8">
        <w:rPr>
          <w:sz w:val="20"/>
          <w:szCs w:val="20"/>
        </w:rPr>
        <w:t xml:space="preserve">under </w:t>
      </w:r>
      <w:r w:rsidRPr="0097370E">
        <w:rPr>
          <w:sz w:val="20"/>
          <w:szCs w:val="20"/>
        </w:rPr>
        <w:t xml:space="preserve">30 years of age. However, in 2016 the rate in Aboriginal and Torres Strait Islander people was nearly </w:t>
      </w:r>
      <w:r w:rsidR="00623A2B">
        <w:rPr>
          <w:sz w:val="20"/>
          <w:szCs w:val="20"/>
        </w:rPr>
        <w:t xml:space="preserve">seven </w:t>
      </w:r>
      <w:r w:rsidRPr="0097370E">
        <w:rPr>
          <w:sz w:val="20"/>
          <w:szCs w:val="20"/>
        </w:rPr>
        <w:t xml:space="preserve">times greater than the rate in the non-Indigenous population (which itself increased 125 per cent between 2012 and 2016).  </w:t>
      </w:r>
    </w:p>
    <w:p w14:paraId="731239E8" w14:textId="657F22FD" w:rsidR="0097370E" w:rsidRPr="0097370E" w:rsidRDefault="0097370E" w:rsidP="009012A9">
      <w:pPr>
        <w:numPr>
          <w:ilvl w:val="0"/>
          <w:numId w:val="15"/>
        </w:numPr>
        <w:rPr>
          <w:sz w:val="20"/>
          <w:szCs w:val="20"/>
        </w:rPr>
      </w:pPr>
      <w:r w:rsidRPr="0097370E">
        <w:rPr>
          <w:sz w:val="20"/>
          <w:szCs w:val="20"/>
        </w:rPr>
        <w:t xml:space="preserve">Rates of STI in Aboriginal and Torres Strait Islander people are also significantly higher in </w:t>
      </w:r>
      <w:r w:rsidRPr="00623A2B">
        <w:rPr>
          <w:b/>
          <w:sz w:val="20"/>
          <w:szCs w:val="20"/>
        </w:rPr>
        <w:t>remote</w:t>
      </w:r>
      <w:r w:rsidR="00623A2B">
        <w:rPr>
          <w:b/>
          <w:sz w:val="20"/>
          <w:szCs w:val="20"/>
        </w:rPr>
        <w:t xml:space="preserve"> </w:t>
      </w:r>
      <w:r w:rsidRPr="00623A2B">
        <w:rPr>
          <w:b/>
          <w:sz w:val="20"/>
          <w:szCs w:val="20"/>
        </w:rPr>
        <w:t>/</w:t>
      </w:r>
      <w:r w:rsidR="00623A2B">
        <w:rPr>
          <w:b/>
          <w:sz w:val="20"/>
          <w:szCs w:val="20"/>
        </w:rPr>
        <w:t xml:space="preserve"> </w:t>
      </w:r>
      <w:r w:rsidRPr="00623A2B">
        <w:rPr>
          <w:b/>
          <w:sz w:val="20"/>
          <w:szCs w:val="20"/>
        </w:rPr>
        <w:t>very remote areas</w:t>
      </w:r>
      <w:r w:rsidRPr="0097370E">
        <w:rPr>
          <w:sz w:val="20"/>
          <w:szCs w:val="20"/>
        </w:rPr>
        <w:t>. The syphilis notification rate for Aboriginal and Torres Strait Islander populations living in remote</w:t>
      </w:r>
      <w:r w:rsidR="00623A2B">
        <w:rPr>
          <w:sz w:val="20"/>
          <w:szCs w:val="20"/>
        </w:rPr>
        <w:t xml:space="preserve"> </w:t>
      </w:r>
      <w:r w:rsidRPr="0097370E">
        <w:rPr>
          <w:sz w:val="20"/>
          <w:szCs w:val="20"/>
        </w:rPr>
        <w:t>/</w:t>
      </w:r>
      <w:r w:rsidR="00623A2B">
        <w:rPr>
          <w:sz w:val="20"/>
          <w:szCs w:val="20"/>
        </w:rPr>
        <w:t xml:space="preserve"> </w:t>
      </w:r>
      <w:r w:rsidRPr="0097370E">
        <w:rPr>
          <w:sz w:val="20"/>
          <w:szCs w:val="20"/>
        </w:rPr>
        <w:t xml:space="preserve">very remote areas is 50 times higher than that of the non-Indigenous notification rate. This is also the case for the notification rate for gonorrhoea (30 times) </w:t>
      </w:r>
      <w:r w:rsidR="00B37051">
        <w:rPr>
          <w:sz w:val="20"/>
          <w:szCs w:val="20"/>
        </w:rPr>
        <w:t xml:space="preserve">and </w:t>
      </w:r>
      <w:r w:rsidRPr="0097370E">
        <w:rPr>
          <w:sz w:val="20"/>
          <w:szCs w:val="20"/>
        </w:rPr>
        <w:t>chlamydia (</w:t>
      </w:r>
      <w:r w:rsidR="00623A2B">
        <w:rPr>
          <w:sz w:val="20"/>
          <w:szCs w:val="20"/>
        </w:rPr>
        <w:t xml:space="preserve">five </w:t>
      </w:r>
      <w:r w:rsidRPr="0097370E">
        <w:rPr>
          <w:sz w:val="20"/>
          <w:szCs w:val="20"/>
        </w:rPr>
        <w:t>times).</w:t>
      </w:r>
    </w:p>
    <w:p w14:paraId="1D445E36" w14:textId="596E3EDE" w:rsidR="0097370E" w:rsidRPr="0097370E" w:rsidRDefault="004C148A" w:rsidP="009012A9">
      <w:pPr>
        <w:numPr>
          <w:ilvl w:val="0"/>
          <w:numId w:val="15"/>
        </w:numPr>
        <w:rPr>
          <w:sz w:val="20"/>
          <w:szCs w:val="20"/>
        </w:rPr>
      </w:pPr>
      <w:r w:rsidRPr="0097370E">
        <w:rPr>
          <w:sz w:val="20"/>
          <w:szCs w:val="20"/>
        </w:rPr>
        <w:t xml:space="preserve">The target of the previous </w:t>
      </w:r>
      <w:r w:rsidR="00C24FA8">
        <w:rPr>
          <w:sz w:val="20"/>
          <w:szCs w:val="20"/>
        </w:rPr>
        <w:t>s</w:t>
      </w:r>
      <w:r w:rsidRPr="0097370E">
        <w:rPr>
          <w:sz w:val="20"/>
          <w:szCs w:val="20"/>
        </w:rPr>
        <w:t xml:space="preserve">trategy to increase the </w:t>
      </w:r>
      <w:r w:rsidRPr="00623A2B">
        <w:rPr>
          <w:b/>
          <w:sz w:val="20"/>
          <w:szCs w:val="20"/>
        </w:rPr>
        <w:t>use of sterile injecting equipment</w:t>
      </w:r>
      <w:r w:rsidRPr="0097370E">
        <w:rPr>
          <w:sz w:val="20"/>
          <w:szCs w:val="20"/>
        </w:rPr>
        <w:t xml:space="preserve"> for every episode was not met, with rates of receptive syringe sharing increasing from 18 per cent in 2007 to 28 per cent in 2016 among Aboriginal and Torres Strait Islander respondents to the Australian Needle and Syringe Program Survey.</w:t>
      </w:r>
      <w:r w:rsidR="002A68F0">
        <w:rPr>
          <w:sz w:val="20"/>
          <w:szCs w:val="20"/>
          <w:vertAlign w:val="superscript"/>
        </w:rPr>
        <w:t>6</w:t>
      </w:r>
    </w:p>
    <w:p w14:paraId="62DF0ADE" w14:textId="5A3FA5EE" w:rsidR="00093507" w:rsidRPr="00093507" w:rsidRDefault="0097370E" w:rsidP="009012A9">
      <w:pPr>
        <w:numPr>
          <w:ilvl w:val="0"/>
          <w:numId w:val="15"/>
        </w:numPr>
        <w:rPr>
          <w:sz w:val="20"/>
          <w:szCs w:val="20"/>
        </w:rPr>
      </w:pPr>
      <w:r w:rsidRPr="00093507">
        <w:rPr>
          <w:sz w:val="20"/>
          <w:szCs w:val="20"/>
        </w:rPr>
        <w:t xml:space="preserve">There is currently limited data on </w:t>
      </w:r>
      <w:r w:rsidRPr="00623A2B">
        <w:rPr>
          <w:b/>
          <w:sz w:val="20"/>
          <w:szCs w:val="20"/>
        </w:rPr>
        <w:t>treatment uptake</w:t>
      </w:r>
      <w:r w:rsidRPr="00093507">
        <w:rPr>
          <w:sz w:val="20"/>
          <w:szCs w:val="20"/>
        </w:rPr>
        <w:t xml:space="preserve"> among Aboriginal and Torres Strait Islander people living with hepatitis B, hepatitis C and HIV. However, there was an increase in the proportion of Aboriginal and Torres Strait Islander people who inject drugs and attended </w:t>
      </w:r>
      <w:r w:rsidR="005C5DB6">
        <w:rPr>
          <w:sz w:val="20"/>
          <w:szCs w:val="20"/>
        </w:rPr>
        <w:t>needle and syringe programs (</w:t>
      </w:r>
      <w:r w:rsidRPr="00093507">
        <w:rPr>
          <w:sz w:val="20"/>
          <w:szCs w:val="20"/>
        </w:rPr>
        <w:t>NSPs</w:t>
      </w:r>
      <w:r w:rsidR="005C5DB6">
        <w:rPr>
          <w:sz w:val="20"/>
          <w:szCs w:val="20"/>
        </w:rPr>
        <w:t>)</w:t>
      </w:r>
      <w:r w:rsidRPr="00093507">
        <w:rPr>
          <w:sz w:val="20"/>
          <w:szCs w:val="20"/>
        </w:rPr>
        <w:t xml:space="preserve"> reporting hepatitis C treatment, with lifetime history of treatment increasing from 9 per cent in 2012 to 19 per cent in 2016, and treatment in the last 12 months increasing from 3 per cent to 18 per cent, reflecting the increased availability of direct-acting antiviral (DAA) treatment from March 2016.</w:t>
      </w:r>
      <w:r w:rsidR="002A68F0">
        <w:rPr>
          <w:sz w:val="20"/>
          <w:szCs w:val="20"/>
          <w:vertAlign w:val="superscript"/>
        </w:rPr>
        <w:t>6</w:t>
      </w:r>
      <w:r w:rsidRPr="00093507">
        <w:rPr>
          <w:sz w:val="20"/>
          <w:szCs w:val="20"/>
          <w:vertAlign w:val="superscript"/>
        </w:rPr>
        <w:t xml:space="preserve">  </w:t>
      </w:r>
    </w:p>
    <w:p w14:paraId="21B0CAE8" w14:textId="7AE99169" w:rsidR="00CF3C9C" w:rsidRDefault="00CF3C9C" w:rsidP="009012A9">
      <w:pPr>
        <w:numPr>
          <w:ilvl w:val="0"/>
          <w:numId w:val="15"/>
        </w:numPr>
        <w:rPr>
          <w:sz w:val="20"/>
          <w:szCs w:val="20"/>
        </w:rPr>
      </w:pPr>
      <w:r w:rsidRPr="00093507">
        <w:rPr>
          <w:sz w:val="20"/>
          <w:szCs w:val="20"/>
        </w:rPr>
        <w:t xml:space="preserve">Between 2012 and 2016, the </w:t>
      </w:r>
      <w:r w:rsidR="00676942">
        <w:rPr>
          <w:sz w:val="20"/>
          <w:szCs w:val="20"/>
        </w:rPr>
        <w:t>number</w:t>
      </w:r>
      <w:r w:rsidR="00676942" w:rsidRPr="00093507">
        <w:rPr>
          <w:sz w:val="20"/>
          <w:szCs w:val="20"/>
        </w:rPr>
        <w:t xml:space="preserve"> </w:t>
      </w:r>
      <w:r w:rsidRPr="00093507">
        <w:rPr>
          <w:sz w:val="20"/>
          <w:szCs w:val="20"/>
        </w:rPr>
        <w:t xml:space="preserve">of notifications </w:t>
      </w:r>
      <w:r w:rsidR="00676942">
        <w:rPr>
          <w:sz w:val="20"/>
          <w:szCs w:val="20"/>
        </w:rPr>
        <w:t xml:space="preserve">per year </w:t>
      </w:r>
      <w:r w:rsidRPr="00093507">
        <w:rPr>
          <w:sz w:val="20"/>
          <w:szCs w:val="20"/>
        </w:rPr>
        <w:t xml:space="preserve">of newly diagnosed </w:t>
      </w:r>
      <w:r w:rsidRPr="00623A2B">
        <w:rPr>
          <w:b/>
          <w:sz w:val="20"/>
          <w:szCs w:val="20"/>
        </w:rPr>
        <w:t>HIV</w:t>
      </w:r>
      <w:r w:rsidRPr="00093507">
        <w:rPr>
          <w:sz w:val="20"/>
          <w:szCs w:val="20"/>
        </w:rPr>
        <w:t xml:space="preserve"> infections in the Aboriginal and Torres Strait Islander population </w:t>
      </w:r>
      <w:r w:rsidR="008A1753">
        <w:rPr>
          <w:sz w:val="20"/>
          <w:szCs w:val="20"/>
        </w:rPr>
        <w:t xml:space="preserve">increased </w:t>
      </w:r>
      <w:r w:rsidRPr="00093507">
        <w:rPr>
          <w:sz w:val="20"/>
          <w:szCs w:val="20"/>
        </w:rPr>
        <w:t xml:space="preserve">from 33 notifications in 2012 to 46 in 2016. This is in contrast </w:t>
      </w:r>
      <w:r w:rsidR="008A1753">
        <w:rPr>
          <w:sz w:val="20"/>
          <w:szCs w:val="20"/>
        </w:rPr>
        <w:t xml:space="preserve">with </w:t>
      </w:r>
      <w:r w:rsidRPr="00093507">
        <w:rPr>
          <w:sz w:val="20"/>
          <w:szCs w:val="20"/>
        </w:rPr>
        <w:t>the non</w:t>
      </w:r>
      <w:r w:rsidRPr="00093507">
        <w:rPr>
          <w:sz w:val="20"/>
          <w:szCs w:val="20"/>
        </w:rPr>
        <w:noBreakHyphen/>
        <w:t>Indigenous population</w:t>
      </w:r>
      <w:r w:rsidR="008A1753">
        <w:rPr>
          <w:sz w:val="20"/>
          <w:szCs w:val="20"/>
        </w:rPr>
        <w:t>,</w:t>
      </w:r>
      <w:r w:rsidRPr="00093507">
        <w:rPr>
          <w:sz w:val="20"/>
          <w:szCs w:val="20"/>
        </w:rPr>
        <w:t xml:space="preserve"> where, since 2012, HIV notifications have remained relatively stable at just over 1000 notifications each year.</w:t>
      </w:r>
      <w:r w:rsidR="00FD2199">
        <w:rPr>
          <w:sz w:val="20"/>
          <w:szCs w:val="20"/>
        </w:rPr>
        <w:t xml:space="preserve"> In 2016 the notification rate in the</w:t>
      </w:r>
      <w:r w:rsidR="008F7236">
        <w:rPr>
          <w:sz w:val="20"/>
          <w:szCs w:val="20"/>
        </w:rPr>
        <w:t xml:space="preserve"> Aboriginal and Torres Strait Islander </w:t>
      </w:r>
      <w:r w:rsidR="00FD2199">
        <w:rPr>
          <w:sz w:val="20"/>
          <w:szCs w:val="20"/>
        </w:rPr>
        <w:t>population</w:t>
      </w:r>
      <w:r w:rsidR="008F7236">
        <w:rPr>
          <w:sz w:val="20"/>
          <w:szCs w:val="20"/>
        </w:rPr>
        <w:t xml:space="preserve"> </w:t>
      </w:r>
      <w:r w:rsidR="00FD2199">
        <w:rPr>
          <w:sz w:val="20"/>
          <w:szCs w:val="20"/>
        </w:rPr>
        <w:t>was 2.2 times as high as in the Australian born non-Indigenous population</w:t>
      </w:r>
      <w:r w:rsidR="008F7236">
        <w:rPr>
          <w:sz w:val="20"/>
          <w:szCs w:val="20"/>
        </w:rPr>
        <w:t>.</w:t>
      </w:r>
      <w:r w:rsidR="002A68F0">
        <w:rPr>
          <w:sz w:val="20"/>
          <w:szCs w:val="20"/>
          <w:vertAlign w:val="superscript"/>
        </w:rPr>
        <w:t>6</w:t>
      </w:r>
    </w:p>
    <w:p w14:paraId="1664DB1C" w14:textId="32F34A96" w:rsidR="00F65CA3" w:rsidRPr="00093507" w:rsidRDefault="00F65CA3" w:rsidP="009012A9">
      <w:pPr>
        <w:numPr>
          <w:ilvl w:val="0"/>
          <w:numId w:val="15"/>
        </w:numPr>
        <w:rPr>
          <w:sz w:val="20"/>
          <w:szCs w:val="20"/>
        </w:rPr>
      </w:pPr>
      <w:r w:rsidRPr="00093507">
        <w:rPr>
          <w:sz w:val="20"/>
          <w:szCs w:val="20"/>
        </w:rPr>
        <w:lastRenderedPageBreak/>
        <w:t>During the 10</w:t>
      </w:r>
      <w:r w:rsidR="00623A2B">
        <w:rPr>
          <w:sz w:val="20"/>
          <w:szCs w:val="20"/>
        </w:rPr>
        <w:t>-</w:t>
      </w:r>
      <w:r w:rsidRPr="00093507">
        <w:rPr>
          <w:sz w:val="20"/>
          <w:szCs w:val="20"/>
        </w:rPr>
        <w:t>year period 2007 to 2016, male</w:t>
      </w:r>
      <w:r w:rsidR="00623A2B">
        <w:rPr>
          <w:sz w:val="20"/>
          <w:szCs w:val="20"/>
        </w:rPr>
        <w:t>-</w:t>
      </w:r>
      <w:r w:rsidRPr="00093507">
        <w:rPr>
          <w:sz w:val="20"/>
          <w:szCs w:val="20"/>
        </w:rPr>
        <w:t>to</w:t>
      </w:r>
      <w:r w:rsidR="00623A2B">
        <w:rPr>
          <w:sz w:val="20"/>
          <w:szCs w:val="20"/>
        </w:rPr>
        <w:t>-</w:t>
      </w:r>
      <w:r w:rsidRPr="00093507">
        <w:rPr>
          <w:sz w:val="20"/>
          <w:szCs w:val="20"/>
        </w:rPr>
        <w:t>male sex was the most common exposure risk for HIV infection in Aboriginal and Torres Strait Islander people (51 per cent) in 2016, as was the case in the Australian-born non-</w:t>
      </w:r>
      <w:r w:rsidR="00623A2B">
        <w:rPr>
          <w:sz w:val="20"/>
          <w:szCs w:val="20"/>
        </w:rPr>
        <w:t>I</w:t>
      </w:r>
      <w:r w:rsidRPr="00093507">
        <w:rPr>
          <w:sz w:val="20"/>
          <w:szCs w:val="20"/>
        </w:rPr>
        <w:t>ndigenous population (74 per cent). In the five</w:t>
      </w:r>
      <w:r w:rsidR="00623A2B">
        <w:rPr>
          <w:sz w:val="20"/>
          <w:szCs w:val="20"/>
        </w:rPr>
        <w:t>-</w:t>
      </w:r>
      <w:r w:rsidRPr="00093507">
        <w:rPr>
          <w:sz w:val="20"/>
          <w:szCs w:val="20"/>
        </w:rPr>
        <w:t>year period between 2012 and 2016, heterosexual sex and injecting drug use exposure</w:t>
      </w:r>
      <w:r w:rsidR="00FE5FB6">
        <w:rPr>
          <w:sz w:val="20"/>
          <w:szCs w:val="20"/>
        </w:rPr>
        <w:t xml:space="preserve"> risks</w:t>
      </w:r>
      <w:r w:rsidRPr="00093507">
        <w:rPr>
          <w:sz w:val="20"/>
          <w:szCs w:val="20"/>
        </w:rPr>
        <w:t xml:space="preserve"> were reported in higher proportions in Aboriginal and Torres Strait Islander people compared to the Australian</w:t>
      </w:r>
      <w:r>
        <w:rPr>
          <w:sz w:val="20"/>
          <w:szCs w:val="20"/>
        </w:rPr>
        <w:t>-</w:t>
      </w:r>
      <w:r w:rsidRPr="00093507">
        <w:rPr>
          <w:sz w:val="20"/>
          <w:szCs w:val="20"/>
        </w:rPr>
        <w:t xml:space="preserve">born non-Indigenous population (20 per cent </w:t>
      </w:r>
      <w:r w:rsidR="00623A2B">
        <w:rPr>
          <w:sz w:val="20"/>
          <w:szCs w:val="20"/>
        </w:rPr>
        <w:t xml:space="preserve">versus </w:t>
      </w:r>
      <w:r w:rsidRPr="00093507">
        <w:rPr>
          <w:sz w:val="20"/>
          <w:szCs w:val="20"/>
        </w:rPr>
        <w:t xml:space="preserve">15 per cent; 14 per cent </w:t>
      </w:r>
      <w:r w:rsidR="00623A2B">
        <w:rPr>
          <w:sz w:val="20"/>
          <w:szCs w:val="20"/>
        </w:rPr>
        <w:t xml:space="preserve">versus </w:t>
      </w:r>
      <w:r w:rsidRPr="00093507">
        <w:rPr>
          <w:sz w:val="20"/>
          <w:szCs w:val="20"/>
        </w:rPr>
        <w:t>3 per cent respectively).</w:t>
      </w:r>
    </w:p>
    <w:p w14:paraId="363676D2" w14:textId="4460EAC6" w:rsidR="00CF3C9C" w:rsidRPr="00093507" w:rsidRDefault="00CF3C9C" w:rsidP="009012A9">
      <w:pPr>
        <w:numPr>
          <w:ilvl w:val="0"/>
          <w:numId w:val="15"/>
        </w:numPr>
        <w:rPr>
          <w:sz w:val="20"/>
          <w:szCs w:val="20"/>
        </w:rPr>
      </w:pPr>
      <w:r w:rsidRPr="00093507">
        <w:rPr>
          <w:sz w:val="20"/>
          <w:szCs w:val="20"/>
        </w:rPr>
        <w:t>Over the five</w:t>
      </w:r>
      <w:r w:rsidR="00623A2B">
        <w:rPr>
          <w:sz w:val="20"/>
          <w:szCs w:val="20"/>
        </w:rPr>
        <w:t>-</w:t>
      </w:r>
      <w:r w:rsidRPr="00093507">
        <w:rPr>
          <w:sz w:val="20"/>
          <w:szCs w:val="20"/>
        </w:rPr>
        <w:t>year</w:t>
      </w:r>
      <w:r w:rsidR="00977339">
        <w:rPr>
          <w:sz w:val="20"/>
          <w:szCs w:val="20"/>
        </w:rPr>
        <w:t xml:space="preserve"> period of </w:t>
      </w:r>
      <w:r w:rsidRPr="00093507">
        <w:rPr>
          <w:sz w:val="20"/>
          <w:szCs w:val="20"/>
        </w:rPr>
        <w:t>2012</w:t>
      </w:r>
      <w:r w:rsidR="00623A2B">
        <w:rPr>
          <w:sz w:val="20"/>
          <w:szCs w:val="20"/>
        </w:rPr>
        <w:t>–</w:t>
      </w:r>
      <w:r w:rsidRPr="00093507">
        <w:rPr>
          <w:sz w:val="20"/>
          <w:szCs w:val="20"/>
        </w:rPr>
        <w:t xml:space="preserve">2016, there was a 25 per cent increase in the notification rate of new </w:t>
      </w:r>
      <w:r w:rsidRPr="00623A2B">
        <w:rPr>
          <w:b/>
          <w:sz w:val="20"/>
          <w:szCs w:val="20"/>
        </w:rPr>
        <w:t>hepatitis C</w:t>
      </w:r>
      <w:r w:rsidRPr="00093507">
        <w:rPr>
          <w:sz w:val="20"/>
          <w:szCs w:val="20"/>
        </w:rPr>
        <w:t xml:space="preserve"> diagnoses in the Aboriginal and Torres Strait Islander population</w:t>
      </w:r>
      <w:r w:rsidR="00977339">
        <w:rPr>
          <w:sz w:val="20"/>
          <w:szCs w:val="20"/>
        </w:rPr>
        <w:t>, increasing from 138 per 100</w:t>
      </w:r>
      <w:r w:rsidR="00623A2B">
        <w:rPr>
          <w:sz w:val="20"/>
          <w:szCs w:val="20"/>
        </w:rPr>
        <w:t> </w:t>
      </w:r>
      <w:r w:rsidR="00977339">
        <w:rPr>
          <w:sz w:val="20"/>
          <w:szCs w:val="20"/>
        </w:rPr>
        <w:t xml:space="preserve">000 in 2012 to </w:t>
      </w:r>
      <w:r w:rsidR="003B2C0A">
        <w:rPr>
          <w:sz w:val="20"/>
          <w:szCs w:val="20"/>
        </w:rPr>
        <w:t>173 per 100</w:t>
      </w:r>
      <w:r w:rsidR="00623A2B">
        <w:rPr>
          <w:sz w:val="20"/>
          <w:szCs w:val="20"/>
        </w:rPr>
        <w:t> </w:t>
      </w:r>
      <w:r w:rsidR="003B2C0A">
        <w:rPr>
          <w:sz w:val="20"/>
          <w:szCs w:val="20"/>
        </w:rPr>
        <w:t>000 in 2016</w:t>
      </w:r>
      <w:r w:rsidR="00977339">
        <w:rPr>
          <w:sz w:val="20"/>
          <w:szCs w:val="20"/>
        </w:rPr>
        <w:t>. T</w:t>
      </w:r>
      <w:r w:rsidRPr="00093507">
        <w:rPr>
          <w:sz w:val="20"/>
          <w:szCs w:val="20"/>
        </w:rPr>
        <w:t>he rate in the non</w:t>
      </w:r>
      <w:r w:rsidRPr="00093507">
        <w:rPr>
          <w:sz w:val="20"/>
          <w:szCs w:val="20"/>
        </w:rPr>
        <w:noBreakHyphen/>
        <w:t>Indigenous population remained stable</w:t>
      </w:r>
      <w:r w:rsidR="00977339">
        <w:rPr>
          <w:sz w:val="20"/>
          <w:szCs w:val="20"/>
        </w:rPr>
        <w:t xml:space="preserve"> over this period (</w:t>
      </w:r>
      <w:r w:rsidR="00A60670">
        <w:rPr>
          <w:sz w:val="20"/>
          <w:szCs w:val="20"/>
        </w:rPr>
        <w:t xml:space="preserve">at </w:t>
      </w:r>
      <w:r w:rsidR="00977339">
        <w:rPr>
          <w:sz w:val="20"/>
          <w:szCs w:val="20"/>
        </w:rPr>
        <w:t>44 per 100</w:t>
      </w:r>
      <w:r w:rsidR="00623A2B">
        <w:rPr>
          <w:sz w:val="20"/>
          <w:szCs w:val="20"/>
        </w:rPr>
        <w:t> </w:t>
      </w:r>
      <w:r w:rsidR="00977339">
        <w:rPr>
          <w:sz w:val="20"/>
          <w:szCs w:val="20"/>
        </w:rPr>
        <w:t>000 in 2012</w:t>
      </w:r>
      <w:r w:rsidR="00A60670">
        <w:rPr>
          <w:sz w:val="20"/>
          <w:szCs w:val="20"/>
        </w:rPr>
        <w:t xml:space="preserve"> and</w:t>
      </w:r>
      <w:r w:rsidR="00977339">
        <w:rPr>
          <w:sz w:val="20"/>
          <w:szCs w:val="20"/>
        </w:rPr>
        <w:t xml:space="preserve"> </w:t>
      </w:r>
      <w:r w:rsidR="003B2C0A">
        <w:rPr>
          <w:sz w:val="20"/>
          <w:szCs w:val="20"/>
        </w:rPr>
        <w:t>45 per 100</w:t>
      </w:r>
      <w:r w:rsidR="00623A2B">
        <w:rPr>
          <w:sz w:val="20"/>
          <w:szCs w:val="20"/>
        </w:rPr>
        <w:t> </w:t>
      </w:r>
      <w:r w:rsidR="003B2C0A">
        <w:rPr>
          <w:sz w:val="20"/>
          <w:szCs w:val="20"/>
        </w:rPr>
        <w:t>000 in 2016</w:t>
      </w:r>
      <w:r w:rsidR="00977339">
        <w:rPr>
          <w:sz w:val="20"/>
          <w:szCs w:val="20"/>
        </w:rPr>
        <w:t>)</w:t>
      </w:r>
      <w:r w:rsidRPr="00093507">
        <w:rPr>
          <w:sz w:val="20"/>
          <w:szCs w:val="20"/>
        </w:rPr>
        <w:t>. In Aboriginal and Torres Strait Islander people aged under 25 years, there has been a 50 per cent increase in the hepatitis C notification rate over the past five years but a decrease in the rate in non-Indigenous people in this age group.</w:t>
      </w:r>
      <w:r w:rsidR="002A68F0">
        <w:rPr>
          <w:sz w:val="20"/>
          <w:szCs w:val="20"/>
          <w:vertAlign w:val="superscript"/>
        </w:rPr>
        <w:t>6</w:t>
      </w:r>
      <w:r w:rsidRPr="00093507">
        <w:rPr>
          <w:sz w:val="20"/>
          <w:szCs w:val="20"/>
        </w:rPr>
        <w:t xml:space="preserve"> </w:t>
      </w:r>
    </w:p>
    <w:p w14:paraId="62793239" w14:textId="39F1FEDB" w:rsidR="00CF3C9C" w:rsidRPr="00093507" w:rsidRDefault="00CF3C9C" w:rsidP="009012A9">
      <w:pPr>
        <w:numPr>
          <w:ilvl w:val="0"/>
          <w:numId w:val="15"/>
        </w:numPr>
        <w:rPr>
          <w:sz w:val="20"/>
          <w:szCs w:val="20"/>
        </w:rPr>
      </w:pPr>
      <w:r w:rsidRPr="00093507">
        <w:rPr>
          <w:sz w:val="20"/>
          <w:szCs w:val="20"/>
        </w:rPr>
        <w:t xml:space="preserve">Although the notification rate of newly diagnosed </w:t>
      </w:r>
      <w:r w:rsidRPr="00623A2B">
        <w:rPr>
          <w:b/>
          <w:sz w:val="20"/>
          <w:szCs w:val="20"/>
        </w:rPr>
        <w:t>hepatitis B</w:t>
      </w:r>
      <w:r w:rsidRPr="00093507">
        <w:rPr>
          <w:sz w:val="20"/>
          <w:szCs w:val="20"/>
        </w:rPr>
        <w:t xml:space="preserve"> infections halved from 2012 to 2016 in the Aboriginal and Torres Strait Islander population, in 2016 it was 1.4</w:t>
      </w:r>
      <w:r w:rsidR="00F65CA3">
        <w:rPr>
          <w:sz w:val="20"/>
          <w:szCs w:val="20"/>
        </w:rPr>
        <w:t xml:space="preserve"> </w:t>
      </w:r>
      <w:r w:rsidRPr="00093507">
        <w:rPr>
          <w:sz w:val="20"/>
          <w:szCs w:val="20"/>
        </w:rPr>
        <w:t>times greater than</w:t>
      </w:r>
      <w:r w:rsidR="00D77393" w:rsidRPr="00093507">
        <w:rPr>
          <w:sz w:val="20"/>
          <w:szCs w:val="20"/>
        </w:rPr>
        <w:t xml:space="preserve"> </w:t>
      </w:r>
      <w:r w:rsidRPr="00093507">
        <w:rPr>
          <w:sz w:val="20"/>
          <w:szCs w:val="20"/>
        </w:rPr>
        <w:t>the rate in the non-Indigenous population, at 31 per 100</w:t>
      </w:r>
      <w:r w:rsidR="00ED6060">
        <w:rPr>
          <w:sz w:val="20"/>
          <w:szCs w:val="20"/>
        </w:rPr>
        <w:t> </w:t>
      </w:r>
      <w:r w:rsidRPr="00093507">
        <w:rPr>
          <w:sz w:val="20"/>
          <w:szCs w:val="20"/>
        </w:rPr>
        <w:t xml:space="preserve">000 compared </w:t>
      </w:r>
      <w:r w:rsidR="00ED6060">
        <w:rPr>
          <w:sz w:val="20"/>
          <w:szCs w:val="20"/>
        </w:rPr>
        <w:t xml:space="preserve">with </w:t>
      </w:r>
      <w:r w:rsidRPr="00093507">
        <w:rPr>
          <w:sz w:val="20"/>
          <w:szCs w:val="20"/>
        </w:rPr>
        <w:t>2</w:t>
      </w:r>
      <w:r w:rsidR="00FE5FB6">
        <w:rPr>
          <w:sz w:val="20"/>
          <w:szCs w:val="20"/>
        </w:rPr>
        <w:t>3</w:t>
      </w:r>
      <w:r w:rsidRPr="00093507">
        <w:rPr>
          <w:sz w:val="20"/>
          <w:szCs w:val="20"/>
        </w:rPr>
        <w:t xml:space="preserve"> per 100</w:t>
      </w:r>
      <w:r w:rsidR="00ED6060">
        <w:rPr>
          <w:sz w:val="20"/>
          <w:szCs w:val="20"/>
        </w:rPr>
        <w:t> </w:t>
      </w:r>
      <w:r w:rsidRPr="00093507">
        <w:rPr>
          <w:sz w:val="20"/>
          <w:szCs w:val="20"/>
        </w:rPr>
        <w:t>000. At the end of 2016, 11 per cent of the total number of people living with chronic hepatitis B in Australia were Aboriginal and Torres Strait Islander despite composing 3 per cent of the national population.</w:t>
      </w:r>
      <w:r w:rsidR="002A68F0" w:rsidRPr="002A68F0">
        <w:rPr>
          <w:sz w:val="20"/>
          <w:szCs w:val="20"/>
          <w:vertAlign w:val="superscript"/>
        </w:rPr>
        <w:t>6</w:t>
      </w:r>
      <w:r w:rsidRPr="00093507">
        <w:rPr>
          <w:sz w:val="20"/>
          <w:szCs w:val="20"/>
        </w:rPr>
        <w:t xml:space="preserve"> </w:t>
      </w:r>
    </w:p>
    <w:p w14:paraId="5E88B00A" w14:textId="678A7296" w:rsidR="00AE0EBB" w:rsidRPr="00093507" w:rsidRDefault="00AE0EBB" w:rsidP="009012A9">
      <w:pPr>
        <w:numPr>
          <w:ilvl w:val="0"/>
          <w:numId w:val="15"/>
        </w:numPr>
        <w:rPr>
          <w:sz w:val="20"/>
          <w:szCs w:val="20"/>
        </w:rPr>
      </w:pPr>
      <w:r w:rsidRPr="00093507">
        <w:rPr>
          <w:sz w:val="20"/>
          <w:szCs w:val="20"/>
        </w:rPr>
        <w:t>Recent research has documented very high prevalence rates of HTLV-1 in certain Aboriginal and Torres Strait Islander communities</w:t>
      </w:r>
      <w:r w:rsidR="00FD53F9">
        <w:rPr>
          <w:sz w:val="20"/>
          <w:szCs w:val="20"/>
        </w:rPr>
        <w:t>, particularly in central Australia</w:t>
      </w:r>
      <w:r w:rsidRPr="00093507">
        <w:rPr>
          <w:sz w:val="20"/>
          <w:szCs w:val="20"/>
        </w:rPr>
        <w:t>.</w:t>
      </w:r>
      <w:r w:rsidRPr="000B7574">
        <w:rPr>
          <w:rStyle w:val="EndnoteReference"/>
          <w:sz w:val="20"/>
          <w:szCs w:val="20"/>
        </w:rPr>
        <w:endnoteReference w:id="12"/>
      </w:r>
      <w:r w:rsidRPr="00093507">
        <w:rPr>
          <w:sz w:val="20"/>
          <w:szCs w:val="20"/>
          <w:vertAlign w:val="superscript"/>
        </w:rPr>
        <w:t>,</w:t>
      </w:r>
      <w:r w:rsidRPr="000B7574">
        <w:rPr>
          <w:rStyle w:val="EndnoteReference"/>
          <w:sz w:val="20"/>
          <w:szCs w:val="20"/>
        </w:rPr>
        <w:endnoteReference w:id="13"/>
      </w:r>
      <w:r w:rsidRPr="00093507">
        <w:rPr>
          <w:sz w:val="20"/>
          <w:szCs w:val="20"/>
        </w:rPr>
        <w:t xml:space="preserve"> HTLV-1 is a retrovirus which causes lifelong infection and </w:t>
      </w:r>
      <w:r>
        <w:rPr>
          <w:sz w:val="20"/>
          <w:szCs w:val="20"/>
        </w:rPr>
        <w:t xml:space="preserve">may cause </w:t>
      </w:r>
      <w:r w:rsidRPr="00093507">
        <w:rPr>
          <w:sz w:val="20"/>
          <w:szCs w:val="20"/>
        </w:rPr>
        <w:t>adverse health outcomes</w:t>
      </w:r>
      <w:r>
        <w:rPr>
          <w:sz w:val="20"/>
          <w:szCs w:val="20"/>
        </w:rPr>
        <w:t xml:space="preserve"> </w:t>
      </w:r>
      <w:r w:rsidRPr="00093507">
        <w:rPr>
          <w:sz w:val="20"/>
          <w:szCs w:val="20"/>
        </w:rPr>
        <w:t>in a small percentage of people many years later</w:t>
      </w:r>
      <w:r>
        <w:rPr>
          <w:sz w:val="20"/>
          <w:szCs w:val="20"/>
        </w:rPr>
        <w:t xml:space="preserve">. </w:t>
      </w:r>
      <w:r w:rsidRPr="002B260F">
        <w:rPr>
          <w:sz w:val="20"/>
          <w:szCs w:val="20"/>
        </w:rPr>
        <w:t>International research shows that, in a small proportion of people, HTLV-1 causes a rare form of leukaemia</w:t>
      </w:r>
      <w:r>
        <w:rPr>
          <w:sz w:val="20"/>
          <w:szCs w:val="20"/>
        </w:rPr>
        <w:t xml:space="preserve"> (adult T-cell leukaemia/lymphoma)</w:t>
      </w:r>
      <w:r w:rsidRPr="002B260F">
        <w:rPr>
          <w:sz w:val="20"/>
          <w:szCs w:val="20"/>
        </w:rPr>
        <w:t xml:space="preserve"> and/or a spinal cord</w:t>
      </w:r>
      <w:r>
        <w:rPr>
          <w:sz w:val="20"/>
          <w:szCs w:val="20"/>
        </w:rPr>
        <w:t xml:space="preserve"> disease (HTLV-1 associated myelopathy</w:t>
      </w:r>
      <w:r w:rsidR="00CF2448">
        <w:rPr>
          <w:sz w:val="20"/>
          <w:szCs w:val="20"/>
        </w:rPr>
        <w:t xml:space="preserve"> </w:t>
      </w:r>
      <w:r>
        <w:rPr>
          <w:sz w:val="20"/>
          <w:szCs w:val="20"/>
        </w:rPr>
        <w:t>/</w:t>
      </w:r>
      <w:r w:rsidR="00CF2448">
        <w:rPr>
          <w:sz w:val="20"/>
          <w:szCs w:val="20"/>
        </w:rPr>
        <w:t xml:space="preserve"> </w:t>
      </w:r>
      <w:r>
        <w:rPr>
          <w:sz w:val="20"/>
          <w:szCs w:val="20"/>
        </w:rPr>
        <w:t>tropical spastic paraparesis)</w:t>
      </w:r>
      <w:r w:rsidRPr="00093507">
        <w:rPr>
          <w:sz w:val="20"/>
          <w:szCs w:val="20"/>
        </w:rPr>
        <w:t>.</w:t>
      </w:r>
      <w:r w:rsidRPr="000B7574">
        <w:rPr>
          <w:rStyle w:val="EndnoteReference"/>
          <w:sz w:val="20"/>
          <w:szCs w:val="20"/>
        </w:rPr>
        <w:endnoteReference w:id="14"/>
      </w:r>
      <w:r w:rsidRPr="00CF2448">
        <w:rPr>
          <w:sz w:val="20"/>
          <w:szCs w:val="20"/>
        </w:rPr>
        <w:t xml:space="preserve"> </w:t>
      </w:r>
      <w:r w:rsidRPr="002B260F">
        <w:rPr>
          <w:sz w:val="20"/>
          <w:szCs w:val="20"/>
        </w:rPr>
        <w:t>Studies have suggested associations with other diseases</w:t>
      </w:r>
      <w:r>
        <w:rPr>
          <w:sz w:val="20"/>
          <w:szCs w:val="20"/>
        </w:rPr>
        <w:t xml:space="preserve"> (including bronchiectasis or skin disease)</w:t>
      </w:r>
      <w:r w:rsidR="00CF2448">
        <w:rPr>
          <w:sz w:val="20"/>
          <w:szCs w:val="20"/>
        </w:rPr>
        <w:t>,</w:t>
      </w:r>
      <w:r w:rsidRPr="002B260F">
        <w:rPr>
          <w:sz w:val="20"/>
          <w:szCs w:val="20"/>
        </w:rPr>
        <w:t xml:space="preserve"> but it is not yet known whether </w:t>
      </w:r>
      <w:r>
        <w:rPr>
          <w:sz w:val="20"/>
          <w:szCs w:val="20"/>
        </w:rPr>
        <w:t>the relationship is causal</w:t>
      </w:r>
      <w:r w:rsidRPr="00093507">
        <w:rPr>
          <w:sz w:val="20"/>
          <w:szCs w:val="20"/>
        </w:rPr>
        <w:t>.</w:t>
      </w:r>
      <w:r>
        <w:rPr>
          <w:rStyle w:val="EndnoteReference"/>
          <w:sz w:val="20"/>
          <w:szCs w:val="20"/>
        </w:rPr>
        <w:endnoteReference w:id="15"/>
      </w:r>
      <w:r w:rsidR="007D2DB6" w:rsidRPr="007D2DB6">
        <w:rPr>
          <w:sz w:val="20"/>
          <w:szCs w:val="20"/>
          <w:vertAlign w:val="superscript"/>
        </w:rPr>
        <w:t>,</w:t>
      </w:r>
      <w:r w:rsidR="002E19E4">
        <w:rPr>
          <w:rStyle w:val="EndnoteReference"/>
          <w:sz w:val="20"/>
          <w:szCs w:val="20"/>
        </w:rPr>
        <w:endnoteReference w:id="16"/>
      </w:r>
      <w:r w:rsidR="00CF2448" w:rsidRPr="00CF2448">
        <w:rPr>
          <w:sz w:val="20"/>
          <w:szCs w:val="20"/>
        </w:rPr>
        <w:t xml:space="preserve"> </w:t>
      </w:r>
      <w:r w:rsidRPr="00093507">
        <w:rPr>
          <w:sz w:val="20"/>
          <w:szCs w:val="20"/>
        </w:rPr>
        <w:t xml:space="preserve">Transmission </w:t>
      </w:r>
      <w:r w:rsidRPr="0067486F">
        <w:rPr>
          <w:sz w:val="20"/>
          <w:szCs w:val="20"/>
        </w:rPr>
        <w:t>can occur from mother-to-child via</w:t>
      </w:r>
      <w:r w:rsidRPr="00093507">
        <w:rPr>
          <w:sz w:val="20"/>
          <w:szCs w:val="20"/>
        </w:rPr>
        <w:t xml:space="preserve"> breastfeeding, through sexual contact and blood exposure. Studies on the incidence and prevalence of HTLV-1 infection and associated outcomes in Australia are </w:t>
      </w:r>
      <w:r w:rsidRPr="0067486F">
        <w:rPr>
          <w:sz w:val="20"/>
          <w:szCs w:val="20"/>
        </w:rPr>
        <w:t>limited</w:t>
      </w:r>
      <w:r w:rsidR="00CF2448" w:rsidRPr="0067486F">
        <w:rPr>
          <w:sz w:val="20"/>
          <w:szCs w:val="20"/>
        </w:rPr>
        <w:t>.</w:t>
      </w:r>
      <w:r w:rsidRPr="0067486F">
        <w:rPr>
          <w:sz w:val="20"/>
          <w:szCs w:val="20"/>
        </w:rPr>
        <w:t xml:space="preserve"> </w:t>
      </w:r>
      <w:r w:rsidR="00CF2448" w:rsidRPr="0067486F">
        <w:rPr>
          <w:sz w:val="20"/>
          <w:szCs w:val="20"/>
        </w:rPr>
        <w:t>F</w:t>
      </w:r>
      <w:r w:rsidRPr="0067486F">
        <w:rPr>
          <w:sz w:val="20"/>
          <w:szCs w:val="20"/>
        </w:rPr>
        <w:t>urther</w:t>
      </w:r>
      <w:r w:rsidRPr="00093507">
        <w:rPr>
          <w:sz w:val="20"/>
          <w:szCs w:val="20"/>
        </w:rPr>
        <w:t xml:space="preserve"> research </w:t>
      </w:r>
      <w:r w:rsidR="00CF2448">
        <w:rPr>
          <w:sz w:val="20"/>
          <w:szCs w:val="20"/>
        </w:rPr>
        <w:t xml:space="preserve">is </w:t>
      </w:r>
      <w:r w:rsidRPr="00093507">
        <w:rPr>
          <w:sz w:val="20"/>
          <w:szCs w:val="20"/>
        </w:rPr>
        <w:t>required to understand the true burden of HTLV-1 associated disease, including among Aboriginal and Torres Strait Islander populations.</w:t>
      </w:r>
    </w:p>
    <w:p w14:paraId="3CD648B9" w14:textId="659AF758" w:rsidR="00CF3C9C" w:rsidRPr="0000669B" w:rsidRDefault="00CF3C9C" w:rsidP="009012A9">
      <w:pPr>
        <w:numPr>
          <w:ilvl w:val="0"/>
          <w:numId w:val="15"/>
        </w:numPr>
        <w:rPr>
          <w:sz w:val="20"/>
          <w:szCs w:val="20"/>
        </w:rPr>
      </w:pPr>
      <w:r w:rsidRPr="0000669B">
        <w:rPr>
          <w:sz w:val="20"/>
          <w:szCs w:val="20"/>
        </w:rPr>
        <w:t xml:space="preserve">In many remote Aboriginal and Torres Strait Islander communities, the prevalence of </w:t>
      </w:r>
      <w:r w:rsidRPr="00CF2448">
        <w:rPr>
          <w:b/>
          <w:sz w:val="20"/>
          <w:szCs w:val="20"/>
        </w:rPr>
        <w:t>trichomonas</w:t>
      </w:r>
      <w:r w:rsidRPr="0000669B">
        <w:rPr>
          <w:sz w:val="20"/>
          <w:szCs w:val="20"/>
        </w:rPr>
        <w:t xml:space="preserve"> and </w:t>
      </w:r>
      <w:r w:rsidRPr="00CF2448">
        <w:rPr>
          <w:b/>
          <w:i/>
          <w:sz w:val="20"/>
          <w:szCs w:val="20"/>
        </w:rPr>
        <w:t>Mycoplasma genitalium</w:t>
      </w:r>
      <w:r w:rsidRPr="0000669B">
        <w:rPr>
          <w:sz w:val="20"/>
          <w:szCs w:val="20"/>
        </w:rPr>
        <w:t xml:space="preserve"> is high.</w:t>
      </w:r>
      <w:r w:rsidR="00930871" w:rsidRPr="000B7574">
        <w:rPr>
          <w:rStyle w:val="EndnoteReference"/>
          <w:sz w:val="20"/>
          <w:szCs w:val="20"/>
        </w:rPr>
        <w:endnoteReference w:id="17"/>
      </w:r>
      <w:r w:rsidR="00930871" w:rsidRPr="00CF2448">
        <w:rPr>
          <w:sz w:val="20"/>
          <w:szCs w:val="20"/>
        </w:rPr>
        <w:t xml:space="preserve"> </w:t>
      </w:r>
      <w:r w:rsidRPr="0000669B">
        <w:rPr>
          <w:sz w:val="20"/>
          <w:szCs w:val="20"/>
        </w:rPr>
        <w:t>In an analysis of multiple studies examining the health of 30</w:t>
      </w:r>
      <w:r w:rsidR="00CF2448">
        <w:rPr>
          <w:sz w:val="20"/>
          <w:szCs w:val="20"/>
        </w:rPr>
        <w:t> </w:t>
      </w:r>
      <w:r w:rsidRPr="0000669B">
        <w:rPr>
          <w:sz w:val="20"/>
          <w:szCs w:val="20"/>
        </w:rPr>
        <w:t xml:space="preserve">111 Aboriginal and Torres Strait Islander people, the overall prevalence of trichomonas was estimated at 23 per cent, with the greatest rate of those studied </w:t>
      </w:r>
      <w:r w:rsidR="00373C49">
        <w:rPr>
          <w:sz w:val="20"/>
          <w:szCs w:val="20"/>
        </w:rPr>
        <w:t>(</w:t>
      </w:r>
      <w:r w:rsidRPr="0000669B">
        <w:rPr>
          <w:sz w:val="20"/>
          <w:szCs w:val="20"/>
        </w:rPr>
        <w:t>25 per cent</w:t>
      </w:r>
      <w:r w:rsidR="00373C49">
        <w:rPr>
          <w:sz w:val="20"/>
          <w:szCs w:val="20"/>
        </w:rPr>
        <w:t>)</w:t>
      </w:r>
      <w:r w:rsidRPr="0000669B">
        <w:rPr>
          <w:sz w:val="20"/>
          <w:szCs w:val="20"/>
        </w:rPr>
        <w:t xml:space="preserve"> in pregnant women.</w:t>
      </w:r>
      <w:r w:rsidR="002A68F0">
        <w:rPr>
          <w:sz w:val="20"/>
          <w:szCs w:val="20"/>
          <w:vertAlign w:val="superscript"/>
        </w:rPr>
        <w:t>16</w:t>
      </w:r>
      <w:r w:rsidRPr="00CF2448">
        <w:rPr>
          <w:sz w:val="20"/>
          <w:szCs w:val="20"/>
        </w:rPr>
        <w:t xml:space="preserve"> </w:t>
      </w:r>
      <w:r w:rsidRPr="0000669B">
        <w:rPr>
          <w:sz w:val="20"/>
          <w:szCs w:val="20"/>
        </w:rPr>
        <w:t>This analysis identified that</w:t>
      </w:r>
      <w:r w:rsidR="00CF2448">
        <w:rPr>
          <w:sz w:val="20"/>
          <w:szCs w:val="20"/>
        </w:rPr>
        <w:t>,</w:t>
      </w:r>
      <w:r w:rsidRPr="0000669B">
        <w:rPr>
          <w:sz w:val="20"/>
          <w:szCs w:val="20"/>
        </w:rPr>
        <w:t xml:space="preserve"> over the last </w:t>
      </w:r>
      <w:r w:rsidR="00CF2448">
        <w:rPr>
          <w:sz w:val="20"/>
          <w:szCs w:val="20"/>
        </w:rPr>
        <w:t xml:space="preserve">10 </w:t>
      </w:r>
      <w:r w:rsidRPr="0000669B">
        <w:rPr>
          <w:sz w:val="20"/>
          <w:szCs w:val="20"/>
        </w:rPr>
        <w:t>years</w:t>
      </w:r>
      <w:r w:rsidR="00CF2448">
        <w:rPr>
          <w:sz w:val="20"/>
          <w:szCs w:val="20"/>
        </w:rPr>
        <w:t>,</w:t>
      </w:r>
      <w:r w:rsidRPr="0000669B">
        <w:rPr>
          <w:sz w:val="20"/>
          <w:szCs w:val="20"/>
        </w:rPr>
        <w:t xml:space="preserve"> prevalence has been higher in older women in remote areas and low</w:t>
      </w:r>
      <w:r w:rsidR="00742C96">
        <w:rPr>
          <w:sz w:val="20"/>
          <w:szCs w:val="20"/>
        </w:rPr>
        <w:t>er</w:t>
      </w:r>
      <w:r w:rsidRPr="0000669B">
        <w:rPr>
          <w:sz w:val="20"/>
          <w:szCs w:val="20"/>
        </w:rPr>
        <w:t xml:space="preserve"> in urban locations. However, these were all clinic-based studies, with all but one conducted in remote locations, increasing the risk of selection bias.</w:t>
      </w:r>
      <w:r w:rsidR="00930871" w:rsidRPr="0000669B">
        <w:rPr>
          <w:sz w:val="20"/>
          <w:szCs w:val="20"/>
          <w:vertAlign w:val="superscript"/>
        </w:rPr>
        <w:t>1</w:t>
      </w:r>
      <w:r w:rsidR="002A68F0">
        <w:rPr>
          <w:sz w:val="20"/>
          <w:szCs w:val="20"/>
          <w:vertAlign w:val="superscript"/>
        </w:rPr>
        <w:t>6</w:t>
      </w:r>
      <w:r w:rsidR="00E43E9E" w:rsidRPr="00CF2448">
        <w:rPr>
          <w:sz w:val="20"/>
          <w:szCs w:val="20"/>
        </w:rPr>
        <w:t xml:space="preserve"> </w:t>
      </w:r>
      <w:r w:rsidRPr="0000669B">
        <w:rPr>
          <w:sz w:val="20"/>
          <w:szCs w:val="20"/>
        </w:rPr>
        <w:t xml:space="preserve">Little is currently known about the prevalence of </w:t>
      </w:r>
      <w:r w:rsidRPr="0000669B">
        <w:rPr>
          <w:i/>
          <w:sz w:val="20"/>
          <w:szCs w:val="20"/>
        </w:rPr>
        <w:t>M.</w:t>
      </w:r>
      <w:r w:rsidR="00F65CA3">
        <w:rPr>
          <w:i/>
          <w:sz w:val="20"/>
          <w:szCs w:val="20"/>
        </w:rPr>
        <w:t xml:space="preserve"> </w:t>
      </w:r>
      <w:r w:rsidRPr="0000669B">
        <w:rPr>
          <w:i/>
          <w:sz w:val="20"/>
          <w:szCs w:val="20"/>
        </w:rPr>
        <w:t>genitalium</w:t>
      </w:r>
      <w:r w:rsidRPr="0000669B">
        <w:rPr>
          <w:sz w:val="20"/>
          <w:szCs w:val="20"/>
        </w:rPr>
        <w:t xml:space="preserve"> in Australia. Treatment is available</w:t>
      </w:r>
      <w:r w:rsidR="00E43E9E" w:rsidRPr="0000669B">
        <w:rPr>
          <w:sz w:val="20"/>
          <w:szCs w:val="20"/>
        </w:rPr>
        <w:t>;</w:t>
      </w:r>
      <w:r w:rsidRPr="0000669B">
        <w:rPr>
          <w:sz w:val="20"/>
          <w:szCs w:val="20"/>
        </w:rPr>
        <w:t xml:space="preserve"> however, it appears that </w:t>
      </w:r>
      <w:r w:rsidRPr="0000669B">
        <w:rPr>
          <w:i/>
          <w:sz w:val="20"/>
          <w:szCs w:val="20"/>
        </w:rPr>
        <w:t>M.</w:t>
      </w:r>
      <w:r w:rsidR="00F65CA3">
        <w:rPr>
          <w:i/>
          <w:sz w:val="20"/>
          <w:szCs w:val="20"/>
        </w:rPr>
        <w:t xml:space="preserve"> </w:t>
      </w:r>
      <w:r w:rsidRPr="0000669B">
        <w:rPr>
          <w:i/>
          <w:sz w:val="20"/>
          <w:szCs w:val="20"/>
        </w:rPr>
        <w:t>genitalium</w:t>
      </w:r>
      <w:r w:rsidRPr="0000669B">
        <w:rPr>
          <w:sz w:val="20"/>
          <w:szCs w:val="20"/>
        </w:rPr>
        <w:t xml:space="preserve"> is becoming increasingly resistant to azithromycin, </w:t>
      </w:r>
      <w:r w:rsidR="0067486F">
        <w:rPr>
          <w:sz w:val="20"/>
          <w:szCs w:val="20"/>
        </w:rPr>
        <w:t xml:space="preserve">which is </w:t>
      </w:r>
      <w:r w:rsidRPr="0000669B">
        <w:rPr>
          <w:sz w:val="20"/>
          <w:szCs w:val="20"/>
        </w:rPr>
        <w:t>the usual first</w:t>
      </w:r>
      <w:r w:rsidR="00CF2448">
        <w:rPr>
          <w:sz w:val="20"/>
          <w:szCs w:val="20"/>
        </w:rPr>
        <w:t>-</w:t>
      </w:r>
      <w:r w:rsidRPr="0000669B">
        <w:rPr>
          <w:sz w:val="20"/>
          <w:szCs w:val="20"/>
        </w:rPr>
        <w:t>line treatment. At present</w:t>
      </w:r>
      <w:r w:rsidR="00CF2448">
        <w:rPr>
          <w:sz w:val="20"/>
          <w:szCs w:val="20"/>
        </w:rPr>
        <w:t>,</w:t>
      </w:r>
      <w:r w:rsidRPr="0000669B">
        <w:rPr>
          <w:sz w:val="20"/>
          <w:szCs w:val="20"/>
        </w:rPr>
        <w:t xml:space="preserve"> trichomonas, HTLV-1 and </w:t>
      </w:r>
      <w:r w:rsidRPr="0000669B">
        <w:rPr>
          <w:i/>
          <w:sz w:val="20"/>
          <w:szCs w:val="20"/>
        </w:rPr>
        <w:t>M.</w:t>
      </w:r>
      <w:r w:rsidR="00F65CA3">
        <w:rPr>
          <w:i/>
          <w:sz w:val="20"/>
          <w:szCs w:val="20"/>
        </w:rPr>
        <w:t xml:space="preserve"> </w:t>
      </w:r>
      <w:r w:rsidRPr="0000669B">
        <w:rPr>
          <w:i/>
          <w:sz w:val="20"/>
          <w:szCs w:val="20"/>
        </w:rPr>
        <w:t>genitalium</w:t>
      </w:r>
      <w:r w:rsidRPr="0000669B">
        <w:rPr>
          <w:sz w:val="20"/>
          <w:szCs w:val="20"/>
        </w:rPr>
        <w:t xml:space="preserve"> are</w:t>
      </w:r>
      <w:r w:rsidR="004B1E07" w:rsidRPr="0000669B">
        <w:rPr>
          <w:sz w:val="20"/>
          <w:szCs w:val="20"/>
        </w:rPr>
        <w:t xml:space="preserve"> </w:t>
      </w:r>
      <w:r w:rsidRPr="0000669B">
        <w:rPr>
          <w:sz w:val="20"/>
          <w:szCs w:val="20"/>
        </w:rPr>
        <w:t xml:space="preserve">not nationally notifiable, </w:t>
      </w:r>
      <w:r w:rsidR="00CF2448">
        <w:rPr>
          <w:sz w:val="20"/>
          <w:szCs w:val="20"/>
        </w:rPr>
        <w:t>al</w:t>
      </w:r>
      <w:r w:rsidRPr="0000669B">
        <w:rPr>
          <w:sz w:val="20"/>
          <w:szCs w:val="20"/>
        </w:rPr>
        <w:t xml:space="preserve">though the first two are notifiable in the Northern Territory. </w:t>
      </w:r>
    </w:p>
    <w:p w14:paraId="03B0B9ED" w14:textId="540EC5FC" w:rsidR="00501DED" w:rsidRDefault="00501DED" w:rsidP="00501DED">
      <w:pPr>
        <w:rPr>
          <w:sz w:val="20"/>
          <w:szCs w:val="20"/>
          <w:lang w:eastAsia="en-AU"/>
        </w:rPr>
      </w:pPr>
      <w:r w:rsidRPr="00914AAA">
        <w:rPr>
          <w:sz w:val="20"/>
          <w:szCs w:val="20"/>
          <w:lang w:eastAsia="en-AU"/>
        </w:rPr>
        <w:t>The limited progress demonstrated against the targets of the previous national strategy</w:t>
      </w:r>
      <w:r w:rsidR="00CF2448">
        <w:rPr>
          <w:sz w:val="20"/>
          <w:szCs w:val="20"/>
          <w:lang w:eastAsia="en-AU"/>
        </w:rPr>
        <w:t>—</w:t>
      </w:r>
      <w:r w:rsidRPr="00914AAA">
        <w:rPr>
          <w:sz w:val="20"/>
          <w:szCs w:val="20"/>
          <w:lang w:eastAsia="en-AU"/>
        </w:rPr>
        <w:t>including an increase in rates of syphilis, congenital syphilis</w:t>
      </w:r>
      <w:r w:rsidR="00AD5C2A">
        <w:rPr>
          <w:sz w:val="20"/>
          <w:szCs w:val="20"/>
          <w:lang w:eastAsia="en-AU"/>
        </w:rPr>
        <w:t>,</w:t>
      </w:r>
      <w:r w:rsidRPr="00914AAA">
        <w:rPr>
          <w:sz w:val="20"/>
          <w:szCs w:val="20"/>
          <w:lang w:eastAsia="en-AU"/>
        </w:rPr>
        <w:t xml:space="preserve"> </w:t>
      </w:r>
      <w:r w:rsidR="0093634B">
        <w:rPr>
          <w:sz w:val="20"/>
          <w:szCs w:val="20"/>
          <w:lang w:eastAsia="en-AU"/>
        </w:rPr>
        <w:t>HIV and hepatitis C</w:t>
      </w:r>
      <w:r w:rsidR="0093634B" w:rsidRPr="00914AAA">
        <w:rPr>
          <w:sz w:val="20"/>
          <w:szCs w:val="20"/>
          <w:lang w:eastAsia="en-AU"/>
        </w:rPr>
        <w:t xml:space="preserve"> </w:t>
      </w:r>
      <w:r w:rsidRPr="00914AAA">
        <w:rPr>
          <w:sz w:val="20"/>
          <w:szCs w:val="20"/>
          <w:lang w:eastAsia="en-AU"/>
        </w:rPr>
        <w:t>among Aboriginal and Torres Strait Islander people</w:t>
      </w:r>
      <w:r>
        <w:rPr>
          <w:sz w:val="20"/>
          <w:szCs w:val="20"/>
          <w:lang w:eastAsia="en-AU"/>
        </w:rPr>
        <w:t>;</w:t>
      </w:r>
      <w:r w:rsidRPr="00914AAA">
        <w:rPr>
          <w:sz w:val="20"/>
          <w:szCs w:val="20"/>
          <w:lang w:eastAsia="en-AU"/>
        </w:rPr>
        <w:t xml:space="preserve"> an increase in receptive needle and syringe sharing</w:t>
      </w:r>
      <w:r>
        <w:rPr>
          <w:sz w:val="20"/>
          <w:szCs w:val="20"/>
          <w:lang w:eastAsia="en-AU"/>
        </w:rPr>
        <w:t>;</w:t>
      </w:r>
      <w:r w:rsidRPr="00914AAA">
        <w:rPr>
          <w:sz w:val="20"/>
          <w:szCs w:val="20"/>
          <w:lang w:eastAsia="en-AU"/>
        </w:rPr>
        <w:t xml:space="preserve"> and a lack of data </w:t>
      </w:r>
      <w:r>
        <w:rPr>
          <w:sz w:val="20"/>
          <w:szCs w:val="20"/>
          <w:lang w:eastAsia="en-AU"/>
        </w:rPr>
        <w:t xml:space="preserve">to estimate diagnoses and </w:t>
      </w:r>
      <w:r w:rsidRPr="00914AAA">
        <w:rPr>
          <w:sz w:val="20"/>
          <w:szCs w:val="20"/>
          <w:lang w:eastAsia="en-AU"/>
        </w:rPr>
        <w:t>treatment coverage for BBV in this population</w:t>
      </w:r>
      <w:r w:rsidR="00CF2448">
        <w:rPr>
          <w:sz w:val="20"/>
          <w:szCs w:val="20"/>
          <w:lang w:eastAsia="en-AU"/>
        </w:rPr>
        <w:t>—</w:t>
      </w:r>
      <w:r w:rsidRPr="00914AAA">
        <w:rPr>
          <w:sz w:val="20"/>
          <w:szCs w:val="20"/>
          <w:lang w:eastAsia="en-AU"/>
        </w:rPr>
        <w:t>indicate</w:t>
      </w:r>
      <w:r>
        <w:rPr>
          <w:sz w:val="20"/>
          <w:szCs w:val="20"/>
          <w:lang w:eastAsia="en-AU"/>
        </w:rPr>
        <w:t>s</w:t>
      </w:r>
      <w:r w:rsidRPr="00914AAA">
        <w:rPr>
          <w:sz w:val="20"/>
          <w:szCs w:val="20"/>
          <w:lang w:eastAsia="en-AU"/>
        </w:rPr>
        <w:t xml:space="preserve"> that a revitalised response</w:t>
      </w:r>
      <w:r>
        <w:rPr>
          <w:sz w:val="20"/>
          <w:szCs w:val="20"/>
          <w:lang w:eastAsia="en-AU"/>
        </w:rPr>
        <w:t xml:space="preserve"> is needed. Sustained efforts are also needed to further reduce the disproportionately high rates of chlamydia and gonorrhoea and to build on approaches that are proving successful. </w:t>
      </w:r>
    </w:p>
    <w:p w14:paraId="2DD96EF9" w14:textId="55CE2C83" w:rsidR="00501DED" w:rsidRDefault="00501DED" w:rsidP="001B28B5">
      <w:pPr>
        <w:rPr>
          <w:sz w:val="20"/>
          <w:szCs w:val="20"/>
          <w:lang w:eastAsia="en-AU"/>
        </w:rPr>
      </w:pPr>
      <w:r>
        <w:rPr>
          <w:sz w:val="20"/>
          <w:szCs w:val="20"/>
          <w:lang w:eastAsia="en-AU"/>
        </w:rPr>
        <w:t xml:space="preserve">Responses must be tailored and informed by the evidence base, including </w:t>
      </w:r>
      <w:r w:rsidR="00A07735">
        <w:rPr>
          <w:sz w:val="20"/>
          <w:szCs w:val="20"/>
          <w:lang w:eastAsia="en-AU"/>
        </w:rPr>
        <w:t xml:space="preserve">data on </w:t>
      </w:r>
      <w:r w:rsidR="00F65CA3">
        <w:rPr>
          <w:sz w:val="20"/>
          <w:szCs w:val="20"/>
          <w:lang w:eastAsia="en-AU"/>
        </w:rPr>
        <w:t xml:space="preserve">significant </w:t>
      </w:r>
      <w:r w:rsidR="00A07735">
        <w:rPr>
          <w:sz w:val="20"/>
          <w:szCs w:val="20"/>
          <w:lang w:eastAsia="en-AU"/>
        </w:rPr>
        <w:t>transmission routes which may differ from the non-Indigenous population</w:t>
      </w:r>
      <w:r w:rsidR="00742C96">
        <w:rPr>
          <w:sz w:val="20"/>
          <w:szCs w:val="20"/>
          <w:lang w:eastAsia="en-AU"/>
        </w:rPr>
        <w:t>. A</w:t>
      </w:r>
      <w:r>
        <w:rPr>
          <w:sz w:val="20"/>
          <w:szCs w:val="20"/>
          <w:lang w:eastAsia="en-AU"/>
        </w:rPr>
        <w:t xml:space="preserve">n understanding of the social determinants </w:t>
      </w:r>
      <w:r w:rsidR="00742C96">
        <w:rPr>
          <w:sz w:val="20"/>
          <w:szCs w:val="20"/>
          <w:lang w:eastAsia="en-AU"/>
        </w:rPr>
        <w:t xml:space="preserve">that </w:t>
      </w:r>
      <w:r>
        <w:rPr>
          <w:sz w:val="20"/>
          <w:szCs w:val="20"/>
          <w:lang w:eastAsia="en-AU"/>
        </w:rPr>
        <w:t xml:space="preserve">lead to this greater impact </w:t>
      </w:r>
      <w:r w:rsidR="00742C96">
        <w:rPr>
          <w:sz w:val="20"/>
          <w:szCs w:val="20"/>
          <w:lang w:eastAsia="en-AU"/>
        </w:rPr>
        <w:t xml:space="preserve">is also required </w:t>
      </w:r>
      <w:r>
        <w:rPr>
          <w:sz w:val="20"/>
          <w:szCs w:val="20"/>
          <w:lang w:eastAsia="en-AU"/>
        </w:rPr>
        <w:t>to ensure high</w:t>
      </w:r>
      <w:r w:rsidR="00CF2448">
        <w:rPr>
          <w:sz w:val="20"/>
          <w:szCs w:val="20"/>
          <w:lang w:eastAsia="en-AU"/>
        </w:rPr>
        <w:t>-</w:t>
      </w:r>
      <w:r>
        <w:rPr>
          <w:sz w:val="20"/>
          <w:szCs w:val="20"/>
          <w:lang w:eastAsia="en-AU"/>
        </w:rPr>
        <w:t xml:space="preserve">risk </w:t>
      </w:r>
      <w:r w:rsidR="00214EDB">
        <w:rPr>
          <w:sz w:val="20"/>
          <w:szCs w:val="20"/>
          <w:lang w:eastAsia="en-AU"/>
        </w:rPr>
        <w:t xml:space="preserve">priority groups </w:t>
      </w:r>
      <w:r>
        <w:rPr>
          <w:sz w:val="20"/>
          <w:szCs w:val="20"/>
          <w:lang w:eastAsia="en-AU"/>
        </w:rPr>
        <w:t>are effectively engaged.</w:t>
      </w:r>
      <w:r w:rsidR="00A20B50">
        <w:rPr>
          <w:sz w:val="20"/>
          <w:szCs w:val="20"/>
          <w:lang w:eastAsia="en-AU"/>
        </w:rPr>
        <w:br w:type="page"/>
      </w:r>
    </w:p>
    <w:p w14:paraId="098310F0" w14:textId="618E80DE" w:rsidR="00427C56" w:rsidRDefault="00427C56" w:rsidP="00427C56">
      <w:pPr>
        <w:pStyle w:val="Heading1"/>
        <w:ind w:left="567" w:hanging="567"/>
      </w:pPr>
      <w:bookmarkStart w:id="19" w:name="_Toc518894434"/>
      <w:bookmarkStart w:id="20" w:name="_Toc529472447"/>
      <w:bookmarkStart w:id="21" w:name="_Ref514668061"/>
      <w:r>
        <w:lastRenderedPageBreak/>
        <w:t xml:space="preserve">Measuring </w:t>
      </w:r>
      <w:r w:rsidR="00ED6060">
        <w:t>p</w:t>
      </w:r>
      <w:r>
        <w:t>rogress</w:t>
      </w:r>
      <w:bookmarkEnd w:id="19"/>
      <w:bookmarkEnd w:id="20"/>
    </w:p>
    <w:p w14:paraId="042D8FCC" w14:textId="0B0E3C0E" w:rsidR="00427C56" w:rsidRPr="00562E81" w:rsidRDefault="00427C56" w:rsidP="00427C56">
      <w:pPr>
        <w:rPr>
          <w:szCs w:val="19"/>
        </w:rPr>
      </w:pPr>
      <w:r w:rsidRPr="00562E81">
        <w:rPr>
          <w:szCs w:val="19"/>
        </w:rPr>
        <w:t xml:space="preserve">This </w:t>
      </w:r>
      <w:r w:rsidR="0067486F">
        <w:rPr>
          <w:szCs w:val="19"/>
        </w:rPr>
        <w:t>s</w:t>
      </w:r>
      <w:r w:rsidRPr="00562E81">
        <w:rPr>
          <w:szCs w:val="19"/>
        </w:rPr>
        <w:t>trategy has overarching goal</w:t>
      </w:r>
      <w:r>
        <w:rPr>
          <w:szCs w:val="19"/>
        </w:rPr>
        <w:t>s</w:t>
      </w:r>
      <w:r w:rsidRPr="00562E81">
        <w:rPr>
          <w:szCs w:val="19"/>
        </w:rPr>
        <w:t>, targets and priority areas which will guide the national response to BBV and STI in Aboriginal and Torres Strait Islander people for 2018</w:t>
      </w:r>
      <w:r w:rsidR="00CF2448">
        <w:rPr>
          <w:szCs w:val="19"/>
        </w:rPr>
        <w:t>–</w:t>
      </w:r>
      <w:r w:rsidRPr="00562E81">
        <w:rPr>
          <w:szCs w:val="19"/>
        </w:rPr>
        <w:t xml:space="preserve">2022. Indicators and associated data sources for measuring progress towards each target are included in the </w:t>
      </w:r>
      <w:r w:rsidR="0067486F">
        <w:rPr>
          <w:szCs w:val="19"/>
        </w:rPr>
        <w:t>s</w:t>
      </w:r>
      <w:r w:rsidRPr="00562E81">
        <w:rPr>
          <w:szCs w:val="19"/>
        </w:rPr>
        <w:t xml:space="preserve">urveillance and </w:t>
      </w:r>
      <w:r w:rsidR="0067486F">
        <w:rPr>
          <w:szCs w:val="19"/>
        </w:rPr>
        <w:t>m</w:t>
      </w:r>
      <w:r w:rsidRPr="00562E81">
        <w:rPr>
          <w:szCs w:val="19"/>
        </w:rPr>
        <w:t xml:space="preserve">onitoring </w:t>
      </w:r>
      <w:r w:rsidR="0067486F">
        <w:rPr>
          <w:szCs w:val="19"/>
        </w:rPr>
        <w:t>p</w:t>
      </w:r>
      <w:r w:rsidRPr="00562E81">
        <w:rPr>
          <w:szCs w:val="19"/>
        </w:rPr>
        <w:t xml:space="preserve">lan for the </w:t>
      </w:r>
      <w:r w:rsidR="00B56E86">
        <w:rPr>
          <w:szCs w:val="19"/>
        </w:rPr>
        <w:t xml:space="preserve">five national BBV and STI </w:t>
      </w:r>
      <w:r w:rsidRPr="00562E81">
        <w:rPr>
          <w:szCs w:val="19"/>
        </w:rPr>
        <w:t xml:space="preserve">strategies. </w:t>
      </w:r>
    </w:p>
    <w:tbl>
      <w:tblPr>
        <w:tblW w:w="9372" w:type="dxa"/>
        <w:tblBorders>
          <w:insideH w:val="single" w:sz="4" w:space="0" w:color="auto"/>
          <w:insideV w:val="single" w:sz="4" w:space="0" w:color="auto"/>
        </w:tblBorders>
        <w:tblCellMar>
          <w:top w:w="57" w:type="dxa"/>
          <w:left w:w="85" w:type="dxa"/>
          <w:bottom w:w="57" w:type="dxa"/>
          <w:right w:w="85" w:type="dxa"/>
        </w:tblCellMar>
        <w:tblLook w:val="0600" w:firstRow="0" w:lastRow="0" w:firstColumn="0" w:lastColumn="0" w:noHBand="1" w:noVBand="1"/>
        <w:tblCaption w:val="Goals, targets and priority areas"/>
        <w:tblDescription w:val="Goals, targets and priority areas"/>
      </w:tblPr>
      <w:tblGrid>
        <w:gridCol w:w="9287"/>
        <w:gridCol w:w="85"/>
      </w:tblGrid>
      <w:tr w:rsidR="00427C56" w:rsidRPr="004A21FF" w14:paraId="01800386" w14:textId="77777777" w:rsidTr="00C82C46">
        <w:trPr>
          <w:gridAfter w:val="1"/>
          <w:wAfter w:w="85" w:type="dxa"/>
          <w:trHeight w:val="340"/>
        </w:trPr>
        <w:tc>
          <w:tcPr>
            <w:tcW w:w="9287" w:type="dxa"/>
            <w:tcBorders>
              <w:top w:val="nil"/>
              <w:bottom w:val="single" w:sz="4" w:space="0" w:color="F8981D"/>
            </w:tcBorders>
            <w:shd w:val="clear" w:color="auto" w:fill="EDEDE8"/>
            <w:vAlign w:val="bottom"/>
          </w:tcPr>
          <w:p w14:paraId="62F238F5" w14:textId="77777777" w:rsidR="00427C56" w:rsidRPr="00C80678" w:rsidRDefault="00427C56" w:rsidP="00C82C46">
            <w:pPr>
              <w:jc w:val="center"/>
              <w:rPr>
                <w:b/>
                <w:color w:val="00264D"/>
                <w:sz w:val="20"/>
              </w:rPr>
            </w:pPr>
            <w:r w:rsidRPr="00C80678">
              <w:rPr>
                <w:b/>
                <w:color w:val="00264D"/>
                <w:sz w:val="20"/>
              </w:rPr>
              <w:t>Goal</w:t>
            </w:r>
            <w:r>
              <w:rPr>
                <w:b/>
                <w:color w:val="00264D"/>
                <w:sz w:val="20"/>
              </w:rPr>
              <w:t>s</w:t>
            </w:r>
            <w:r w:rsidR="00900DF5">
              <w:rPr>
                <w:rStyle w:val="FootnoteReference"/>
                <w:b/>
                <w:color w:val="00264D"/>
                <w:sz w:val="20"/>
              </w:rPr>
              <w:footnoteReference w:id="5"/>
            </w:r>
          </w:p>
        </w:tc>
      </w:tr>
      <w:tr w:rsidR="00427C56" w:rsidRPr="00AA52D7" w14:paraId="02B81E40" w14:textId="77777777" w:rsidTr="00C82C46">
        <w:trPr>
          <w:gridAfter w:val="1"/>
          <w:wAfter w:w="85" w:type="dxa"/>
          <w:trHeight w:val="1272"/>
        </w:trPr>
        <w:tc>
          <w:tcPr>
            <w:tcW w:w="9287" w:type="dxa"/>
            <w:tcBorders>
              <w:top w:val="single" w:sz="4" w:space="0" w:color="F8981D"/>
              <w:bottom w:val="nil"/>
            </w:tcBorders>
            <w:shd w:val="clear" w:color="auto" w:fill="auto"/>
            <w:vAlign w:val="center"/>
          </w:tcPr>
          <w:p w14:paraId="2713CA1A" w14:textId="77777777" w:rsidR="00971834" w:rsidRDefault="00427C56" w:rsidP="00971834">
            <w:pPr>
              <w:spacing w:after="80"/>
              <w:jc w:val="center"/>
              <w:rPr>
                <w:b/>
                <w:szCs w:val="19"/>
                <w:lang w:eastAsia="en-AU"/>
              </w:rPr>
            </w:pPr>
            <w:r>
              <w:rPr>
                <w:b/>
                <w:szCs w:val="19"/>
                <w:lang w:eastAsia="en-AU"/>
              </w:rPr>
              <w:t xml:space="preserve">Significantly </w:t>
            </w:r>
            <w:r w:rsidRPr="00AB4260">
              <w:rPr>
                <w:b/>
                <w:szCs w:val="19"/>
                <w:lang w:eastAsia="en-AU"/>
              </w:rPr>
              <w:t xml:space="preserve">reduce the </w:t>
            </w:r>
            <w:r>
              <w:rPr>
                <w:b/>
                <w:szCs w:val="19"/>
                <w:lang w:eastAsia="en-AU"/>
              </w:rPr>
              <w:t xml:space="preserve">transmission of BBV and STI among </w:t>
            </w:r>
            <w:r w:rsidRPr="00AB4260">
              <w:rPr>
                <w:b/>
                <w:szCs w:val="19"/>
                <w:lang w:eastAsia="en-AU"/>
              </w:rPr>
              <w:t>Aboriginal and Torres Strait Islander people</w:t>
            </w:r>
            <w:r>
              <w:rPr>
                <w:b/>
                <w:szCs w:val="19"/>
                <w:lang w:eastAsia="en-AU"/>
              </w:rPr>
              <w:t xml:space="preserve"> </w:t>
            </w:r>
          </w:p>
          <w:p w14:paraId="3D3D178C" w14:textId="77777777" w:rsidR="00427C56" w:rsidRDefault="00427C56" w:rsidP="00971834">
            <w:pPr>
              <w:spacing w:after="80"/>
              <w:jc w:val="center"/>
              <w:rPr>
                <w:b/>
                <w:szCs w:val="19"/>
                <w:lang w:eastAsia="en-AU"/>
              </w:rPr>
            </w:pPr>
            <w:r>
              <w:rPr>
                <w:b/>
                <w:szCs w:val="19"/>
                <w:lang w:eastAsia="en-AU"/>
              </w:rPr>
              <w:t>C</w:t>
            </w:r>
            <w:r w:rsidRPr="00AA52D7">
              <w:rPr>
                <w:b/>
                <w:szCs w:val="19"/>
                <w:lang w:eastAsia="en-AU"/>
              </w:rPr>
              <w:t xml:space="preserve">lose the gap in BBV </w:t>
            </w:r>
            <w:r>
              <w:rPr>
                <w:b/>
                <w:szCs w:val="19"/>
                <w:lang w:eastAsia="en-AU"/>
              </w:rPr>
              <w:t>and</w:t>
            </w:r>
            <w:r w:rsidRPr="00AA52D7">
              <w:rPr>
                <w:b/>
                <w:szCs w:val="19"/>
                <w:lang w:eastAsia="en-AU"/>
              </w:rPr>
              <w:t xml:space="preserve"> STI incidence, prevalence, testing and treatment</w:t>
            </w:r>
            <w:r w:rsidR="00971834">
              <w:rPr>
                <w:b/>
                <w:szCs w:val="19"/>
                <w:lang w:eastAsia="en-AU"/>
              </w:rPr>
              <w:t xml:space="preserve"> rates </w:t>
            </w:r>
            <w:r w:rsidRPr="00AA52D7">
              <w:rPr>
                <w:b/>
                <w:szCs w:val="19"/>
                <w:lang w:eastAsia="en-AU"/>
              </w:rPr>
              <w:t>between Aboriginal and Torres Strait Islander</w:t>
            </w:r>
            <w:r>
              <w:rPr>
                <w:b/>
                <w:szCs w:val="19"/>
                <w:lang w:eastAsia="en-AU"/>
              </w:rPr>
              <w:t xml:space="preserve"> </w:t>
            </w:r>
            <w:r w:rsidRPr="00AA52D7">
              <w:rPr>
                <w:b/>
                <w:szCs w:val="19"/>
                <w:lang w:eastAsia="en-AU"/>
              </w:rPr>
              <w:t>and non-Indigenous populations</w:t>
            </w:r>
          </w:p>
          <w:p w14:paraId="6BBD1B81" w14:textId="3C22A573" w:rsidR="0043175F" w:rsidRDefault="0043175F" w:rsidP="0043175F">
            <w:pPr>
              <w:spacing w:after="80"/>
              <w:jc w:val="center"/>
              <w:rPr>
                <w:b/>
                <w:szCs w:val="19"/>
                <w:lang w:eastAsia="en-AU"/>
              </w:rPr>
            </w:pPr>
            <w:r>
              <w:rPr>
                <w:b/>
                <w:szCs w:val="19"/>
                <w:lang w:eastAsia="en-AU"/>
              </w:rPr>
              <w:t>Reduce morbidity and mortality related to BBV and STI</w:t>
            </w:r>
          </w:p>
          <w:p w14:paraId="50D50A84" w14:textId="77777777" w:rsidR="00971834" w:rsidRDefault="00971834" w:rsidP="00971834">
            <w:pPr>
              <w:spacing w:after="80"/>
              <w:jc w:val="center"/>
              <w:rPr>
                <w:b/>
                <w:szCs w:val="19"/>
                <w:lang w:eastAsia="en-AU"/>
              </w:rPr>
            </w:pPr>
            <w:r>
              <w:rPr>
                <w:b/>
                <w:szCs w:val="19"/>
                <w:lang w:eastAsia="en-AU"/>
              </w:rPr>
              <w:t>Minimise the personal and social impact of BBV and STI</w:t>
            </w:r>
          </w:p>
          <w:p w14:paraId="18013E1A" w14:textId="77777777" w:rsidR="00427C56" w:rsidRPr="00AB4260" w:rsidRDefault="00427C56" w:rsidP="00971834">
            <w:pPr>
              <w:spacing w:after="80"/>
              <w:jc w:val="center"/>
              <w:rPr>
                <w:b/>
                <w:szCs w:val="19"/>
                <w:lang w:eastAsia="en-AU"/>
              </w:rPr>
            </w:pPr>
            <w:r>
              <w:rPr>
                <w:b/>
                <w:szCs w:val="19"/>
                <w:lang w:eastAsia="en-AU"/>
              </w:rPr>
              <w:t>Minimise the negative impact of stigma, racism, discrimination, and legal and human rights issues on</w:t>
            </w:r>
            <w:r w:rsidR="00900DF5">
              <w:rPr>
                <w:b/>
                <w:szCs w:val="19"/>
                <w:lang w:eastAsia="en-AU"/>
              </w:rPr>
              <w:t xml:space="preserve"> Aboriginal and Torres Strait Islander</w:t>
            </w:r>
            <w:r>
              <w:rPr>
                <w:b/>
                <w:szCs w:val="19"/>
                <w:lang w:eastAsia="en-AU"/>
              </w:rPr>
              <w:t xml:space="preserve"> people’s health</w:t>
            </w:r>
          </w:p>
        </w:tc>
      </w:tr>
      <w:tr w:rsidR="00427C56" w:rsidRPr="00673D1F" w14:paraId="34D35728" w14:textId="77777777" w:rsidTr="00C82C46">
        <w:trPr>
          <w:gridAfter w:val="1"/>
          <w:wAfter w:w="85" w:type="dxa"/>
          <w:trHeight w:val="332"/>
        </w:trPr>
        <w:tc>
          <w:tcPr>
            <w:tcW w:w="9287" w:type="dxa"/>
            <w:tcBorders>
              <w:top w:val="nil"/>
              <w:bottom w:val="single" w:sz="4" w:space="0" w:color="F8981D"/>
            </w:tcBorders>
            <w:shd w:val="clear" w:color="auto" w:fill="EDEDE8"/>
            <w:vAlign w:val="bottom"/>
          </w:tcPr>
          <w:p w14:paraId="6C6D3691" w14:textId="58D92AD0" w:rsidR="00427C56" w:rsidRPr="00C80678" w:rsidRDefault="00427C56" w:rsidP="00900DF5">
            <w:pPr>
              <w:jc w:val="center"/>
              <w:rPr>
                <w:b/>
                <w:color w:val="00264D"/>
                <w:sz w:val="20"/>
              </w:rPr>
            </w:pPr>
            <w:r w:rsidRPr="00C80678">
              <w:rPr>
                <w:b/>
                <w:color w:val="00264D"/>
                <w:sz w:val="20"/>
              </w:rPr>
              <w:t>Targets</w:t>
            </w:r>
            <w:r w:rsidR="003B7219">
              <w:rPr>
                <w:b/>
                <w:color w:val="00264D"/>
                <w:sz w:val="20"/>
                <w:vertAlign w:val="superscript"/>
              </w:rPr>
              <w:t>d</w:t>
            </w:r>
          </w:p>
        </w:tc>
      </w:tr>
      <w:tr w:rsidR="00427C56" w:rsidRPr="00673D1F" w14:paraId="32A9EB95" w14:textId="77777777" w:rsidTr="00C82C46">
        <w:trPr>
          <w:gridAfter w:val="1"/>
          <w:wAfter w:w="85" w:type="dxa"/>
          <w:trHeight w:val="20"/>
        </w:trPr>
        <w:tc>
          <w:tcPr>
            <w:tcW w:w="9287" w:type="dxa"/>
            <w:tcBorders>
              <w:top w:val="single" w:sz="4" w:space="0" w:color="F8981D"/>
              <w:bottom w:val="nil"/>
            </w:tcBorders>
            <w:shd w:val="clear" w:color="auto" w:fill="auto"/>
            <w:vAlign w:val="bottom"/>
          </w:tcPr>
          <w:p w14:paraId="2AC37B77" w14:textId="04A1860A" w:rsidR="00751F1F" w:rsidRPr="00604981" w:rsidRDefault="00751F1F" w:rsidP="00751F1F">
            <w:pPr>
              <w:spacing w:after="40"/>
              <w:rPr>
                <w:szCs w:val="19"/>
              </w:rPr>
            </w:pPr>
            <w:r w:rsidRPr="00604981">
              <w:rPr>
                <w:szCs w:val="19"/>
              </w:rPr>
              <w:t xml:space="preserve">By </w:t>
            </w:r>
            <w:r w:rsidR="00A2139F">
              <w:rPr>
                <w:szCs w:val="19"/>
              </w:rPr>
              <w:t xml:space="preserve">the end of </w:t>
            </w:r>
            <w:r w:rsidRPr="00604981">
              <w:rPr>
                <w:szCs w:val="19"/>
              </w:rPr>
              <w:t>2022:</w:t>
            </w:r>
          </w:p>
          <w:p w14:paraId="28644738" w14:textId="77777777" w:rsidR="00751F1F" w:rsidRPr="00604981" w:rsidRDefault="00751F1F" w:rsidP="009012A9">
            <w:pPr>
              <w:numPr>
                <w:ilvl w:val="0"/>
                <w:numId w:val="11"/>
              </w:numPr>
              <w:spacing w:after="40"/>
              <w:ind w:left="360"/>
              <w:rPr>
                <w:szCs w:val="19"/>
              </w:rPr>
            </w:pPr>
            <w:r w:rsidRPr="00604981">
              <w:rPr>
                <w:szCs w:val="19"/>
              </w:rPr>
              <w:t>Achieve and maintain hepatitis B childhood vaccination coverage of 95 per cent at 12 and 24 months</w:t>
            </w:r>
          </w:p>
          <w:p w14:paraId="2A0CF1A8" w14:textId="77777777" w:rsidR="00751F1F" w:rsidRPr="00604981" w:rsidRDefault="00751F1F" w:rsidP="009012A9">
            <w:pPr>
              <w:numPr>
                <w:ilvl w:val="0"/>
                <w:numId w:val="11"/>
              </w:numPr>
              <w:spacing w:after="40"/>
              <w:ind w:left="360"/>
              <w:rPr>
                <w:szCs w:val="19"/>
              </w:rPr>
            </w:pPr>
            <w:r w:rsidRPr="00604981">
              <w:rPr>
                <w:szCs w:val="19"/>
              </w:rPr>
              <w:t>Achieve and maintain HPV adolescent vaccination coverage of 80 per cent</w:t>
            </w:r>
          </w:p>
          <w:p w14:paraId="4D9F8A5B" w14:textId="6DB216CB" w:rsidR="00751F1F" w:rsidRPr="00604981" w:rsidRDefault="00751F1F" w:rsidP="009012A9">
            <w:pPr>
              <w:numPr>
                <w:ilvl w:val="0"/>
                <w:numId w:val="11"/>
              </w:numPr>
              <w:spacing w:after="40"/>
              <w:ind w:left="360"/>
              <w:rPr>
                <w:rFonts w:ascii="Times New Roman" w:hAnsi="Times New Roman"/>
                <w:szCs w:val="19"/>
              </w:rPr>
            </w:pPr>
            <w:r w:rsidRPr="00604981">
              <w:rPr>
                <w:szCs w:val="19"/>
              </w:rPr>
              <w:t>Increase STI testing coverage</w:t>
            </w:r>
            <w:r w:rsidR="003B7219" w:rsidRPr="00604981">
              <w:rPr>
                <w:szCs w:val="19"/>
                <w:vertAlign w:val="superscript"/>
              </w:rPr>
              <w:t>e</w:t>
            </w:r>
            <w:r w:rsidRPr="00604981">
              <w:rPr>
                <w:szCs w:val="19"/>
              </w:rPr>
              <w:t xml:space="preserve"> </w:t>
            </w:r>
            <w:r w:rsidR="000E5A53" w:rsidRPr="00604981">
              <w:rPr>
                <w:szCs w:val="19"/>
              </w:rPr>
              <w:t>with a focus on areas of highest need</w:t>
            </w:r>
          </w:p>
          <w:p w14:paraId="7C8B941B" w14:textId="336520F8" w:rsidR="0081441A" w:rsidRPr="00604981" w:rsidRDefault="0081441A" w:rsidP="009012A9">
            <w:pPr>
              <w:numPr>
                <w:ilvl w:val="0"/>
                <w:numId w:val="11"/>
              </w:numPr>
              <w:spacing w:after="40"/>
              <w:ind w:left="360"/>
              <w:rPr>
                <w:rFonts w:ascii="Times New Roman" w:hAnsi="Times New Roman"/>
                <w:szCs w:val="19"/>
              </w:rPr>
            </w:pPr>
            <w:r w:rsidRPr="00604981">
              <w:rPr>
                <w:szCs w:val="19"/>
              </w:rPr>
              <w:t>Increase the use of sterile injecting equipment for every injecting episode</w:t>
            </w:r>
            <w:r w:rsidR="003B7219" w:rsidRPr="00604981">
              <w:rPr>
                <w:szCs w:val="19"/>
                <w:vertAlign w:val="superscript"/>
              </w:rPr>
              <w:t>e</w:t>
            </w:r>
          </w:p>
          <w:p w14:paraId="11BDC1DA" w14:textId="183207BE" w:rsidR="00751F1F" w:rsidRPr="00604981" w:rsidRDefault="00751F1F" w:rsidP="009012A9">
            <w:pPr>
              <w:numPr>
                <w:ilvl w:val="0"/>
                <w:numId w:val="11"/>
              </w:numPr>
              <w:spacing w:after="40"/>
              <w:ind w:left="360"/>
              <w:rPr>
                <w:rFonts w:ascii="Times New Roman" w:hAnsi="Times New Roman"/>
                <w:szCs w:val="19"/>
              </w:rPr>
            </w:pPr>
            <w:r w:rsidRPr="00604981">
              <w:rPr>
                <w:szCs w:val="19"/>
              </w:rPr>
              <w:t>Reduce the incidence and prevalence of infectious syphilis</w:t>
            </w:r>
            <w:r w:rsidR="00300221" w:rsidRPr="00604981">
              <w:rPr>
                <w:szCs w:val="19"/>
              </w:rPr>
              <w:t>,</w:t>
            </w:r>
            <w:r w:rsidRPr="00604981">
              <w:rPr>
                <w:szCs w:val="19"/>
                <w:vertAlign w:val="superscript"/>
              </w:rPr>
              <w:footnoteReference w:id="6"/>
            </w:r>
            <w:r w:rsidRPr="00604981">
              <w:rPr>
                <w:szCs w:val="19"/>
                <w:vertAlign w:val="superscript"/>
              </w:rPr>
              <w:t>,</w:t>
            </w:r>
            <w:r w:rsidRPr="00604981">
              <w:rPr>
                <w:szCs w:val="19"/>
                <w:vertAlign w:val="superscript"/>
              </w:rPr>
              <w:footnoteReference w:id="7"/>
            </w:r>
            <w:r w:rsidRPr="00604981">
              <w:rPr>
                <w:szCs w:val="19"/>
              </w:rPr>
              <w:t xml:space="preserve"> with a particular focus on areas of highest disease burden </w:t>
            </w:r>
          </w:p>
          <w:p w14:paraId="37C28D5B" w14:textId="77777777" w:rsidR="00751F1F" w:rsidRPr="00604981" w:rsidRDefault="00751F1F" w:rsidP="009012A9">
            <w:pPr>
              <w:numPr>
                <w:ilvl w:val="0"/>
                <w:numId w:val="11"/>
              </w:numPr>
              <w:spacing w:after="40"/>
              <w:ind w:left="360"/>
              <w:rPr>
                <w:szCs w:val="19"/>
              </w:rPr>
            </w:pPr>
            <w:r w:rsidRPr="00604981">
              <w:rPr>
                <w:szCs w:val="19"/>
              </w:rPr>
              <w:t>Eliminate congenital syphilis</w:t>
            </w:r>
            <w:r w:rsidRPr="00604981">
              <w:rPr>
                <w:szCs w:val="19"/>
                <w:vertAlign w:val="superscript"/>
              </w:rPr>
              <w:footnoteReference w:id="8"/>
            </w:r>
          </w:p>
          <w:p w14:paraId="3DB5A8A3" w14:textId="525FCB21" w:rsidR="00751F1F" w:rsidRPr="00604981" w:rsidRDefault="00751F1F" w:rsidP="009012A9">
            <w:pPr>
              <w:numPr>
                <w:ilvl w:val="0"/>
                <w:numId w:val="11"/>
              </w:numPr>
              <w:spacing w:after="40"/>
              <w:ind w:left="360"/>
              <w:rPr>
                <w:szCs w:val="19"/>
              </w:rPr>
            </w:pPr>
            <w:r w:rsidRPr="00604981">
              <w:rPr>
                <w:szCs w:val="19"/>
              </w:rPr>
              <w:t>Reduce the incidence and prevalence of gonorrhoea and chlamydia</w:t>
            </w:r>
            <w:r w:rsidR="00300221" w:rsidRPr="00604981">
              <w:rPr>
                <w:szCs w:val="19"/>
              </w:rPr>
              <w:t>,</w:t>
            </w:r>
            <w:r w:rsidR="00721746" w:rsidRPr="00604981">
              <w:rPr>
                <w:szCs w:val="19"/>
                <w:vertAlign w:val="superscript"/>
              </w:rPr>
              <w:t>e</w:t>
            </w:r>
            <w:r w:rsidR="003B7219" w:rsidRPr="00604981">
              <w:rPr>
                <w:szCs w:val="19"/>
                <w:vertAlign w:val="superscript"/>
              </w:rPr>
              <w:t>,f</w:t>
            </w:r>
            <w:r w:rsidRPr="00604981">
              <w:rPr>
                <w:szCs w:val="19"/>
              </w:rPr>
              <w:t xml:space="preserve"> with a focus on young people</w:t>
            </w:r>
          </w:p>
          <w:p w14:paraId="7D13411D" w14:textId="33FC2427" w:rsidR="00751F1F" w:rsidRPr="00604981" w:rsidRDefault="00751F1F" w:rsidP="009012A9">
            <w:pPr>
              <w:numPr>
                <w:ilvl w:val="0"/>
                <w:numId w:val="11"/>
              </w:numPr>
              <w:spacing w:after="40"/>
              <w:ind w:left="360"/>
              <w:rPr>
                <w:szCs w:val="19"/>
              </w:rPr>
            </w:pPr>
            <w:r w:rsidRPr="00604981">
              <w:rPr>
                <w:szCs w:val="19"/>
              </w:rPr>
              <w:t>Reduce the number of newly acquired hepatitis C infections by 60 per cent</w:t>
            </w:r>
            <w:r w:rsidR="003B7219" w:rsidRPr="00604981">
              <w:rPr>
                <w:szCs w:val="19"/>
                <w:vertAlign w:val="superscript"/>
              </w:rPr>
              <w:t>e</w:t>
            </w:r>
          </w:p>
          <w:p w14:paraId="66B5F5CF" w14:textId="43151A68" w:rsidR="00751F1F" w:rsidRPr="00604981" w:rsidRDefault="00751F1F" w:rsidP="009012A9">
            <w:pPr>
              <w:numPr>
                <w:ilvl w:val="0"/>
                <w:numId w:val="11"/>
              </w:numPr>
              <w:spacing w:after="40"/>
              <w:ind w:left="360"/>
              <w:rPr>
                <w:szCs w:val="19"/>
              </w:rPr>
            </w:pPr>
            <w:r w:rsidRPr="00604981">
              <w:rPr>
                <w:szCs w:val="19"/>
              </w:rPr>
              <w:t>Reduce</w:t>
            </w:r>
            <w:r w:rsidRPr="00604981">
              <w:rPr>
                <w:szCs w:val="19"/>
                <w:vertAlign w:val="superscript"/>
              </w:rPr>
              <w:t xml:space="preserve"> </w:t>
            </w:r>
            <w:r w:rsidRPr="00604981">
              <w:rPr>
                <w:szCs w:val="19"/>
              </w:rPr>
              <w:t>the incidence of HIV transmissions</w:t>
            </w:r>
            <w:r w:rsidR="003B7219" w:rsidRPr="00604981">
              <w:rPr>
                <w:szCs w:val="19"/>
                <w:vertAlign w:val="superscript"/>
              </w:rPr>
              <w:t>e</w:t>
            </w:r>
            <w:r w:rsidRPr="00604981">
              <w:rPr>
                <w:szCs w:val="19"/>
              </w:rPr>
              <w:t xml:space="preserve"> </w:t>
            </w:r>
          </w:p>
          <w:p w14:paraId="6DA40533" w14:textId="72057FBA" w:rsidR="00751F1F" w:rsidRPr="00604981" w:rsidRDefault="00751F1F" w:rsidP="009012A9">
            <w:pPr>
              <w:numPr>
                <w:ilvl w:val="0"/>
                <w:numId w:val="11"/>
              </w:numPr>
              <w:spacing w:after="40"/>
              <w:ind w:left="360"/>
              <w:rPr>
                <w:szCs w:val="19"/>
              </w:rPr>
            </w:pPr>
            <w:r w:rsidRPr="00604981">
              <w:rPr>
                <w:szCs w:val="19"/>
              </w:rPr>
              <w:t>Achieve the 95</w:t>
            </w:r>
            <w:r w:rsidR="0067486F" w:rsidRPr="00604981">
              <w:rPr>
                <w:szCs w:val="19"/>
              </w:rPr>
              <w:t>–</w:t>
            </w:r>
            <w:r w:rsidRPr="00604981">
              <w:rPr>
                <w:szCs w:val="19"/>
              </w:rPr>
              <w:t>95</w:t>
            </w:r>
            <w:r w:rsidR="0067486F" w:rsidRPr="00604981">
              <w:rPr>
                <w:szCs w:val="19"/>
              </w:rPr>
              <w:t>–</w:t>
            </w:r>
            <w:r w:rsidRPr="00604981">
              <w:rPr>
                <w:szCs w:val="19"/>
              </w:rPr>
              <w:t>95 HIV diagnosis and treatment targets:</w:t>
            </w:r>
          </w:p>
          <w:p w14:paraId="48687129" w14:textId="5801E639" w:rsidR="00751F1F" w:rsidRPr="00604981" w:rsidRDefault="00751F1F" w:rsidP="009012A9">
            <w:pPr>
              <w:numPr>
                <w:ilvl w:val="1"/>
                <w:numId w:val="11"/>
              </w:numPr>
              <w:spacing w:after="40"/>
              <w:rPr>
                <w:szCs w:val="19"/>
              </w:rPr>
            </w:pPr>
            <w:r w:rsidRPr="00604981">
              <w:rPr>
                <w:szCs w:val="19"/>
              </w:rPr>
              <w:t>Increase to 95</w:t>
            </w:r>
            <w:r w:rsidR="0067486F" w:rsidRPr="00604981">
              <w:rPr>
                <w:szCs w:val="19"/>
              </w:rPr>
              <w:t xml:space="preserve"> per cent</w:t>
            </w:r>
            <w:r w:rsidRPr="00604981">
              <w:rPr>
                <w:szCs w:val="19"/>
              </w:rPr>
              <w:t xml:space="preserve"> the percentage of people with HIV who are diagnosed</w:t>
            </w:r>
          </w:p>
          <w:p w14:paraId="69CA00A4" w14:textId="5BEA08E0" w:rsidR="00751F1F" w:rsidRPr="00604981" w:rsidRDefault="00751F1F" w:rsidP="009012A9">
            <w:pPr>
              <w:numPr>
                <w:ilvl w:val="1"/>
                <w:numId w:val="11"/>
              </w:numPr>
              <w:spacing w:after="40"/>
              <w:rPr>
                <w:szCs w:val="19"/>
              </w:rPr>
            </w:pPr>
            <w:r w:rsidRPr="00604981">
              <w:rPr>
                <w:szCs w:val="19"/>
              </w:rPr>
              <w:t>Increase to 95</w:t>
            </w:r>
            <w:r w:rsidR="0067486F" w:rsidRPr="00604981">
              <w:rPr>
                <w:szCs w:val="19"/>
              </w:rPr>
              <w:t xml:space="preserve"> per cent</w:t>
            </w:r>
            <w:r w:rsidRPr="00604981">
              <w:rPr>
                <w:szCs w:val="19"/>
              </w:rPr>
              <w:t xml:space="preserve"> the percentage of people diagnosed with HIV on treatment</w:t>
            </w:r>
          </w:p>
          <w:p w14:paraId="0587901D" w14:textId="3C634FFE" w:rsidR="00751F1F" w:rsidRPr="00604981" w:rsidRDefault="00751F1F" w:rsidP="009012A9">
            <w:pPr>
              <w:numPr>
                <w:ilvl w:val="1"/>
                <w:numId w:val="11"/>
              </w:numPr>
              <w:spacing w:after="40"/>
              <w:rPr>
                <w:szCs w:val="19"/>
              </w:rPr>
            </w:pPr>
            <w:r w:rsidRPr="00604981">
              <w:rPr>
                <w:szCs w:val="19"/>
              </w:rPr>
              <w:t>Increase to 95</w:t>
            </w:r>
            <w:r w:rsidR="0067486F" w:rsidRPr="00604981">
              <w:rPr>
                <w:szCs w:val="19"/>
              </w:rPr>
              <w:t xml:space="preserve"> per cent</w:t>
            </w:r>
            <w:r w:rsidRPr="00604981">
              <w:rPr>
                <w:szCs w:val="19"/>
              </w:rPr>
              <w:t xml:space="preserve"> the percentage of those on treatment with an undetectable viral load</w:t>
            </w:r>
          </w:p>
          <w:p w14:paraId="3CB057AA" w14:textId="3775B4C2" w:rsidR="00751F1F" w:rsidRPr="00604981" w:rsidRDefault="00751F1F" w:rsidP="009012A9">
            <w:pPr>
              <w:numPr>
                <w:ilvl w:val="0"/>
                <w:numId w:val="11"/>
              </w:numPr>
              <w:spacing w:after="40"/>
              <w:ind w:left="360"/>
              <w:rPr>
                <w:szCs w:val="19"/>
              </w:rPr>
            </w:pPr>
            <w:r w:rsidRPr="00604981">
              <w:rPr>
                <w:szCs w:val="19"/>
              </w:rPr>
              <w:t>Increase the proportion of people living with hepatitis C who are diagnosed to 90</w:t>
            </w:r>
            <w:r w:rsidR="0067486F" w:rsidRPr="00604981">
              <w:rPr>
                <w:szCs w:val="19"/>
              </w:rPr>
              <w:t xml:space="preserve"> per cent</w:t>
            </w:r>
            <w:r w:rsidRPr="00604981">
              <w:rPr>
                <w:szCs w:val="19"/>
              </w:rPr>
              <w:t xml:space="preserve"> and the cumulative proportion who have initiated direct ac</w:t>
            </w:r>
            <w:r w:rsidR="00721746" w:rsidRPr="00604981">
              <w:rPr>
                <w:szCs w:val="19"/>
              </w:rPr>
              <w:t>ting antiviral treatment to 65</w:t>
            </w:r>
            <w:r w:rsidR="0067486F" w:rsidRPr="00604981">
              <w:rPr>
                <w:szCs w:val="19"/>
              </w:rPr>
              <w:t xml:space="preserve"> per cent</w:t>
            </w:r>
          </w:p>
          <w:p w14:paraId="541FF843" w14:textId="13A125F3" w:rsidR="00751F1F" w:rsidRPr="00604981" w:rsidRDefault="00751F1F" w:rsidP="009012A9">
            <w:pPr>
              <w:numPr>
                <w:ilvl w:val="0"/>
                <w:numId w:val="11"/>
              </w:numPr>
              <w:spacing w:after="40"/>
              <w:ind w:left="360"/>
              <w:rPr>
                <w:szCs w:val="19"/>
              </w:rPr>
            </w:pPr>
            <w:r w:rsidRPr="00604981">
              <w:rPr>
                <w:szCs w:val="19"/>
              </w:rPr>
              <w:t>Increase the proportion of people living with hepatitis B who are diagnosed to 80</w:t>
            </w:r>
            <w:r w:rsidR="0067486F" w:rsidRPr="00604981">
              <w:rPr>
                <w:szCs w:val="19"/>
              </w:rPr>
              <w:t xml:space="preserve"> per cent</w:t>
            </w:r>
            <w:r w:rsidRPr="00604981">
              <w:rPr>
                <w:szCs w:val="19"/>
              </w:rPr>
              <w:t>; receiving care to 50</w:t>
            </w:r>
            <w:r w:rsidR="0067486F" w:rsidRPr="00604981">
              <w:rPr>
                <w:szCs w:val="19"/>
              </w:rPr>
              <w:t xml:space="preserve"> per cent</w:t>
            </w:r>
            <w:r w:rsidRPr="00604981">
              <w:rPr>
                <w:szCs w:val="19"/>
              </w:rPr>
              <w:t>; and on antiviral t</w:t>
            </w:r>
            <w:r w:rsidR="00721746" w:rsidRPr="00604981">
              <w:rPr>
                <w:szCs w:val="19"/>
              </w:rPr>
              <w:t>reatment to 20</w:t>
            </w:r>
            <w:r w:rsidR="0067486F" w:rsidRPr="00604981">
              <w:rPr>
                <w:szCs w:val="19"/>
              </w:rPr>
              <w:t xml:space="preserve"> per cent</w:t>
            </w:r>
          </w:p>
          <w:p w14:paraId="69840492" w14:textId="2839920D" w:rsidR="00751F1F" w:rsidRPr="00604981" w:rsidRDefault="00751F1F" w:rsidP="009012A9">
            <w:pPr>
              <w:numPr>
                <w:ilvl w:val="0"/>
                <w:numId w:val="11"/>
              </w:numPr>
              <w:spacing w:after="40"/>
              <w:ind w:left="360"/>
              <w:rPr>
                <w:szCs w:val="19"/>
              </w:rPr>
            </w:pPr>
            <w:r w:rsidRPr="00604981">
              <w:rPr>
                <w:szCs w:val="19"/>
              </w:rPr>
              <w:t>Reduce hepatitis C attributable mortality by 65</w:t>
            </w:r>
            <w:r w:rsidR="0067486F" w:rsidRPr="00604981">
              <w:rPr>
                <w:szCs w:val="19"/>
              </w:rPr>
              <w:t xml:space="preserve"> per cent</w:t>
            </w:r>
            <w:r w:rsidR="003B7219" w:rsidRPr="00604981">
              <w:rPr>
                <w:szCs w:val="19"/>
                <w:vertAlign w:val="superscript"/>
              </w:rPr>
              <w:t>e</w:t>
            </w:r>
          </w:p>
          <w:p w14:paraId="08B033E7" w14:textId="43A4CE18" w:rsidR="00427C56" w:rsidRPr="00604981" w:rsidRDefault="00751F1F" w:rsidP="009012A9">
            <w:pPr>
              <w:numPr>
                <w:ilvl w:val="0"/>
                <w:numId w:val="11"/>
              </w:numPr>
              <w:spacing w:after="40"/>
              <w:ind w:left="360"/>
              <w:rPr>
                <w:szCs w:val="19"/>
              </w:rPr>
            </w:pPr>
            <w:r w:rsidRPr="00604981">
              <w:rPr>
                <w:szCs w:val="19"/>
              </w:rPr>
              <w:t>Reduce hepatitis B attributable mortality by 30</w:t>
            </w:r>
            <w:r w:rsidR="0067486F" w:rsidRPr="00604981">
              <w:rPr>
                <w:szCs w:val="19"/>
              </w:rPr>
              <w:t xml:space="preserve"> per cent</w:t>
            </w:r>
            <w:r w:rsidR="003B7219" w:rsidRPr="00604981">
              <w:rPr>
                <w:szCs w:val="19"/>
                <w:vertAlign w:val="superscript"/>
              </w:rPr>
              <w:t>e</w:t>
            </w:r>
          </w:p>
          <w:p w14:paraId="76122F35" w14:textId="18529B0B" w:rsidR="00751F1F" w:rsidRPr="00604981" w:rsidRDefault="0039126B" w:rsidP="00E26FDC">
            <w:pPr>
              <w:numPr>
                <w:ilvl w:val="0"/>
                <w:numId w:val="11"/>
              </w:numPr>
              <w:spacing w:after="40"/>
              <w:ind w:left="360"/>
              <w:rPr>
                <w:sz w:val="20"/>
                <w:szCs w:val="20"/>
              </w:rPr>
            </w:pPr>
            <w:r w:rsidRPr="00604981">
              <w:rPr>
                <w:szCs w:val="19"/>
              </w:rPr>
              <w:lastRenderedPageBreak/>
              <w:t>Reduce the reported experience of stigma among Aboriginal and Torres Strait Islander people with BBV and STI, and the expression of stigma, in relation to BBV and STI status</w:t>
            </w:r>
          </w:p>
        </w:tc>
      </w:tr>
      <w:tr w:rsidR="00427C56" w:rsidRPr="00673D1F" w14:paraId="3B98F9E9" w14:textId="77777777" w:rsidTr="00C82C46">
        <w:trPr>
          <w:trHeight w:val="20"/>
        </w:trPr>
        <w:tc>
          <w:tcPr>
            <w:tcW w:w="9372" w:type="dxa"/>
            <w:gridSpan w:val="2"/>
            <w:tcBorders>
              <w:top w:val="nil"/>
              <w:bottom w:val="single" w:sz="4" w:space="0" w:color="F8981D"/>
            </w:tcBorders>
            <w:shd w:val="clear" w:color="auto" w:fill="EDEDE8"/>
            <w:vAlign w:val="bottom"/>
          </w:tcPr>
          <w:p w14:paraId="3BBF7930" w14:textId="5D04964A" w:rsidR="00427C56" w:rsidRPr="00C80678" w:rsidRDefault="00427C56" w:rsidP="00C82C46">
            <w:pPr>
              <w:jc w:val="center"/>
              <w:rPr>
                <w:b/>
                <w:color w:val="00264D"/>
                <w:sz w:val="20"/>
              </w:rPr>
            </w:pPr>
            <w:r w:rsidRPr="00C80678">
              <w:rPr>
                <w:b/>
                <w:color w:val="00264D"/>
                <w:sz w:val="20"/>
              </w:rPr>
              <w:lastRenderedPageBreak/>
              <w:t xml:space="preserve">Priority </w:t>
            </w:r>
            <w:r w:rsidR="0067486F">
              <w:rPr>
                <w:b/>
                <w:color w:val="00264D"/>
                <w:sz w:val="20"/>
              </w:rPr>
              <w:t>a</w:t>
            </w:r>
            <w:r w:rsidRPr="00C80678">
              <w:rPr>
                <w:b/>
                <w:color w:val="00264D"/>
                <w:sz w:val="20"/>
              </w:rPr>
              <w:t>reas</w:t>
            </w:r>
            <w:r>
              <w:rPr>
                <w:rStyle w:val="FootnoteReference"/>
                <w:b/>
                <w:color w:val="00264D"/>
                <w:sz w:val="20"/>
              </w:rPr>
              <w:footnoteReference w:id="9"/>
            </w:r>
          </w:p>
        </w:tc>
      </w:tr>
    </w:tbl>
    <w:p w14:paraId="76B82074" w14:textId="77777777" w:rsidR="00ED04F3" w:rsidRDefault="00ED04F3" w:rsidP="00ED04F3">
      <w:pPr>
        <w:pStyle w:val="Bullet"/>
        <w:spacing w:before="60" w:after="60"/>
        <w:rPr>
          <w:i/>
          <w:sz w:val="20"/>
          <w:szCs w:val="20"/>
        </w:rPr>
      </w:pPr>
      <w:bookmarkStart w:id="22" w:name="_Toc518894435"/>
      <w:bookmarkEnd w:id="21"/>
    </w:p>
    <w:p w14:paraId="10C206EB" w14:textId="77777777" w:rsidR="000A5ED4" w:rsidRPr="00604981" w:rsidRDefault="000A5ED4" w:rsidP="009012A9">
      <w:pPr>
        <w:numPr>
          <w:ilvl w:val="0"/>
          <w:numId w:val="12"/>
        </w:numPr>
        <w:rPr>
          <w:sz w:val="20"/>
        </w:rPr>
      </w:pPr>
      <w:r w:rsidRPr="00604981">
        <w:rPr>
          <w:sz w:val="20"/>
          <w:szCs w:val="20"/>
        </w:rPr>
        <w:t xml:space="preserve">Implement, support and evaluate a range of community (co)-designed and led, </w:t>
      </w:r>
      <w:r w:rsidRPr="00604981">
        <w:rPr>
          <w:sz w:val="20"/>
        </w:rPr>
        <w:t xml:space="preserve">evidence-based and </w:t>
      </w:r>
      <w:r w:rsidRPr="00604981">
        <w:rPr>
          <w:sz w:val="20"/>
          <w:szCs w:val="20"/>
        </w:rPr>
        <w:t xml:space="preserve">multi-faceted </w:t>
      </w:r>
      <w:r w:rsidRPr="00604981">
        <w:rPr>
          <w:sz w:val="20"/>
        </w:rPr>
        <w:t xml:space="preserve">BBV and STI education and prevention initiatives across priority settings to build community knowledge and awareness, and effectively target and engage priority groups </w:t>
      </w:r>
    </w:p>
    <w:p w14:paraId="7E9013C0" w14:textId="77777777" w:rsidR="000A5ED4" w:rsidRPr="00604981" w:rsidRDefault="000A5ED4" w:rsidP="009012A9">
      <w:pPr>
        <w:numPr>
          <w:ilvl w:val="0"/>
          <w:numId w:val="12"/>
        </w:numPr>
        <w:rPr>
          <w:sz w:val="20"/>
        </w:rPr>
      </w:pPr>
      <w:r w:rsidRPr="00604981">
        <w:rPr>
          <w:sz w:val="20"/>
          <w:szCs w:val="20"/>
        </w:rPr>
        <w:t>Support sexual health education in schools and community settings to improve knowledge and awareness of healthy relationships and STI, reduce risk behaviours associated with the transmission of STI, and highlight the importance of regular STI testing once sexually active</w:t>
      </w:r>
    </w:p>
    <w:p w14:paraId="7852974C" w14:textId="45E06B7F" w:rsidR="000A5ED4" w:rsidRPr="00604981" w:rsidRDefault="000A5ED4" w:rsidP="009012A9">
      <w:pPr>
        <w:numPr>
          <w:ilvl w:val="0"/>
          <w:numId w:val="12"/>
        </w:numPr>
        <w:rPr>
          <w:sz w:val="20"/>
          <w:szCs w:val="20"/>
        </w:rPr>
      </w:pPr>
      <w:r w:rsidRPr="00604981">
        <w:rPr>
          <w:sz w:val="20"/>
          <w:szCs w:val="20"/>
        </w:rPr>
        <w:t xml:space="preserve">Build knowledge and awareness of the various means of prevention for BBV and STI, including reinforcing the central role of condoms, the importance of vaccination, the effective use of biomedical tools such as </w:t>
      </w:r>
      <w:r w:rsidR="00120E2D" w:rsidRPr="00604981">
        <w:rPr>
          <w:sz w:val="20"/>
          <w:szCs w:val="20"/>
        </w:rPr>
        <w:t>post-exposure prophylaxis (</w:t>
      </w:r>
      <w:r w:rsidRPr="00604981">
        <w:rPr>
          <w:sz w:val="20"/>
          <w:szCs w:val="20"/>
        </w:rPr>
        <w:t>PEP</w:t>
      </w:r>
      <w:r w:rsidR="00120E2D" w:rsidRPr="00604981">
        <w:rPr>
          <w:sz w:val="20"/>
          <w:szCs w:val="20"/>
        </w:rPr>
        <w:t>)</w:t>
      </w:r>
      <w:r w:rsidRPr="00604981">
        <w:rPr>
          <w:sz w:val="20"/>
          <w:szCs w:val="20"/>
        </w:rPr>
        <w:t xml:space="preserve">, </w:t>
      </w:r>
      <w:r w:rsidR="00120E2D" w:rsidRPr="00604981">
        <w:rPr>
          <w:sz w:val="20"/>
          <w:szCs w:val="20"/>
        </w:rPr>
        <w:t>pre-exposure prophylaxis (</w:t>
      </w:r>
      <w:r w:rsidRPr="00604981">
        <w:rPr>
          <w:sz w:val="20"/>
          <w:szCs w:val="20"/>
        </w:rPr>
        <w:t>PrEP</w:t>
      </w:r>
      <w:r w:rsidR="00120E2D" w:rsidRPr="00604981">
        <w:rPr>
          <w:sz w:val="20"/>
          <w:szCs w:val="20"/>
        </w:rPr>
        <w:t>)</w:t>
      </w:r>
      <w:r w:rsidRPr="00604981">
        <w:rPr>
          <w:sz w:val="20"/>
          <w:szCs w:val="20"/>
        </w:rPr>
        <w:t xml:space="preserve"> and treatment as prevention for HIV and hepatitis C, and the need for sterile injecting practices</w:t>
      </w:r>
    </w:p>
    <w:p w14:paraId="138323D7" w14:textId="77777777" w:rsidR="000A5ED4" w:rsidRPr="00604981" w:rsidRDefault="000A5ED4" w:rsidP="009012A9">
      <w:pPr>
        <w:numPr>
          <w:ilvl w:val="0"/>
          <w:numId w:val="12"/>
        </w:numPr>
        <w:rPr>
          <w:sz w:val="20"/>
          <w:szCs w:val="20"/>
        </w:rPr>
      </w:pPr>
      <w:r w:rsidRPr="00604981">
        <w:rPr>
          <w:sz w:val="20"/>
          <w:szCs w:val="20"/>
        </w:rPr>
        <w:t>Support widespread and equitable access to all means of STI and BBV prevention across the country, in combination with STI and BBV prevention education and regular testing and treatment services</w:t>
      </w:r>
    </w:p>
    <w:p w14:paraId="2902B1DE" w14:textId="77777777" w:rsidR="000A5ED4" w:rsidRPr="00604981" w:rsidRDefault="000A5ED4" w:rsidP="009012A9">
      <w:pPr>
        <w:numPr>
          <w:ilvl w:val="0"/>
          <w:numId w:val="12"/>
        </w:numPr>
        <w:rPr>
          <w:sz w:val="20"/>
          <w:szCs w:val="20"/>
        </w:rPr>
      </w:pPr>
      <w:r w:rsidRPr="00604981">
        <w:rPr>
          <w:sz w:val="20"/>
          <w:szCs w:val="20"/>
        </w:rPr>
        <w:t>Build on successful approaches to improve testing rates and coverage to reduce the number of undiagnosed BBV and STI and decrease rates of late diagnosis</w:t>
      </w:r>
    </w:p>
    <w:p w14:paraId="676E656B" w14:textId="69BA23D8" w:rsidR="000A5ED4" w:rsidRPr="00604981" w:rsidRDefault="000A5ED4" w:rsidP="009012A9">
      <w:pPr>
        <w:numPr>
          <w:ilvl w:val="0"/>
          <w:numId w:val="12"/>
        </w:numPr>
        <w:rPr>
          <w:sz w:val="20"/>
          <w:szCs w:val="20"/>
        </w:rPr>
      </w:pPr>
      <w:r w:rsidRPr="00604981">
        <w:rPr>
          <w:sz w:val="20"/>
          <w:szCs w:val="20"/>
        </w:rPr>
        <w:t xml:space="preserve">Support health professionals to provide </w:t>
      </w:r>
      <w:r w:rsidR="00CC6D18" w:rsidRPr="00604981">
        <w:rPr>
          <w:sz w:val="20"/>
          <w:szCs w:val="20"/>
        </w:rPr>
        <w:t xml:space="preserve">culturally </w:t>
      </w:r>
      <w:r w:rsidR="00440846" w:rsidRPr="00604981">
        <w:rPr>
          <w:sz w:val="20"/>
          <w:szCs w:val="20"/>
        </w:rPr>
        <w:t xml:space="preserve">responsive </w:t>
      </w:r>
      <w:r w:rsidR="00CC6D18" w:rsidRPr="00604981">
        <w:rPr>
          <w:sz w:val="20"/>
          <w:szCs w:val="20"/>
        </w:rPr>
        <w:t xml:space="preserve">and safe, </w:t>
      </w:r>
      <w:r w:rsidRPr="00604981">
        <w:rPr>
          <w:sz w:val="20"/>
          <w:szCs w:val="20"/>
        </w:rPr>
        <w:t>current, innovative and effective BBV and STI testing, treatment, monitoring and care</w:t>
      </w:r>
    </w:p>
    <w:p w14:paraId="11359690" w14:textId="77777777" w:rsidR="000A5ED4" w:rsidRPr="00604981" w:rsidRDefault="000A5ED4" w:rsidP="009012A9">
      <w:pPr>
        <w:numPr>
          <w:ilvl w:val="0"/>
          <w:numId w:val="12"/>
        </w:numPr>
        <w:rPr>
          <w:sz w:val="20"/>
          <w:szCs w:val="20"/>
        </w:rPr>
      </w:pPr>
      <w:r w:rsidRPr="00604981">
        <w:rPr>
          <w:sz w:val="20"/>
          <w:szCs w:val="20"/>
        </w:rPr>
        <w:t>Increase early and appropriate treatment of BBV and STI to reduce transmission, improve health outcomes and enhance quality of life</w:t>
      </w:r>
    </w:p>
    <w:p w14:paraId="4FDDB9E0" w14:textId="77777777" w:rsidR="000A5ED4" w:rsidRPr="00604981" w:rsidRDefault="000A5ED4" w:rsidP="009012A9">
      <w:pPr>
        <w:numPr>
          <w:ilvl w:val="0"/>
          <w:numId w:val="12"/>
        </w:numPr>
        <w:rPr>
          <w:sz w:val="20"/>
          <w:szCs w:val="20"/>
        </w:rPr>
      </w:pPr>
      <w:r w:rsidRPr="00604981">
        <w:rPr>
          <w:sz w:val="20"/>
          <w:szCs w:val="20"/>
        </w:rPr>
        <w:t>Increase testing and treatment for BBV and STI in custodial settings, including youth detention, that is respectful of and responsive to the needs of Aboriginal and Torres Strait Islander people</w:t>
      </w:r>
    </w:p>
    <w:p w14:paraId="08309C9F" w14:textId="1E7285D9" w:rsidR="000A5ED4" w:rsidRPr="00604981" w:rsidRDefault="000A5ED4" w:rsidP="009012A9">
      <w:pPr>
        <w:numPr>
          <w:ilvl w:val="0"/>
          <w:numId w:val="13"/>
        </w:numPr>
        <w:rPr>
          <w:sz w:val="20"/>
          <w:szCs w:val="20"/>
        </w:rPr>
      </w:pPr>
      <w:r w:rsidRPr="00604981">
        <w:rPr>
          <w:sz w:val="20"/>
          <w:szCs w:val="20"/>
        </w:rPr>
        <w:t xml:space="preserve">Implement a range of </w:t>
      </w:r>
      <w:r w:rsidR="008D6BAC" w:rsidRPr="00604981">
        <w:rPr>
          <w:sz w:val="20"/>
          <w:szCs w:val="20"/>
        </w:rPr>
        <w:t xml:space="preserve">initiatives </w:t>
      </w:r>
      <w:r w:rsidRPr="00604981">
        <w:rPr>
          <w:sz w:val="20"/>
          <w:szCs w:val="20"/>
        </w:rPr>
        <w:t>to address stigma and discrimination and minimise their impact on the health of Aboriginal and Torres Strait Islander people at risk of or living with BBV and/or STI</w:t>
      </w:r>
    </w:p>
    <w:p w14:paraId="4BF535DC" w14:textId="38320195" w:rsidR="000A5ED4" w:rsidRPr="00604981" w:rsidRDefault="000A5ED4" w:rsidP="009012A9">
      <w:pPr>
        <w:numPr>
          <w:ilvl w:val="0"/>
          <w:numId w:val="13"/>
        </w:numPr>
        <w:rPr>
          <w:sz w:val="20"/>
          <w:szCs w:val="20"/>
        </w:rPr>
      </w:pPr>
      <w:r w:rsidRPr="00604981">
        <w:rPr>
          <w:sz w:val="20"/>
          <w:szCs w:val="20"/>
        </w:rPr>
        <w:t>Continue to work towards addressing the legal, regulatory and policy barriers which affect Aboriginal and Torres Strait Islander priority groups and influence their health</w:t>
      </w:r>
      <w:r w:rsidR="00CE16B9" w:rsidRPr="00604981">
        <w:rPr>
          <w:sz w:val="20"/>
          <w:szCs w:val="20"/>
        </w:rPr>
        <w:t>-</w:t>
      </w:r>
      <w:r w:rsidRPr="00604981">
        <w:rPr>
          <w:sz w:val="20"/>
          <w:szCs w:val="20"/>
        </w:rPr>
        <w:t>seeking behaviours</w:t>
      </w:r>
    </w:p>
    <w:p w14:paraId="1920184F" w14:textId="795675E0" w:rsidR="000A5ED4" w:rsidRPr="00604981" w:rsidRDefault="000A5ED4" w:rsidP="009012A9">
      <w:pPr>
        <w:numPr>
          <w:ilvl w:val="0"/>
          <w:numId w:val="13"/>
        </w:numPr>
        <w:rPr>
          <w:sz w:val="20"/>
          <w:szCs w:val="20"/>
        </w:rPr>
      </w:pPr>
      <w:r w:rsidRPr="00604981">
        <w:rPr>
          <w:sz w:val="20"/>
          <w:szCs w:val="20"/>
        </w:rPr>
        <w:t>Continue to work towards addressing negative and culturally unsafe experiences of individuals and communities with the healthcare system and other institutions which influence health</w:t>
      </w:r>
      <w:r w:rsidR="00135F78" w:rsidRPr="00604981">
        <w:rPr>
          <w:sz w:val="20"/>
          <w:szCs w:val="20"/>
        </w:rPr>
        <w:t>-</w:t>
      </w:r>
      <w:r w:rsidRPr="00604981">
        <w:rPr>
          <w:sz w:val="20"/>
          <w:szCs w:val="20"/>
        </w:rPr>
        <w:t>seeking behaviours</w:t>
      </w:r>
    </w:p>
    <w:p w14:paraId="7F514AF0" w14:textId="77777777" w:rsidR="000A5ED4" w:rsidRPr="00604981" w:rsidRDefault="000A5ED4" w:rsidP="009012A9">
      <w:pPr>
        <w:numPr>
          <w:ilvl w:val="0"/>
          <w:numId w:val="13"/>
        </w:numPr>
        <w:rPr>
          <w:sz w:val="20"/>
          <w:szCs w:val="20"/>
        </w:rPr>
      </w:pPr>
      <w:r w:rsidRPr="00604981">
        <w:rPr>
          <w:sz w:val="20"/>
          <w:szCs w:val="20"/>
          <w:lang w:eastAsia="en-AU"/>
        </w:rPr>
        <w:t>Identify and implement novel multidisciplinary, culturally safe and inclusive coordinated and sustainable programs which successfully address the barriers experienced by communities and significantly increase the uptake of BBV and STI services</w:t>
      </w:r>
    </w:p>
    <w:p w14:paraId="6CB4DAE3" w14:textId="04F4FD00" w:rsidR="000A5ED4" w:rsidRPr="00604981" w:rsidRDefault="000A5ED4" w:rsidP="009012A9">
      <w:pPr>
        <w:numPr>
          <w:ilvl w:val="0"/>
          <w:numId w:val="13"/>
        </w:numPr>
        <w:rPr>
          <w:sz w:val="20"/>
          <w:szCs w:val="20"/>
        </w:rPr>
      </w:pPr>
      <w:r w:rsidRPr="00604981">
        <w:rPr>
          <w:sz w:val="20"/>
          <w:szCs w:val="20"/>
        </w:rPr>
        <w:t>Facilitate and support a highly skilled and stable multidisciplinary health workforce that is respectful of and responsive to the needs of Aboriginal and Torres Strait Islander people in the provision of high</w:t>
      </w:r>
      <w:r w:rsidR="007D23A7" w:rsidRPr="00604981">
        <w:rPr>
          <w:sz w:val="20"/>
          <w:szCs w:val="20"/>
        </w:rPr>
        <w:t>-</w:t>
      </w:r>
      <w:r w:rsidRPr="00604981">
        <w:rPr>
          <w:sz w:val="20"/>
          <w:szCs w:val="20"/>
        </w:rPr>
        <w:t>quality BBV and STI services</w:t>
      </w:r>
    </w:p>
    <w:p w14:paraId="713E207C" w14:textId="1A38C4B9" w:rsidR="000A5ED4" w:rsidRPr="00604981" w:rsidRDefault="000A5ED4" w:rsidP="009012A9">
      <w:pPr>
        <w:numPr>
          <w:ilvl w:val="0"/>
          <w:numId w:val="13"/>
        </w:numPr>
        <w:rPr>
          <w:iCs/>
          <w:sz w:val="20"/>
          <w:szCs w:val="20"/>
        </w:rPr>
      </w:pPr>
      <w:r w:rsidRPr="00604981">
        <w:rPr>
          <w:sz w:val="20"/>
          <w:szCs w:val="20"/>
        </w:rPr>
        <w:t>With a focus on identified gaps, continue to build a strong evidence base for effectively responding to existing and emerging BBV and STI issues and challenges among Aboriginal and Torres Strait Islander communities, informed by high-quality, timely data and surveillance systems</w:t>
      </w:r>
    </w:p>
    <w:p w14:paraId="77713625" w14:textId="77777777" w:rsidR="000A5ED4" w:rsidRDefault="000A5ED4" w:rsidP="009012A9">
      <w:pPr>
        <w:pStyle w:val="Bullet"/>
        <w:numPr>
          <w:ilvl w:val="0"/>
          <w:numId w:val="13"/>
        </w:numPr>
        <w:spacing w:before="120" w:after="0"/>
        <w:rPr>
          <w:sz w:val="20"/>
          <w:szCs w:val="20"/>
        </w:rPr>
      </w:pPr>
      <w:r w:rsidRPr="00604981">
        <w:rPr>
          <w:sz w:val="20"/>
          <w:szCs w:val="20"/>
        </w:rPr>
        <w:lastRenderedPageBreak/>
        <w:t>Enhance systems and capacity to monitor and respond to changes in BBV and STI incidence among Aboriginal and Torres Strait populations, including enhanced surveillance and rapid responses to potential outbreaks among priority populations and in geographic locations</w:t>
      </w:r>
    </w:p>
    <w:p w14:paraId="389C574B" w14:textId="53EADF8A" w:rsidR="00604981" w:rsidRDefault="00604981">
      <w:pPr>
        <w:spacing w:after="0"/>
        <w:rPr>
          <w:rFonts w:eastAsia="Times New Roman"/>
          <w:sz w:val="20"/>
          <w:szCs w:val="20"/>
          <w:lang w:eastAsia="en-AU"/>
        </w:rPr>
      </w:pPr>
      <w:r>
        <w:rPr>
          <w:sz w:val="20"/>
          <w:szCs w:val="20"/>
        </w:rPr>
        <w:br w:type="page"/>
      </w:r>
    </w:p>
    <w:p w14:paraId="581772C2" w14:textId="2ECC2F1F" w:rsidR="001E66C1" w:rsidRDefault="00427C56" w:rsidP="00427C56">
      <w:pPr>
        <w:pStyle w:val="Heading1"/>
        <w:ind w:left="567" w:hanging="567"/>
      </w:pPr>
      <w:bookmarkStart w:id="23" w:name="_Toc529472448"/>
      <w:bookmarkStart w:id="24" w:name="_Toc529472449"/>
      <w:bookmarkEnd w:id="23"/>
      <w:r>
        <w:lastRenderedPageBreak/>
        <w:t xml:space="preserve">Priority </w:t>
      </w:r>
      <w:r w:rsidR="00135F78">
        <w:t>g</w:t>
      </w:r>
      <w:r>
        <w:t xml:space="preserve">roups and </w:t>
      </w:r>
      <w:r w:rsidR="00135F78">
        <w:t>s</w:t>
      </w:r>
      <w:r>
        <w:t>ettings</w:t>
      </w:r>
      <w:bookmarkEnd w:id="22"/>
      <w:bookmarkEnd w:id="24"/>
      <w:r w:rsidR="001E66C1">
        <w:t xml:space="preserve"> </w:t>
      </w:r>
    </w:p>
    <w:p w14:paraId="169A520C" w14:textId="6958CE52" w:rsidR="00210D6D" w:rsidRPr="00604981" w:rsidRDefault="007607CB" w:rsidP="00B57E30">
      <w:pPr>
        <w:pStyle w:val="CommentText"/>
        <w:rPr>
          <w:b/>
          <w:i/>
        </w:rPr>
      </w:pPr>
      <w:r w:rsidRPr="00604981">
        <w:rPr>
          <w:b/>
          <w:i/>
          <w:lang w:eastAsia="en-AU"/>
        </w:rPr>
        <w:t xml:space="preserve">BBV and STI </w:t>
      </w:r>
      <w:r w:rsidR="005F1299" w:rsidRPr="00604981">
        <w:rPr>
          <w:b/>
          <w:i/>
          <w:lang w:eastAsia="en-AU"/>
        </w:rPr>
        <w:t xml:space="preserve">disproportionately impact </w:t>
      </w:r>
      <w:r w:rsidRPr="00604981">
        <w:rPr>
          <w:b/>
          <w:i/>
          <w:lang w:eastAsia="en-AU"/>
        </w:rPr>
        <w:t>on Aboriginal and Torres Strait Islander people</w:t>
      </w:r>
      <w:r w:rsidR="00551386" w:rsidRPr="00604981">
        <w:rPr>
          <w:b/>
          <w:i/>
          <w:lang w:eastAsia="en-AU"/>
        </w:rPr>
        <w:t>s</w:t>
      </w:r>
      <w:r w:rsidR="00A3427A" w:rsidRPr="00604981">
        <w:rPr>
          <w:b/>
          <w:i/>
        </w:rPr>
        <w:t xml:space="preserve"> across settings, communities and sub-populations.</w:t>
      </w:r>
      <w:r w:rsidR="00B57E30" w:rsidRPr="00604981">
        <w:rPr>
          <w:b/>
          <w:i/>
        </w:rPr>
        <w:t xml:space="preserve"> </w:t>
      </w:r>
      <w:r w:rsidR="00A3427A" w:rsidRPr="00604981">
        <w:rPr>
          <w:b/>
          <w:i/>
        </w:rPr>
        <w:t xml:space="preserve">There are a number of </w:t>
      </w:r>
      <w:r w:rsidR="005F1299" w:rsidRPr="00604981">
        <w:rPr>
          <w:b/>
          <w:i/>
        </w:rPr>
        <w:t xml:space="preserve">factors, </w:t>
      </w:r>
      <w:r w:rsidR="00A3427A" w:rsidRPr="00604981">
        <w:rPr>
          <w:b/>
          <w:i/>
        </w:rPr>
        <w:t xml:space="preserve">barriers and challenges which </w:t>
      </w:r>
      <w:r w:rsidR="00B57E30" w:rsidRPr="00604981">
        <w:rPr>
          <w:b/>
          <w:i/>
        </w:rPr>
        <w:t>continue to contribute to this</w:t>
      </w:r>
      <w:r w:rsidR="00A3427A" w:rsidRPr="00604981">
        <w:rPr>
          <w:b/>
          <w:i/>
        </w:rPr>
        <w:t xml:space="preserve"> impact and </w:t>
      </w:r>
      <w:r w:rsidR="00EE0C38" w:rsidRPr="00604981">
        <w:rPr>
          <w:b/>
          <w:i/>
        </w:rPr>
        <w:t xml:space="preserve">which </w:t>
      </w:r>
      <w:r w:rsidR="00A3427A" w:rsidRPr="00604981">
        <w:rPr>
          <w:b/>
          <w:i/>
        </w:rPr>
        <w:t>may prevent individuals from accessing vital services for</w:t>
      </w:r>
      <w:r w:rsidR="00B57E30" w:rsidRPr="00604981">
        <w:rPr>
          <w:b/>
          <w:i/>
        </w:rPr>
        <w:t xml:space="preserve"> prevention,</w:t>
      </w:r>
      <w:r w:rsidR="00A3427A" w:rsidRPr="00604981">
        <w:rPr>
          <w:b/>
          <w:i/>
        </w:rPr>
        <w:t xml:space="preserve"> testing and treatment. </w:t>
      </w:r>
    </w:p>
    <w:p w14:paraId="0F6557A1" w14:textId="65B9F5B1" w:rsidR="005F7AB2" w:rsidRDefault="00580C08" w:rsidP="00210D6D">
      <w:pPr>
        <w:pStyle w:val="CommentText"/>
      </w:pPr>
      <w:r>
        <w:t xml:space="preserve">There are a range of factors that mean that </w:t>
      </w:r>
      <w:r w:rsidR="00A3427A" w:rsidRPr="00B0199B">
        <w:t>Aboriginal and Torres Strait Islander people</w:t>
      </w:r>
      <w:r w:rsidR="00551386">
        <w:t>s</w:t>
      </w:r>
      <w:r w:rsidR="00A3427A" w:rsidRPr="00B0199B">
        <w:t xml:space="preserve"> are more frequently exposed to environments and situations where there is an increased risk of BBV and STI.</w:t>
      </w:r>
      <w:r w:rsidR="00A3427A" w:rsidRPr="00317B05">
        <w:t xml:space="preserve"> </w:t>
      </w:r>
      <w:r>
        <w:t xml:space="preserve">These include a </w:t>
      </w:r>
      <w:r w:rsidRPr="00B0199B">
        <w:t xml:space="preserve">lack of </w:t>
      </w:r>
      <w:r>
        <w:t>tailored and</w:t>
      </w:r>
      <w:r w:rsidRPr="00B0199B">
        <w:t xml:space="preserve"> </w:t>
      </w:r>
      <w:r w:rsidRPr="00997CE3">
        <w:t>culturally</w:t>
      </w:r>
      <w:r w:rsidR="000E6570">
        <w:t xml:space="preserve"> </w:t>
      </w:r>
      <w:r w:rsidR="00440846">
        <w:t>responsive</w:t>
      </w:r>
      <w:r w:rsidR="00440846" w:rsidRPr="00997CE3">
        <w:t xml:space="preserve"> </w:t>
      </w:r>
      <w:r w:rsidRPr="00B0199B">
        <w:t>BBV and STI</w:t>
      </w:r>
      <w:r>
        <w:t xml:space="preserve"> services which effectively engage high</w:t>
      </w:r>
      <w:r w:rsidR="00DE122A">
        <w:t>-</w:t>
      </w:r>
      <w:r>
        <w:t>risk priority groups</w:t>
      </w:r>
      <w:r w:rsidR="000E6570">
        <w:t>;</w:t>
      </w:r>
      <w:r w:rsidRPr="00B0199B">
        <w:t xml:space="preserve"> complex social and medical factors</w:t>
      </w:r>
      <w:r w:rsidR="000E6570">
        <w:t>;</w:t>
      </w:r>
      <w:r>
        <w:t xml:space="preserve"> concerns around privacy</w:t>
      </w:r>
      <w:r w:rsidR="000E6570">
        <w:t>;</w:t>
      </w:r>
      <w:r>
        <w:t xml:space="preserve"> confidentiality, stigma and shame</w:t>
      </w:r>
      <w:r w:rsidR="000E6570">
        <w:t>;</w:t>
      </w:r>
      <w:r>
        <w:t xml:space="preserve"> </w:t>
      </w:r>
      <w:r w:rsidR="000E6570">
        <w:t xml:space="preserve">and </w:t>
      </w:r>
      <w:r w:rsidRPr="00B0199B">
        <w:t>over-representation in custodial settings</w:t>
      </w:r>
      <w:r>
        <w:t>.</w:t>
      </w:r>
      <w:r w:rsidRPr="001A7BED">
        <w:rPr>
          <w:vertAlign w:val="superscript"/>
        </w:rPr>
        <w:endnoteReference w:id="18"/>
      </w:r>
      <w:r w:rsidR="008F7236">
        <w:t xml:space="preserve"> </w:t>
      </w:r>
      <w:r w:rsidR="00A409E7">
        <w:t xml:space="preserve">Experiences of the Stolen Generations, racism and the ongoing impacts of colonisation also contribute to </w:t>
      </w:r>
      <w:r w:rsidR="00157A17">
        <w:t xml:space="preserve">an </w:t>
      </w:r>
      <w:r w:rsidR="00A409E7">
        <w:t xml:space="preserve">increased </w:t>
      </w:r>
      <w:r w:rsidR="00E45329" w:rsidRPr="00B761F1">
        <w:t>burden of disease</w:t>
      </w:r>
      <w:r w:rsidR="00157A17">
        <w:t xml:space="preserve">. </w:t>
      </w:r>
      <w:r w:rsidR="00B57E30">
        <w:t>In addition, the higher prevalence of BBV and STI in Aboriginal and Torres Strait Islander communities means that individuals have an increased exposure risk</w:t>
      </w:r>
      <w:r w:rsidR="00B57E30" w:rsidRPr="00105D03">
        <w:t>.</w:t>
      </w:r>
      <w:r w:rsidR="00210D6D">
        <w:t xml:space="preserve"> </w:t>
      </w:r>
      <w:r w:rsidR="00DF1E3A">
        <w:t xml:space="preserve">This is </w:t>
      </w:r>
      <w:r w:rsidR="00105DEA">
        <w:t>because</w:t>
      </w:r>
      <w:r w:rsidR="00DF1E3A">
        <w:t xml:space="preserve"> </w:t>
      </w:r>
      <w:r w:rsidR="00105DEA">
        <w:t>i</w:t>
      </w:r>
      <w:r w:rsidR="006B0862">
        <w:t>t is more likely t</w:t>
      </w:r>
      <w:r w:rsidR="00105DEA">
        <w:t>hat</w:t>
      </w:r>
      <w:r w:rsidR="00DF1E3A">
        <w:t xml:space="preserve"> a</w:t>
      </w:r>
      <w:r w:rsidR="006B0862">
        <w:t xml:space="preserve"> person </w:t>
      </w:r>
      <w:r w:rsidR="00DF1E3A">
        <w:t xml:space="preserve">will </w:t>
      </w:r>
      <w:r w:rsidR="00105DEA">
        <w:t>come into</w:t>
      </w:r>
      <w:r w:rsidR="00DF1E3A">
        <w:t xml:space="preserve"> contact with a</w:t>
      </w:r>
      <w:r w:rsidR="006B0862">
        <w:t>n individual</w:t>
      </w:r>
      <w:r w:rsidR="00DF1E3A">
        <w:t xml:space="preserve"> who has a BBV or STI </w:t>
      </w:r>
      <w:r w:rsidR="00105DEA">
        <w:t xml:space="preserve">either </w:t>
      </w:r>
      <w:r w:rsidR="00DF1E3A">
        <w:t>in a sexual or other risk context.</w:t>
      </w:r>
    </w:p>
    <w:p w14:paraId="3DDF69DF" w14:textId="18B8A0FA" w:rsidR="000E0EC8" w:rsidRDefault="007607CB" w:rsidP="007607CB">
      <w:pPr>
        <w:pStyle w:val="CommentText"/>
        <w:rPr>
          <w:iCs/>
        </w:rPr>
      </w:pPr>
      <w:r w:rsidRPr="00B0199B">
        <w:rPr>
          <w:lang w:eastAsia="en-AU"/>
        </w:rPr>
        <w:t>T</w:t>
      </w:r>
      <w:r w:rsidR="003C2CD1">
        <w:rPr>
          <w:iCs/>
        </w:rPr>
        <w:t xml:space="preserve">his </w:t>
      </w:r>
      <w:r w:rsidR="000E6570">
        <w:rPr>
          <w:iCs/>
        </w:rPr>
        <w:t>s</w:t>
      </w:r>
      <w:r w:rsidR="003C2CD1">
        <w:rPr>
          <w:iCs/>
        </w:rPr>
        <w:t xml:space="preserve">trategy </w:t>
      </w:r>
      <w:r w:rsidR="009B74A9">
        <w:rPr>
          <w:iCs/>
        </w:rPr>
        <w:t xml:space="preserve">identifies priority groups within </w:t>
      </w:r>
      <w:r w:rsidR="007818C7">
        <w:rPr>
          <w:iCs/>
        </w:rPr>
        <w:t xml:space="preserve">the </w:t>
      </w:r>
      <w:r w:rsidR="009B74A9">
        <w:rPr>
          <w:iCs/>
        </w:rPr>
        <w:t xml:space="preserve">Aboriginal and Torres Strait Islander population who are particularly impacted by BBV and STI and whose needs must be specifically considered in </w:t>
      </w:r>
      <w:r w:rsidR="007818C7">
        <w:rPr>
          <w:iCs/>
        </w:rPr>
        <w:t>the</w:t>
      </w:r>
      <w:r w:rsidR="009B74A9">
        <w:rPr>
          <w:iCs/>
        </w:rPr>
        <w:t xml:space="preserve"> response. This </w:t>
      </w:r>
      <w:r w:rsidR="000E6570">
        <w:rPr>
          <w:iCs/>
        </w:rPr>
        <w:t>s</w:t>
      </w:r>
      <w:r w:rsidR="009B74A9">
        <w:rPr>
          <w:iCs/>
        </w:rPr>
        <w:t xml:space="preserve">trategy </w:t>
      </w:r>
      <w:r w:rsidRPr="00B0199B">
        <w:rPr>
          <w:iCs/>
        </w:rPr>
        <w:t xml:space="preserve">acknowledges that many </w:t>
      </w:r>
      <w:r>
        <w:rPr>
          <w:iCs/>
        </w:rPr>
        <w:t>Aboriginal and Torres Strait Islander people</w:t>
      </w:r>
      <w:r w:rsidRPr="00B0199B">
        <w:rPr>
          <w:iCs/>
        </w:rPr>
        <w:t xml:space="preserve"> may identify with multiple </w:t>
      </w:r>
      <w:r>
        <w:rPr>
          <w:iCs/>
        </w:rPr>
        <w:t>priority groups</w:t>
      </w:r>
      <w:r w:rsidRPr="00B0199B">
        <w:rPr>
          <w:iCs/>
        </w:rPr>
        <w:t xml:space="preserve"> </w:t>
      </w:r>
      <w:r>
        <w:rPr>
          <w:iCs/>
        </w:rPr>
        <w:t>(such as gay men</w:t>
      </w:r>
      <w:r w:rsidR="00C11854">
        <w:rPr>
          <w:iCs/>
        </w:rPr>
        <w:t xml:space="preserve"> and other men </w:t>
      </w:r>
      <w:r w:rsidR="00C11854" w:rsidRPr="000E6570">
        <w:rPr>
          <w:iCs/>
        </w:rPr>
        <w:t>who have sex with men</w:t>
      </w:r>
      <w:r w:rsidR="00526B19" w:rsidRPr="000E6570">
        <w:rPr>
          <w:iCs/>
        </w:rPr>
        <w:t xml:space="preserve"> (MSM</w:t>
      </w:r>
      <w:r w:rsidR="00C11854" w:rsidRPr="000E6570">
        <w:rPr>
          <w:iCs/>
        </w:rPr>
        <w:t>)</w:t>
      </w:r>
      <w:r w:rsidRPr="000E6570">
        <w:rPr>
          <w:iCs/>
        </w:rPr>
        <w:t>,</w:t>
      </w:r>
      <w:r>
        <w:rPr>
          <w:iCs/>
        </w:rPr>
        <w:t xml:space="preserve"> </w:t>
      </w:r>
      <w:r w:rsidRPr="00B0199B">
        <w:rPr>
          <w:iCs/>
        </w:rPr>
        <w:t>and</w:t>
      </w:r>
      <w:r>
        <w:rPr>
          <w:iCs/>
        </w:rPr>
        <w:t>/or</w:t>
      </w:r>
      <w:r w:rsidRPr="00B0199B">
        <w:rPr>
          <w:iCs/>
        </w:rPr>
        <w:t xml:space="preserve"> </w:t>
      </w:r>
      <w:r w:rsidR="00242A08">
        <w:rPr>
          <w:iCs/>
        </w:rPr>
        <w:t>people who inject drugs</w:t>
      </w:r>
      <w:r>
        <w:rPr>
          <w:iCs/>
        </w:rPr>
        <w:t xml:space="preserve"> </w:t>
      </w:r>
      <w:r w:rsidR="00EE0C38">
        <w:rPr>
          <w:iCs/>
        </w:rPr>
        <w:t>and/</w:t>
      </w:r>
      <w:r>
        <w:rPr>
          <w:iCs/>
        </w:rPr>
        <w:t xml:space="preserve">or sex workers) </w:t>
      </w:r>
      <w:r w:rsidRPr="00B0199B">
        <w:rPr>
          <w:iCs/>
        </w:rPr>
        <w:t xml:space="preserve">and </w:t>
      </w:r>
      <w:r w:rsidR="00551386">
        <w:rPr>
          <w:iCs/>
        </w:rPr>
        <w:t xml:space="preserve">priority </w:t>
      </w:r>
      <w:r w:rsidRPr="00B0199B">
        <w:rPr>
          <w:iCs/>
        </w:rPr>
        <w:t>settings</w:t>
      </w:r>
      <w:r>
        <w:rPr>
          <w:iCs/>
        </w:rPr>
        <w:t xml:space="preserve"> (</w:t>
      </w:r>
      <w:r w:rsidR="00DE122A">
        <w:rPr>
          <w:iCs/>
        </w:rPr>
        <w:t xml:space="preserve">see </w:t>
      </w:r>
      <w:r>
        <w:rPr>
          <w:iCs/>
        </w:rPr>
        <w:t xml:space="preserve">Figure </w:t>
      </w:r>
      <w:r w:rsidR="00A409E7">
        <w:rPr>
          <w:iCs/>
        </w:rPr>
        <w:t>4</w:t>
      </w:r>
      <w:r>
        <w:rPr>
          <w:iCs/>
        </w:rPr>
        <w:t>)</w:t>
      </w:r>
      <w:r w:rsidRPr="00B0199B">
        <w:rPr>
          <w:iCs/>
        </w:rPr>
        <w:t xml:space="preserve">. This results in a diverse variety of intersecting characteristics and risk factors unique to </w:t>
      </w:r>
      <w:r>
        <w:rPr>
          <w:iCs/>
        </w:rPr>
        <w:t xml:space="preserve">each </w:t>
      </w:r>
      <w:r w:rsidRPr="00B0199B">
        <w:rPr>
          <w:iCs/>
        </w:rPr>
        <w:t xml:space="preserve">individual. </w:t>
      </w:r>
    </w:p>
    <w:p w14:paraId="3EED5432" w14:textId="25CC7543" w:rsidR="00E74617" w:rsidRDefault="007607CB" w:rsidP="00E74617">
      <w:pPr>
        <w:pStyle w:val="CommentText"/>
        <w:rPr>
          <w:rFonts w:ascii="Segoe UI Semibold" w:hAnsi="Segoe UI Semibold"/>
          <w:bCs/>
          <w:color w:val="00264D"/>
          <w:szCs w:val="18"/>
        </w:rPr>
      </w:pPr>
      <w:r w:rsidRPr="00B0199B">
        <w:rPr>
          <w:iCs/>
        </w:rPr>
        <w:t xml:space="preserve">In accordance with the guiding principle of </w:t>
      </w:r>
      <w:r w:rsidR="00246CD7">
        <w:rPr>
          <w:iCs/>
        </w:rPr>
        <w:t>‘</w:t>
      </w:r>
      <w:r w:rsidRPr="00B0199B">
        <w:rPr>
          <w:iCs/>
        </w:rPr>
        <w:t>access and equity</w:t>
      </w:r>
      <w:r w:rsidR="00246CD7">
        <w:rPr>
          <w:iCs/>
        </w:rPr>
        <w:t>’ (</w:t>
      </w:r>
      <w:r w:rsidR="00DE122A">
        <w:rPr>
          <w:iCs/>
        </w:rPr>
        <w:t xml:space="preserve">see </w:t>
      </w:r>
      <w:r w:rsidR="00246CD7">
        <w:rPr>
          <w:iCs/>
        </w:rPr>
        <w:fldChar w:fldCharType="begin"/>
      </w:r>
      <w:r w:rsidR="00246CD7">
        <w:rPr>
          <w:iCs/>
        </w:rPr>
        <w:instrText xml:space="preserve"> REF _Ref522542807 \r \h </w:instrText>
      </w:r>
      <w:r w:rsidR="00246CD7">
        <w:rPr>
          <w:iCs/>
        </w:rPr>
      </w:r>
      <w:r w:rsidR="00246CD7">
        <w:rPr>
          <w:iCs/>
        </w:rPr>
        <w:fldChar w:fldCharType="separate"/>
      </w:r>
      <w:r w:rsidR="00376B98">
        <w:rPr>
          <w:iCs/>
        </w:rPr>
        <w:t>Appendix A</w:t>
      </w:r>
      <w:r w:rsidR="00246CD7">
        <w:rPr>
          <w:iCs/>
        </w:rPr>
        <w:fldChar w:fldCharType="end"/>
      </w:r>
      <w:r w:rsidR="00246CD7">
        <w:rPr>
          <w:iCs/>
        </w:rPr>
        <w:t>)</w:t>
      </w:r>
      <w:r w:rsidRPr="00B0199B">
        <w:rPr>
          <w:iCs/>
        </w:rPr>
        <w:t xml:space="preserve">, the unique challenges and experiences within all </w:t>
      </w:r>
      <w:r>
        <w:rPr>
          <w:iCs/>
        </w:rPr>
        <w:t>priority groups</w:t>
      </w:r>
      <w:r w:rsidRPr="00B0199B">
        <w:rPr>
          <w:iCs/>
        </w:rPr>
        <w:t xml:space="preserve"> </w:t>
      </w:r>
      <w:r>
        <w:rPr>
          <w:iCs/>
        </w:rPr>
        <w:t xml:space="preserve">and communities </w:t>
      </w:r>
      <w:r w:rsidRPr="00B0199B">
        <w:rPr>
          <w:iCs/>
        </w:rPr>
        <w:t>need to be considered in the response. This includes, but is not limited to, all gender expressions and experiences, disabilities</w:t>
      </w:r>
      <w:r w:rsidR="00DE122A">
        <w:rPr>
          <w:iCs/>
        </w:rPr>
        <w:t xml:space="preserve"> and </w:t>
      </w:r>
      <w:r w:rsidRPr="00B0199B">
        <w:rPr>
          <w:iCs/>
        </w:rPr>
        <w:t>sexual orientations</w:t>
      </w:r>
      <w:r>
        <w:rPr>
          <w:iCs/>
        </w:rPr>
        <w:t xml:space="preserve"> and </w:t>
      </w:r>
      <w:r w:rsidRPr="00B0199B">
        <w:rPr>
          <w:iCs/>
        </w:rPr>
        <w:t>across</w:t>
      </w:r>
      <w:r w:rsidR="00233F6A">
        <w:rPr>
          <w:iCs/>
        </w:rPr>
        <w:t xml:space="preserve"> different geographic settings.</w:t>
      </w:r>
      <w:r w:rsidR="003B3DC1">
        <w:rPr>
          <w:rFonts w:ascii="Segoe UI Semibold" w:hAnsi="Segoe UI Semibold"/>
          <w:bCs/>
          <w:color w:val="00264D"/>
          <w:szCs w:val="18"/>
        </w:rPr>
        <w:t xml:space="preserve"> </w:t>
      </w:r>
    </w:p>
    <w:p w14:paraId="7442B32C" w14:textId="1DD62056" w:rsidR="00157A17" w:rsidRDefault="00157A17" w:rsidP="00E74617">
      <w:pPr>
        <w:pStyle w:val="CommentText"/>
        <w:rPr>
          <w:rFonts w:ascii="Segoe UI Semibold" w:hAnsi="Segoe UI Semibold"/>
          <w:bCs/>
          <w:color w:val="00264D"/>
          <w:szCs w:val="18"/>
        </w:rPr>
      </w:pPr>
    </w:p>
    <w:p w14:paraId="438B10A3" w14:textId="4049513B" w:rsidR="000E6570" w:rsidRDefault="000E6570" w:rsidP="00E74617">
      <w:pPr>
        <w:pStyle w:val="CommentText"/>
      </w:pPr>
      <w:r w:rsidRPr="00A22B00">
        <w:rPr>
          <w:noProof/>
          <w:lang w:eastAsia="en-AU"/>
        </w:rPr>
        <mc:AlternateContent>
          <mc:Choice Requires="wps">
            <w:drawing>
              <wp:anchor distT="0" distB="0" distL="114300" distR="114300" simplePos="0" relativeHeight="251658240" behindDoc="0" locked="0" layoutInCell="1" allowOverlap="1" wp14:anchorId="2D19E5B7" wp14:editId="0AC4F074">
                <wp:simplePos x="0" y="0"/>
                <wp:positionH relativeFrom="margin">
                  <wp:posOffset>48260</wp:posOffset>
                </wp:positionH>
                <wp:positionV relativeFrom="paragraph">
                  <wp:posOffset>15240</wp:posOffset>
                </wp:positionV>
                <wp:extent cx="6162040" cy="2867025"/>
                <wp:effectExtent l="0" t="0" r="1016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2867025"/>
                        </a:xfrm>
                        <a:prstGeom prst="rect">
                          <a:avLst/>
                        </a:prstGeom>
                        <a:solidFill>
                          <a:srgbClr val="FFFFFF"/>
                        </a:solidFill>
                        <a:ln w="9525">
                          <a:solidFill>
                            <a:srgbClr val="000000"/>
                          </a:solidFill>
                          <a:miter lim="800000"/>
                          <a:headEnd/>
                          <a:tailEnd/>
                        </a:ln>
                      </wps:spPr>
                      <wps:txbx>
                        <w:txbxContent>
                          <w:p w14:paraId="0BE37F33" w14:textId="6FC2E1A2" w:rsidR="00BA4B48" w:rsidRPr="006F22DB" w:rsidRDefault="00BA4B48" w:rsidP="00E74617">
                            <w:pPr>
                              <w:rPr>
                                <w:i/>
                              </w:rPr>
                            </w:pPr>
                            <w:r w:rsidRPr="006F22DB">
                              <w:rPr>
                                <w:i/>
                              </w:rPr>
                              <w:t>Aboriginal and Torres Strait Islander people</w:t>
                            </w:r>
                            <w:r>
                              <w:rPr>
                                <w:i/>
                              </w:rPr>
                              <w:t>s—</w:t>
                            </w:r>
                            <w:r w:rsidRPr="006F22DB">
                              <w:rPr>
                                <w:i/>
                              </w:rPr>
                              <w:t xml:space="preserve">population </w:t>
                            </w:r>
                            <w:r>
                              <w:rPr>
                                <w:i/>
                              </w:rPr>
                              <w:t>data (Census, 2016)</w:t>
                            </w:r>
                          </w:p>
                          <w:p w14:paraId="31937EAD" w14:textId="2256FE10" w:rsidR="00BA4B48" w:rsidRPr="00920C57" w:rsidRDefault="00BA4B48" w:rsidP="00E74617">
                            <w:pPr>
                              <w:rPr>
                                <w:sz w:val="17"/>
                                <w:szCs w:val="17"/>
                              </w:rPr>
                            </w:pPr>
                            <w:r>
                              <w:rPr>
                                <w:sz w:val="17"/>
                                <w:szCs w:val="17"/>
                              </w:rPr>
                              <w:t xml:space="preserve">In 2016, </w:t>
                            </w:r>
                            <w:r w:rsidRPr="00920C57">
                              <w:rPr>
                                <w:sz w:val="17"/>
                                <w:szCs w:val="17"/>
                              </w:rPr>
                              <w:t>Aboriginal and Torres Strait Islander people</w:t>
                            </w:r>
                            <w:r>
                              <w:rPr>
                                <w:sz w:val="17"/>
                                <w:szCs w:val="17"/>
                              </w:rPr>
                              <w:t>s</w:t>
                            </w:r>
                            <w:r w:rsidRPr="00920C57">
                              <w:rPr>
                                <w:sz w:val="17"/>
                                <w:szCs w:val="17"/>
                              </w:rPr>
                              <w:t xml:space="preserve"> represented 2.8 per cent of the Australian population. Of the 649</w:t>
                            </w:r>
                            <w:r>
                              <w:rPr>
                                <w:sz w:val="17"/>
                                <w:szCs w:val="17"/>
                              </w:rPr>
                              <w:t> </w:t>
                            </w:r>
                            <w:r w:rsidRPr="00920C57">
                              <w:rPr>
                                <w:sz w:val="17"/>
                                <w:szCs w:val="17"/>
                              </w:rPr>
                              <w:t>200 people who identified as being of Aboriginal and/or Torres Strait Islander origin, 90.9 per cent were of Aboriginal origin, 5.0 per cent were of Torres Strait Islander origin and 4.1 per cent identified as being of both Aboriginal and Torres Strait Islander origin.</w:t>
                            </w:r>
                          </w:p>
                          <w:p w14:paraId="026F80B4" w14:textId="1ED6094F" w:rsidR="00BA4B48" w:rsidRPr="00920C57" w:rsidRDefault="00BA4B48" w:rsidP="00E74617">
                            <w:pPr>
                              <w:rPr>
                                <w:sz w:val="17"/>
                                <w:szCs w:val="17"/>
                              </w:rPr>
                            </w:pPr>
                            <w:r w:rsidRPr="00920C57">
                              <w:rPr>
                                <w:sz w:val="17"/>
                                <w:szCs w:val="17"/>
                              </w:rPr>
                              <w:t>New South Wales had the highest count of Aboriginal and Torres Strait Islander people (33</w:t>
                            </w:r>
                            <w:r>
                              <w:rPr>
                                <w:sz w:val="17"/>
                                <w:szCs w:val="17"/>
                              </w:rPr>
                              <w:t xml:space="preserve"> per cent</w:t>
                            </w:r>
                            <w:r w:rsidRPr="00920C57">
                              <w:rPr>
                                <w:sz w:val="17"/>
                                <w:szCs w:val="17"/>
                              </w:rPr>
                              <w:t xml:space="preserve"> of the national total), followed by Queensland (29</w:t>
                            </w:r>
                            <w:r>
                              <w:rPr>
                                <w:sz w:val="17"/>
                                <w:szCs w:val="17"/>
                              </w:rPr>
                              <w:t xml:space="preserve"> per cent</w:t>
                            </w:r>
                            <w:r w:rsidRPr="00920C57">
                              <w:rPr>
                                <w:sz w:val="17"/>
                                <w:szCs w:val="17"/>
                              </w:rPr>
                              <w:t>) and Western Australia (12</w:t>
                            </w:r>
                            <w:r>
                              <w:rPr>
                                <w:sz w:val="17"/>
                                <w:szCs w:val="17"/>
                              </w:rPr>
                              <w:t xml:space="preserve"> per cent</w:t>
                            </w:r>
                            <w:r w:rsidRPr="00920C57">
                              <w:rPr>
                                <w:sz w:val="17"/>
                                <w:szCs w:val="17"/>
                              </w:rPr>
                              <w:t>). The Northern Territory had the highest proportion of the population who identified as being of Aboriginal and Torres Strait Islander origin (26</w:t>
                            </w:r>
                            <w:r>
                              <w:rPr>
                                <w:sz w:val="17"/>
                                <w:szCs w:val="17"/>
                              </w:rPr>
                              <w:t xml:space="preserve"> per cent</w:t>
                            </w:r>
                            <w:r w:rsidRPr="00920C57">
                              <w:rPr>
                                <w:sz w:val="17"/>
                                <w:szCs w:val="17"/>
                              </w:rPr>
                              <w:t>), while Victoria had the lowest at less than 1 per cent of the state total.</w:t>
                            </w:r>
                          </w:p>
                          <w:p w14:paraId="0AA9224E" w14:textId="5E738C32" w:rsidR="00BA4B48" w:rsidRDefault="00BA4B48" w:rsidP="00E74617">
                            <w:pPr>
                              <w:rPr>
                                <w:sz w:val="17"/>
                                <w:szCs w:val="17"/>
                              </w:rPr>
                            </w:pPr>
                            <w:r w:rsidRPr="00920C57">
                              <w:rPr>
                                <w:sz w:val="17"/>
                                <w:szCs w:val="17"/>
                              </w:rPr>
                              <w:t>Aboriginal and Torres Strait Islander people are increasingly living in urban areas, with 79 per cent of people living in urban areas in 2016 and 30 per</w:t>
                            </w:r>
                            <w:r>
                              <w:rPr>
                                <w:sz w:val="17"/>
                                <w:szCs w:val="17"/>
                              </w:rPr>
                              <w:t xml:space="preserve"> </w:t>
                            </w:r>
                            <w:r w:rsidRPr="00920C57">
                              <w:rPr>
                                <w:sz w:val="17"/>
                                <w:szCs w:val="17"/>
                              </w:rPr>
                              <w:t>cent in capital cities (increased from 73</w:t>
                            </w:r>
                            <w:r>
                              <w:rPr>
                                <w:sz w:val="17"/>
                                <w:szCs w:val="17"/>
                              </w:rPr>
                              <w:t xml:space="preserve"> per cent</w:t>
                            </w:r>
                            <w:r w:rsidRPr="00920C57">
                              <w:rPr>
                                <w:sz w:val="17"/>
                                <w:szCs w:val="17"/>
                              </w:rPr>
                              <w:t xml:space="preserve"> and 30</w:t>
                            </w:r>
                            <w:r>
                              <w:rPr>
                                <w:sz w:val="17"/>
                                <w:szCs w:val="17"/>
                              </w:rPr>
                              <w:t xml:space="preserve"> per cent</w:t>
                            </w:r>
                            <w:r w:rsidRPr="00920C57">
                              <w:rPr>
                                <w:sz w:val="17"/>
                                <w:szCs w:val="17"/>
                              </w:rPr>
                              <w:t xml:space="preserve"> in 1996). The Northern Territory has the highest proportion of Aboriginal and Torres Strait Islander people living in rural areas.  </w:t>
                            </w:r>
                          </w:p>
                          <w:p w14:paraId="1595C48F" w14:textId="11D64DB5" w:rsidR="00BA4B48" w:rsidRDefault="00BA4B48" w:rsidP="00E74617">
                            <w:pPr>
                              <w:rPr>
                                <w:sz w:val="17"/>
                                <w:szCs w:val="17"/>
                              </w:rPr>
                            </w:pPr>
                            <w:r w:rsidRPr="00920C57">
                              <w:rPr>
                                <w:sz w:val="17"/>
                                <w:szCs w:val="17"/>
                              </w:rPr>
                              <w:t>In 2016, more than half (53</w:t>
                            </w:r>
                            <w:r>
                              <w:rPr>
                                <w:sz w:val="17"/>
                                <w:szCs w:val="17"/>
                              </w:rPr>
                              <w:t xml:space="preserve"> per cent</w:t>
                            </w:r>
                            <w:r w:rsidRPr="00920C57">
                              <w:rPr>
                                <w:sz w:val="17"/>
                                <w:szCs w:val="17"/>
                              </w:rPr>
                              <w:t xml:space="preserve">) </w:t>
                            </w:r>
                            <w:r>
                              <w:rPr>
                                <w:sz w:val="17"/>
                                <w:szCs w:val="17"/>
                              </w:rPr>
                              <w:t xml:space="preserve">of </w:t>
                            </w:r>
                            <w:r w:rsidRPr="00920C57">
                              <w:rPr>
                                <w:sz w:val="17"/>
                                <w:szCs w:val="17"/>
                              </w:rPr>
                              <w:t>Aboriginal and Torres Strait Islander people were under the age of 25 years, compared with 31 per cent in non-Indigenous people.</w:t>
                            </w:r>
                          </w:p>
                          <w:p w14:paraId="76F01EFD" w14:textId="10F17775" w:rsidR="00BA4B48" w:rsidRPr="00920C57" w:rsidRDefault="00BA4B48" w:rsidP="00E74617">
                            <w:pPr>
                              <w:rPr>
                                <w:sz w:val="17"/>
                                <w:szCs w:val="17"/>
                              </w:rPr>
                            </w:pPr>
                            <w:r>
                              <w:rPr>
                                <w:sz w:val="17"/>
                                <w:szCs w:val="17"/>
                              </w:rPr>
                              <w:t xml:space="preserve">Source: </w:t>
                            </w:r>
                            <w:r w:rsidRPr="00D0123C">
                              <w:rPr>
                                <w:color w:val="1F497D" w:themeColor="text2"/>
                                <w:sz w:val="17"/>
                                <w:szCs w:val="17"/>
                              </w:rPr>
                              <w:t xml:space="preserve">Australian Bureau of Statistics (2017) </w:t>
                            </w:r>
                            <w:r w:rsidRPr="00D0123C">
                              <w:rPr>
                                <w:color w:val="1F497D" w:themeColor="text2"/>
                                <w:sz w:val="17"/>
                                <w:szCs w:val="17"/>
                                <w:lang w:val="en"/>
                              </w:rPr>
                              <w:t>2071.0</w:t>
                            </w:r>
                            <w:r>
                              <w:rPr>
                                <w:color w:val="1F497D" w:themeColor="text2"/>
                                <w:sz w:val="17"/>
                                <w:szCs w:val="17"/>
                                <w:lang w:val="en"/>
                              </w:rPr>
                              <w:t>—</w:t>
                            </w:r>
                            <w:r w:rsidRPr="00D0123C">
                              <w:rPr>
                                <w:color w:val="1F497D" w:themeColor="text2"/>
                                <w:sz w:val="17"/>
                                <w:szCs w:val="17"/>
                                <w:lang w:val="en"/>
                              </w:rPr>
                              <w:t>Census of Population and Housing: Reflecting Australia</w:t>
                            </w:r>
                            <w:r>
                              <w:rPr>
                                <w:color w:val="1F497D" w:themeColor="text2"/>
                                <w:sz w:val="17"/>
                                <w:szCs w:val="17"/>
                                <w:lang w:val="en"/>
                              </w:rPr>
                              <w:t>—</w:t>
                            </w:r>
                            <w:r w:rsidRPr="00D0123C">
                              <w:rPr>
                                <w:color w:val="1F497D" w:themeColor="text2"/>
                                <w:sz w:val="17"/>
                                <w:szCs w:val="17"/>
                                <w:lang w:val="en"/>
                              </w:rPr>
                              <w:t xml:space="preserve">Stories from the Census, 2016.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9E5B7" id="_x0000_s1027" type="#_x0000_t202" style="position:absolute;margin-left:3.8pt;margin-top:1.2pt;width:485.2pt;height:225.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">
                <v:textbox>
                  <w:txbxContent>
                    <w:p w14:paraId="0BE37F33" w14:textId="6FC2E1A2" w:rsidR="00BA4B48" w:rsidRPr="006F22DB" w:rsidRDefault="00BA4B48" w:rsidP="00E74617">
                      <w:pPr>
                        <w:rPr>
                          <w:i/>
                        </w:rPr>
                      </w:pPr>
                      <w:r w:rsidRPr="006F22DB">
                        <w:rPr>
                          <w:i/>
                        </w:rPr>
                        <w:t>Aboriginal and Torres Strait Islander people</w:t>
                      </w:r>
                      <w:r>
                        <w:rPr>
                          <w:i/>
                        </w:rPr>
                        <w:t>s—</w:t>
                      </w:r>
                      <w:r w:rsidRPr="006F22DB">
                        <w:rPr>
                          <w:i/>
                        </w:rPr>
                        <w:t xml:space="preserve">population </w:t>
                      </w:r>
                      <w:r>
                        <w:rPr>
                          <w:i/>
                        </w:rPr>
                        <w:t>data (Census, 2016)</w:t>
                      </w:r>
                    </w:p>
                    <w:p w14:paraId="31937EAD" w14:textId="2256FE10" w:rsidR="00BA4B48" w:rsidRPr="00920C57" w:rsidRDefault="00BA4B48" w:rsidP="00E74617">
                      <w:pPr>
                        <w:rPr>
                          <w:sz w:val="17"/>
                          <w:szCs w:val="17"/>
                        </w:rPr>
                      </w:pPr>
                      <w:r>
                        <w:rPr>
                          <w:sz w:val="17"/>
                          <w:szCs w:val="17"/>
                        </w:rPr>
                        <w:t xml:space="preserve">In 2016, </w:t>
                      </w:r>
                      <w:r w:rsidRPr="00920C57">
                        <w:rPr>
                          <w:sz w:val="17"/>
                          <w:szCs w:val="17"/>
                        </w:rPr>
                        <w:t>Aboriginal and Torres Strait Islander people</w:t>
                      </w:r>
                      <w:r>
                        <w:rPr>
                          <w:sz w:val="17"/>
                          <w:szCs w:val="17"/>
                        </w:rPr>
                        <w:t>s</w:t>
                      </w:r>
                      <w:r w:rsidRPr="00920C57">
                        <w:rPr>
                          <w:sz w:val="17"/>
                          <w:szCs w:val="17"/>
                        </w:rPr>
                        <w:t xml:space="preserve"> represented 2.8 per cent of the Australian population. Of the 649</w:t>
                      </w:r>
                      <w:r>
                        <w:rPr>
                          <w:sz w:val="17"/>
                          <w:szCs w:val="17"/>
                        </w:rPr>
                        <w:t> </w:t>
                      </w:r>
                      <w:r w:rsidRPr="00920C57">
                        <w:rPr>
                          <w:sz w:val="17"/>
                          <w:szCs w:val="17"/>
                        </w:rPr>
                        <w:t>200 people who identified as being of Aboriginal and/or Torres Strait Islander origin, 90.9 per cent were of Aboriginal origin, 5.0 per cent were of Torres Strait Islander origin and 4.1 per cent identified as being of both Aboriginal and Torres Strait Islander origin.</w:t>
                      </w:r>
                    </w:p>
                    <w:p w14:paraId="026F80B4" w14:textId="1ED6094F" w:rsidR="00BA4B48" w:rsidRPr="00920C57" w:rsidRDefault="00BA4B48" w:rsidP="00E74617">
                      <w:pPr>
                        <w:rPr>
                          <w:sz w:val="17"/>
                          <w:szCs w:val="17"/>
                        </w:rPr>
                      </w:pPr>
                      <w:r w:rsidRPr="00920C57">
                        <w:rPr>
                          <w:sz w:val="17"/>
                          <w:szCs w:val="17"/>
                        </w:rPr>
                        <w:t>New South Wales had the highest count of Aboriginal and Torres Strait Islander people (33</w:t>
                      </w:r>
                      <w:r>
                        <w:rPr>
                          <w:sz w:val="17"/>
                          <w:szCs w:val="17"/>
                        </w:rPr>
                        <w:t xml:space="preserve"> per cent</w:t>
                      </w:r>
                      <w:r w:rsidRPr="00920C57">
                        <w:rPr>
                          <w:sz w:val="17"/>
                          <w:szCs w:val="17"/>
                        </w:rPr>
                        <w:t xml:space="preserve"> of the national total), followed by Queensland (29</w:t>
                      </w:r>
                      <w:r>
                        <w:rPr>
                          <w:sz w:val="17"/>
                          <w:szCs w:val="17"/>
                        </w:rPr>
                        <w:t xml:space="preserve"> per cent</w:t>
                      </w:r>
                      <w:r w:rsidRPr="00920C57">
                        <w:rPr>
                          <w:sz w:val="17"/>
                          <w:szCs w:val="17"/>
                        </w:rPr>
                        <w:t>) and Western Australia (12</w:t>
                      </w:r>
                      <w:r>
                        <w:rPr>
                          <w:sz w:val="17"/>
                          <w:szCs w:val="17"/>
                        </w:rPr>
                        <w:t xml:space="preserve"> per cent</w:t>
                      </w:r>
                      <w:r w:rsidRPr="00920C57">
                        <w:rPr>
                          <w:sz w:val="17"/>
                          <w:szCs w:val="17"/>
                        </w:rPr>
                        <w:t>). The Northern Territory had the highest proportion of the population who identified as being of Aboriginal and Torres Strait Islander origin (26</w:t>
                      </w:r>
                      <w:r>
                        <w:rPr>
                          <w:sz w:val="17"/>
                          <w:szCs w:val="17"/>
                        </w:rPr>
                        <w:t xml:space="preserve"> per cent</w:t>
                      </w:r>
                      <w:r w:rsidRPr="00920C57">
                        <w:rPr>
                          <w:sz w:val="17"/>
                          <w:szCs w:val="17"/>
                        </w:rPr>
                        <w:t>), while Victoria had the lowest at less than 1 per cent of the state total.</w:t>
                      </w:r>
                    </w:p>
                    <w:p w14:paraId="0AA9224E" w14:textId="5E738C32" w:rsidR="00BA4B48" w:rsidRDefault="00BA4B48" w:rsidP="00E74617">
                      <w:pPr>
                        <w:rPr>
                          <w:sz w:val="17"/>
                          <w:szCs w:val="17"/>
                        </w:rPr>
                      </w:pPr>
                      <w:r w:rsidRPr="00920C57">
                        <w:rPr>
                          <w:sz w:val="17"/>
                          <w:szCs w:val="17"/>
                        </w:rPr>
                        <w:t>Aboriginal and Torres Strait Islander people are increasingly living in urban areas, with 79 per cent of people living in urban areas in 2016 and 30 per</w:t>
                      </w:r>
                      <w:r>
                        <w:rPr>
                          <w:sz w:val="17"/>
                          <w:szCs w:val="17"/>
                        </w:rPr>
                        <w:t xml:space="preserve"> </w:t>
                      </w:r>
                      <w:r w:rsidRPr="00920C57">
                        <w:rPr>
                          <w:sz w:val="17"/>
                          <w:szCs w:val="17"/>
                        </w:rPr>
                        <w:t>cent in capital cities (increased from 73</w:t>
                      </w:r>
                      <w:r>
                        <w:rPr>
                          <w:sz w:val="17"/>
                          <w:szCs w:val="17"/>
                        </w:rPr>
                        <w:t xml:space="preserve"> per cent</w:t>
                      </w:r>
                      <w:r w:rsidRPr="00920C57">
                        <w:rPr>
                          <w:sz w:val="17"/>
                          <w:szCs w:val="17"/>
                        </w:rPr>
                        <w:t xml:space="preserve"> and 30</w:t>
                      </w:r>
                      <w:r>
                        <w:rPr>
                          <w:sz w:val="17"/>
                          <w:szCs w:val="17"/>
                        </w:rPr>
                        <w:t xml:space="preserve"> per cent</w:t>
                      </w:r>
                      <w:r w:rsidRPr="00920C57">
                        <w:rPr>
                          <w:sz w:val="17"/>
                          <w:szCs w:val="17"/>
                        </w:rPr>
                        <w:t xml:space="preserve"> in 1996). The Northern Territory has the highest proportion of Aboriginal and Torres Strait Islander people living in rural areas.  </w:t>
                      </w:r>
                    </w:p>
                    <w:p w14:paraId="1595C48F" w14:textId="11D64DB5" w:rsidR="00BA4B48" w:rsidRDefault="00BA4B48" w:rsidP="00E74617">
                      <w:pPr>
                        <w:rPr>
                          <w:sz w:val="17"/>
                          <w:szCs w:val="17"/>
                        </w:rPr>
                      </w:pPr>
                      <w:r w:rsidRPr="00920C57">
                        <w:rPr>
                          <w:sz w:val="17"/>
                          <w:szCs w:val="17"/>
                        </w:rPr>
                        <w:t>In 2016, more than half (53</w:t>
                      </w:r>
                      <w:r>
                        <w:rPr>
                          <w:sz w:val="17"/>
                          <w:szCs w:val="17"/>
                        </w:rPr>
                        <w:t xml:space="preserve"> per cent</w:t>
                      </w:r>
                      <w:r w:rsidRPr="00920C57">
                        <w:rPr>
                          <w:sz w:val="17"/>
                          <w:szCs w:val="17"/>
                        </w:rPr>
                        <w:t xml:space="preserve">) </w:t>
                      </w:r>
                      <w:r>
                        <w:rPr>
                          <w:sz w:val="17"/>
                          <w:szCs w:val="17"/>
                        </w:rPr>
                        <w:t xml:space="preserve">of </w:t>
                      </w:r>
                      <w:r w:rsidRPr="00920C57">
                        <w:rPr>
                          <w:sz w:val="17"/>
                          <w:szCs w:val="17"/>
                        </w:rPr>
                        <w:t>Aboriginal and Torres Strait Islander people were under the age of 25 years, compared with 31 per cent in non-Indigenous people.</w:t>
                      </w:r>
                    </w:p>
                    <w:p w14:paraId="76F01EFD" w14:textId="10F17775" w:rsidR="00BA4B48" w:rsidRPr="00920C57" w:rsidRDefault="00BA4B48" w:rsidP="00E74617">
                      <w:pPr>
                        <w:rPr>
                          <w:sz w:val="17"/>
                          <w:szCs w:val="17"/>
                        </w:rPr>
                      </w:pPr>
                      <w:r>
                        <w:rPr>
                          <w:sz w:val="17"/>
                          <w:szCs w:val="17"/>
                        </w:rPr>
                        <w:t xml:space="preserve">Source: </w:t>
                      </w:r>
                      <w:r w:rsidRPr="00D0123C">
                        <w:rPr>
                          <w:color w:val="1F497D" w:themeColor="text2"/>
                          <w:sz w:val="17"/>
                          <w:szCs w:val="17"/>
                        </w:rPr>
                        <w:t xml:space="preserve">Australian Bureau of Statistics (2017) </w:t>
                      </w:r>
                      <w:r w:rsidRPr="00D0123C">
                        <w:rPr>
                          <w:color w:val="1F497D" w:themeColor="text2"/>
                          <w:sz w:val="17"/>
                          <w:szCs w:val="17"/>
                          <w:lang w:val="en"/>
                        </w:rPr>
                        <w:t>2071.0</w:t>
                      </w:r>
                      <w:r>
                        <w:rPr>
                          <w:color w:val="1F497D" w:themeColor="text2"/>
                          <w:sz w:val="17"/>
                          <w:szCs w:val="17"/>
                          <w:lang w:val="en"/>
                        </w:rPr>
                        <w:t>—</w:t>
                      </w:r>
                      <w:r w:rsidRPr="00D0123C">
                        <w:rPr>
                          <w:color w:val="1F497D" w:themeColor="text2"/>
                          <w:sz w:val="17"/>
                          <w:szCs w:val="17"/>
                          <w:lang w:val="en"/>
                        </w:rPr>
                        <w:t>Census of Population and Housing: Reflecting Australia</w:t>
                      </w:r>
                      <w:r>
                        <w:rPr>
                          <w:color w:val="1F497D" w:themeColor="text2"/>
                          <w:sz w:val="17"/>
                          <w:szCs w:val="17"/>
                          <w:lang w:val="en"/>
                        </w:rPr>
                        <w:t>—</w:t>
                      </w:r>
                      <w:r w:rsidRPr="00D0123C">
                        <w:rPr>
                          <w:color w:val="1F497D" w:themeColor="text2"/>
                          <w:sz w:val="17"/>
                          <w:szCs w:val="17"/>
                          <w:lang w:val="en"/>
                        </w:rPr>
                        <w:t xml:space="preserve">Stories from the Census, 2016. </w:t>
                      </w:r>
                    </w:p>
                  </w:txbxContent>
                </v:textbox>
                <w10:wrap type="square" anchorx="margin"/>
              </v:shape>
            </w:pict>
          </mc:Fallback>
        </mc:AlternateContent>
      </w:r>
    </w:p>
    <w:p w14:paraId="226B4E09" w14:textId="46AC60F1" w:rsidR="003D15B5" w:rsidRDefault="00A33745" w:rsidP="002E5269">
      <w:pPr>
        <w:pStyle w:val="CommentText"/>
        <w:rPr>
          <w:i/>
        </w:rPr>
      </w:pPr>
      <w:r w:rsidRPr="000E6570">
        <w:br w:type="page"/>
      </w:r>
      <w:r w:rsidR="00B665F1">
        <w:lastRenderedPageBreak/>
        <w:t>F</w:t>
      </w:r>
      <w:r w:rsidR="00453F1F">
        <w:t xml:space="preserve">igure </w:t>
      </w:r>
      <w:r w:rsidR="00526B19">
        <w:t>4</w:t>
      </w:r>
      <w:r w:rsidR="00453F1F">
        <w:t xml:space="preserve">: Priority </w:t>
      </w:r>
      <w:r w:rsidR="00427C56">
        <w:t>groups</w:t>
      </w:r>
      <w:r w:rsidR="00453F1F">
        <w:t xml:space="preserve"> and settings for the </w:t>
      </w:r>
      <w:r w:rsidR="00453F1F" w:rsidRPr="00E65014">
        <w:t>Fifth National Aboriginal and Torres Strait Islander BBV and STI Strategy 2018</w:t>
      </w:r>
      <w:r w:rsidR="00DE122A" w:rsidRPr="00E65014">
        <w:t>–</w:t>
      </w:r>
      <w:r w:rsidR="00453F1F" w:rsidRPr="00E65014">
        <w:t>2022</w:t>
      </w:r>
      <w:r w:rsidR="002E5269">
        <w:rPr>
          <w:i/>
          <w:noProof/>
          <w:lang w:eastAsia="en-AU"/>
        </w:rPr>
        <w:drawing>
          <wp:inline distT="0" distB="0" distL="0" distR="0" wp14:anchorId="632033F9" wp14:editId="07B1C466">
            <wp:extent cx="6181741" cy="7936826"/>
            <wp:effectExtent l="0" t="0" r="0" b="7620"/>
            <wp:docPr id="15" name="Picture 15" descr="Priority groups and settings for the Fifth National Aboriginal and Torres Strait Islander BBV and STI Strategy 2018-2022" title="Figure 4: Priority groups and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765" cy="7945845"/>
                    </a:xfrm>
                    <a:prstGeom prst="rect">
                      <a:avLst/>
                    </a:prstGeom>
                    <a:noFill/>
                  </pic:spPr>
                </pic:pic>
              </a:graphicData>
            </a:graphic>
          </wp:inline>
        </w:drawing>
      </w:r>
    </w:p>
    <w:p w14:paraId="060CB923" w14:textId="77777777" w:rsidR="002E5269" w:rsidRPr="002A536E" w:rsidRDefault="002E5269" w:rsidP="002E5269">
      <w:pPr>
        <w:pStyle w:val="Caption"/>
        <w:spacing w:before="120" w:after="0"/>
        <w:rPr>
          <w:noProof/>
          <w:color w:val="auto"/>
          <w:sz w:val="16"/>
          <w:szCs w:val="16"/>
          <w:lang w:eastAsia="en-AU"/>
        </w:rPr>
      </w:pPr>
      <w:r w:rsidRPr="002A536E">
        <w:rPr>
          <w:noProof/>
          <w:color w:val="auto"/>
          <w:sz w:val="16"/>
          <w:szCs w:val="16"/>
          <w:lang w:eastAsia="en-AU"/>
        </w:rPr>
        <w:t>NOTE: This graphic is not intended to reflect equal priority or prevalence among groups</w:t>
      </w:r>
    </w:p>
    <w:p w14:paraId="099D83DE" w14:textId="2FBB5B37" w:rsidR="00CA7F81" w:rsidRDefault="00CA7F81" w:rsidP="00CA7F81">
      <w:pPr>
        <w:pStyle w:val="Caption"/>
        <w:rPr>
          <w:i/>
          <w:sz w:val="22"/>
        </w:rPr>
      </w:pPr>
      <w:r w:rsidRPr="00847E38">
        <w:rPr>
          <w:i/>
          <w:sz w:val="22"/>
        </w:rPr>
        <w:lastRenderedPageBreak/>
        <w:t>Aboriginal and Torres Strait Islander people</w:t>
      </w:r>
      <w:r>
        <w:rPr>
          <w:i/>
          <w:sz w:val="22"/>
        </w:rPr>
        <w:t xml:space="preserve"> living with </w:t>
      </w:r>
      <w:r w:rsidR="00E65014">
        <w:rPr>
          <w:i/>
          <w:sz w:val="22"/>
        </w:rPr>
        <w:t>BBV</w:t>
      </w:r>
      <w:r w:rsidR="00390621">
        <w:rPr>
          <w:i/>
          <w:sz w:val="22"/>
        </w:rPr>
        <w:t xml:space="preserve"> and their household and intimate contacts</w:t>
      </w:r>
      <w:r>
        <w:rPr>
          <w:i/>
          <w:sz w:val="22"/>
        </w:rPr>
        <w:t xml:space="preserve"> </w:t>
      </w:r>
    </w:p>
    <w:p w14:paraId="7AD891E5" w14:textId="698034C6" w:rsidR="00265159" w:rsidRDefault="00CA7F81" w:rsidP="00CA7F81">
      <w:pPr>
        <w:rPr>
          <w:sz w:val="20"/>
          <w:szCs w:val="20"/>
        </w:rPr>
      </w:pPr>
      <w:r w:rsidRPr="00B761F1">
        <w:rPr>
          <w:sz w:val="20"/>
          <w:szCs w:val="20"/>
        </w:rPr>
        <w:t xml:space="preserve">Aboriginal and Torres Strait </w:t>
      </w:r>
      <w:r>
        <w:rPr>
          <w:sz w:val="20"/>
          <w:szCs w:val="20"/>
        </w:rPr>
        <w:t>I</w:t>
      </w:r>
      <w:r w:rsidRPr="00B761F1">
        <w:rPr>
          <w:sz w:val="20"/>
          <w:szCs w:val="20"/>
        </w:rPr>
        <w:t xml:space="preserve">slander people with HIV and/or living with hepatitis </w:t>
      </w:r>
      <w:r>
        <w:rPr>
          <w:sz w:val="20"/>
          <w:szCs w:val="20"/>
        </w:rPr>
        <w:t xml:space="preserve">C </w:t>
      </w:r>
      <w:r w:rsidR="00242A08">
        <w:rPr>
          <w:sz w:val="20"/>
          <w:szCs w:val="20"/>
        </w:rPr>
        <w:t>and/</w:t>
      </w:r>
      <w:r>
        <w:rPr>
          <w:sz w:val="20"/>
          <w:szCs w:val="20"/>
        </w:rPr>
        <w:t xml:space="preserve">or hepatitis B </w:t>
      </w:r>
      <w:r w:rsidRPr="00B761F1">
        <w:rPr>
          <w:sz w:val="20"/>
          <w:szCs w:val="20"/>
        </w:rPr>
        <w:t>and their families have complex needs that must be addressed in the diagnosis, treatment and management of</w:t>
      </w:r>
      <w:r w:rsidR="009076AB">
        <w:rPr>
          <w:sz w:val="20"/>
          <w:szCs w:val="20"/>
        </w:rPr>
        <w:t xml:space="preserve"> these conditions</w:t>
      </w:r>
      <w:r w:rsidRPr="00B761F1">
        <w:rPr>
          <w:sz w:val="20"/>
          <w:szCs w:val="20"/>
        </w:rPr>
        <w:t xml:space="preserve">. </w:t>
      </w:r>
    </w:p>
    <w:p w14:paraId="6161EB83" w14:textId="6EA2FB9A" w:rsidR="00CA7F81" w:rsidRPr="00AF0A44" w:rsidRDefault="001C4F41" w:rsidP="00CA7F81">
      <w:pPr>
        <w:rPr>
          <w:sz w:val="20"/>
          <w:szCs w:val="20"/>
        </w:rPr>
      </w:pPr>
      <w:r w:rsidRPr="001C4F41">
        <w:rPr>
          <w:sz w:val="20"/>
          <w:szCs w:val="20"/>
        </w:rPr>
        <w:t>A lack of appropriate service provision, including geographic and distance barriers for remote communities</w:t>
      </w:r>
      <w:r>
        <w:rPr>
          <w:sz w:val="20"/>
          <w:szCs w:val="20"/>
        </w:rPr>
        <w:t>,</w:t>
      </w:r>
      <w:r w:rsidDel="001C4F41">
        <w:rPr>
          <w:sz w:val="20"/>
          <w:szCs w:val="20"/>
        </w:rPr>
        <w:t xml:space="preserve"> </w:t>
      </w:r>
      <w:r w:rsidR="00CA7F81" w:rsidRPr="00B761F1">
        <w:rPr>
          <w:sz w:val="20"/>
          <w:szCs w:val="20"/>
        </w:rPr>
        <w:t xml:space="preserve">decreases accessibility </w:t>
      </w:r>
      <w:r w:rsidR="00564DAB">
        <w:rPr>
          <w:sz w:val="20"/>
          <w:szCs w:val="20"/>
        </w:rPr>
        <w:t>to</w:t>
      </w:r>
      <w:r w:rsidR="00564DAB" w:rsidRPr="00B761F1">
        <w:rPr>
          <w:sz w:val="20"/>
          <w:szCs w:val="20"/>
        </w:rPr>
        <w:t xml:space="preserve"> </w:t>
      </w:r>
      <w:r w:rsidR="00CA7F81" w:rsidRPr="00B761F1">
        <w:rPr>
          <w:sz w:val="20"/>
          <w:szCs w:val="20"/>
        </w:rPr>
        <w:t xml:space="preserve">services </w:t>
      </w:r>
      <w:r>
        <w:rPr>
          <w:sz w:val="20"/>
          <w:szCs w:val="20"/>
        </w:rPr>
        <w:t>for</w:t>
      </w:r>
      <w:r w:rsidR="00CA7F81" w:rsidRPr="00B761F1">
        <w:rPr>
          <w:sz w:val="20"/>
          <w:szCs w:val="20"/>
        </w:rPr>
        <w:t xml:space="preserve"> HIV</w:t>
      </w:r>
      <w:r w:rsidR="00E87E25">
        <w:rPr>
          <w:sz w:val="20"/>
          <w:szCs w:val="20"/>
        </w:rPr>
        <w:t>,</w:t>
      </w:r>
      <w:r w:rsidR="004C416C">
        <w:rPr>
          <w:sz w:val="20"/>
          <w:szCs w:val="20"/>
        </w:rPr>
        <w:t xml:space="preserve"> </w:t>
      </w:r>
      <w:r w:rsidR="00CA7F81" w:rsidRPr="00B761F1">
        <w:rPr>
          <w:sz w:val="20"/>
          <w:szCs w:val="20"/>
        </w:rPr>
        <w:t>hepatitis</w:t>
      </w:r>
      <w:r w:rsidR="000779D1">
        <w:rPr>
          <w:sz w:val="20"/>
          <w:szCs w:val="20"/>
        </w:rPr>
        <w:t xml:space="preserve"> C and hepatitis B</w:t>
      </w:r>
      <w:r w:rsidR="00CA7F81" w:rsidRPr="00B761F1">
        <w:rPr>
          <w:sz w:val="20"/>
          <w:szCs w:val="20"/>
        </w:rPr>
        <w:t>.</w:t>
      </w:r>
      <w:r>
        <w:rPr>
          <w:sz w:val="20"/>
          <w:szCs w:val="20"/>
        </w:rPr>
        <w:t xml:space="preserve">  </w:t>
      </w:r>
    </w:p>
    <w:p w14:paraId="0494DB08" w14:textId="3E88863E" w:rsidR="00CA7F81" w:rsidRPr="00B761F1" w:rsidRDefault="00CA7F81" w:rsidP="00CA7F81">
      <w:pPr>
        <w:rPr>
          <w:sz w:val="20"/>
          <w:szCs w:val="20"/>
        </w:rPr>
      </w:pPr>
      <w:r>
        <w:rPr>
          <w:sz w:val="20"/>
          <w:szCs w:val="20"/>
        </w:rPr>
        <w:t>Available data suggests</w:t>
      </w:r>
      <w:r w:rsidRPr="00B761F1">
        <w:rPr>
          <w:sz w:val="20"/>
          <w:szCs w:val="20"/>
        </w:rPr>
        <w:t xml:space="preserve"> that there is a greater prevalence of BBV in Aboriginal and Torres Strait Islander people</w:t>
      </w:r>
      <w:r w:rsidR="00DE122A">
        <w:rPr>
          <w:sz w:val="20"/>
          <w:szCs w:val="20"/>
        </w:rPr>
        <w:t xml:space="preserve"> when </w:t>
      </w:r>
      <w:r w:rsidRPr="00B761F1">
        <w:rPr>
          <w:sz w:val="20"/>
          <w:szCs w:val="20"/>
        </w:rPr>
        <w:t xml:space="preserve">compared </w:t>
      </w:r>
      <w:r w:rsidR="00DE122A">
        <w:rPr>
          <w:sz w:val="20"/>
          <w:szCs w:val="20"/>
        </w:rPr>
        <w:t>with</w:t>
      </w:r>
      <w:r w:rsidRPr="00B761F1">
        <w:rPr>
          <w:sz w:val="20"/>
          <w:szCs w:val="20"/>
        </w:rPr>
        <w:t xml:space="preserve"> the</w:t>
      </w:r>
      <w:r>
        <w:rPr>
          <w:sz w:val="20"/>
          <w:szCs w:val="20"/>
        </w:rPr>
        <w:t xml:space="preserve"> </w:t>
      </w:r>
      <w:r w:rsidRPr="00B761F1">
        <w:rPr>
          <w:sz w:val="20"/>
          <w:szCs w:val="20"/>
        </w:rPr>
        <w:t xml:space="preserve">non-Indigenous population. </w:t>
      </w:r>
      <w:r>
        <w:rPr>
          <w:sz w:val="20"/>
          <w:szCs w:val="20"/>
        </w:rPr>
        <w:t>This</w:t>
      </w:r>
      <w:r w:rsidRPr="00B761F1">
        <w:rPr>
          <w:sz w:val="20"/>
          <w:szCs w:val="20"/>
        </w:rPr>
        <w:t xml:space="preserve"> </w:t>
      </w:r>
      <w:r>
        <w:rPr>
          <w:sz w:val="20"/>
          <w:szCs w:val="20"/>
        </w:rPr>
        <w:t>difference</w:t>
      </w:r>
      <w:r w:rsidRPr="00B761F1">
        <w:rPr>
          <w:sz w:val="20"/>
          <w:szCs w:val="20"/>
        </w:rPr>
        <w:t xml:space="preserve"> could be </w:t>
      </w:r>
      <w:r>
        <w:rPr>
          <w:sz w:val="20"/>
          <w:szCs w:val="20"/>
        </w:rPr>
        <w:t>even greater</w:t>
      </w:r>
      <w:r w:rsidRPr="00B761F1">
        <w:rPr>
          <w:sz w:val="20"/>
          <w:szCs w:val="20"/>
        </w:rPr>
        <w:t xml:space="preserve"> when </w:t>
      </w:r>
      <w:r w:rsidR="007C70F0">
        <w:rPr>
          <w:sz w:val="20"/>
          <w:szCs w:val="20"/>
        </w:rPr>
        <w:t xml:space="preserve">considering </w:t>
      </w:r>
      <w:r w:rsidRPr="00B761F1">
        <w:rPr>
          <w:sz w:val="20"/>
          <w:szCs w:val="20"/>
        </w:rPr>
        <w:t>the low reporting of Indigenous status nationally.</w:t>
      </w:r>
    </w:p>
    <w:p w14:paraId="5DA37E99" w14:textId="24503A67" w:rsidR="00FF57BD" w:rsidRDefault="00CA7F81" w:rsidP="00FF57BD">
      <w:pPr>
        <w:rPr>
          <w:sz w:val="20"/>
          <w:szCs w:val="20"/>
        </w:rPr>
      </w:pPr>
      <w:r w:rsidRPr="00B761F1">
        <w:rPr>
          <w:sz w:val="20"/>
          <w:szCs w:val="20"/>
        </w:rPr>
        <w:t xml:space="preserve">In 2016, there were an estimated 574 Aboriginal and Torres Strait Islander people living with HIV in Australia. Of these, it was estimated that 20 per cent </w:t>
      </w:r>
      <w:r w:rsidR="000A3ACB">
        <w:rPr>
          <w:sz w:val="20"/>
          <w:szCs w:val="20"/>
        </w:rPr>
        <w:t>(</w:t>
      </w:r>
      <w:r w:rsidR="00C04B6B" w:rsidRPr="00FF57BD">
        <w:rPr>
          <w:sz w:val="20"/>
          <w:szCs w:val="20"/>
        </w:rPr>
        <w:t>approx</w:t>
      </w:r>
      <w:r w:rsidR="00DE122A">
        <w:rPr>
          <w:sz w:val="20"/>
          <w:szCs w:val="20"/>
        </w:rPr>
        <w:t>imately</w:t>
      </w:r>
      <w:r w:rsidR="00C04B6B" w:rsidRPr="00FF57BD">
        <w:rPr>
          <w:sz w:val="20"/>
          <w:szCs w:val="20"/>
        </w:rPr>
        <w:t xml:space="preserve"> </w:t>
      </w:r>
      <w:r w:rsidR="000A3ACB" w:rsidRPr="00FF57BD">
        <w:rPr>
          <w:sz w:val="20"/>
          <w:szCs w:val="20"/>
        </w:rPr>
        <w:t>111</w:t>
      </w:r>
      <w:r w:rsidR="007C70F0" w:rsidRPr="00FF57BD">
        <w:rPr>
          <w:sz w:val="20"/>
          <w:szCs w:val="20"/>
        </w:rPr>
        <w:t xml:space="preserve"> people</w:t>
      </w:r>
      <w:r w:rsidR="000A3ACB" w:rsidRPr="00FF57BD">
        <w:rPr>
          <w:sz w:val="20"/>
          <w:szCs w:val="20"/>
        </w:rPr>
        <w:t xml:space="preserve">) </w:t>
      </w:r>
      <w:r w:rsidRPr="00FF57BD">
        <w:rPr>
          <w:sz w:val="20"/>
          <w:szCs w:val="20"/>
        </w:rPr>
        <w:t xml:space="preserve">were undiagnosed compared </w:t>
      </w:r>
      <w:r w:rsidR="00DE122A">
        <w:rPr>
          <w:sz w:val="20"/>
          <w:szCs w:val="20"/>
        </w:rPr>
        <w:t xml:space="preserve">with </w:t>
      </w:r>
      <w:r w:rsidRPr="00FF57BD">
        <w:rPr>
          <w:sz w:val="20"/>
          <w:szCs w:val="20"/>
        </w:rPr>
        <w:t>7 per cent</w:t>
      </w:r>
      <w:r w:rsidR="00FC226D" w:rsidRPr="00FF57BD">
        <w:rPr>
          <w:sz w:val="20"/>
          <w:szCs w:val="20"/>
        </w:rPr>
        <w:t xml:space="preserve"> (</w:t>
      </w:r>
      <w:r w:rsidR="00C04B6B" w:rsidRPr="00FF57BD">
        <w:rPr>
          <w:sz w:val="20"/>
          <w:szCs w:val="20"/>
        </w:rPr>
        <w:t>approx</w:t>
      </w:r>
      <w:r w:rsidR="00DE122A">
        <w:rPr>
          <w:sz w:val="20"/>
          <w:szCs w:val="20"/>
        </w:rPr>
        <w:t>imately</w:t>
      </w:r>
      <w:r w:rsidR="00C04B6B" w:rsidRPr="00FF57BD">
        <w:rPr>
          <w:sz w:val="20"/>
          <w:szCs w:val="20"/>
        </w:rPr>
        <w:t xml:space="preserve"> </w:t>
      </w:r>
      <w:r w:rsidR="000A3ACB" w:rsidRPr="00FF57BD">
        <w:rPr>
          <w:sz w:val="20"/>
          <w:szCs w:val="20"/>
        </w:rPr>
        <w:t>1158</w:t>
      </w:r>
      <w:r w:rsidR="007C70F0" w:rsidRPr="00FF57BD">
        <w:rPr>
          <w:sz w:val="20"/>
          <w:szCs w:val="20"/>
        </w:rPr>
        <w:t xml:space="preserve"> people</w:t>
      </w:r>
      <w:r w:rsidR="00FC226D" w:rsidRPr="00FF57BD">
        <w:rPr>
          <w:sz w:val="20"/>
          <w:szCs w:val="20"/>
        </w:rPr>
        <w:t>)</w:t>
      </w:r>
      <w:r w:rsidRPr="00FF57BD">
        <w:rPr>
          <w:sz w:val="20"/>
          <w:szCs w:val="20"/>
        </w:rPr>
        <w:t xml:space="preserve"> in the Australia-born non-Indigenous population</w:t>
      </w:r>
      <w:r w:rsidR="008563D8">
        <w:rPr>
          <w:sz w:val="20"/>
          <w:szCs w:val="20"/>
        </w:rPr>
        <w:t>.</w:t>
      </w:r>
      <w:r w:rsidR="002A68F0">
        <w:rPr>
          <w:sz w:val="20"/>
          <w:szCs w:val="20"/>
          <w:vertAlign w:val="superscript"/>
        </w:rPr>
        <w:t>6</w:t>
      </w:r>
      <w:r w:rsidRPr="00FF57BD">
        <w:rPr>
          <w:sz w:val="20"/>
          <w:szCs w:val="20"/>
        </w:rPr>
        <w:t xml:space="preserve"> </w:t>
      </w:r>
      <w:r w:rsidR="00FF57BD" w:rsidRPr="00FF57BD">
        <w:rPr>
          <w:sz w:val="20"/>
          <w:szCs w:val="20"/>
        </w:rPr>
        <w:t>From 2012 to 2016, the age</w:t>
      </w:r>
      <w:r w:rsidR="00FF57BD" w:rsidRPr="00FF57BD">
        <w:rPr>
          <w:sz w:val="20"/>
          <w:szCs w:val="20"/>
        </w:rPr>
        <w:noBreakHyphen/>
        <w:t xml:space="preserve">standardised rate of HIV notifications in the Aboriginal and Torres Strait Islander population increased by 33 per cent compared </w:t>
      </w:r>
      <w:r w:rsidR="00DE122A">
        <w:rPr>
          <w:sz w:val="20"/>
          <w:szCs w:val="20"/>
        </w:rPr>
        <w:t xml:space="preserve">with </w:t>
      </w:r>
      <w:r w:rsidR="00FF57BD" w:rsidRPr="00FF57BD">
        <w:rPr>
          <w:sz w:val="20"/>
          <w:szCs w:val="20"/>
        </w:rPr>
        <w:t>a 22 per cent decline in the Australian</w:t>
      </w:r>
      <w:r w:rsidR="00FF57BD" w:rsidRPr="00FF57BD">
        <w:rPr>
          <w:sz w:val="20"/>
          <w:szCs w:val="20"/>
        </w:rPr>
        <w:noBreakHyphen/>
        <w:t>born non</w:t>
      </w:r>
      <w:r w:rsidR="00FF57BD" w:rsidRPr="00FF57BD">
        <w:rPr>
          <w:sz w:val="20"/>
          <w:szCs w:val="20"/>
        </w:rPr>
        <w:noBreakHyphen/>
        <w:t>Indigenous population.</w:t>
      </w:r>
      <w:r w:rsidR="002A68F0">
        <w:rPr>
          <w:sz w:val="20"/>
          <w:szCs w:val="20"/>
          <w:vertAlign w:val="superscript"/>
        </w:rPr>
        <w:t>6</w:t>
      </w:r>
      <w:r w:rsidR="00FF57BD" w:rsidRPr="00FF57BD">
        <w:rPr>
          <w:sz w:val="20"/>
          <w:szCs w:val="20"/>
          <w:vertAlign w:val="superscript"/>
        </w:rPr>
        <w:t xml:space="preserve"> </w:t>
      </w:r>
      <w:r w:rsidR="00FF57BD">
        <w:rPr>
          <w:sz w:val="20"/>
          <w:szCs w:val="20"/>
          <w:vertAlign w:val="superscript"/>
        </w:rPr>
        <w:t xml:space="preserve"> </w:t>
      </w:r>
      <w:r w:rsidR="00FF57BD" w:rsidRPr="00FF57BD">
        <w:rPr>
          <w:rFonts w:eastAsia="Times New Roman" w:cs="Segoe UI"/>
          <w:sz w:val="20"/>
          <w:szCs w:val="20"/>
          <w:lang w:eastAsia="en-AU"/>
        </w:rPr>
        <w:t xml:space="preserve">Over the period from 2011 to 2016, HIV notification rates increased by 90 per cent in Aboriginal and Torres Strait Islander males compared </w:t>
      </w:r>
      <w:r w:rsidR="00DE122A">
        <w:rPr>
          <w:rFonts w:eastAsia="Times New Roman" w:cs="Segoe UI"/>
          <w:sz w:val="20"/>
          <w:szCs w:val="20"/>
          <w:lang w:eastAsia="en-AU"/>
        </w:rPr>
        <w:t xml:space="preserve">with </w:t>
      </w:r>
      <w:r w:rsidR="00FF57BD" w:rsidRPr="00FF57BD">
        <w:rPr>
          <w:rFonts w:eastAsia="Times New Roman" w:cs="Segoe UI"/>
          <w:sz w:val="20"/>
          <w:szCs w:val="20"/>
          <w:lang w:eastAsia="en-AU"/>
        </w:rPr>
        <w:t>a 15 per cent decrease in the Australian</w:t>
      </w:r>
      <w:r w:rsidR="00FF57BD" w:rsidRPr="00FF57BD">
        <w:rPr>
          <w:rFonts w:eastAsia="Times New Roman" w:cs="Segoe UI"/>
          <w:sz w:val="20"/>
          <w:szCs w:val="20"/>
          <w:lang w:eastAsia="en-AU"/>
        </w:rPr>
        <w:noBreakHyphen/>
        <w:t>born non</w:t>
      </w:r>
      <w:r w:rsidR="00FF57BD" w:rsidRPr="00FF57BD">
        <w:rPr>
          <w:rFonts w:eastAsia="Times New Roman" w:cs="Segoe UI"/>
          <w:sz w:val="20"/>
          <w:szCs w:val="20"/>
          <w:lang w:eastAsia="en-AU"/>
        </w:rPr>
        <w:noBreakHyphen/>
        <w:t>Indigenous male population</w:t>
      </w:r>
      <w:r w:rsidR="00FF57BD" w:rsidRPr="00FF57BD">
        <w:rPr>
          <w:sz w:val="20"/>
          <w:szCs w:val="20"/>
        </w:rPr>
        <w:t>.</w:t>
      </w:r>
      <w:r w:rsidR="002A68F0">
        <w:rPr>
          <w:sz w:val="20"/>
          <w:szCs w:val="20"/>
          <w:vertAlign w:val="superscript"/>
        </w:rPr>
        <w:t>6</w:t>
      </w:r>
      <w:r w:rsidR="00FF57BD">
        <w:rPr>
          <w:sz w:val="24"/>
          <w:szCs w:val="24"/>
        </w:rPr>
        <w:t xml:space="preserve"> </w:t>
      </w:r>
      <w:r w:rsidR="00FF57BD">
        <w:rPr>
          <w:sz w:val="20"/>
          <w:szCs w:val="20"/>
        </w:rPr>
        <w:t xml:space="preserve">Access to testing and treatment is essential to prevent the development of </w:t>
      </w:r>
      <w:r w:rsidR="00E65014" w:rsidRPr="00E65014">
        <w:rPr>
          <w:sz w:val="20"/>
          <w:szCs w:val="20"/>
        </w:rPr>
        <w:t xml:space="preserve">Acquired Immunodeficiency Syndrome </w:t>
      </w:r>
      <w:r w:rsidR="00E65014">
        <w:rPr>
          <w:sz w:val="20"/>
          <w:szCs w:val="20"/>
        </w:rPr>
        <w:t>(</w:t>
      </w:r>
      <w:r w:rsidR="00FF57BD">
        <w:rPr>
          <w:sz w:val="20"/>
          <w:szCs w:val="20"/>
        </w:rPr>
        <w:t>AIDS</w:t>
      </w:r>
      <w:r w:rsidR="00E65014">
        <w:rPr>
          <w:sz w:val="20"/>
          <w:szCs w:val="20"/>
        </w:rPr>
        <w:t>)</w:t>
      </w:r>
      <w:r w:rsidR="00FF57BD">
        <w:rPr>
          <w:sz w:val="20"/>
          <w:szCs w:val="20"/>
        </w:rPr>
        <w:t xml:space="preserve"> and associated morbidities, achieve viral suppression, enhance individual health outcomes and prevent onward HIV transmission.</w:t>
      </w:r>
    </w:p>
    <w:p w14:paraId="643C925D" w14:textId="0BF6F783" w:rsidR="00CA7F81" w:rsidRPr="00B761F1" w:rsidRDefault="00CA7F81" w:rsidP="00CA7F81">
      <w:pPr>
        <w:rPr>
          <w:sz w:val="20"/>
          <w:szCs w:val="20"/>
        </w:rPr>
      </w:pPr>
      <w:r w:rsidRPr="00B761F1">
        <w:rPr>
          <w:sz w:val="20"/>
          <w:szCs w:val="20"/>
        </w:rPr>
        <w:t xml:space="preserve">There </w:t>
      </w:r>
      <w:r>
        <w:rPr>
          <w:sz w:val="20"/>
          <w:szCs w:val="20"/>
        </w:rPr>
        <w:t>were</w:t>
      </w:r>
      <w:r w:rsidRPr="00B761F1">
        <w:rPr>
          <w:sz w:val="20"/>
          <w:szCs w:val="20"/>
        </w:rPr>
        <w:t xml:space="preserve"> an estimated 24</w:t>
      </w:r>
      <w:r w:rsidR="00DE122A">
        <w:rPr>
          <w:sz w:val="20"/>
          <w:szCs w:val="20"/>
        </w:rPr>
        <w:t> </w:t>
      </w:r>
      <w:r w:rsidRPr="00B761F1">
        <w:rPr>
          <w:sz w:val="20"/>
          <w:szCs w:val="20"/>
        </w:rPr>
        <w:t xml:space="preserve">287 Aboriginal and Torres Strait Islander people living with chronic hepatitis B in 2016, </w:t>
      </w:r>
      <w:r w:rsidR="00676942">
        <w:rPr>
          <w:sz w:val="20"/>
          <w:szCs w:val="20"/>
        </w:rPr>
        <w:t xml:space="preserve">representing </w:t>
      </w:r>
      <w:r w:rsidRPr="00B761F1">
        <w:rPr>
          <w:sz w:val="20"/>
          <w:szCs w:val="20"/>
        </w:rPr>
        <w:t xml:space="preserve">11 per cent </w:t>
      </w:r>
      <w:r>
        <w:rPr>
          <w:sz w:val="20"/>
          <w:szCs w:val="20"/>
        </w:rPr>
        <w:t xml:space="preserve">of </w:t>
      </w:r>
      <w:r w:rsidRPr="00B761F1">
        <w:rPr>
          <w:sz w:val="20"/>
          <w:szCs w:val="20"/>
        </w:rPr>
        <w:t xml:space="preserve">people living with chronic hepatitis B </w:t>
      </w:r>
      <w:r>
        <w:rPr>
          <w:sz w:val="20"/>
          <w:szCs w:val="20"/>
        </w:rPr>
        <w:t>nationally.</w:t>
      </w:r>
      <w:r w:rsidR="002A68F0" w:rsidRPr="002A68F0">
        <w:rPr>
          <w:sz w:val="20"/>
          <w:szCs w:val="20"/>
          <w:vertAlign w:val="superscript"/>
        </w:rPr>
        <w:t>6</w:t>
      </w:r>
      <w:r w:rsidRPr="002A68F0">
        <w:rPr>
          <w:sz w:val="20"/>
          <w:szCs w:val="20"/>
          <w:vertAlign w:val="superscript"/>
        </w:rPr>
        <w:t xml:space="preserve"> </w:t>
      </w:r>
      <w:r>
        <w:rPr>
          <w:sz w:val="20"/>
          <w:szCs w:val="20"/>
        </w:rPr>
        <w:t xml:space="preserve">This equates to </w:t>
      </w:r>
      <w:r w:rsidR="00DE122A">
        <w:rPr>
          <w:sz w:val="20"/>
          <w:szCs w:val="20"/>
        </w:rPr>
        <w:t xml:space="preserve">4 </w:t>
      </w:r>
      <w:r w:rsidRPr="00B761F1">
        <w:rPr>
          <w:sz w:val="20"/>
          <w:szCs w:val="20"/>
        </w:rPr>
        <w:t>per cent prevalence in the Aboriginal and Torres Strait Islander population</w:t>
      </w:r>
      <w:r w:rsidR="004D3BC9">
        <w:rPr>
          <w:sz w:val="20"/>
          <w:szCs w:val="20"/>
        </w:rPr>
        <w:t xml:space="preserve"> compared </w:t>
      </w:r>
      <w:r w:rsidR="00DE122A">
        <w:rPr>
          <w:sz w:val="20"/>
          <w:szCs w:val="20"/>
        </w:rPr>
        <w:t xml:space="preserve">with </w:t>
      </w:r>
      <w:r w:rsidR="007C70F0">
        <w:rPr>
          <w:sz w:val="20"/>
          <w:szCs w:val="20"/>
        </w:rPr>
        <w:t xml:space="preserve">less than </w:t>
      </w:r>
      <w:r w:rsidR="00DE122A">
        <w:rPr>
          <w:sz w:val="20"/>
          <w:szCs w:val="20"/>
        </w:rPr>
        <w:t xml:space="preserve">1 </w:t>
      </w:r>
      <w:r w:rsidR="004D3BC9">
        <w:rPr>
          <w:sz w:val="20"/>
          <w:szCs w:val="20"/>
        </w:rPr>
        <w:t>per cent</w:t>
      </w:r>
      <w:r>
        <w:rPr>
          <w:sz w:val="20"/>
          <w:szCs w:val="20"/>
        </w:rPr>
        <w:t xml:space="preserve"> prevalence in the total Australian population</w:t>
      </w:r>
      <w:r w:rsidRPr="00B761F1">
        <w:rPr>
          <w:sz w:val="20"/>
          <w:szCs w:val="20"/>
        </w:rPr>
        <w:t>.</w:t>
      </w:r>
      <w:r>
        <w:rPr>
          <w:sz w:val="20"/>
          <w:szCs w:val="20"/>
        </w:rPr>
        <w:t xml:space="preserve"> Hepatitis B is associated with significant morbidity and mortality; </w:t>
      </w:r>
      <w:r w:rsidR="00DE122A">
        <w:rPr>
          <w:sz w:val="20"/>
          <w:szCs w:val="20"/>
        </w:rPr>
        <w:t xml:space="preserve">therefore, </w:t>
      </w:r>
      <w:r w:rsidR="001C4F41">
        <w:rPr>
          <w:sz w:val="20"/>
          <w:szCs w:val="20"/>
        </w:rPr>
        <w:t xml:space="preserve">it is </w:t>
      </w:r>
      <w:r>
        <w:rPr>
          <w:sz w:val="20"/>
          <w:szCs w:val="20"/>
        </w:rPr>
        <w:t>essential that access to appropriate services for the management of chronic hepatitis B is available for this population.</w:t>
      </w:r>
    </w:p>
    <w:p w14:paraId="02C7F160" w14:textId="20C44413" w:rsidR="003D3BAC" w:rsidRDefault="003D3BAC" w:rsidP="003D3BAC">
      <w:pPr>
        <w:rPr>
          <w:sz w:val="20"/>
          <w:szCs w:val="20"/>
        </w:rPr>
      </w:pPr>
      <w:r w:rsidRPr="00B761F1">
        <w:rPr>
          <w:sz w:val="20"/>
          <w:szCs w:val="20"/>
        </w:rPr>
        <w:t xml:space="preserve">Over the past </w:t>
      </w:r>
      <w:r w:rsidR="00DE122A">
        <w:rPr>
          <w:sz w:val="20"/>
          <w:szCs w:val="20"/>
        </w:rPr>
        <w:t xml:space="preserve">10 </w:t>
      </w:r>
      <w:r w:rsidRPr="00B761F1">
        <w:rPr>
          <w:sz w:val="20"/>
          <w:szCs w:val="20"/>
        </w:rPr>
        <w:t xml:space="preserve">years, </w:t>
      </w:r>
      <w:r w:rsidR="00740DF9" w:rsidRPr="00740DF9">
        <w:rPr>
          <w:sz w:val="20"/>
          <w:szCs w:val="20"/>
        </w:rPr>
        <w:t xml:space="preserve">for every year except 2010, </w:t>
      </w:r>
      <w:r w:rsidRPr="00740DF9">
        <w:rPr>
          <w:sz w:val="20"/>
          <w:szCs w:val="20"/>
        </w:rPr>
        <w:t>hepatitis C</w:t>
      </w:r>
      <w:r w:rsidRPr="00B761F1">
        <w:rPr>
          <w:sz w:val="20"/>
          <w:szCs w:val="20"/>
        </w:rPr>
        <w:t xml:space="preserve"> antibody prevalence has been higher in Aboriginal and Torres Strait Islander respondents to the Australian Needle and Syringe Program Surveys </w:t>
      </w:r>
      <w:r w:rsidR="001C4F41">
        <w:rPr>
          <w:sz w:val="20"/>
          <w:szCs w:val="20"/>
        </w:rPr>
        <w:t xml:space="preserve">compared </w:t>
      </w:r>
      <w:r w:rsidR="00DE122A">
        <w:rPr>
          <w:sz w:val="20"/>
          <w:szCs w:val="20"/>
        </w:rPr>
        <w:t xml:space="preserve">with </w:t>
      </w:r>
      <w:r w:rsidR="001C4F41">
        <w:rPr>
          <w:sz w:val="20"/>
          <w:szCs w:val="20"/>
        </w:rPr>
        <w:t>non-Indigenous respondents</w:t>
      </w:r>
      <w:r w:rsidRPr="00B761F1">
        <w:rPr>
          <w:sz w:val="20"/>
          <w:szCs w:val="20"/>
        </w:rPr>
        <w:t>.</w:t>
      </w:r>
      <w:r w:rsidR="002A68F0" w:rsidRPr="002A68F0">
        <w:rPr>
          <w:sz w:val="20"/>
          <w:szCs w:val="20"/>
          <w:vertAlign w:val="superscript"/>
        </w:rPr>
        <w:t>10</w:t>
      </w:r>
      <w:r w:rsidRPr="00740DF9">
        <w:rPr>
          <w:sz w:val="20"/>
          <w:szCs w:val="20"/>
        </w:rPr>
        <w:t xml:space="preserve"> </w:t>
      </w:r>
      <w:r>
        <w:rPr>
          <w:sz w:val="20"/>
          <w:szCs w:val="20"/>
        </w:rPr>
        <w:t>In addition, the hepatitis C notification rate in Aboriginal and Torres Strait Islander people</w:t>
      </w:r>
      <w:r w:rsidRPr="00B761F1" w:rsidDel="00F70E66">
        <w:rPr>
          <w:sz w:val="20"/>
          <w:szCs w:val="20"/>
        </w:rPr>
        <w:t xml:space="preserve"> </w:t>
      </w:r>
      <w:r w:rsidR="00F04368">
        <w:rPr>
          <w:sz w:val="20"/>
          <w:szCs w:val="20"/>
        </w:rPr>
        <w:t>increased by 25 per cent</w:t>
      </w:r>
      <w:r>
        <w:rPr>
          <w:sz w:val="20"/>
          <w:szCs w:val="20"/>
        </w:rPr>
        <w:t xml:space="preserve"> between 2012 and 2016. This highlights the importance of</w:t>
      </w:r>
      <w:r w:rsidRPr="00B761F1">
        <w:rPr>
          <w:sz w:val="20"/>
          <w:szCs w:val="20"/>
        </w:rPr>
        <w:t xml:space="preserve"> equitable access to </w:t>
      </w:r>
      <w:r w:rsidR="000779D1">
        <w:rPr>
          <w:sz w:val="20"/>
          <w:szCs w:val="20"/>
        </w:rPr>
        <w:t xml:space="preserve">hepatitis C </w:t>
      </w:r>
      <w:r w:rsidRPr="00B761F1">
        <w:rPr>
          <w:sz w:val="20"/>
          <w:szCs w:val="20"/>
        </w:rPr>
        <w:t>DAA</w:t>
      </w:r>
      <w:r w:rsidR="000779D1">
        <w:rPr>
          <w:sz w:val="20"/>
          <w:szCs w:val="20"/>
        </w:rPr>
        <w:t xml:space="preserve"> </w:t>
      </w:r>
      <w:r w:rsidR="007C70F0">
        <w:rPr>
          <w:sz w:val="20"/>
          <w:szCs w:val="20"/>
        </w:rPr>
        <w:t>treatment</w:t>
      </w:r>
      <w:r w:rsidR="007C70F0" w:rsidRPr="00B761F1">
        <w:rPr>
          <w:sz w:val="20"/>
          <w:szCs w:val="20"/>
        </w:rPr>
        <w:t xml:space="preserve"> </w:t>
      </w:r>
      <w:r>
        <w:rPr>
          <w:sz w:val="20"/>
          <w:szCs w:val="20"/>
        </w:rPr>
        <w:t xml:space="preserve">and evidence-based harm reduction, including culturally respectful and </w:t>
      </w:r>
      <w:r w:rsidRPr="00740DF9">
        <w:rPr>
          <w:sz w:val="20"/>
          <w:szCs w:val="20"/>
        </w:rPr>
        <w:t xml:space="preserve">safe </w:t>
      </w:r>
      <w:r w:rsidR="005C5DB6" w:rsidRPr="00740DF9">
        <w:rPr>
          <w:sz w:val="20"/>
          <w:szCs w:val="20"/>
        </w:rPr>
        <w:t>NSPs</w:t>
      </w:r>
      <w:r w:rsidRPr="00740DF9">
        <w:rPr>
          <w:sz w:val="20"/>
          <w:szCs w:val="20"/>
        </w:rPr>
        <w:t>, for</w:t>
      </w:r>
      <w:r w:rsidRPr="00B761F1">
        <w:rPr>
          <w:sz w:val="20"/>
          <w:szCs w:val="20"/>
        </w:rPr>
        <w:t xml:space="preserve"> this population </w:t>
      </w:r>
      <w:r>
        <w:rPr>
          <w:sz w:val="20"/>
          <w:szCs w:val="20"/>
        </w:rPr>
        <w:t>a</w:t>
      </w:r>
      <w:r w:rsidR="007C70F0">
        <w:rPr>
          <w:sz w:val="20"/>
          <w:szCs w:val="20"/>
        </w:rPr>
        <w:t>s</w:t>
      </w:r>
      <w:r w:rsidRPr="00B761F1">
        <w:rPr>
          <w:sz w:val="20"/>
          <w:szCs w:val="20"/>
        </w:rPr>
        <w:t xml:space="preserve"> key action</w:t>
      </w:r>
      <w:r>
        <w:rPr>
          <w:sz w:val="20"/>
          <w:szCs w:val="20"/>
        </w:rPr>
        <w:t>s</w:t>
      </w:r>
      <w:r w:rsidRPr="00B761F1">
        <w:rPr>
          <w:sz w:val="20"/>
          <w:szCs w:val="20"/>
        </w:rPr>
        <w:t xml:space="preserve">. </w:t>
      </w:r>
    </w:p>
    <w:p w14:paraId="4B839F74" w14:textId="1A9FFD5F" w:rsidR="003D3BAC" w:rsidRDefault="00F85559" w:rsidP="003D3BAC">
      <w:pPr>
        <w:autoSpaceDE w:val="0"/>
        <w:autoSpaceDN w:val="0"/>
        <w:adjustRightInd w:val="0"/>
        <w:rPr>
          <w:sz w:val="20"/>
          <w:szCs w:val="20"/>
        </w:rPr>
      </w:pPr>
      <w:r>
        <w:rPr>
          <w:sz w:val="20"/>
          <w:szCs w:val="20"/>
        </w:rPr>
        <w:t>F</w:t>
      </w:r>
      <w:r w:rsidR="003D3BAC">
        <w:rPr>
          <w:sz w:val="20"/>
          <w:szCs w:val="20"/>
        </w:rPr>
        <w:t xml:space="preserve">urther research is needed to understand the drivers of the transmission of HTLV-1, its impact on the health outcomes of Aboriginal and Torres Strait Islander people and how best </w:t>
      </w:r>
      <w:r w:rsidR="00DE122A">
        <w:rPr>
          <w:sz w:val="20"/>
          <w:szCs w:val="20"/>
        </w:rPr>
        <w:t xml:space="preserve">to </w:t>
      </w:r>
      <w:r w:rsidR="003D3BAC">
        <w:rPr>
          <w:sz w:val="20"/>
          <w:szCs w:val="20"/>
        </w:rPr>
        <w:t>support Aboriginal and Torres Strait Islander communities and the health workforce to inform an effective</w:t>
      </w:r>
      <w:r w:rsidR="00EA7756">
        <w:rPr>
          <w:sz w:val="20"/>
          <w:szCs w:val="20"/>
        </w:rPr>
        <w:t>,</w:t>
      </w:r>
      <w:r w:rsidR="003D3BAC">
        <w:rPr>
          <w:sz w:val="20"/>
          <w:szCs w:val="20"/>
        </w:rPr>
        <w:t xml:space="preserve"> evidence-based response.</w:t>
      </w:r>
    </w:p>
    <w:p w14:paraId="13890C19" w14:textId="77777777" w:rsidR="00CA7F81" w:rsidRDefault="00CA7F81" w:rsidP="00CA7F81">
      <w:pPr>
        <w:pStyle w:val="Caption"/>
        <w:rPr>
          <w:i/>
          <w:sz w:val="22"/>
        </w:rPr>
      </w:pPr>
      <w:r>
        <w:rPr>
          <w:i/>
          <w:sz w:val="22"/>
        </w:rPr>
        <w:t>Young</w:t>
      </w:r>
      <w:r w:rsidRPr="00B34272">
        <w:rPr>
          <w:i/>
          <w:sz w:val="22"/>
        </w:rPr>
        <w:t xml:space="preserve"> </w:t>
      </w:r>
      <w:r w:rsidRPr="00847E38">
        <w:rPr>
          <w:i/>
          <w:sz w:val="22"/>
        </w:rPr>
        <w:t>Aboriginal and Torres Strait Islander people</w:t>
      </w:r>
    </w:p>
    <w:p w14:paraId="0BA1D53B" w14:textId="54724743" w:rsidR="004461FD" w:rsidRDefault="00CA7F81" w:rsidP="001F23E3">
      <w:pPr>
        <w:rPr>
          <w:sz w:val="20"/>
          <w:szCs w:val="20"/>
          <w:lang w:eastAsia="en-AU"/>
        </w:rPr>
      </w:pPr>
      <w:r>
        <w:rPr>
          <w:sz w:val="20"/>
          <w:szCs w:val="20"/>
          <w:lang w:eastAsia="en-AU"/>
        </w:rPr>
        <w:t xml:space="preserve">In Australia, </w:t>
      </w:r>
      <w:r w:rsidRPr="00B761F1">
        <w:rPr>
          <w:sz w:val="20"/>
          <w:szCs w:val="20"/>
          <w:lang w:eastAsia="en-AU"/>
        </w:rPr>
        <w:t xml:space="preserve">people </w:t>
      </w:r>
      <w:r w:rsidR="007C70F0">
        <w:rPr>
          <w:sz w:val="20"/>
          <w:szCs w:val="20"/>
          <w:lang w:eastAsia="en-AU"/>
        </w:rPr>
        <w:t xml:space="preserve">aged </w:t>
      </w:r>
      <w:r>
        <w:rPr>
          <w:sz w:val="20"/>
          <w:szCs w:val="20"/>
          <w:lang w:eastAsia="en-AU"/>
        </w:rPr>
        <w:t>15</w:t>
      </w:r>
      <w:r w:rsidR="00DE122A">
        <w:rPr>
          <w:sz w:val="20"/>
          <w:szCs w:val="20"/>
          <w:lang w:eastAsia="en-AU"/>
        </w:rPr>
        <w:t xml:space="preserve"> to </w:t>
      </w:r>
      <w:r>
        <w:rPr>
          <w:sz w:val="20"/>
          <w:szCs w:val="20"/>
          <w:lang w:eastAsia="en-AU"/>
        </w:rPr>
        <w:t xml:space="preserve">29 </w:t>
      </w:r>
      <w:r w:rsidRPr="00B761F1">
        <w:rPr>
          <w:sz w:val="20"/>
          <w:szCs w:val="20"/>
          <w:lang w:eastAsia="en-AU"/>
        </w:rPr>
        <w:t xml:space="preserve">years experience higher rates of </w:t>
      </w:r>
      <w:r>
        <w:rPr>
          <w:sz w:val="20"/>
          <w:szCs w:val="20"/>
          <w:lang w:eastAsia="en-AU"/>
        </w:rPr>
        <w:t xml:space="preserve">diagnosed </w:t>
      </w:r>
      <w:r w:rsidRPr="00B761F1">
        <w:rPr>
          <w:sz w:val="20"/>
          <w:szCs w:val="20"/>
          <w:lang w:eastAsia="en-AU"/>
        </w:rPr>
        <w:t>STI compared to other age groups</w:t>
      </w:r>
      <w:r>
        <w:rPr>
          <w:sz w:val="20"/>
          <w:szCs w:val="20"/>
          <w:lang w:eastAsia="en-AU"/>
        </w:rPr>
        <w:t>.</w:t>
      </w:r>
      <w:r w:rsidRPr="00B761F1">
        <w:rPr>
          <w:rStyle w:val="EndnoteReference"/>
          <w:sz w:val="20"/>
          <w:szCs w:val="20"/>
          <w:lang w:eastAsia="en-AU"/>
        </w:rPr>
        <w:endnoteReference w:id="19"/>
      </w:r>
      <w:r w:rsidRPr="00B761F1">
        <w:rPr>
          <w:sz w:val="20"/>
          <w:szCs w:val="20"/>
          <w:lang w:eastAsia="en-AU"/>
        </w:rPr>
        <w:t xml:space="preserve"> </w:t>
      </w:r>
      <w:r>
        <w:rPr>
          <w:sz w:val="20"/>
          <w:szCs w:val="20"/>
          <w:lang w:eastAsia="en-AU"/>
        </w:rPr>
        <w:t>While</w:t>
      </w:r>
      <w:r w:rsidRPr="00B761F1">
        <w:rPr>
          <w:sz w:val="20"/>
          <w:szCs w:val="20"/>
          <w:lang w:eastAsia="en-AU"/>
        </w:rPr>
        <w:t xml:space="preserve"> STI rates are </w:t>
      </w:r>
      <w:r>
        <w:rPr>
          <w:sz w:val="20"/>
          <w:szCs w:val="20"/>
          <w:lang w:eastAsia="en-AU"/>
        </w:rPr>
        <w:t>also high in</w:t>
      </w:r>
      <w:r w:rsidR="00551386">
        <w:rPr>
          <w:sz w:val="20"/>
          <w:szCs w:val="20"/>
          <w:lang w:eastAsia="en-AU"/>
        </w:rPr>
        <w:t xml:space="preserve"> young</w:t>
      </w:r>
      <w:r>
        <w:rPr>
          <w:sz w:val="20"/>
          <w:szCs w:val="20"/>
          <w:lang w:eastAsia="en-AU"/>
        </w:rPr>
        <w:t xml:space="preserve"> non-Indigenous people, rates are </w:t>
      </w:r>
      <w:r w:rsidRPr="00B761F1">
        <w:rPr>
          <w:sz w:val="20"/>
          <w:szCs w:val="20"/>
          <w:lang w:eastAsia="en-AU"/>
        </w:rPr>
        <w:t xml:space="preserve">substantially higher </w:t>
      </w:r>
      <w:r w:rsidR="007C70F0">
        <w:rPr>
          <w:sz w:val="20"/>
          <w:szCs w:val="20"/>
          <w:lang w:eastAsia="en-AU"/>
        </w:rPr>
        <w:t>in</w:t>
      </w:r>
      <w:r w:rsidR="007C70F0" w:rsidRPr="00B761F1">
        <w:rPr>
          <w:sz w:val="20"/>
          <w:szCs w:val="20"/>
          <w:lang w:eastAsia="en-AU"/>
        </w:rPr>
        <w:t xml:space="preserve"> </w:t>
      </w:r>
      <w:r w:rsidRPr="00B761F1">
        <w:rPr>
          <w:sz w:val="20"/>
          <w:szCs w:val="20"/>
          <w:lang w:eastAsia="en-AU"/>
        </w:rPr>
        <w:t xml:space="preserve">young </w:t>
      </w:r>
      <w:r>
        <w:rPr>
          <w:sz w:val="20"/>
          <w:szCs w:val="20"/>
          <w:lang w:eastAsia="en-AU"/>
        </w:rPr>
        <w:t>Aboriginal and Torres Strait Islander</w:t>
      </w:r>
      <w:r w:rsidRPr="00B761F1">
        <w:rPr>
          <w:sz w:val="20"/>
          <w:szCs w:val="20"/>
          <w:lang w:eastAsia="en-AU"/>
        </w:rPr>
        <w:t xml:space="preserve"> people. Recent studies have found </w:t>
      </w:r>
      <w:r>
        <w:rPr>
          <w:sz w:val="20"/>
          <w:szCs w:val="20"/>
          <w:lang w:eastAsia="en-AU"/>
        </w:rPr>
        <w:t>young Aboriginal and Torres Strait Islander</w:t>
      </w:r>
      <w:r w:rsidRPr="00B761F1">
        <w:rPr>
          <w:sz w:val="20"/>
          <w:szCs w:val="20"/>
          <w:lang w:eastAsia="en-AU"/>
        </w:rPr>
        <w:t xml:space="preserve"> people display similar risk-taking and health-seeking behaviours t</w:t>
      </w:r>
      <w:r w:rsidR="00675676">
        <w:rPr>
          <w:sz w:val="20"/>
          <w:szCs w:val="20"/>
          <w:lang w:eastAsia="en-AU"/>
        </w:rPr>
        <w:t>o non-Indigenous young people, suggesting</w:t>
      </w:r>
      <w:r w:rsidRPr="00B761F1">
        <w:rPr>
          <w:sz w:val="20"/>
          <w:szCs w:val="20"/>
          <w:lang w:eastAsia="en-AU"/>
        </w:rPr>
        <w:t xml:space="preserve"> </w:t>
      </w:r>
      <w:r w:rsidR="00D8577B">
        <w:rPr>
          <w:sz w:val="20"/>
          <w:szCs w:val="20"/>
          <w:lang w:eastAsia="en-AU"/>
        </w:rPr>
        <w:t xml:space="preserve">that </w:t>
      </w:r>
      <w:r w:rsidR="00675676">
        <w:rPr>
          <w:sz w:val="20"/>
          <w:szCs w:val="20"/>
          <w:lang w:eastAsia="en-AU"/>
        </w:rPr>
        <w:t xml:space="preserve">a lack of </w:t>
      </w:r>
      <w:r w:rsidR="00675676" w:rsidRPr="00B761F1">
        <w:rPr>
          <w:sz w:val="20"/>
          <w:szCs w:val="20"/>
          <w:lang w:eastAsia="en-AU"/>
        </w:rPr>
        <w:t xml:space="preserve">accessibility of services is a key issue </w:t>
      </w:r>
      <w:r w:rsidR="000E1B00">
        <w:rPr>
          <w:sz w:val="20"/>
          <w:szCs w:val="20"/>
          <w:lang w:eastAsia="en-AU"/>
        </w:rPr>
        <w:t xml:space="preserve">in STI management </w:t>
      </w:r>
      <w:r w:rsidR="00675676" w:rsidRPr="00B761F1">
        <w:rPr>
          <w:sz w:val="20"/>
          <w:szCs w:val="20"/>
          <w:lang w:eastAsia="en-AU"/>
        </w:rPr>
        <w:t xml:space="preserve">for this </w:t>
      </w:r>
      <w:r w:rsidR="00675676">
        <w:rPr>
          <w:sz w:val="20"/>
          <w:szCs w:val="20"/>
          <w:lang w:eastAsia="en-AU"/>
        </w:rPr>
        <w:t xml:space="preserve">priority </w:t>
      </w:r>
      <w:r w:rsidR="00675676" w:rsidRPr="00B761F1">
        <w:rPr>
          <w:sz w:val="20"/>
          <w:szCs w:val="20"/>
          <w:lang w:eastAsia="en-AU"/>
        </w:rPr>
        <w:t>group</w:t>
      </w:r>
      <w:r w:rsidRPr="00B761F1">
        <w:rPr>
          <w:sz w:val="20"/>
          <w:szCs w:val="20"/>
          <w:lang w:eastAsia="en-AU"/>
        </w:rPr>
        <w:t>.</w:t>
      </w:r>
      <w:r w:rsidR="00C87E8B">
        <w:rPr>
          <w:rStyle w:val="EndnoteReference"/>
          <w:sz w:val="20"/>
          <w:szCs w:val="20"/>
          <w:lang w:eastAsia="en-AU"/>
        </w:rPr>
        <w:endnoteReference w:id="20"/>
      </w:r>
      <w:r w:rsidR="009B69F6" w:rsidRPr="009B69F6">
        <w:rPr>
          <w:sz w:val="20"/>
          <w:szCs w:val="20"/>
          <w:vertAlign w:val="superscript"/>
          <w:lang w:eastAsia="en-AU"/>
        </w:rPr>
        <w:t>,</w:t>
      </w:r>
      <w:r w:rsidRPr="00B761F1">
        <w:rPr>
          <w:rStyle w:val="EndnoteReference"/>
          <w:sz w:val="20"/>
          <w:szCs w:val="20"/>
          <w:lang w:eastAsia="en-AU"/>
        </w:rPr>
        <w:endnoteReference w:id="21"/>
      </w:r>
      <w:r w:rsidRPr="00B761F1">
        <w:rPr>
          <w:sz w:val="20"/>
          <w:szCs w:val="20"/>
          <w:vertAlign w:val="superscript"/>
          <w:lang w:eastAsia="en-AU"/>
        </w:rPr>
        <w:t>,</w:t>
      </w:r>
      <w:r w:rsidRPr="00B761F1">
        <w:rPr>
          <w:rStyle w:val="EndnoteReference"/>
          <w:sz w:val="20"/>
          <w:szCs w:val="20"/>
          <w:lang w:eastAsia="en-AU"/>
        </w:rPr>
        <w:endnoteReference w:id="22"/>
      </w:r>
      <w:r w:rsidRPr="00B761F1">
        <w:rPr>
          <w:sz w:val="20"/>
          <w:szCs w:val="20"/>
          <w:lang w:eastAsia="en-AU"/>
        </w:rPr>
        <w:t xml:space="preserve"> </w:t>
      </w:r>
      <w:r w:rsidR="00936054">
        <w:rPr>
          <w:sz w:val="20"/>
          <w:szCs w:val="20"/>
          <w:lang w:eastAsia="en-AU"/>
        </w:rPr>
        <w:t>Barriers faced by y</w:t>
      </w:r>
      <w:r w:rsidRPr="00B761F1">
        <w:rPr>
          <w:sz w:val="20"/>
          <w:szCs w:val="20"/>
          <w:lang w:eastAsia="en-AU"/>
        </w:rPr>
        <w:t xml:space="preserve">oung </w:t>
      </w:r>
      <w:r>
        <w:rPr>
          <w:sz w:val="20"/>
          <w:szCs w:val="20"/>
          <w:lang w:eastAsia="en-AU"/>
        </w:rPr>
        <w:t>Aboriginal and Torres Strait Islander</w:t>
      </w:r>
      <w:r w:rsidRPr="00B761F1">
        <w:rPr>
          <w:sz w:val="20"/>
          <w:szCs w:val="20"/>
          <w:lang w:eastAsia="en-AU"/>
        </w:rPr>
        <w:t xml:space="preserve"> people </w:t>
      </w:r>
      <w:r w:rsidR="00936054">
        <w:rPr>
          <w:sz w:val="20"/>
          <w:szCs w:val="20"/>
          <w:lang w:eastAsia="en-AU"/>
        </w:rPr>
        <w:t xml:space="preserve">in </w:t>
      </w:r>
      <w:r>
        <w:rPr>
          <w:sz w:val="20"/>
          <w:szCs w:val="20"/>
          <w:lang w:eastAsia="en-AU"/>
        </w:rPr>
        <w:t xml:space="preserve">accessing </w:t>
      </w:r>
      <w:r w:rsidRPr="00B761F1">
        <w:rPr>
          <w:sz w:val="20"/>
          <w:szCs w:val="20"/>
          <w:lang w:eastAsia="en-AU"/>
        </w:rPr>
        <w:t>health services</w:t>
      </w:r>
      <w:r w:rsidR="00936054">
        <w:rPr>
          <w:sz w:val="20"/>
          <w:szCs w:val="20"/>
          <w:lang w:eastAsia="en-AU"/>
        </w:rPr>
        <w:t xml:space="preserve"> include</w:t>
      </w:r>
      <w:r w:rsidRPr="00B761F1">
        <w:rPr>
          <w:sz w:val="20"/>
          <w:szCs w:val="20"/>
          <w:lang w:eastAsia="en-AU"/>
        </w:rPr>
        <w:t xml:space="preserve"> </w:t>
      </w:r>
      <w:r w:rsidR="00B64DC7">
        <w:rPr>
          <w:sz w:val="20"/>
          <w:szCs w:val="20"/>
          <w:lang w:eastAsia="en-AU"/>
        </w:rPr>
        <w:t xml:space="preserve">stigma, </w:t>
      </w:r>
      <w:r w:rsidR="00936054">
        <w:rPr>
          <w:sz w:val="20"/>
          <w:szCs w:val="20"/>
          <w:lang w:eastAsia="en-AU"/>
        </w:rPr>
        <w:t>shame</w:t>
      </w:r>
      <w:r w:rsidR="00985A9B">
        <w:rPr>
          <w:sz w:val="20"/>
          <w:szCs w:val="20"/>
          <w:lang w:eastAsia="en-AU"/>
        </w:rPr>
        <w:t>,</w:t>
      </w:r>
      <w:r w:rsidR="001F23E3">
        <w:rPr>
          <w:sz w:val="20"/>
          <w:szCs w:val="20"/>
          <w:lang w:eastAsia="en-AU"/>
        </w:rPr>
        <w:t xml:space="preserve"> </w:t>
      </w:r>
      <w:r w:rsidR="00551386">
        <w:rPr>
          <w:sz w:val="20"/>
          <w:szCs w:val="20"/>
          <w:lang w:eastAsia="en-AU"/>
        </w:rPr>
        <w:t>confidentiality concerns</w:t>
      </w:r>
      <w:r w:rsidR="00985A9B">
        <w:rPr>
          <w:sz w:val="20"/>
          <w:szCs w:val="20"/>
          <w:lang w:eastAsia="en-AU"/>
        </w:rPr>
        <w:t xml:space="preserve"> and the absence of age-</w:t>
      </w:r>
      <w:r w:rsidR="00DE122A">
        <w:rPr>
          <w:sz w:val="20"/>
          <w:szCs w:val="20"/>
          <w:lang w:eastAsia="en-AU"/>
        </w:rPr>
        <w:t>responsive</w:t>
      </w:r>
      <w:r w:rsidR="00985A9B">
        <w:rPr>
          <w:sz w:val="20"/>
          <w:szCs w:val="20"/>
          <w:lang w:eastAsia="en-AU"/>
        </w:rPr>
        <w:t xml:space="preserve"> or culturally</w:t>
      </w:r>
      <w:r w:rsidR="00DE122A">
        <w:rPr>
          <w:sz w:val="20"/>
          <w:szCs w:val="20"/>
          <w:lang w:eastAsia="en-AU"/>
        </w:rPr>
        <w:t xml:space="preserve"> </w:t>
      </w:r>
      <w:r w:rsidR="00985A9B">
        <w:rPr>
          <w:sz w:val="20"/>
          <w:szCs w:val="20"/>
          <w:lang w:eastAsia="en-AU"/>
        </w:rPr>
        <w:t xml:space="preserve">responsive </w:t>
      </w:r>
      <w:r w:rsidR="00985A9B" w:rsidRPr="00E44A6A">
        <w:rPr>
          <w:sz w:val="20"/>
          <w:szCs w:val="20"/>
          <w:lang w:eastAsia="en-AU"/>
        </w:rPr>
        <w:t>services</w:t>
      </w:r>
      <w:r w:rsidR="001F23E3">
        <w:rPr>
          <w:sz w:val="20"/>
          <w:szCs w:val="20"/>
          <w:lang w:eastAsia="en-AU"/>
        </w:rPr>
        <w:t>.</w:t>
      </w:r>
      <w:r w:rsidR="00E44A6A" w:rsidRPr="00E44A6A">
        <w:rPr>
          <w:rStyle w:val="EndnoteReference"/>
        </w:rPr>
        <w:t>20</w:t>
      </w:r>
      <w:r w:rsidR="001F23E3" w:rsidRPr="00E44A6A">
        <w:rPr>
          <w:rStyle w:val="EndnoteReference"/>
        </w:rPr>
        <w:t xml:space="preserve"> </w:t>
      </w:r>
      <w:r w:rsidR="00985A9B">
        <w:rPr>
          <w:sz w:val="20"/>
          <w:szCs w:val="20"/>
          <w:lang w:eastAsia="en-AU"/>
        </w:rPr>
        <w:t>A</w:t>
      </w:r>
      <w:r w:rsidR="004461FD">
        <w:rPr>
          <w:sz w:val="20"/>
          <w:szCs w:val="20"/>
          <w:lang w:eastAsia="en-AU"/>
        </w:rPr>
        <w:t xml:space="preserve"> lack of </w:t>
      </w:r>
      <w:r w:rsidR="001F23E3">
        <w:rPr>
          <w:sz w:val="20"/>
          <w:szCs w:val="20"/>
          <w:lang w:eastAsia="en-AU"/>
        </w:rPr>
        <w:t xml:space="preserve">access to </w:t>
      </w:r>
      <w:r w:rsidR="00985A9B">
        <w:rPr>
          <w:sz w:val="20"/>
          <w:szCs w:val="20"/>
          <w:lang w:eastAsia="en-AU"/>
        </w:rPr>
        <w:t xml:space="preserve">both </w:t>
      </w:r>
      <w:r w:rsidR="005F7D69">
        <w:rPr>
          <w:sz w:val="20"/>
          <w:szCs w:val="20"/>
          <w:lang w:eastAsia="en-AU"/>
        </w:rPr>
        <w:t xml:space="preserve">male and female </w:t>
      </w:r>
      <w:r w:rsidR="004461FD">
        <w:rPr>
          <w:sz w:val="20"/>
          <w:szCs w:val="20"/>
          <w:lang w:eastAsia="en-AU"/>
        </w:rPr>
        <w:t>health professionals</w:t>
      </w:r>
      <w:r w:rsidR="001F23E3">
        <w:rPr>
          <w:sz w:val="20"/>
          <w:szCs w:val="20"/>
          <w:lang w:eastAsia="en-AU"/>
        </w:rPr>
        <w:t xml:space="preserve"> </w:t>
      </w:r>
      <w:r w:rsidR="005F7D69">
        <w:rPr>
          <w:sz w:val="20"/>
          <w:szCs w:val="20"/>
          <w:lang w:eastAsia="en-AU"/>
        </w:rPr>
        <w:t>across the clinical workfo</w:t>
      </w:r>
      <w:r w:rsidR="00EE5FE8">
        <w:rPr>
          <w:sz w:val="20"/>
          <w:szCs w:val="20"/>
          <w:lang w:eastAsia="en-AU"/>
        </w:rPr>
        <w:t>rce limit</w:t>
      </w:r>
      <w:r w:rsidR="00985A9B">
        <w:rPr>
          <w:sz w:val="20"/>
          <w:szCs w:val="20"/>
          <w:lang w:eastAsia="en-AU"/>
        </w:rPr>
        <w:t>s</w:t>
      </w:r>
      <w:r w:rsidR="001F23E3">
        <w:rPr>
          <w:sz w:val="20"/>
          <w:szCs w:val="20"/>
          <w:lang w:eastAsia="en-AU"/>
        </w:rPr>
        <w:t xml:space="preserve"> the ability of </w:t>
      </w:r>
      <w:r w:rsidR="005F7D69">
        <w:rPr>
          <w:sz w:val="20"/>
          <w:szCs w:val="20"/>
          <w:lang w:eastAsia="en-AU"/>
        </w:rPr>
        <w:t xml:space="preserve">young people to </w:t>
      </w:r>
      <w:r w:rsidR="001F23E3">
        <w:rPr>
          <w:sz w:val="20"/>
          <w:szCs w:val="20"/>
          <w:lang w:eastAsia="en-AU"/>
        </w:rPr>
        <w:t xml:space="preserve">access </w:t>
      </w:r>
      <w:r w:rsidR="005F7D69">
        <w:rPr>
          <w:sz w:val="20"/>
          <w:szCs w:val="20"/>
          <w:lang w:eastAsia="en-AU"/>
        </w:rPr>
        <w:t xml:space="preserve">professionals </w:t>
      </w:r>
      <w:r w:rsidR="004461FD">
        <w:rPr>
          <w:sz w:val="20"/>
          <w:szCs w:val="20"/>
          <w:lang w:eastAsia="en-AU"/>
        </w:rPr>
        <w:t xml:space="preserve">of the </w:t>
      </w:r>
      <w:r w:rsidR="005F7D69">
        <w:rPr>
          <w:sz w:val="20"/>
          <w:szCs w:val="20"/>
          <w:lang w:eastAsia="en-AU"/>
        </w:rPr>
        <w:t>appropriate</w:t>
      </w:r>
      <w:r w:rsidR="004461FD">
        <w:rPr>
          <w:sz w:val="20"/>
          <w:szCs w:val="20"/>
          <w:lang w:eastAsia="en-AU"/>
        </w:rPr>
        <w:t xml:space="preserve"> gender</w:t>
      </w:r>
      <w:r w:rsidR="00985A9B">
        <w:rPr>
          <w:sz w:val="20"/>
          <w:szCs w:val="20"/>
          <w:lang w:eastAsia="en-AU"/>
        </w:rPr>
        <w:t xml:space="preserve"> and can impact </w:t>
      </w:r>
      <w:r w:rsidR="00DE122A">
        <w:rPr>
          <w:sz w:val="20"/>
          <w:szCs w:val="20"/>
          <w:lang w:eastAsia="en-AU"/>
        </w:rPr>
        <w:t xml:space="preserve">on </w:t>
      </w:r>
      <w:r w:rsidR="00985A9B">
        <w:rPr>
          <w:sz w:val="20"/>
          <w:szCs w:val="20"/>
          <w:lang w:eastAsia="en-AU"/>
        </w:rPr>
        <w:t>their engagement with services.</w:t>
      </w:r>
    </w:p>
    <w:p w14:paraId="5A7DEA1C" w14:textId="31965508" w:rsidR="00857C90" w:rsidRDefault="00857C90" w:rsidP="00CA7F81">
      <w:pPr>
        <w:rPr>
          <w:sz w:val="20"/>
          <w:szCs w:val="20"/>
          <w:lang w:eastAsia="en-AU"/>
        </w:rPr>
      </w:pPr>
      <w:r>
        <w:rPr>
          <w:sz w:val="20"/>
          <w:szCs w:val="20"/>
          <w:lang w:eastAsia="en-AU"/>
        </w:rPr>
        <w:lastRenderedPageBreak/>
        <w:t xml:space="preserve">Services </w:t>
      </w:r>
      <w:r w:rsidR="004461FD">
        <w:rPr>
          <w:sz w:val="20"/>
          <w:szCs w:val="20"/>
          <w:lang w:eastAsia="en-AU"/>
        </w:rPr>
        <w:t xml:space="preserve">and approaches </w:t>
      </w:r>
      <w:r>
        <w:rPr>
          <w:sz w:val="20"/>
          <w:szCs w:val="20"/>
          <w:lang w:eastAsia="en-AU"/>
        </w:rPr>
        <w:t xml:space="preserve">must be designed </w:t>
      </w:r>
      <w:r w:rsidR="004461FD">
        <w:rPr>
          <w:sz w:val="20"/>
          <w:szCs w:val="20"/>
          <w:lang w:eastAsia="en-AU"/>
        </w:rPr>
        <w:t xml:space="preserve">and delivered in ways that </w:t>
      </w:r>
      <w:r w:rsidR="002A6BC5">
        <w:rPr>
          <w:sz w:val="20"/>
          <w:szCs w:val="20"/>
          <w:lang w:eastAsia="en-AU"/>
        </w:rPr>
        <w:t xml:space="preserve">are youth friendly and </w:t>
      </w:r>
      <w:r w:rsidR="00936054" w:rsidRPr="000E1B00">
        <w:rPr>
          <w:sz w:val="20"/>
          <w:szCs w:val="20"/>
          <w:lang w:eastAsia="en-AU"/>
        </w:rPr>
        <w:t>effectively respond to the diversity of needs and experiences within this priority group</w:t>
      </w:r>
      <w:r w:rsidR="00936054">
        <w:rPr>
          <w:sz w:val="20"/>
          <w:szCs w:val="20"/>
          <w:lang w:eastAsia="en-AU"/>
        </w:rPr>
        <w:t xml:space="preserve">. </w:t>
      </w:r>
      <w:r>
        <w:rPr>
          <w:sz w:val="20"/>
          <w:szCs w:val="20"/>
          <w:lang w:eastAsia="en-AU"/>
        </w:rPr>
        <w:t xml:space="preserve">Research has </w:t>
      </w:r>
      <w:r w:rsidR="004461FD">
        <w:rPr>
          <w:sz w:val="20"/>
          <w:szCs w:val="20"/>
          <w:lang w:eastAsia="en-AU"/>
        </w:rPr>
        <w:t>highlighted</w:t>
      </w:r>
      <w:r>
        <w:rPr>
          <w:sz w:val="20"/>
          <w:szCs w:val="20"/>
          <w:lang w:eastAsia="en-AU"/>
        </w:rPr>
        <w:t xml:space="preserve"> the </w:t>
      </w:r>
      <w:r w:rsidR="009D5655">
        <w:rPr>
          <w:sz w:val="20"/>
          <w:szCs w:val="20"/>
          <w:lang w:eastAsia="en-AU"/>
        </w:rPr>
        <w:t xml:space="preserve">potential </w:t>
      </w:r>
      <w:r w:rsidR="00E60649">
        <w:rPr>
          <w:sz w:val="20"/>
          <w:szCs w:val="20"/>
          <w:lang w:eastAsia="en-AU"/>
        </w:rPr>
        <w:t xml:space="preserve">benefits of </w:t>
      </w:r>
      <w:r w:rsidR="00B70A0F">
        <w:rPr>
          <w:sz w:val="20"/>
          <w:szCs w:val="20"/>
          <w:lang w:eastAsia="en-AU"/>
        </w:rPr>
        <w:t xml:space="preserve">evidenced-based </w:t>
      </w:r>
      <w:r w:rsidR="004461FD">
        <w:rPr>
          <w:sz w:val="20"/>
          <w:szCs w:val="20"/>
          <w:lang w:eastAsia="en-AU"/>
        </w:rPr>
        <w:t xml:space="preserve">peer support systems and </w:t>
      </w:r>
      <w:r w:rsidR="00E60649">
        <w:rPr>
          <w:sz w:val="20"/>
          <w:szCs w:val="20"/>
          <w:lang w:eastAsia="en-AU"/>
        </w:rPr>
        <w:t>education strategies</w:t>
      </w:r>
      <w:r w:rsidR="004461FD">
        <w:rPr>
          <w:sz w:val="20"/>
          <w:szCs w:val="20"/>
          <w:lang w:eastAsia="en-AU"/>
        </w:rPr>
        <w:t>,</w:t>
      </w:r>
      <w:r>
        <w:rPr>
          <w:sz w:val="20"/>
          <w:szCs w:val="20"/>
          <w:lang w:eastAsia="en-AU"/>
        </w:rPr>
        <w:t xml:space="preserve"> which </w:t>
      </w:r>
      <w:r w:rsidR="001C354A">
        <w:rPr>
          <w:sz w:val="20"/>
          <w:szCs w:val="20"/>
          <w:lang w:eastAsia="en-AU"/>
        </w:rPr>
        <w:t xml:space="preserve">effectively </w:t>
      </w:r>
      <w:r>
        <w:rPr>
          <w:sz w:val="20"/>
          <w:szCs w:val="20"/>
          <w:lang w:eastAsia="en-AU"/>
        </w:rPr>
        <w:t>harness the lived experience of</w:t>
      </w:r>
      <w:r w:rsidR="00A9034B">
        <w:rPr>
          <w:sz w:val="20"/>
          <w:szCs w:val="20"/>
          <w:lang w:eastAsia="en-AU"/>
        </w:rPr>
        <w:t xml:space="preserve"> </w:t>
      </w:r>
      <w:r w:rsidR="00647837">
        <w:rPr>
          <w:sz w:val="20"/>
          <w:szCs w:val="20"/>
          <w:lang w:eastAsia="en-AU"/>
        </w:rPr>
        <w:t xml:space="preserve">young </w:t>
      </w:r>
      <w:r w:rsidR="00A9034B">
        <w:rPr>
          <w:sz w:val="20"/>
          <w:szCs w:val="20"/>
          <w:lang w:eastAsia="en-AU"/>
        </w:rPr>
        <w:t>Aboriginal and Torres Strait</w:t>
      </w:r>
      <w:r>
        <w:rPr>
          <w:sz w:val="20"/>
          <w:szCs w:val="20"/>
          <w:lang w:eastAsia="en-AU"/>
        </w:rPr>
        <w:t xml:space="preserve"> </w:t>
      </w:r>
      <w:r w:rsidR="00A9034B">
        <w:rPr>
          <w:sz w:val="20"/>
          <w:szCs w:val="20"/>
          <w:lang w:eastAsia="en-AU"/>
        </w:rPr>
        <w:t xml:space="preserve">Islander </w:t>
      </w:r>
      <w:r>
        <w:rPr>
          <w:sz w:val="20"/>
          <w:szCs w:val="20"/>
          <w:lang w:eastAsia="en-AU"/>
        </w:rPr>
        <w:t>people</w:t>
      </w:r>
      <w:r w:rsidR="004461FD">
        <w:rPr>
          <w:sz w:val="20"/>
          <w:szCs w:val="20"/>
          <w:lang w:eastAsia="en-AU"/>
        </w:rPr>
        <w:t>,</w:t>
      </w:r>
      <w:r w:rsidR="00E60649">
        <w:rPr>
          <w:sz w:val="20"/>
          <w:szCs w:val="20"/>
          <w:lang w:eastAsia="en-AU"/>
        </w:rPr>
        <w:t xml:space="preserve"> in </w:t>
      </w:r>
      <w:r w:rsidR="002A6BC5">
        <w:rPr>
          <w:sz w:val="20"/>
          <w:szCs w:val="20"/>
          <w:lang w:eastAsia="en-AU"/>
        </w:rPr>
        <w:t xml:space="preserve">delivering </w:t>
      </w:r>
      <w:r w:rsidR="00E60649">
        <w:rPr>
          <w:sz w:val="20"/>
          <w:szCs w:val="20"/>
          <w:lang w:eastAsia="en-AU"/>
        </w:rPr>
        <w:t xml:space="preserve">prevention education and </w:t>
      </w:r>
      <w:r w:rsidR="001C354A">
        <w:rPr>
          <w:sz w:val="20"/>
          <w:szCs w:val="20"/>
          <w:lang w:eastAsia="en-AU"/>
        </w:rPr>
        <w:t xml:space="preserve">in </w:t>
      </w:r>
      <w:r w:rsidR="00E21333">
        <w:rPr>
          <w:sz w:val="20"/>
          <w:szCs w:val="20"/>
          <w:lang w:eastAsia="en-AU"/>
        </w:rPr>
        <w:t>better engaging</w:t>
      </w:r>
      <w:r w:rsidR="004461FD">
        <w:rPr>
          <w:sz w:val="20"/>
          <w:szCs w:val="20"/>
          <w:lang w:eastAsia="en-AU"/>
        </w:rPr>
        <w:t xml:space="preserve"> young people </w:t>
      </w:r>
      <w:r w:rsidR="00E21333">
        <w:rPr>
          <w:sz w:val="20"/>
          <w:szCs w:val="20"/>
          <w:lang w:eastAsia="en-AU"/>
        </w:rPr>
        <w:t>with</w:t>
      </w:r>
      <w:r w:rsidR="004461FD">
        <w:rPr>
          <w:sz w:val="20"/>
          <w:szCs w:val="20"/>
          <w:lang w:eastAsia="en-AU"/>
        </w:rPr>
        <w:t xml:space="preserve"> services.</w:t>
      </w:r>
      <w:r w:rsidR="004461FD" w:rsidRPr="00160158">
        <w:rPr>
          <w:rStyle w:val="EndnoteReference"/>
          <w:sz w:val="20"/>
          <w:szCs w:val="20"/>
          <w:lang w:eastAsia="en-AU"/>
        </w:rPr>
        <w:endnoteReference w:id="23"/>
      </w:r>
      <w:r w:rsidR="004461FD" w:rsidRPr="00160158">
        <w:rPr>
          <w:sz w:val="20"/>
          <w:szCs w:val="20"/>
          <w:vertAlign w:val="superscript"/>
          <w:lang w:eastAsia="en-AU"/>
        </w:rPr>
        <w:t>,</w:t>
      </w:r>
      <w:r w:rsidR="004461FD" w:rsidRPr="00160158">
        <w:rPr>
          <w:rStyle w:val="EndnoteReference"/>
          <w:sz w:val="20"/>
          <w:szCs w:val="20"/>
          <w:lang w:eastAsia="en-AU"/>
        </w:rPr>
        <w:endnoteReference w:id="24"/>
      </w:r>
      <w:r w:rsidR="004461FD" w:rsidRPr="00160158">
        <w:rPr>
          <w:sz w:val="20"/>
          <w:szCs w:val="20"/>
          <w:vertAlign w:val="superscript"/>
          <w:lang w:eastAsia="en-AU"/>
        </w:rPr>
        <w:t>,</w:t>
      </w:r>
      <w:r w:rsidR="004461FD" w:rsidRPr="00160158">
        <w:rPr>
          <w:rStyle w:val="EndnoteReference"/>
          <w:sz w:val="20"/>
          <w:szCs w:val="20"/>
          <w:lang w:eastAsia="en-AU"/>
        </w:rPr>
        <w:endnoteReference w:id="25"/>
      </w:r>
      <w:r w:rsidR="004461FD" w:rsidRPr="00B761F1">
        <w:rPr>
          <w:sz w:val="20"/>
          <w:szCs w:val="20"/>
          <w:lang w:eastAsia="en-AU"/>
        </w:rPr>
        <w:t xml:space="preserve"> </w:t>
      </w:r>
      <w:r w:rsidR="00936054">
        <w:rPr>
          <w:caps/>
          <w:sz w:val="20"/>
          <w:szCs w:val="20"/>
          <w:lang w:eastAsia="en-AU"/>
        </w:rPr>
        <w:t>A</w:t>
      </w:r>
      <w:r w:rsidR="00936054">
        <w:rPr>
          <w:sz w:val="20"/>
          <w:szCs w:val="20"/>
          <w:lang w:eastAsia="en-AU"/>
        </w:rPr>
        <w:t>ge at sexual debut has also been associated with STI</w:t>
      </w:r>
      <w:r w:rsidR="00BC076D">
        <w:rPr>
          <w:sz w:val="20"/>
          <w:szCs w:val="20"/>
          <w:lang w:eastAsia="en-AU"/>
        </w:rPr>
        <w:t>;</w:t>
      </w:r>
      <w:r w:rsidR="00936054">
        <w:rPr>
          <w:sz w:val="20"/>
          <w:szCs w:val="20"/>
          <w:lang w:eastAsia="en-AU"/>
        </w:rPr>
        <w:t xml:space="preserve"> therefore</w:t>
      </w:r>
      <w:r w:rsidR="00BC076D">
        <w:rPr>
          <w:sz w:val="20"/>
          <w:szCs w:val="20"/>
          <w:lang w:eastAsia="en-AU"/>
        </w:rPr>
        <w:t>,</w:t>
      </w:r>
      <w:r w:rsidR="00936054">
        <w:rPr>
          <w:sz w:val="20"/>
          <w:szCs w:val="20"/>
          <w:lang w:eastAsia="en-AU"/>
        </w:rPr>
        <w:t xml:space="preserve"> the commencement of prevention education needs to be appropriately timed.</w:t>
      </w:r>
      <w:r w:rsidR="00936054">
        <w:rPr>
          <w:rStyle w:val="EndnoteReference"/>
          <w:sz w:val="20"/>
          <w:szCs w:val="20"/>
          <w:lang w:eastAsia="en-AU"/>
        </w:rPr>
        <w:endnoteReference w:id="26"/>
      </w:r>
    </w:p>
    <w:p w14:paraId="2B8B1E6C" w14:textId="44FDBDD8" w:rsidR="00D94082" w:rsidRPr="004C2842" w:rsidRDefault="003D3BAC" w:rsidP="00D94082">
      <w:pPr>
        <w:rPr>
          <w:sz w:val="20"/>
          <w:szCs w:val="20"/>
        </w:rPr>
      </w:pPr>
      <w:r w:rsidRPr="003D19E4">
        <w:rPr>
          <w:sz w:val="20"/>
          <w:szCs w:val="20"/>
        </w:rPr>
        <w:t xml:space="preserve">The newly diagnosed HIV notification rate in young Aboriginal and Torres Strait Islander people has been variable over the past five years. </w:t>
      </w:r>
      <w:r w:rsidRPr="004C2842">
        <w:rPr>
          <w:sz w:val="20"/>
          <w:szCs w:val="20"/>
        </w:rPr>
        <w:t xml:space="preserve">In the five-year period </w:t>
      </w:r>
      <w:r w:rsidR="00BC076D">
        <w:rPr>
          <w:sz w:val="20"/>
          <w:szCs w:val="20"/>
        </w:rPr>
        <w:t xml:space="preserve">from </w:t>
      </w:r>
      <w:r w:rsidRPr="004C2842">
        <w:rPr>
          <w:sz w:val="20"/>
          <w:szCs w:val="20"/>
        </w:rPr>
        <w:t>2012</w:t>
      </w:r>
      <w:r w:rsidR="00BC076D">
        <w:rPr>
          <w:sz w:val="20"/>
          <w:szCs w:val="20"/>
        </w:rPr>
        <w:t xml:space="preserve"> to </w:t>
      </w:r>
      <w:r w:rsidRPr="004C2842">
        <w:rPr>
          <w:sz w:val="20"/>
          <w:szCs w:val="20"/>
        </w:rPr>
        <w:t>2016, there were 72 newly diagnosed cases of HIV among 15</w:t>
      </w:r>
      <w:r w:rsidR="00BC076D">
        <w:rPr>
          <w:sz w:val="20"/>
          <w:szCs w:val="20"/>
        </w:rPr>
        <w:t xml:space="preserve">- to </w:t>
      </w:r>
      <w:r w:rsidRPr="004C2842">
        <w:rPr>
          <w:sz w:val="20"/>
          <w:szCs w:val="20"/>
        </w:rPr>
        <w:t>29</w:t>
      </w:r>
      <w:r w:rsidR="00BC076D">
        <w:rPr>
          <w:sz w:val="20"/>
          <w:szCs w:val="20"/>
        </w:rPr>
        <w:t>-</w:t>
      </w:r>
      <w:r w:rsidRPr="004C2842">
        <w:rPr>
          <w:sz w:val="20"/>
          <w:szCs w:val="20"/>
        </w:rPr>
        <w:t>year</w:t>
      </w:r>
      <w:r w:rsidR="00BC076D">
        <w:rPr>
          <w:sz w:val="20"/>
          <w:szCs w:val="20"/>
        </w:rPr>
        <w:t>-</w:t>
      </w:r>
      <w:r w:rsidRPr="004C2842">
        <w:rPr>
          <w:sz w:val="20"/>
          <w:szCs w:val="20"/>
        </w:rPr>
        <w:t>old Aboriginal and Torres Strait Islander people.</w:t>
      </w:r>
      <w:r w:rsidR="00F6518C">
        <w:rPr>
          <w:rStyle w:val="EndnoteReference"/>
          <w:sz w:val="20"/>
          <w:szCs w:val="20"/>
        </w:rPr>
        <w:endnoteReference w:id="27"/>
      </w:r>
      <w:r w:rsidRPr="004C2842">
        <w:rPr>
          <w:sz w:val="20"/>
          <w:szCs w:val="20"/>
        </w:rPr>
        <w:t xml:space="preserve"> </w:t>
      </w:r>
      <w:r>
        <w:rPr>
          <w:sz w:val="20"/>
          <w:szCs w:val="20"/>
        </w:rPr>
        <w:t xml:space="preserve">This represents 40 per cent </w:t>
      </w:r>
      <w:r w:rsidRPr="004C2842">
        <w:rPr>
          <w:sz w:val="20"/>
          <w:szCs w:val="20"/>
        </w:rPr>
        <w:t>of newly diagnosed HIV cases among Aboriginal and Torres Strait Islander people in th</w:t>
      </w:r>
      <w:r>
        <w:rPr>
          <w:sz w:val="20"/>
          <w:szCs w:val="20"/>
        </w:rPr>
        <w:t>at</w:t>
      </w:r>
      <w:r w:rsidRPr="004C2842">
        <w:rPr>
          <w:sz w:val="20"/>
          <w:szCs w:val="20"/>
        </w:rPr>
        <w:t xml:space="preserve"> period</w:t>
      </w:r>
      <w:r>
        <w:rPr>
          <w:sz w:val="20"/>
          <w:szCs w:val="20"/>
        </w:rPr>
        <w:t xml:space="preserve">. </w:t>
      </w:r>
      <w:r w:rsidRPr="004C2842">
        <w:rPr>
          <w:sz w:val="20"/>
          <w:szCs w:val="20"/>
        </w:rPr>
        <w:t xml:space="preserve">Between 2013 and 2016, the number of notifications </w:t>
      </w:r>
      <w:r>
        <w:rPr>
          <w:sz w:val="20"/>
          <w:szCs w:val="20"/>
        </w:rPr>
        <w:t xml:space="preserve">in young </w:t>
      </w:r>
      <w:r w:rsidRPr="004C2842">
        <w:rPr>
          <w:sz w:val="20"/>
          <w:szCs w:val="20"/>
        </w:rPr>
        <w:t>Aboriginal a</w:t>
      </w:r>
      <w:r>
        <w:rPr>
          <w:sz w:val="20"/>
          <w:szCs w:val="20"/>
        </w:rPr>
        <w:t xml:space="preserve">nd Torres Strait Islander people </w:t>
      </w:r>
      <w:r w:rsidRPr="004C2842">
        <w:rPr>
          <w:sz w:val="20"/>
          <w:szCs w:val="20"/>
        </w:rPr>
        <w:t>increased by 171 per cent</w:t>
      </w:r>
      <w:r>
        <w:rPr>
          <w:sz w:val="20"/>
          <w:szCs w:val="20"/>
        </w:rPr>
        <w:t xml:space="preserve"> (compared </w:t>
      </w:r>
      <w:r w:rsidR="00BC076D">
        <w:rPr>
          <w:sz w:val="20"/>
          <w:szCs w:val="20"/>
        </w:rPr>
        <w:t xml:space="preserve">with </w:t>
      </w:r>
      <w:r>
        <w:rPr>
          <w:sz w:val="20"/>
          <w:szCs w:val="20"/>
        </w:rPr>
        <w:t>relatively stable rates in the non-Indigenous population)</w:t>
      </w:r>
      <w:r w:rsidRPr="004C2842">
        <w:rPr>
          <w:sz w:val="20"/>
          <w:szCs w:val="20"/>
        </w:rPr>
        <w:t xml:space="preserve">. </w:t>
      </w:r>
      <w:r>
        <w:rPr>
          <w:sz w:val="20"/>
          <w:szCs w:val="20"/>
        </w:rPr>
        <w:t>Although y</w:t>
      </w:r>
      <w:r w:rsidRPr="004C2842">
        <w:rPr>
          <w:sz w:val="20"/>
          <w:szCs w:val="20"/>
        </w:rPr>
        <w:t>ear</w:t>
      </w:r>
      <w:r w:rsidR="00A23786">
        <w:rPr>
          <w:sz w:val="20"/>
          <w:szCs w:val="20"/>
        </w:rPr>
        <w:t>-</w:t>
      </w:r>
      <w:r w:rsidRPr="004C2842">
        <w:rPr>
          <w:sz w:val="20"/>
          <w:szCs w:val="20"/>
        </w:rPr>
        <w:t>on</w:t>
      </w:r>
      <w:r w:rsidR="00A23786">
        <w:rPr>
          <w:sz w:val="20"/>
          <w:szCs w:val="20"/>
        </w:rPr>
        <w:t>-</w:t>
      </w:r>
      <w:r w:rsidRPr="004C2842">
        <w:rPr>
          <w:sz w:val="20"/>
          <w:szCs w:val="20"/>
        </w:rPr>
        <w:t xml:space="preserve">year changes should be interpreted with caution due to the small </w:t>
      </w:r>
      <w:r w:rsidRPr="00F73C8F">
        <w:rPr>
          <w:sz w:val="20"/>
          <w:szCs w:val="20"/>
        </w:rPr>
        <w:t xml:space="preserve">number of notifications, this data highlights the importance of this priority group in the HIV response. </w:t>
      </w:r>
      <w:r w:rsidR="00F73C8F">
        <w:rPr>
          <w:sz w:val="20"/>
          <w:szCs w:val="20"/>
        </w:rPr>
        <w:t>The h</w:t>
      </w:r>
      <w:r w:rsidR="00912E60" w:rsidRPr="00F73C8F">
        <w:rPr>
          <w:sz w:val="20"/>
          <w:szCs w:val="20"/>
        </w:rPr>
        <w:t xml:space="preserve">igh </w:t>
      </w:r>
      <w:r w:rsidR="00F73C8F" w:rsidRPr="00F73C8F">
        <w:rPr>
          <w:sz w:val="20"/>
          <w:szCs w:val="20"/>
        </w:rPr>
        <w:t>rates of STI in young Aboriginal and Torres Strait Islander people also increase</w:t>
      </w:r>
      <w:r w:rsidR="00912E60" w:rsidRPr="00F73C8F">
        <w:rPr>
          <w:sz w:val="20"/>
          <w:szCs w:val="20"/>
        </w:rPr>
        <w:t xml:space="preserve"> the risk of HIV infection.</w:t>
      </w:r>
    </w:p>
    <w:p w14:paraId="131ADE71" w14:textId="222FE23E" w:rsidR="00CA7F81" w:rsidRPr="00B761F1" w:rsidRDefault="00CA7F81" w:rsidP="00CA7F81">
      <w:pPr>
        <w:rPr>
          <w:sz w:val="20"/>
          <w:szCs w:val="20"/>
        </w:rPr>
      </w:pPr>
      <w:r w:rsidRPr="00B761F1">
        <w:rPr>
          <w:sz w:val="20"/>
          <w:szCs w:val="20"/>
        </w:rPr>
        <w:t xml:space="preserve">The rate of newly diagnosed hepatitis C is greater in </w:t>
      </w:r>
      <w:r w:rsidR="003D3BAC" w:rsidRPr="00B761F1">
        <w:rPr>
          <w:sz w:val="20"/>
          <w:szCs w:val="20"/>
        </w:rPr>
        <w:t xml:space="preserve">young </w:t>
      </w:r>
      <w:r w:rsidRPr="00B761F1">
        <w:rPr>
          <w:sz w:val="20"/>
          <w:szCs w:val="20"/>
        </w:rPr>
        <w:t xml:space="preserve">Aboriginal and Torres Strait Islander people </w:t>
      </w:r>
      <w:r w:rsidR="006807A4">
        <w:rPr>
          <w:sz w:val="20"/>
          <w:szCs w:val="20"/>
        </w:rPr>
        <w:t xml:space="preserve">when </w:t>
      </w:r>
      <w:r w:rsidRPr="00B761F1">
        <w:rPr>
          <w:sz w:val="20"/>
          <w:szCs w:val="20"/>
        </w:rPr>
        <w:t xml:space="preserve">compared </w:t>
      </w:r>
      <w:r w:rsidR="00BC076D">
        <w:rPr>
          <w:sz w:val="20"/>
          <w:szCs w:val="20"/>
        </w:rPr>
        <w:t xml:space="preserve">with </w:t>
      </w:r>
      <w:r w:rsidRPr="00B761F1">
        <w:rPr>
          <w:sz w:val="20"/>
          <w:szCs w:val="20"/>
        </w:rPr>
        <w:t>non-Indigenous</w:t>
      </w:r>
      <w:r>
        <w:rPr>
          <w:sz w:val="20"/>
          <w:szCs w:val="20"/>
        </w:rPr>
        <w:t xml:space="preserve"> young people</w:t>
      </w:r>
      <w:r w:rsidRPr="00B761F1">
        <w:rPr>
          <w:sz w:val="20"/>
          <w:szCs w:val="20"/>
        </w:rPr>
        <w:t>. In the period from 2012 to 2016, the notification rate in Aboriginal and Torres Strait Islander people aged 15 to 24 years increased</w:t>
      </w:r>
      <w:r>
        <w:rPr>
          <w:sz w:val="20"/>
          <w:szCs w:val="20"/>
        </w:rPr>
        <w:t xml:space="preserve"> </w:t>
      </w:r>
      <w:r w:rsidRPr="00B761F1">
        <w:rPr>
          <w:sz w:val="20"/>
          <w:szCs w:val="20"/>
        </w:rPr>
        <w:t>by 49 per cent from 159 per 100</w:t>
      </w:r>
      <w:r w:rsidR="00BC076D">
        <w:rPr>
          <w:sz w:val="20"/>
          <w:szCs w:val="20"/>
        </w:rPr>
        <w:t> </w:t>
      </w:r>
      <w:r w:rsidRPr="00B761F1">
        <w:rPr>
          <w:sz w:val="20"/>
          <w:szCs w:val="20"/>
        </w:rPr>
        <w:t>000 population in 2012 to 237 per 100</w:t>
      </w:r>
      <w:r w:rsidR="00BC076D">
        <w:rPr>
          <w:sz w:val="20"/>
          <w:szCs w:val="20"/>
        </w:rPr>
        <w:t> </w:t>
      </w:r>
      <w:r w:rsidRPr="00B761F1">
        <w:rPr>
          <w:sz w:val="20"/>
          <w:szCs w:val="20"/>
        </w:rPr>
        <w:t>000 in 2016.</w:t>
      </w:r>
      <w:r w:rsidR="002A68F0">
        <w:rPr>
          <w:sz w:val="20"/>
          <w:szCs w:val="20"/>
          <w:vertAlign w:val="superscript"/>
        </w:rPr>
        <w:t>6</w:t>
      </w:r>
      <w:r w:rsidRPr="00B761F1">
        <w:rPr>
          <w:sz w:val="20"/>
          <w:szCs w:val="20"/>
        </w:rPr>
        <w:t xml:space="preserve"> This is compared </w:t>
      </w:r>
      <w:r w:rsidR="00BC076D">
        <w:rPr>
          <w:sz w:val="20"/>
          <w:szCs w:val="20"/>
        </w:rPr>
        <w:t xml:space="preserve">with </w:t>
      </w:r>
      <w:r w:rsidRPr="00B761F1">
        <w:rPr>
          <w:sz w:val="20"/>
          <w:szCs w:val="20"/>
        </w:rPr>
        <w:t>an increase of 13 per cent in the 25</w:t>
      </w:r>
      <w:r w:rsidR="00BC076D">
        <w:rPr>
          <w:sz w:val="20"/>
          <w:szCs w:val="20"/>
        </w:rPr>
        <w:t>-</w:t>
      </w:r>
      <w:r w:rsidRPr="00B761F1">
        <w:rPr>
          <w:sz w:val="20"/>
          <w:szCs w:val="20"/>
        </w:rPr>
        <w:t xml:space="preserve"> to 39</w:t>
      </w:r>
      <w:r w:rsidR="00BC076D">
        <w:rPr>
          <w:sz w:val="20"/>
          <w:szCs w:val="20"/>
        </w:rPr>
        <w:t>-</w:t>
      </w:r>
      <w:r w:rsidRPr="00B761F1">
        <w:rPr>
          <w:sz w:val="20"/>
          <w:szCs w:val="20"/>
        </w:rPr>
        <w:t xml:space="preserve">year age group and 20 per cent in people over 40 years. </w:t>
      </w:r>
      <w:r>
        <w:rPr>
          <w:sz w:val="20"/>
          <w:szCs w:val="20"/>
        </w:rPr>
        <w:t xml:space="preserve">Amongst the non-Indigenous population, the notification rate remained stable for each of these age groups across the same time period. </w:t>
      </w:r>
    </w:p>
    <w:p w14:paraId="08D45A4A" w14:textId="094F7A37" w:rsidR="00CA7F81" w:rsidRPr="00B761F1" w:rsidRDefault="00CA7F81" w:rsidP="00CA7F81">
      <w:pPr>
        <w:rPr>
          <w:sz w:val="20"/>
          <w:szCs w:val="20"/>
        </w:rPr>
      </w:pPr>
      <w:r>
        <w:rPr>
          <w:sz w:val="20"/>
          <w:szCs w:val="20"/>
        </w:rPr>
        <w:t>T</w:t>
      </w:r>
      <w:r w:rsidRPr="00B761F1">
        <w:rPr>
          <w:sz w:val="20"/>
          <w:szCs w:val="20"/>
        </w:rPr>
        <w:t xml:space="preserve">he rate of newly diagnosed hepatitis B has declined in Aboriginal and Torres Strait Islander people aged under 30 years between 2012 and 2016, with no cases recorded in individuals aged 15 to 19 years of </w:t>
      </w:r>
      <w:r>
        <w:rPr>
          <w:sz w:val="20"/>
          <w:szCs w:val="20"/>
        </w:rPr>
        <w:t>age in this population in 2016</w:t>
      </w:r>
      <w:r w:rsidR="00BC076D">
        <w:rPr>
          <w:sz w:val="20"/>
          <w:szCs w:val="20"/>
        </w:rPr>
        <w:t>.</w:t>
      </w:r>
      <w:r w:rsidR="002A68F0">
        <w:rPr>
          <w:sz w:val="20"/>
          <w:szCs w:val="20"/>
          <w:vertAlign w:val="superscript"/>
        </w:rPr>
        <w:t>6</w:t>
      </w:r>
      <w:r>
        <w:rPr>
          <w:sz w:val="20"/>
          <w:szCs w:val="20"/>
        </w:rPr>
        <w:t xml:space="preserve"> </w:t>
      </w:r>
      <w:r w:rsidR="00BC076D">
        <w:rPr>
          <w:sz w:val="20"/>
          <w:szCs w:val="20"/>
        </w:rPr>
        <w:t xml:space="preserve">This </w:t>
      </w:r>
      <w:r>
        <w:rPr>
          <w:sz w:val="20"/>
          <w:szCs w:val="20"/>
        </w:rPr>
        <w:t>reflect</w:t>
      </w:r>
      <w:r w:rsidR="00BC076D">
        <w:rPr>
          <w:sz w:val="20"/>
          <w:szCs w:val="20"/>
        </w:rPr>
        <w:t>s</w:t>
      </w:r>
      <w:r>
        <w:rPr>
          <w:sz w:val="20"/>
          <w:szCs w:val="20"/>
        </w:rPr>
        <w:t xml:space="preserve"> </w:t>
      </w:r>
      <w:r w:rsidRPr="006F12EE">
        <w:rPr>
          <w:sz w:val="20"/>
          <w:szCs w:val="20"/>
        </w:rPr>
        <w:t>the</w:t>
      </w:r>
      <w:r w:rsidR="007A54B6">
        <w:rPr>
          <w:sz w:val="20"/>
          <w:szCs w:val="20"/>
        </w:rPr>
        <w:t xml:space="preserve"> positive</w:t>
      </w:r>
      <w:r w:rsidRPr="006F12EE">
        <w:rPr>
          <w:sz w:val="20"/>
          <w:szCs w:val="20"/>
        </w:rPr>
        <w:t xml:space="preserve"> impact of Aboriginal and Torres Strait Islander childhood and adolescent vaccination programs</w:t>
      </w:r>
      <w:r>
        <w:rPr>
          <w:sz w:val="20"/>
          <w:szCs w:val="20"/>
        </w:rPr>
        <w:t>.</w:t>
      </w:r>
    </w:p>
    <w:p w14:paraId="55987610" w14:textId="4F147C88" w:rsidR="00CA7F81" w:rsidRPr="00B761F1" w:rsidRDefault="00CA7F81" w:rsidP="00CA7F81">
      <w:pPr>
        <w:rPr>
          <w:sz w:val="20"/>
          <w:szCs w:val="20"/>
        </w:rPr>
      </w:pPr>
      <w:r w:rsidRPr="00B761F1">
        <w:rPr>
          <w:sz w:val="20"/>
          <w:szCs w:val="20"/>
        </w:rPr>
        <w:t>While there ha</w:t>
      </w:r>
      <w:r w:rsidR="004325FC">
        <w:rPr>
          <w:sz w:val="20"/>
          <w:szCs w:val="20"/>
        </w:rPr>
        <w:t>ve</w:t>
      </w:r>
      <w:r w:rsidRPr="00B761F1">
        <w:rPr>
          <w:sz w:val="20"/>
          <w:szCs w:val="20"/>
        </w:rPr>
        <w:t xml:space="preserve"> been small decline</w:t>
      </w:r>
      <w:r w:rsidR="004325FC">
        <w:rPr>
          <w:sz w:val="20"/>
          <w:szCs w:val="20"/>
        </w:rPr>
        <w:t>s</w:t>
      </w:r>
      <w:r w:rsidRPr="00B761F1">
        <w:rPr>
          <w:sz w:val="20"/>
          <w:szCs w:val="20"/>
        </w:rPr>
        <w:t xml:space="preserve"> in </w:t>
      </w:r>
      <w:r>
        <w:rPr>
          <w:sz w:val="20"/>
          <w:szCs w:val="20"/>
        </w:rPr>
        <w:t xml:space="preserve">the notification </w:t>
      </w:r>
      <w:r w:rsidRPr="00B761F1">
        <w:rPr>
          <w:sz w:val="20"/>
          <w:szCs w:val="20"/>
        </w:rPr>
        <w:t xml:space="preserve">rates of chlamydia </w:t>
      </w:r>
      <w:r w:rsidR="004325FC">
        <w:rPr>
          <w:sz w:val="20"/>
          <w:szCs w:val="20"/>
        </w:rPr>
        <w:t xml:space="preserve">and gonorrhoea </w:t>
      </w:r>
      <w:r w:rsidRPr="00B761F1">
        <w:rPr>
          <w:sz w:val="20"/>
          <w:szCs w:val="20"/>
        </w:rPr>
        <w:t xml:space="preserve">in Aboriginal and Torres Strait Islander people aged between 15 and 29 years, </w:t>
      </w:r>
      <w:r>
        <w:rPr>
          <w:sz w:val="20"/>
          <w:szCs w:val="20"/>
        </w:rPr>
        <w:t>rates</w:t>
      </w:r>
      <w:r w:rsidRPr="00B761F1">
        <w:rPr>
          <w:sz w:val="20"/>
          <w:szCs w:val="20"/>
        </w:rPr>
        <w:t xml:space="preserve"> remain higher than </w:t>
      </w:r>
      <w:r>
        <w:rPr>
          <w:sz w:val="20"/>
          <w:szCs w:val="20"/>
        </w:rPr>
        <w:t>in</w:t>
      </w:r>
      <w:r w:rsidRPr="00B761F1">
        <w:rPr>
          <w:sz w:val="20"/>
          <w:szCs w:val="20"/>
        </w:rPr>
        <w:t xml:space="preserve"> non-Indigenous </w:t>
      </w:r>
      <w:r>
        <w:rPr>
          <w:sz w:val="20"/>
          <w:szCs w:val="20"/>
        </w:rPr>
        <w:t>people of the same age</w:t>
      </w:r>
      <w:r w:rsidRPr="00B761F1">
        <w:rPr>
          <w:sz w:val="20"/>
          <w:szCs w:val="20"/>
        </w:rPr>
        <w:t xml:space="preserve">. </w:t>
      </w:r>
      <w:r w:rsidR="00343D6E">
        <w:rPr>
          <w:sz w:val="20"/>
          <w:szCs w:val="20"/>
        </w:rPr>
        <w:t xml:space="preserve">In 2016, the rate </w:t>
      </w:r>
      <w:r w:rsidR="004325FC">
        <w:rPr>
          <w:sz w:val="20"/>
          <w:szCs w:val="20"/>
        </w:rPr>
        <w:t xml:space="preserve">of chlamydia </w:t>
      </w:r>
      <w:r w:rsidR="00343D6E">
        <w:rPr>
          <w:sz w:val="20"/>
          <w:szCs w:val="20"/>
        </w:rPr>
        <w:t>in people aged between 15 and 19 years was 5522 per 100</w:t>
      </w:r>
      <w:r w:rsidR="00A551DE">
        <w:rPr>
          <w:sz w:val="20"/>
          <w:szCs w:val="20"/>
        </w:rPr>
        <w:t> </w:t>
      </w:r>
      <w:r w:rsidR="00343D6E">
        <w:rPr>
          <w:sz w:val="20"/>
          <w:szCs w:val="20"/>
        </w:rPr>
        <w:t xml:space="preserve">000 </w:t>
      </w:r>
      <w:r w:rsidR="00433353">
        <w:rPr>
          <w:sz w:val="20"/>
          <w:szCs w:val="20"/>
        </w:rPr>
        <w:t>(</w:t>
      </w:r>
      <w:r w:rsidR="00343D6E">
        <w:rPr>
          <w:sz w:val="20"/>
          <w:szCs w:val="20"/>
        </w:rPr>
        <w:t xml:space="preserve">compared </w:t>
      </w:r>
      <w:r w:rsidR="00A551DE">
        <w:rPr>
          <w:sz w:val="20"/>
          <w:szCs w:val="20"/>
        </w:rPr>
        <w:t xml:space="preserve">with </w:t>
      </w:r>
      <w:r w:rsidR="00343D6E">
        <w:rPr>
          <w:sz w:val="20"/>
          <w:szCs w:val="20"/>
        </w:rPr>
        <w:t>1316 in the non-Indigenous population) and 3681 per 100</w:t>
      </w:r>
      <w:r w:rsidR="00A551DE">
        <w:rPr>
          <w:sz w:val="20"/>
          <w:szCs w:val="20"/>
        </w:rPr>
        <w:t> </w:t>
      </w:r>
      <w:r w:rsidR="00343D6E">
        <w:rPr>
          <w:sz w:val="20"/>
          <w:szCs w:val="20"/>
        </w:rPr>
        <w:t xml:space="preserve">000 (compared </w:t>
      </w:r>
      <w:r w:rsidR="00A551DE">
        <w:rPr>
          <w:sz w:val="20"/>
          <w:szCs w:val="20"/>
        </w:rPr>
        <w:t xml:space="preserve">with </w:t>
      </w:r>
      <w:r w:rsidR="00343D6E">
        <w:rPr>
          <w:sz w:val="20"/>
          <w:szCs w:val="20"/>
        </w:rPr>
        <w:t>1632) in those aged between 20 and 29 years.</w:t>
      </w:r>
      <w:r w:rsidR="004325FC" w:rsidRPr="004325FC">
        <w:rPr>
          <w:sz w:val="20"/>
          <w:szCs w:val="20"/>
        </w:rPr>
        <w:t xml:space="preserve"> </w:t>
      </w:r>
      <w:r w:rsidR="004325FC" w:rsidRPr="00B761F1">
        <w:rPr>
          <w:sz w:val="20"/>
          <w:szCs w:val="20"/>
        </w:rPr>
        <w:t>In 2016</w:t>
      </w:r>
      <w:r w:rsidR="004325FC">
        <w:rPr>
          <w:sz w:val="20"/>
          <w:szCs w:val="20"/>
        </w:rPr>
        <w:t>,</w:t>
      </w:r>
      <w:r w:rsidR="004325FC" w:rsidRPr="00B761F1">
        <w:rPr>
          <w:sz w:val="20"/>
          <w:szCs w:val="20"/>
        </w:rPr>
        <w:t xml:space="preserve"> the rate </w:t>
      </w:r>
      <w:r w:rsidR="004325FC">
        <w:rPr>
          <w:sz w:val="20"/>
          <w:szCs w:val="20"/>
        </w:rPr>
        <w:t xml:space="preserve">of gonorrhoea </w:t>
      </w:r>
      <w:r w:rsidR="004325FC" w:rsidRPr="00B761F1">
        <w:rPr>
          <w:sz w:val="20"/>
          <w:szCs w:val="20"/>
        </w:rPr>
        <w:t>in people aged between 15 and 19 years was 2202 per 100</w:t>
      </w:r>
      <w:r w:rsidR="00A551DE">
        <w:rPr>
          <w:sz w:val="20"/>
          <w:szCs w:val="20"/>
        </w:rPr>
        <w:t> </w:t>
      </w:r>
      <w:r w:rsidR="004325FC" w:rsidRPr="00B761F1">
        <w:rPr>
          <w:sz w:val="20"/>
          <w:szCs w:val="20"/>
        </w:rPr>
        <w:t xml:space="preserve">000 (compared </w:t>
      </w:r>
      <w:r w:rsidR="00A551DE">
        <w:rPr>
          <w:sz w:val="20"/>
          <w:szCs w:val="20"/>
        </w:rPr>
        <w:t xml:space="preserve">with </w:t>
      </w:r>
      <w:r w:rsidR="004325FC" w:rsidRPr="00B761F1">
        <w:rPr>
          <w:sz w:val="20"/>
          <w:szCs w:val="20"/>
        </w:rPr>
        <w:t>93 in the non-Indigenous population)</w:t>
      </w:r>
      <w:r w:rsidR="004325FC">
        <w:rPr>
          <w:sz w:val="20"/>
          <w:szCs w:val="20"/>
        </w:rPr>
        <w:t>,</w:t>
      </w:r>
      <w:r w:rsidR="004325FC" w:rsidRPr="00B761F1">
        <w:rPr>
          <w:sz w:val="20"/>
          <w:szCs w:val="20"/>
        </w:rPr>
        <w:t xml:space="preserve"> and 1449 per 100</w:t>
      </w:r>
      <w:r w:rsidR="00A551DE">
        <w:rPr>
          <w:sz w:val="20"/>
          <w:szCs w:val="20"/>
        </w:rPr>
        <w:t> </w:t>
      </w:r>
      <w:r w:rsidR="004325FC" w:rsidRPr="00B761F1">
        <w:rPr>
          <w:sz w:val="20"/>
          <w:szCs w:val="20"/>
        </w:rPr>
        <w:t xml:space="preserve">000 (compared </w:t>
      </w:r>
      <w:r w:rsidR="00A551DE">
        <w:rPr>
          <w:sz w:val="20"/>
          <w:szCs w:val="20"/>
        </w:rPr>
        <w:t xml:space="preserve">with </w:t>
      </w:r>
      <w:r w:rsidR="004325FC" w:rsidRPr="00B761F1">
        <w:rPr>
          <w:sz w:val="20"/>
          <w:szCs w:val="20"/>
        </w:rPr>
        <w:t>262)</w:t>
      </w:r>
      <w:r w:rsidR="004325FC">
        <w:rPr>
          <w:sz w:val="20"/>
          <w:szCs w:val="20"/>
        </w:rPr>
        <w:t xml:space="preserve"> </w:t>
      </w:r>
      <w:r w:rsidR="004325FC" w:rsidRPr="00B761F1">
        <w:rPr>
          <w:sz w:val="20"/>
          <w:szCs w:val="20"/>
        </w:rPr>
        <w:t>in those aged between 20 and 29 years</w:t>
      </w:r>
      <w:r w:rsidR="004325FC">
        <w:rPr>
          <w:sz w:val="20"/>
          <w:szCs w:val="20"/>
        </w:rPr>
        <w:t>.</w:t>
      </w:r>
      <w:r w:rsidR="002A68F0" w:rsidRPr="002A68F0">
        <w:rPr>
          <w:sz w:val="20"/>
          <w:szCs w:val="20"/>
          <w:vertAlign w:val="superscript"/>
        </w:rPr>
        <w:t>6</w:t>
      </w:r>
      <w:r w:rsidR="00343D6E" w:rsidRPr="00A551DE">
        <w:rPr>
          <w:sz w:val="20"/>
          <w:szCs w:val="20"/>
        </w:rPr>
        <w:t xml:space="preserve"> </w:t>
      </w:r>
      <w:r w:rsidRPr="00B761F1">
        <w:rPr>
          <w:sz w:val="20"/>
          <w:szCs w:val="20"/>
        </w:rPr>
        <w:t xml:space="preserve">The rate of chlamydia </w:t>
      </w:r>
      <w:r w:rsidR="004325FC">
        <w:rPr>
          <w:sz w:val="20"/>
          <w:szCs w:val="20"/>
        </w:rPr>
        <w:t xml:space="preserve">and gonorrhoea </w:t>
      </w:r>
      <w:r w:rsidRPr="00B761F1">
        <w:rPr>
          <w:sz w:val="20"/>
          <w:szCs w:val="20"/>
        </w:rPr>
        <w:t xml:space="preserve">in this age group </w:t>
      </w:r>
      <w:r w:rsidR="004325FC">
        <w:rPr>
          <w:sz w:val="20"/>
          <w:szCs w:val="20"/>
        </w:rPr>
        <w:t>(15</w:t>
      </w:r>
      <w:r w:rsidR="00A551DE">
        <w:rPr>
          <w:sz w:val="20"/>
          <w:szCs w:val="20"/>
        </w:rPr>
        <w:t xml:space="preserve"> to </w:t>
      </w:r>
      <w:r w:rsidR="004325FC">
        <w:rPr>
          <w:sz w:val="20"/>
          <w:szCs w:val="20"/>
        </w:rPr>
        <w:t xml:space="preserve">29 years) </w:t>
      </w:r>
      <w:r w:rsidRPr="00B761F1">
        <w:rPr>
          <w:sz w:val="20"/>
          <w:szCs w:val="20"/>
        </w:rPr>
        <w:t xml:space="preserve">is also greater when compared </w:t>
      </w:r>
      <w:r w:rsidR="00A551DE">
        <w:rPr>
          <w:sz w:val="20"/>
          <w:szCs w:val="20"/>
        </w:rPr>
        <w:t xml:space="preserve">with </w:t>
      </w:r>
      <w:r w:rsidRPr="00B761F1">
        <w:rPr>
          <w:sz w:val="20"/>
          <w:szCs w:val="20"/>
        </w:rPr>
        <w:t xml:space="preserve">older age groups, indicating that the burden </w:t>
      </w:r>
      <w:r w:rsidRPr="00D63417">
        <w:rPr>
          <w:sz w:val="20"/>
          <w:szCs w:val="20"/>
        </w:rPr>
        <w:t xml:space="preserve">in Aboriginal and Torres Strait Islander people </w:t>
      </w:r>
      <w:r w:rsidRPr="00B761F1">
        <w:rPr>
          <w:sz w:val="20"/>
          <w:szCs w:val="20"/>
        </w:rPr>
        <w:t xml:space="preserve">is </w:t>
      </w:r>
      <w:r>
        <w:rPr>
          <w:sz w:val="20"/>
          <w:szCs w:val="20"/>
        </w:rPr>
        <w:t>primarily among</w:t>
      </w:r>
      <w:r w:rsidRPr="00B761F1">
        <w:rPr>
          <w:sz w:val="20"/>
          <w:szCs w:val="20"/>
        </w:rPr>
        <w:t xml:space="preserve"> young </w:t>
      </w:r>
      <w:r>
        <w:rPr>
          <w:sz w:val="20"/>
          <w:szCs w:val="20"/>
        </w:rPr>
        <w:t>people</w:t>
      </w:r>
      <w:r w:rsidRPr="00B761F1">
        <w:rPr>
          <w:sz w:val="20"/>
          <w:szCs w:val="20"/>
        </w:rPr>
        <w:t xml:space="preserve">. </w:t>
      </w:r>
    </w:p>
    <w:p w14:paraId="54F631F5" w14:textId="5C98D5A0" w:rsidR="00CA7F81" w:rsidRDefault="00CA7F81" w:rsidP="00CA7F81">
      <w:pPr>
        <w:rPr>
          <w:sz w:val="20"/>
          <w:szCs w:val="20"/>
        </w:rPr>
      </w:pPr>
      <w:r>
        <w:rPr>
          <w:sz w:val="20"/>
          <w:szCs w:val="20"/>
        </w:rPr>
        <w:t>T</w:t>
      </w:r>
      <w:r w:rsidRPr="00B761F1">
        <w:rPr>
          <w:sz w:val="20"/>
          <w:szCs w:val="20"/>
        </w:rPr>
        <w:t xml:space="preserve">he rate of syphilis notifications </w:t>
      </w:r>
      <w:r>
        <w:rPr>
          <w:sz w:val="20"/>
          <w:szCs w:val="20"/>
        </w:rPr>
        <w:t xml:space="preserve">in </w:t>
      </w:r>
      <w:r w:rsidR="00647837" w:rsidRPr="00B761F1">
        <w:rPr>
          <w:sz w:val="20"/>
          <w:szCs w:val="20"/>
        </w:rPr>
        <w:t xml:space="preserve">young </w:t>
      </w:r>
      <w:r w:rsidRPr="00B761F1">
        <w:rPr>
          <w:sz w:val="20"/>
          <w:szCs w:val="20"/>
        </w:rPr>
        <w:t>Aboriginal and Torres Strait Islander people is of</w:t>
      </w:r>
      <w:r>
        <w:rPr>
          <w:sz w:val="20"/>
          <w:szCs w:val="20"/>
        </w:rPr>
        <w:t xml:space="preserve"> particular </w:t>
      </w:r>
      <w:r w:rsidRPr="00B761F1">
        <w:rPr>
          <w:sz w:val="20"/>
          <w:szCs w:val="20"/>
        </w:rPr>
        <w:t>concern</w:t>
      </w:r>
      <w:r w:rsidR="00F13B37">
        <w:rPr>
          <w:sz w:val="20"/>
          <w:szCs w:val="20"/>
        </w:rPr>
        <w:t xml:space="preserve"> and is</w:t>
      </w:r>
      <w:r>
        <w:rPr>
          <w:sz w:val="20"/>
          <w:szCs w:val="20"/>
        </w:rPr>
        <w:t xml:space="preserve"> largely attributable to the ongoing </w:t>
      </w:r>
      <w:r w:rsidRPr="00914AAA">
        <w:rPr>
          <w:sz w:val="20"/>
          <w:szCs w:val="20"/>
        </w:rPr>
        <w:t>outbreak</w:t>
      </w:r>
      <w:r>
        <w:rPr>
          <w:sz w:val="20"/>
          <w:szCs w:val="20"/>
        </w:rPr>
        <w:t xml:space="preserve"> of infectious syphilis</w:t>
      </w:r>
      <w:r w:rsidRPr="00914AAA">
        <w:rPr>
          <w:sz w:val="20"/>
          <w:szCs w:val="20"/>
        </w:rPr>
        <w:t xml:space="preserve"> in northern and central Australia</w:t>
      </w:r>
      <w:r w:rsidRPr="00B761F1">
        <w:rPr>
          <w:sz w:val="20"/>
          <w:szCs w:val="20"/>
        </w:rPr>
        <w:t xml:space="preserve">. In 2016, 60 per cent of the notifications in this population were among people aged 15 to 29 years, with the greatest increase over </w:t>
      </w:r>
      <w:r w:rsidR="00A551DE">
        <w:rPr>
          <w:sz w:val="20"/>
          <w:szCs w:val="20"/>
        </w:rPr>
        <w:t xml:space="preserve">five </w:t>
      </w:r>
      <w:r w:rsidRPr="00B761F1">
        <w:rPr>
          <w:sz w:val="20"/>
          <w:szCs w:val="20"/>
        </w:rPr>
        <w:t>years in the 20</w:t>
      </w:r>
      <w:r w:rsidR="006807A4">
        <w:rPr>
          <w:sz w:val="20"/>
          <w:szCs w:val="20"/>
        </w:rPr>
        <w:t>-</w:t>
      </w:r>
      <w:r w:rsidRPr="00B761F1">
        <w:rPr>
          <w:sz w:val="20"/>
          <w:szCs w:val="20"/>
        </w:rPr>
        <w:t xml:space="preserve"> to 29</w:t>
      </w:r>
      <w:r w:rsidR="006807A4">
        <w:rPr>
          <w:sz w:val="20"/>
          <w:szCs w:val="20"/>
        </w:rPr>
        <w:t>-</w:t>
      </w:r>
      <w:r w:rsidRPr="00B761F1">
        <w:rPr>
          <w:sz w:val="20"/>
          <w:szCs w:val="20"/>
        </w:rPr>
        <w:t>year age group.</w:t>
      </w:r>
      <w:r w:rsidR="002A68F0">
        <w:rPr>
          <w:sz w:val="20"/>
          <w:szCs w:val="20"/>
          <w:vertAlign w:val="superscript"/>
        </w:rPr>
        <w:t>6</w:t>
      </w:r>
      <w:r w:rsidR="00B70A0F" w:rsidRPr="00A551DE">
        <w:rPr>
          <w:sz w:val="20"/>
          <w:szCs w:val="20"/>
        </w:rPr>
        <w:t xml:space="preserve"> </w:t>
      </w:r>
      <w:r>
        <w:rPr>
          <w:sz w:val="20"/>
          <w:szCs w:val="20"/>
        </w:rPr>
        <w:t xml:space="preserve">In contrast </w:t>
      </w:r>
      <w:r w:rsidR="006807A4">
        <w:rPr>
          <w:sz w:val="20"/>
          <w:szCs w:val="20"/>
        </w:rPr>
        <w:t xml:space="preserve">with </w:t>
      </w:r>
      <w:r>
        <w:rPr>
          <w:sz w:val="20"/>
          <w:szCs w:val="20"/>
        </w:rPr>
        <w:t>the high proportion of males diagnosed with syphilis in 2016 in the non-Indigenous population (94 per cent)</w:t>
      </w:r>
      <w:r w:rsidR="006807A4">
        <w:rPr>
          <w:sz w:val="20"/>
          <w:szCs w:val="20"/>
        </w:rPr>
        <w:t>,</w:t>
      </w:r>
      <w:r>
        <w:rPr>
          <w:sz w:val="20"/>
          <w:szCs w:val="20"/>
        </w:rPr>
        <w:t xml:space="preserve"> only 54 per cent of notifications in the Aboriginal and Torres Strait Islander population were among males. This suggests that heterosexual transmission is a more predominant route of transmission than in the non-Indigenous population. Among Aboriginal and Torres Strait Islander women aged between 15 and 39 years, there were 205 notifications in 2016. </w:t>
      </w:r>
      <w:r w:rsidR="00D56CF3">
        <w:rPr>
          <w:sz w:val="20"/>
          <w:szCs w:val="20"/>
        </w:rPr>
        <w:t>Syphilis in young women is of particular c</w:t>
      </w:r>
      <w:r w:rsidR="009F7EA2">
        <w:rPr>
          <w:sz w:val="20"/>
          <w:szCs w:val="20"/>
        </w:rPr>
        <w:t>oncern given the risk of mother-to-</w:t>
      </w:r>
      <w:r w:rsidR="00D56CF3">
        <w:rPr>
          <w:sz w:val="20"/>
          <w:szCs w:val="20"/>
        </w:rPr>
        <w:t>child transmission</w:t>
      </w:r>
      <w:r w:rsidR="009F7EA2">
        <w:rPr>
          <w:sz w:val="20"/>
          <w:szCs w:val="20"/>
        </w:rPr>
        <w:t>.</w:t>
      </w:r>
    </w:p>
    <w:p w14:paraId="03E75E4C" w14:textId="77777777" w:rsidR="00CA7F81" w:rsidRDefault="00CA7F81" w:rsidP="00CA7F81">
      <w:pPr>
        <w:pStyle w:val="Caption"/>
        <w:rPr>
          <w:i/>
          <w:sz w:val="22"/>
        </w:rPr>
      </w:pPr>
      <w:r w:rsidRPr="00847E38">
        <w:rPr>
          <w:i/>
          <w:sz w:val="22"/>
        </w:rPr>
        <w:t>Aboriginal and Torres Strait Islander people</w:t>
      </w:r>
      <w:r>
        <w:rPr>
          <w:i/>
          <w:sz w:val="22"/>
        </w:rPr>
        <w:t xml:space="preserve"> in remote communities</w:t>
      </w:r>
    </w:p>
    <w:p w14:paraId="5E19385D" w14:textId="66215700" w:rsidR="00CA7F81" w:rsidRPr="00B761F1" w:rsidRDefault="00CA7F81" w:rsidP="00CA7F81">
      <w:pPr>
        <w:rPr>
          <w:sz w:val="20"/>
          <w:szCs w:val="20"/>
        </w:rPr>
      </w:pPr>
      <w:r w:rsidRPr="00B761F1">
        <w:rPr>
          <w:sz w:val="20"/>
          <w:szCs w:val="20"/>
        </w:rPr>
        <w:t xml:space="preserve">According to the 2016 Census of Population and Housing, 20 per cent of the Aboriginal and Torres Strait Islander population live in remote or very remote areas compared </w:t>
      </w:r>
      <w:r w:rsidR="00A551DE">
        <w:rPr>
          <w:sz w:val="20"/>
          <w:szCs w:val="20"/>
        </w:rPr>
        <w:t xml:space="preserve">with </w:t>
      </w:r>
      <w:r w:rsidRPr="00B761F1">
        <w:rPr>
          <w:sz w:val="20"/>
          <w:szCs w:val="20"/>
        </w:rPr>
        <w:t>only 2 per cent of the non</w:t>
      </w:r>
      <w:r w:rsidRPr="00B761F1">
        <w:rPr>
          <w:sz w:val="20"/>
          <w:szCs w:val="20"/>
        </w:rPr>
        <w:noBreakHyphen/>
        <w:t>Indigenous population.</w:t>
      </w:r>
      <w:r w:rsidRPr="00B761F1">
        <w:rPr>
          <w:rStyle w:val="EndnoteReference"/>
          <w:sz w:val="20"/>
          <w:szCs w:val="20"/>
        </w:rPr>
        <w:endnoteReference w:id="28"/>
      </w:r>
      <w:r w:rsidRPr="00B761F1">
        <w:rPr>
          <w:sz w:val="20"/>
          <w:szCs w:val="20"/>
        </w:rPr>
        <w:t xml:space="preserve"> Aboriginal and Torres Strait Islander people living in remote communities </w:t>
      </w:r>
      <w:r>
        <w:rPr>
          <w:sz w:val="20"/>
          <w:szCs w:val="20"/>
        </w:rPr>
        <w:t>generally</w:t>
      </w:r>
      <w:r w:rsidRPr="00B761F1">
        <w:rPr>
          <w:sz w:val="20"/>
          <w:szCs w:val="20"/>
        </w:rPr>
        <w:t xml:space="preserve"> experience </w:t>
      </w:r>
      <w:r w:rsidRPr="00B761F1">
        <w:rPr>
          <w:sz w:val="20"/>
          <w:szCs w:val="20"/>
        </w:rPr>
        <w:lastRenderedPageBreak/>
        <w:t xml:space="preserve">higher </w:t>
      </w:r>
      <w:r>
        <w:rPr>
          <w:sz w:val="20"/>
          <w:szCs w:val="20"/>
        </w:rPr>
        <w:t>rates</w:t>
      </w:r>
      <w:r w:rsidRPr="00B761F1">
        <w:rPr>
          <w:sz w:val="20"/>
          <w:szCs w:val="20"/>
        </w:rPr>
        <w:t xml:space="preserve"> of STI than their counterparts in urban settings. This is </w:t>
      </w:r>
      <w:r w:rsidRPr="00A8143A">
        <w:rPr>
          <w:sz w:val="20"/>
          <w:szCs w:val="20"/>
        </w:rPr>
        <w:t>likely</w:t>
      </w:r>
      <w:r w:rsidRPr="00B761F1">
        <w:rPr>
          <w:sz w:val="20"/>
          <w:szCs w:val="20"/>
        </w:rPr>
        <w:t xml:space="preserve"> </w:t>
      </w:r>
      <w:r w:rsidR="00A8143A">
        <w:rPr>
          <w:sz w:val="20"/>
          <w:szCs w:val="20"/>
        </w:rPr>
        <w:t xml:space="preserve">to be </w:t>
      </w:r>
      <w:r w:rsidRPr="00B761F1">
        <w:rPr>
          <w:sz w:val="20"/>
          <w:szCs w:val="20"/>
        </w:rPr>
        <w:t xml:space="preserve">due to the </w:t>
      </w:r>
      <w:r>
        <w:rPr>
          <w:sz w:val="20"/>
          <w:szCs w:val="20"/>
        </w:rPr>
        <w:t>underlying social</w:t>
      </w:r>
      <w:r w:rsidRPr="00235DE5">
        <w:rPr>
          <w:sz w:val="20"/>
          <w:szCs w:val="20"/>
        </w:rPr>
        <w:t xml:space="preserve"> determinants </w:t>
      </w:r>
      <w:r>
        <w:rPr>
          <w:sz w:val="20"/>
          <w:szCs w:val="20"/>
        </w:rPr>
        <w:t>of health,</w:t>
      </w:r>
      <w:r w:rsidRPr="00B761F1">
        <w:rPr>
          <w:sz w:val="20"/>
          <w:szCs w:val="20"/>
        </w:rPr>
        <w:t xml:space="preserve"> decreased</w:t>
      </w:r>
      <w:r>
        <w:rPr>
          <w:sz w:val="20"/>
          <w:szCs w:val="20"/>
        </w:rPr>
        <w:t xml:space="preserve"> availability </w:t>
      </w:r>
      <w:r w:rsidRPr="00B761F1">
        <w:rPr>
          <w:sz w:val="20"/>
          <w:szCs w:val="20"/>
        </w:rPr>
        <w:t xml:space="preserve">of health </w:t>
      </w:r>
      <w:r>
        <w:rPr>
          <w:sz w:val="20"/>
          <w:szCs w:val="20"/>
        </w:rPr>
        <w:t xml:space="preserve">services and community education, and </w:t>
      </w:r>
      <w:r w:rsidR="000C1B62">
        <w:rPr>
          <w:sz w:val="20"/>
          <w:szCs w:val="20"/>
        </w:rPr>
        <w:t xml:space="preserve">a hesitance in </w:t>
      </w:r>
      <w:r>
        <w:rPr>
          <w:sz w:val="20"/>
          <w:szCs w:val="20"/>
        </w:rPr>
        <w:t>accessing services due to privacy and confidentiality concerns.</w:t>
      </w:r>
    </w:p>
    <w:p w14:paraId="08942ED1" w14:textId="0FD7925D" w:rsidR="00CA7F81" w:rsidRPr="00C73D33" w:rsidRDefault="00CA7F81" w:rsidP="00CA7F81">
      <w:pPr>
        <w:rPr>
          <w:sz w:val="20"/>
          <w:szCs w:val="20"/>
        </w:rPr>
      </w:pPr>
      <w:r w:rsidRPr="00C73D33">
        <w:rPr>
          <w:sz w:val="20"/>
          <w:szCs w:val="20"/>
        </w:rPr>
        <w:t xml:space="preserve">In 2016, the chlamydia notification rate in Aboriginal and Torres Strait Islander people living in remote and very remote areas was two and a half times higher when compared </w:t>
      </w:r>
      <w:r w:rsidR="00A551DE">
        <w:rPr>
          <w:sz w:val="20"/>
          <w:szCs w:val="20"/>
        </w:rPr>
        <w:t xml:space="preserve">with </w:t>
      </w:r>
      <w:r w:rsidRPr="00C73D33">
        <w:rPr>
          <w:sz w:val="20"/>
          <w:szCs w:val="20"/>
        </w:rPr>
        <w:t>Aboriginal and Torres Strait Islander people living in major cities</w:t>
      </w:r>
      <w:r>
        <w:rPr>
          <w:sz w:val="20"/>
          <w:szCs w:val="20"/>
        </w:rPr>
        <w:t>;</w:t>
      </w:r>
      <w:r w:rsidRPr="00C73D33">
        <w:rPr>
          <w:sz w:val="20"/>
          <w:szCs w:val="20"/>
        </w:rPr>
        <w:t xml:space="preserve"> and four and a half times higher when compared </w:t>
      </w:r>
      <w:r w:rsidR="00A551DE">
        <w:rPr>
          <w:sz w:val="20"/>
          <w:szCs w:val="20"/>
        </w:rPr>
        <w:t xml:space="preserve">with </w:t>
      </w:r>
      <w:r w:rsidRPr="00C73D33">
        <w:rPr>
          <w:sz w:val="20"/>
          <w:szCs w:val="20"/>
        </w:rPr>
        <w:t>the non-Indigenous population living in remote and very remote areas.</w:t>
      </w:r>
      <w:r w:rsidR="002A68F0">
        <w:rPr>
          <w:sz w:val="20"/>
          <w:szCs w:val="20"/>
          <w:vertAlign w:val="superscript"/>
        </w:rPr>
        <w:t>6</w:t>
      </w:r>
      <w:r w:rsidR="00DD4F66" w:rsidRPr="00B70A0F">
        <w:rPr>
          <w:sz w:val="20"/>
          <w:szCs w:val="20"/>
          <w:vertAlign w:val="superscript"/>
        </w:rPr>
        <w:t xml:space="preserve"> </w:t>
      </w:r>
      <w:r w:rsidRPr="00C73D33">
        <w:rPr>
          <w:sz w:val="20"/>
          <w:szCs w:val="20"/>
        </w:rPr>
        <w:t xml:space="preserve"> </w:t>
      </w:r>
    </w:p>
    <w:p w14:paraId="37D4B209" w14:textId="5C16B580" w:rsidR="00CA7F81" w:rsidRDefault="00F13B37" w:rsidP="00CA7F81">
      <w:pPr>
        <w:rPr>
          <w:sz w:val="20"/>
          <w:szCs w:val="20"/>
        </w:rPr>
      </w:pPr>
      <w:r>
        <w:rPr>
          <w:sz w:val="20"/>
          <w:szCs w:val="20"/>
        </w:rPr>
        <w:t>The</w:t>
      </w:r>
      <w:r w:rsidRPr="00C73D33">
        <w:rPr>
          <w:sz w:val="20"/>
          <w:szCs w:val="20"/>
        </w:rPr>
        <w:t xml:space="preserve"> </w:t>
      </w:r>
      <w:r w:rsidR="00CA7F81" w:rsidRPr="00C73D33">
        <w:rPr>
          <w:sz w:val="20"/>
          <w:szCs w:val="20"/>
        </w:rPr>
        <w:t xml:space="preserve">disparity was even greater for infectious syphilis, where the overall </w:t>
      </w:r>
      <w:r w:rsidR="00CA7F81">
        <w:rPr>
          <w:sz w:val="20"/>
          <w:szCs w:val="20"/>
        </w:rPr>
        <w:t xml:space="preserve">notification </w:t>
      </w:r>
      <w:r w:rsidR="00CA7F81" w:rsidRPr="00C73D33">
        <w:rPr>
          <w:sz w:val="20"/>
          <w:szCs w:val="20"/>
        </w:rPr>
        <w:t xml:space="preserve">rate in Aboriginal and Torres Strait Islander people in remote and very remote areas was </w:t>
      </w:r>
      <w:r w:rsidR="00CA7F81">
        <w:rPr>
          <w:sz w:val="20"/>
          <w:szCs w:val="20"/>
        </w:rPr>
        <w:t xml:space="preserve">nearly </w:t>
      </w:r>
      <w:r w:rsidR="00CA7F81" w:rsidRPr="00C73D33">
        <w:rPr>
          <w:sz w:val="20"/>
          <w:szCs w:val="20"/>
        </w:rPr>
        <w:t>six and a half times the rate in Aboriginal and Torres Strait Islander people living in major cities and 50 times that of the non-Indigenous population living in remote and very remote areas.</w:t>
      </w:r>
      <w:r w:rsidR="002A68F0">
        <w:rPr>
          <w:sz w:val="20"/>
          <w:szCs w:val="20"/>
          <w:vertAlign w:val="superscript"/>
        </w:rPr>
        <w:t>6</w:t>
      </w:r>
      <w:r w:rsidR="00DD4F66" w:rsidRPr="00B70A0F">
        <w:rPr>
          <w:sz w:val="20"/>
          <w:szCs w:val="20"/>
          <w:vertAlign w:val="superscript"/>
        </w:rPr>
        <w:t xml:space="preserve"> </w:t>
      </w:r>
      <w:r w:rsidR="00CA7F81" w:rsidRPr="00B761F1">
        <w:rPr>
          <w:sz w:val="20"/>
          <w:szCs w:val="20"/>
        </w:rPr>
        <w:t xml:space="preserve"> </w:t>
      </w:r>
    </w:p>
    <w:p w14:paraId="75BEE041" w14:textId="36FE6C4A" w:rsidR="00912E60" w:rsidRDefault="00CA7F81" w:rsidP="00DD4F66">
      <w:pPr>
        <w:rPr>
          <w:sz w:val="20"/>
          <w:szCs w:val="20"/>
        </w:rPr>
      </w:pPr>
      <w:r>
        <w:rPr>
          <w:sz w:val="20"/>
          <w:szCs w:val="20"/>
        </w:rPr>
        <w:t>Similarly, the</w:t>
      </w:r>
      <w:r w:rsidRPr="00B761F1">
        <w:rPr>
          <w:sz w:val="20"/>
          <w:szCs w:val="20"/>
        </w:rPr>
        <w:t xml:space="preserve"> </w:t>
      </w:r>
      <w:r>
        <w:rPr>
          <w:sz w:val="20"/>
          <w:szCs w:val="20"/>
        </w:rPr>
        <w:t>rate</w:t>
      </w:r>
      <w:r w:rsidRPr="00B761F1">
        <w:rPr>
          <w:sz w:val="20"/>
          <w:szCs w:val="20"/>
        </w:rPr>
        <w:t xml:space="preserve"> disparity was </w:t>
      </w:r>
      <w:r>
        <w:rPr>
          <w:sz w:val="20"/>
          <w:szCs w:val="20"/>
        </w:rPr>
        <w:t>also substantial</w:t>
      </w:r>
      <w:r w:rsidRPr="00B761F1">
        <w:rPr>
          <w:sz w:val="20"/>
          <w:szCs w:val="20"/>
        </w:rPr>
        <w:t xml:space="preserve"> when comparing notification rates for gonorrhoea, where the overall rate in Aboriginal and Torres Strait Islander people </w:t>
      </w:r>
      <w:r w:rsidR="00912E60" w:rsidRPr="008820BE">
        <w:rPr>
          <w:sz w:val="20"/>
          <w:szCs w:val="20"/>
        </w:rPr>
        <w:t>was nearly twice that in the no</w:t>
      </w:r>
      <w:r w:rsidR="00A551DE">
        <w:rPr>
          <w:sz w:val="20"/>
          <w:szCs w:val="20"/>
        </w:rPr>
        <w:t>n-</w:t>
      </w:r>
      <w:r w:rsidR="00912E60" w:rsidRPr="008820BE">
        <w:rPr>
          <w:sz w:val="20"/>
          <w:szCs w:val="20"/>
        </w:rPr>
        <w:t xml:space="preserve">Indigenous population, </w:t>
      </w:r>
      <w:r w:rsidR="00912E60">
        <w:rPr>
          <w:sz w:val="20"/>
          <w:szCs w:val="20"/>
        </w:rPr>
        <w:t xml:space="preserve">10 times as high in inner/outer </w:t>
      </w:r>
      <w:r w:rsidR="00912E60" w:rsidRPr="008820BE">
        <w:rPr>
          <w:sz w:val="20"/>
          <w:szCs w:val="20"/>
        </w:rPr>
        <w:t>regional areas and 30 times as high in remote</w:t>
      </w:r>
      <w:r w:rsidR="00A551DE">
        <w:rPr>
          <w:sz w:val="20"/>
          <w:szCs w:val="20"/>
        </w:rPr>
        <w:t xml:space="preserve"> </w:t>
      </w:r>
      <w:r w:rsidR="00912E60" w:rsidRPr="008820BE">
        <w:rPr>
          <w:sz w:val="20"/>
          <w:szCs w:val="20"/>
        </w:rPr>
        <w:t>/</w:t>
      </w:r>
      <w:r w:rsidR="00A551DE">
        <w:rPr>
          <w:sz w:val="20"/>
          <w:szCs w:val="20"/>
        </w:rPr>
        <w:t xml:space="preserve"> </w:t>
      </w:r>
      <w:r w:rsidR="00912E60" w:rsidRPr="008820BE">
        <w:rPr>
          <w:sz w:val="20"/>
          <w:szCs w:val="20"/>
        </w:rPr>
        <w:t>very remote areas</w:t>
      </w:r>
      <w:r w:rsidR="00912E60">
        <w:rPr>
          <w:sz w:val="20"/>
          <w:szCs w:val="20"/>
        </w:rPr>
        <w:t>.</w:t>
      </w:r>
      <w:r w:rsidR="00DD4F66" w:rsidRPr="00B70A0F">
        <w:rPr>
          <w:sz w:val="20"/>
          <w:szCs w:val="20"/>
          <w:vertAlign w:val="superscript"/>
        </w:rPr>
        <w:t>2</w:t>
      </w:r>
    </w:p>
    <w:p w14:paraId="36AE076A" w14:textId="64D644FB" w:rsidR="00CA7F81" w:rsidRDefault="00CA7F81" w:rsidP="00DD4F66">
      <w:pPr>
        <w:rPr>
          <w:sz w:val="20"/>
          <w:szCs w:val="20"/>
        </w:rPr>
      </w:pPr>
      <w:r>
        <w:rPr>
          <w:sz w:val="20"/>
          <w:szCs w:val="20"/>
        </w:rPr>
        <w:t>In 2016, the hepatitis B notification rate in Aboriginal and Torres Strait Islander people was greatest in regional areas, at 41.9 per 100</w:t>
      </w:r>
      <w:r w:rsidR="00A551DE">
        <w:rPr>
          <w:sz w:val="20"/>
          <w:szCs w:val="20"/>
        </w:rPr>
        <w:t> </w:t>
      </w:r>
      <w:r>
        <w:rPr>
          <w:sz w:val="20"/>
          <w:szCs w:val="20"/>
        </w:rPr>
        <w:t>000 population, followed by remote (28.4 per 100</w:t>
      </w:r>
      <w:r w:rsidR="00A551DE">
        <w:rPr>
          <w:sz w:val="20"/>
          <w:szCs w:val="20"/>
        </w:rPr>
        <w:t> </w:t>
      </w:r>
      <w:r>
        <w:rPr>
          <w:sz w:val="20"/>
          <w:szCs w:val="20"/>
        </w:rPr>
        <w:t>000) and major cities (28.1 per 100</w:t>
      </w:r>
      <w:r w:rsidR="00A551DE">
        <w:rPr>
          <w:sz w:val="20"/>
          <w:szCs w:val="20"/>
        </w:rPr>
        <w:t> </w:t>
      </w:r>
      <w:r>
        <w:rPr>
          <w:sz w:val="20"/>
          <w:szCs w:val="20"/>
        </w:rPr>
        <w:t>000).</w:t>
      </w:r>
      <w:r w:rsidR="002A68F0">
        <w:rPr>
          <w:sz w:val="20"/>
          <w:szCs w:val="20"/>
          <w:vertAlign w:val="superscript"/>
        </w:rPr>
        <w:t>6</w:t>
      </w:r>
    </w:p>
    <w:p w14:paraId="4D5F3344" w14:textId="77777777" w:rsidR="00CA7F81" w:rsidRDefault="00CA7F81" w:rsidP="00CA7F81">
      <w:pPr>
        <w:rPr>
          <w:sz w:val="20"/>
          <w:szCs w:val="20"/>
        </w:rPr>
      </w:pPr>
      <w:r>
        <w:rPr>
          <w:sz w:val="20"/>
          <w:szCs w:val="20"/>
        </w:rPr>
        <w:t xml:space="preserve">While new diagnoses of HIV in the Aboriginal and Torres Strait Islander people are greatest in urban regions, the rate in regional and remote areas has been increasing since 2012. However, it should be noted that these data only represent a small number of notifications. </w:t>
      </w:r>
      <w:r w:rsidR="00A60722">
        <w:rPr>
          <w:sz w:val="20"/>
          <w:szCs w:val="20"/>
        </w:rPr>
        <w:t xml:space="preserve">The prevention of the interaction of this trend with the ongoing outbreak of infectious syphilis in remote communities in northern and central Australia remains an area of particular concern.  </w:t>
      </w:r>
    </w:p>
    <w:p w14:paraId="583E95A9" w14:textId="0B2135D1" w:rsidR="00CA7F81" w:rsidRPr="00B761F1" w:rsidRDefault="00CA7F81" w:rsidP="00CA7F81">
      <w:pPr>
        <w:rPr>
          <w:sz w:val="20"/>
          <w:szCs w:val="20"/>
        </w:rPr>
      </w:pPr>
      <w:r w:rsidRPr="00B761F1">
        <w:rPr>
          <w:sz w:val="20"/>
          <w:szCs w:val="20"/>
        </w:rPr>
        <w:t>Acce</w:t>
      </w:r>
      <w:r>
        <w:rPr>
          <w:sz w:val="20"/>
          <w:szCs w:val="20"/>
        </w:rPr>
        <w:t xml:space="preserve">ss to </w:t>
      </w:r>
      <w:r w:rsidR="00D8577B">
        <w:rPr>
          <w:sz w:val="20"/>
          <w:szCs w:val="20"/>
        </w:rPr>
        <w:t xml:space="preserve">culturally </w:t>
      </w:r>
      <w:r w:rsidR="00440846">
        <w:rPr>
          <w:sz w:val="20"/>
          <w:szCs w:val="20"/>
        </w:rPr>
        <w:t xml:space="preserve">responsive </w:t>
      </w:r>
      <w:r>
        <w:rPr>
          <w:sz w:val="20"/>
          <w:szCs w:val="20"/>
        </w:rPr>
        <w:t>health services</w:t>
      </w:r>
      <w:r w:rsidR="00D8577B">
        <w:rPr>
          <w:sz w:val="20"/>
          <w:szCs w:val="20"/>
        </w:rPr>
        <w:t>, prevention education</w:t>
      </w:r>
      <w:r w:rsidRPr="00B761F1">
        <w:rPr>
          <w:sz w:val="20"/>
          <w:szCs w:val="20"/>
        </w:rPr>
        <w:t xml:space="preserve"> and methods of prevention (such as </w:t>
      </w:r>
      <w:r>
        <w:rPr>
          <w:sz w:val="20"/>
          <w:szCs w:val="20"/>
        </w:rPr>
        <w:t>condoms, sterile</w:t>
      </w:r>
      <w:r w:rsidRPr="00B761F1">
        <w:rPr>
          <w:sz w:val="20"/>
          <w:szCs w:val="20"/>
        </w:rPr>
        <w:t xml:space="preserve"> injecting equipment</w:t>
      </w:r>
      <w:r>
        <w:rPr>
          <w:sz w:val="20"/>
          <w:szCs w:val="20"/>
        </w:rPr>
        <w:t>, PEP, PrEP</w:t>
      </w:r>
      <w:r w:rsidR="00A551DE">
        <w:rPr>
          <w:sz w:val="20"/>
          <w:szCs w:val="20"/>
        </w:rPr>
        <w:t xml:space="preserve"> and </w:t>
      </w:r>
      <w:r w:rsidR="00A8143A">
        <w:rPr>
          <w:sz w:val="20"/>
          <w:szCs w:val="20"/>
        </w:rPr>
        <w:t>Treatment as P</w:t>
      </w:r>
      <w:r w:rsidR="00A8143A" w:rsidRPr="00A8143A">
        <w:rPr>
          <w:sz w:val="20"/>
          <w:szCs w:val="20"/>
        </w:rPr>
        <w:t xml:space="preserve">revention </w:t>
      </w:r>
      <w:r w:rsidR="00A8143A">
        <w:rPr>
          <w:sz w:val="20"/>
          <w:szCs w:val="20"/>
        </w:rPr>
        <w:t>(</w:t>
      </w:r>
      <w:r>
        <w:rPr>
          <w:sz w:val="20"/>
          <w:szCs w:val="20"/>
        </w:rPr>
        <w:t>TasP</w:t>
      </w:r>
      <w:r w:rsidR="00A8143A">
        <w:rPr>
          <w:sz w:val="20"/>
          <w:szCs w:val="20"/>
        </w:rPr>
        <w:t>)</w:t>
      </w:r>
      <w:r w:rsidRPr="00B761F1">
        <w:rPr>
          <w:sz w:val="20"/>
          <w:szCs w:val="20"/>
        </w:rPr>
        <w:t>) requires particular consideration within regional and remote Australia.</w:t>
      </w:r>
      <w:r>
        <w:rPr>
          <w:sz w:val="20"/>
          <w:szCs w:val="20"/>
        </w:rPr>
        <w:t xml:space="preserve"> The ability of health services to respond effectively to an </w:t>
      </w:r>
      <w:r w:rsidRPr="00A17073">
        <w:rPr>
          <w:sz w:val="20"/>
          <w:szCs w:val="20"/>
        </w:rPr>
        <w:t xml:space="preserve">increase in BBV and STI in remote areas to prevent the occurrence of an outbreak is also essential but may be limited by several factors, including workforce capacity, funding and access to </w:t>
      </w:r>
      <w:r w:rsidR="00A17073" w:rsidRPr="00A17073">
        <w:rPr>
          <w:sz w:val="20"/>
          <w:szCs w:val="20"/>
        </w:rPr>
        <w:t>community-led</w:t>
      </w:r>
      <w:r w:rsidR="00531A73">
        <w:rPr>
          <w:sz w:val="20"/>
          <w:szCs w:val="20"/>
        </w:rPr>
        <w:t>,</w:t>
      </w:r>
      <w:r w:rsidR="00A17073" w:rsidRPr="00A17073">
        <w:rPr>
          <w:sz w:val="20"/>
          <w:szCs w:val="20"/>
        </w:rPr>
        <w:t xml:space="preserve"> </w:t>
      </w:r>
      <w:r w:rsidRPr="00A17073">
        <w:rPr>
          <w:sz w:val="20"/>
          <w:szCs w:val="20"/>
        </w:rPr>
        <w:t>peer</w:t>
      </w:r>
      <w:r w:rsidR="00A17073" w:rsidRPr="00A17073">
        <w:rPr>
          <w:sz w:val="20"/>
          <w:szCs w:val="20"/>
        </w:rPr>
        <w:t>-based</w:t>
      </w:r>
      <w:r w:rsidRPr="00A17073">
        <w:rPr>
          <w:sz w:val="20"/>
          <w:szCs w:val="20"/>
        </w:rPr>
        <w:t xml:space="preserve"> initiatives </w:t>
      </w:r>
      <w:r w:rsidR="003E0F4B" w:rsidRPr="00A17073">
        <w:rPr>
          <w:sz w:val="20"/>
          <w:szCs w:val="20"/>
        </w:rPr>
        <w:t>for priority groups</w:t>
      </w:r>
      <w:r w:rsidR="00F13B37" w:rsidRPr="00A17073">
        <w:rPr>
          <w:sz w:val="20"/>
          <w:szCs w:val="20"/>
        </w:rPr>
        <w:t>.</w:t>
      </w:r>
    </w:p>
    <w:p w14:paraId="74006C0D" w14:textId="141A443B" w:rsidR="009E6290" w:rsidRDefault="009E6290" w:rsidP="009E6290">
      <w:pPr>
        <w:pStyle w:val="Caption"/>
        <w:rPr>
          <w:i/>
          <w:sz w:val="22"/>
        </w:rPr>
      </w:pPr>
      <w:r w:rsidRPr="00A8143A">
        <w:rPr>
          <w:i/>
          <w:sz w:val="22"/>
        </w:rPr>
        <w:t>Aboriginal and Torres Strait Islander gay men and other men who have sex with men</w:t>
      </w:r>
      <w:r w:rsidR="00647DB5" w:rsidRPr="00A8143A">
        <w:rPr>
          <w:i/>
          <w:sz w:val="22"/>
        </w:rPr>
        <w:t xml:space="preserve"> </w:t>
      </w:r>
    </w:p>
    <w:p w14:paraId="4F3E31FF" w14:textId="104EDFEB" w:rsidR="009E6290" w:rsidRPr="00B761F1" w:rsidRDefault="009E6290" w:rsidP="009E6290">
      <w:pPr>
        <w:rPr>
          <w:sz w:val="20"/>
          <w:szCs w:val="20"/>
        </w:rPr>
      </w:pPr>
      <w:r w:rsidRPr="00B761F1">
        <w:rPr>
          <w:sz w:val="20"/>
          <w:szCs w:val="20"/>
        </w:rPr>
        <w:t xml:space="preserve">Aboriginal and Torres Strait Islander </w:t>
      </w:r>
      <w:r>
        <w:rPr>
          <w:sz w:val="20"/>
          <w:szCs w:val="20"/>
        </w:rPr>
        <w:t xml:space="preserve">gay men and other </w:t>
      </w:r>
      <w:r w:rsidR="00CC2CA7">
        <w:rPr>
          <w:sz w:val="20"/>
          <w:szCs w:val="20"/>
        </w:rPr>
        <w:t xml:space="preserve">MSM </w:t>
      </w:r>
      <w:r w:rsidRPr="00B761F1">
        <w:rPr>
          <w:sz w:val="20"/>
          <w:szCs w:val="20"/>
        </w:rPr>
        <w:t xml:space="preserve">may be at greater risk </w:t>
      </w:r>
      <w:r>
        <w:rPr>
          <w:sz w:val="20"/>
          <w:szCs w:val="20"/>
        </w:rPr>
        <w:t xml:space="preserve">of </w:t>
      </w:r>
      <w:r w:rsidRPr="00B761F1">
        <w:rPr>
          <w:sz w:val="20"/>
          <w:szCs w:val="20"/>
        </w:rPr>
        <w:t xml:space="preserve">social isolation </w:t>
      </w:r>
      <w:r>
        <w:rPr>
          <w:sz w:val="20"/>
          <w:szCs w:val="20"/>
        </w:rPr>
        <w:t xml:space="preserve">and exclusion </w:t>
      </w:r>
      <w:r w:rsidRPr="00B761F1">
        <w:rPr>
          <w:sz w:val="20"/>
          <w:szCs w:val="20"/>
        </w:rPr>
        <w:t xml:space="preserve">and engagement in higher risk behaviours, which increases </w:t>
      </w:r>
      <w:r>
        <w:rPr>
          <w:sz w:val="20"/>
          <w:szCs w:val="20"/>
        </w:rPr>
        <w:t xml:space="preserve">the risk of acquiring </w:t>
      </w:r>
      <w:r w:rsidRPr="00B761F1">
        <w:rPr>
          <w:sz w:val="20"/>
          <w:szCs w:val="20"/>
        </w:rPr>
        <w:t>HI</w:t>
      </w:r>
      <w:r>
        <w:rPr>
          <w:sz w:val="20"/>
          <w:szCs w:val="20"/>
        </w:rPr>
        <w:t>V, STI</w:t>
      </w:r>
      <w:r w:rsidR="00E87E25">
        <w:rPr>
          <w:sz w:val="20"/>
          <w:szCs w:val="20"/>
        </w:rPr>
        <w:t>,</w:t>
      </w:r>
      <w:r>
        <w:rPr>
          <w:sz w:val="20"/>
          <w:szCs w:val="20"/>
        </w:rPr>
        <w:t xml:space="preserve"> </w:t>
      </w:r>
      <w:r w:rsidRPr="00B761F1">
        <w:rPr>
          <w:sz w:val="20"/>
          <w:szCs w:val="20"/>
        </w:rPr>
        <w:t xml:space="preserve">hepatitis </w:t>
      </w:r>
      <w:r>
        <w:rPr>
          <w:sz w:val="20"/>
          <w:szCs w:val="20"/>
        </w:rPr>
        <w:t>C or hepatitis B.</w:t>
      </w:r>
      <w:r>
        <w:rPr>
          <w:rStyle w:val="EndnoteReference"/>
          <w:sz w:val="20"/>
          <w:szCs w:val="20"/>
        </w:rPr>
        <w:endnoteReference w:id="29"/>
      </w:r>
      <w:r>
        <w:rPr>
          <w:sz w:val="20"/>
          <w:szCs w:val="20"/>
        </w:rPr>
        <w:t xml:space="preserve"> They</w:t>
      </w:r>
      <w:r w:rsidRPr="00B761F1">
        <w:rPr>
          <w:sz w:val="20"/>
          <w:szCs w:val="20"/>
        </w:rPr>
        <w:t xml:space="preserve"> may also experience heightened levels of stigma, discrimination, homophobia</w:t>
      </w:r>
      <w:r w:rsidR="00440846">
        <w:rPr>
          <w:sz w:val="20"/>
          <w:szCs w:val="20"/>
        </w:rPr>
        <w:t xml:space="preserve"> and </w:t>
      </w:r>
      <w:r w:rsidRPr="00B761F1">
        <w:rPr>
          <w:sz w:val="20"/>
          <w:szCs w:val="20"/>
        </w:rPr>
        <w:t>racism</w:t>
      </w:r>
      <w:r w:rsidR="00440846">
        <w:rPr>
          <w:sz w:val="20"/>
          <w:szCs w:val="20"/>
        </w:rPr>
        <w:t>.</w:t>
      </w:r>
    </w:p>
    <w:p w14:paraId="2010E678" w14:textId="47BA7A17" w:rsidR="009E6290" w:rsidRDefault="009E6290" w:rsidP="009E6290">
      <w:pPr>
        <w:rPr>
          <w:sz w:val="20"/>
          <w:szCs w:val="20"/>
        </w:rPr>
      </w:pPr>
      <w:r w:rsidRPr="00B761F1">
        <w:rPr>
          <w:sz w:val="20"/>
          <w:szCs w:val="20"/>
        </w:rPr>
        <w:t>As with the non-Indigenous population,</w:t>
      </w:r>
      <w:r>
        <w:rPr>
          <w:sz w:val="20"/>
          <w:szCs w:val="20"/>
        </w:rPr>
        <w:t xml:space="preserve"> Aboriginal and Torres Strait Islander gay men and other </w:t>
      </w:r>
      <w:r w:rsidR="00CC2CA7">
        <w:rPr>
          <w:sz w:val="20"/>
          <w:szCs w:val="20"/>
        </w:rPr>
        <w:t xml:space="preserve">MSM </w:t>
      </w:r>
      <w:r>
        <w:rPr>
          <w:sz w:val="20"/>
          <w:szCs w:val="20"/>
        </w:rPr>
        <w:t>carry the greatest burden of HIV. O</w:t>
      </w:r>
      <w:r w:rsidRPr="00B761F1">
        <w:rPr>
          <w:sz w:val="20"/>
          <w:szCs w:val="20"/>
        </w:rPr>
        <w:t xml:space="preserve">ver half of new notifications in Aboriginal and Torres Strait Islander people </w:t>
      </w:r>
      <w:r w:rsidR="00F232B2">
        <w:rPr>
          <w:sz w:val="20"/>
          <w:szCs w:val="20"/>
        </w:rPr>
        <w:t xml:space="preserve">can be </w:t>
      </w:r>
      <w:r w:rsidRPr="00B761F1">
        <w:rPr>
          <w:sz w:val="20"/>
          <w:szCs w:val="20"/>
        </w:rPr>
        <w:t xml:space="preserve">attributed to male-to-male sex </w:t>
      </w:r>
      <w:r w:rsidR="00F232B2">
        <w:rPr>
          <w:sz w:val="20"/>
          <w:szCs w:val="20"/>
        </w:rPr>
        <w:t xml:space="preserve">as the risk exposure </w:t>
      </w:r>
      <w:r w:rsidRPr="00B761F1">
        <w:rPr>
          <w:sz w:val="20"/>
          <w:szCs w:val="20"/>
        </w:rPr>
        <w:t xml:space="preserve">and </w:t>
      </w:r>
      <w:r>
        <w:rPr>
          <w:sz w:val="20"/>
          <w:szCs w:val="20"/>
        </w:rPr>
        <w:t>a further</w:t>
      </w:r>
      <w:r w:rsidRPr="00B761F1">
        <w:rPr>
          <w:sz w:val="20"/>
          <w:szCs w:val="20"/>
        </w:rPr>
        <w:t xml:space="preserve"> 10 per cent to</w:t>
      </w:r>
      <w:r>
        <w:rPr>
          <w:sz w:val="20"/>
          <w:szCs w:val="20"/>
        </w:rPr>
        <w:t xml:space="preserve"> both</w:t>
      </w:r>
      <w:r w:rsidRPr="00B761F1">
        <w:rPr>
          <w:sz w:val="20"/>
          <w:szCs w:val="20"/>
        </w:rPr>
        <w:t xml:space="preserve"> male-to-m</w:t>
      </w:r>
      <w:r>
        <w:rPr>
          <w:sz w:val="20"/>
          <w:szCs w:val="20"/>
        </w:rPr>
        <w:t xml:space="preserve">ale sex and injecting drug </w:t>
      </w:r>
      <w:r w:rsidRPr="00545E06">
        <w:rPr>
          <w:sz w:val="20"/>
          <w:szCs w:val="20"/>
        </w:rPr>
        <w:t>use</w:t>
      </w:r>
      <w:r>
        <w:rPr>
          <w:sz w:val="20"/>
          <w:szCs w:val="20"/>
        </w:rPr>
        <w:t>.</w:t>
      </w:r>
      <w:r w:rsidR="00545E06" w:rsidRPr="00545E06">
        <w:rPr>
          <w:sz w:val="20"/>
          <w:szCs w:val="20"/>
          <w:vertAlign w:val="superscript"/>
        </w:rPr>
        <w:t>6</w:t>
      </w:r>
      <w:r w:rsidR="00D42277" w:rsidRPr="00545E06">
        <w:rPr>
          <w:sz w:val="20"/>
          <w:szCs w:val="20"/>
          <w:vertAlign w:val="superscript"/>
        </w:rPr>
        <w:t xml:space="preserve"> </w:t>
      </w:r>
      <w:r>
        <w:rPr>
          <w:sz w:val="20"/>
          <w:szCs w:val="20"/>
        </w:rPr>
        <w:t xml:space="preserve">Gay men and other </w:t>
      </w:r>
      <w:r w:rsidR="00CC2CA7">
        <w:rPr>
          <w:sz w:val="20"/>
          <w:szCs w:val="20"/>
        </w:rPr>
        <w:t>MSM</w:t>
      </w:r>
      <w:r w:rsidRPr="00B761F1">
        <w:rPr>
          <w:sz w:val="20"/>
          <w:szCs w:val="20"/>
        </w:rPr>
        <w:t xml:space="preserve"> </w:t>
      </w:r>
      <w:r>
        <w:rPr>
          <w:sz w:val="20"/>
          <w:szCs w:val="20"/>
        </w:rPr>
        <w:t xml:space="preserve">are therefore </w:t>
      </w:r>
      <w:r w:rsidRPr="00B761F1">
        <w:rPr>
          <w:sz w:val="20"/>
          <w:szCs w:val="20"/>
        </w:rPr>
        <w:t xml:space="preserve">a priority </w:t>
      </w:r>
      <w:r>
        <w:rPr>
          <w:sz w:val="20"/>
          <w:szCs w:val="20"/>
        </w:rPr>
        <w:t>group</w:t>
      </w:r>
      <w:r w:rsidRPr="00B761F1">
        <w:rPr>
          <w:sz w:val="20"/>
          <w:szCs w:val="20"/>
        </w:rPr>
        <w:t xml:space="preserve"> for reducing new HIV transmissions in Aboriginal and Torres Strait Islander people. </w:t>
      </w:r>
      <w:r w:rsidR="00CC2CA7">
        <w:rPr>
          <w:sz w:val="20"/>
          <w:szCs w:val="20"/>
        </w:rPr>
        <w:t>A 2016 survey of young A</w:t>
      </w:r>
      <w:r>
        <w:rPr>
          <w:sz w:val="20"/>
          <w:szCs w:val="20"/>
        </w:rPr>
        <w:t xml:space="preserve">boriginal and Torres Strait Islander </w:t>
      </w:r>
      <w:r w:rsidR="00F232B2">
        <w:rPr>
          <w:sz w:val="20"/>
          <w:szCs w:val="20"/>
        </w:rPr>
        <w:t>people</w:t>
      </w:r>
      <w:r>
        <w:rPr>
          <w:sz w:val="20"/>
          <w:szCs w:val="20"/>
        </w:rPr>
        <w:t xml:space="preserve"> </w:t>
      </w:r>
      <w:r w:rsidR="00CC2CA7">
        <w:rPr>
          <w:sz w:val="20"/>
          <w:szCs w:val="20"/>
        </w:rPr>
        <w:t xml:space="preserve">(16 to 29 years of age) found that, for men, being gay or bisexual was a predictor of </w:t>
      </w:r>
      <w:r>
        <w:rPr>
          <w:sz w:val="20"/>
          <w:szCs w:val="20"/>
        </w:rPr>
        <w:t>previous STI diagnosis.</w:t>
      </w:r>
      <w:r>
        <w:rPr>
          <w:rStyle w:val="EndnoteReference"/>
          <w:sz w:val="20"/>
          <w:szCs w:val="20"/>
        </w:rPr>
        <w:endnoteReference w:id="30"/>
      </w:r>
    </w:p>
    <w:p w14:paraId="43665379" w14:textId="3CF0FDBB" w:rsidR="009E6290" w:rsidRPr="00B761F1" w:rsidRDefault="009E6290" w:rsidP="009E6290">
      <w:pPr>
        <w:rPr>
          <w:sz w:val="20"/>
          <w:szCs w:val="20"/>
        </w:rPr>
      </w:pPr>
      <w:r>
        <w:rPr>
          <w:sz w:val="20"/>
          <w:szCs w:val="20"/>
        </w:rPr>
        <w:t>Given the high burden of HIV experienced by Aboriginal and Torres Strait Islander gay men and other</w:t>
      </w:r>
      <w:r w:rsidR="00F232B2">
        <w:rPr>
          <w:sz w:val="20"/>
          <w:szCs w:val="20"/>
        </w:rPr>
        <w:t xml:space="preserve"> MSM</w:t>
      </w:r>
      <w:r w:rsidR="008B7CF6">
        <w:rPr>
          <w:sz w:val="20"/>
          <w:szCs w:val="20"/>
        </w:rPr>
        <w:t xml:space="preserve">, </w:t>
      </w:r>
      <w:r w:rsidR="00F232B2">
        <w:rPr>
          <w:sz w:val="20"/>
          <w:szCs w:val="20"/>
        </w:rPr>
        <w:t>the increased risk of STI and heightened stigma and discrimination,</w:t>
      </w:r>
      <w:r>
        <w:rPr>
          <w:sz w:val="20"/>
          <w:szCs w:val="20"/>
        </w:rPr>
        <w:t xml:space="preserve"> it is essential that targeted, effective prevention, testing and support programs are available for this </w:t>
      </w:r>
      <w:r w:rsidR="00F232B2">
        <w:rPr>
          <w:sz w:val="20"/>
          <w:szCs w:val="20"/>
        </w:rPr>
        <w:t xml:space="preserve">priority </w:t>
      </w:r>
      <w:r>
        <w:rPr>
          <w:sz w:val="20"/>
          <w:szCs w:val="20"/>
        </w:rPr>
        <w:t xml:space="preserve">group. </w:t>
      </w:r>
    </w:p>
    <w:p w14:paraId="479D268B" w14:textId="741A9439" w:rsidR="009E6290" w:rsidRDefault="009E6290" w:rsidP="009E6290">
      <w:pPr>
        <w:rPr>
          <w:sz w:val="20"/>
          <w:szCs w:val="20"/>
        </w:rPr>
      </w:pPr>
      <w:r w:rsidRPr="00B10537">
        <w:rPr>
          <w:sz w:val="20"/>
          <w:szCs w:val="20"/>
        </w:rPr>
        <w:t xml:space="preserve">Alongside HIV TasP, access to PEP and the listing of PrEP on </w:t>
      </w:r>
      <w:r w:rsidRPr="00234AD7">
        <w:rPr>
          <w:sz w:val="20"/>
          <w:szCs w:val="20"/>
        </w:rPr>
        <w:t>the Pharm</w:t>
      </w:r>
      <w:r w:rsidR="00B10537" w:rsidRPr="00234AD7">
        <w:rPr>
          <w:sz w:val="20"/>
          <w:szCs w:val="20"/>
        </w:rPr>
        <w:t>aceutical Benefits Scheme (PBS)</w:t>
      </w:r>
      <w:r w:rsidRPr="00234AD7">
        <w:rPr>
          <w:sz w:val="20"/>
          <w:szCs w:val="20"/>
        </w:rPr>
        <w:t xml:space="preserve"> provide</w:t>
      </w:r>
      <w:r w:rsidRPr="00B10537">
        <w:rPr>
          <w:sz w:val="20"/>
          <w:szCs w:val="20"/>
        </w:rPr>
        <w:t xml:space="preserve"> opportunities to reduce HIV transmission among Aboriginal and</w:t>
      </w:r>
      <w:r w:rsidR="00EA71EF" w:rsidRPr="00B10537">
        <w:rPr>
          <w:sz w:val="20"/>
          <w:szCs w:val="20"/>
        </w:rPr>
        <w:t xml:space="preserve"> Torres Strait Islander people. </w:t>
      </w:r>
      <w:r w:rsidR="00B10537">
        <w:rPr>
          <w:sz w:val="20"/>
          <w:szCs w:val="20"/>
        </w:rPr>
        <w:t>E</w:t>
      </w:r>
      <w:r w:rsidRPr="00B10537">
        <w:rPr>
          <w:sz w:val="20"/>
          <w:szCs w:val="20"/>
        </w:rPr>
        <w:t xml:space="preserve">quitable access to these biomedical interventions for </w:t>
      </w:r>
      <w:r w:rsidR="00B10537">
        <w:rPr>
          <w:sz w:val="20"/>
          <w:szCs w:val="20"/>
        </w:rPr>
        <w:t>this population must be ensured. It must also be accompanied by a</w:t>
      </w:r>
      <w:r w:rsidRPr="00B10537">
        <w:rPr>
          <w:sz w:val="20"/>
          <w:szCs w:val="20"/>
        </w:rPr>
        <w:t xml:space="preserve">ccess </w:t>
      </w:r>
      <w:r w:rsidR="00B10537">
        <w:rPr>
          <w:sz w:val="20"/>
          <w:szCs w:val="20"/>
        </w:rPr>
        <w:lastRenderedPageBreak/>
        <w:t xml:space="preserve">to </w:t>
      </w:r>
      <w:r w:rsidRPr="00B10537">
        <w:rPr>
          <w:sz w:val="20"/>
          <w:szCs w:val="20"/>
        </w:rPr>
        <w:t>condoms</w:t>
      </w:r>
      <w:r w:rsidR="00531A73">
        <w:rPr>
          <w:sz w:val="20"/>
          <w:szCs w:val="20"/>
        </w:rPr>
        <w:t>;</w:t>
      </w:r>
      <w:r w:rsidRPr="00B10537">
        <w:rPr>
          <w:sz w:val="20"/>
          <w:szCs w:val="20"/>
        </w:rPr>
        <w:t xml:space="preserve"> culturally</w:t>
      </w:r>
      <w:r w:rsidR="00531A73">
        <w:rPr>
          <w:sz w:val="20"/>
          <w:szCs w:val="20"/>
        </w:rPr>
        <w:t xml:space="preserve"> </w:t>
      </w:r>
      <w:r w:rsidR="00440846">
        <w:rPr>
          <w:sz w:val="20"/>
          <w:szCs w:val="20"/>
        </w:rPr>
        <w:t>responsive</w:t>
      </w:r>
      <w:r w:rsidR="00440846" w:rsidRPr="00B10537">
        <w:rPr>
          <w:sz w:val="20"/>
          <w:szCs w:val="20"/>
        </w:rPr>
        <w:t xml:space="preserve"> </w:t>
      </w:r>
      <w:r w:rsidR="00094332" w:rsidRPr="00B10537">
        <w:rPr>
          <w:sz w:val="20"/>
          <w:szCs w:val="20"/>
        </w:rPr>
        <w:t xml:space="preserve">HIV and </w:t>
      </w:r>
      <w:r w:rsidRPr="00B10537">
        <w:rPr>
          <w:sz w:val="20"/>
          <w:szCs w:val="20"/>
        </w:rPr>
        <w:t>STI prevention education,</w:t>
      </w:r>
      <w:r w:rsidR="00A5402F" w:rsidRPr="00B10537">
        <w:rPr>
          <w:sz w:val="20"/>
          <w:szCs w:val="20"/>
        </w:rPr>
        <w:t xml:space="preserve"> including peer education</w:t>
      </w:r>
      <w:r w:rsidR="00531A73">
        <w:rPr>
          <w:sz w:val="20"/>
          <w:szCs w:val="20"/>
        </w:rPr>
        <w:t>;</w:t>
      </w:r>
      <w:r w:rsidRPr="00B10537">
        <w:rPr>
          <w:sz w:val="20"/>
          <w:szCs w:val="20"/>
        </w:rPr>
        <w:t xml:space="preserve"> regular and comprehensive HIV and STI testing</w:t>
      </w:r>
      <w:r w:rsidR="00531A73">
        <w:rPr>
          <w:sz w:val="20"/>
          <w:szCs w:val="20"/>
        </w:rPr>
        <w:t>;</w:t>
      </w:r>
      <w:r w:rsidRPr="00B10537">
        <w:rPr>
          <w:sz w:val="20"/>
          <w:szCs w:val="20"/>
        </w:rPr>
        <w:t xml:space="preserve"> </w:t>
      </w:r>
      <w:r w:rsidR="00B10537">
        <w:rPr>
          <w:sz w:val="20"/>
          <w:szCs w:val="20"/>
        </w:rPr>
        <w:t xml:space="preserve">ongoing commitment to </w:t>
      </w:r>
      <w:r w:rsidRPr="00B10537">
        <w:rPr>
          <w:sz w:val="20"/>
          <w:szCs w:val="20"/>
        </w:rPr>
        <w:t>partner notification</w:t>
      </w:r>
      <w:r w:rsidR="00531A73">
        <w:rPr>
          <w:sz w:val="20"/>
          <w:szCs w:val="20"/>
        </w:rPr>
        <w:t>;</w:t>
      </w:r>
      <w:r w:rsidR="00B10537" w:rsidRPr="00B10537">
        <w:rPr>
          <w:sz w:val="20"/>
          <w:szCs w:val="20"/>
        </w:rPr>
        <w:t xml:space="preserve"> </w:t>
      </w:r>
      <w:r w:rsidR="00531A73">
        <w:rPr>
          <w:sz w:val="20"/>
          <w:szCs w:val="20"/>
        </w:rPr>
        <w:t xml:space="preserve">and </w:t>
      </w:r>
      <w:r w:rsidR="00B10537" w:rsidRPr="00234AD7">
        <w:rPr>
          <w:sz w:val="20"/>
          <w:szCs w:val="20"/>
        </w:rPr>
        <w:t>sterile</w:t>
      </w:r>
      <w:r w:rsidR="00B10537" w:rsidRPr="00B10537">
        <w:rPr>
          <w:sz w:val="20"/>
          <w:szCs w:val="20"/>
        </w:rPr>
        <w:t xml:space="preserve"> injecting equipment</w:t>
      </w:r>
      <w:r w:rsidRPr="00B10537">
        <w:rPr>
          <w:sz w:val="20"/>
          <w:szCs w:val="20"/>
        </w:rPr>
        <w:t xml:space="preserve">. This also applies to other priority groups listed in this </w:t>
      </w:r>
      <w:r w:rsidR="00234AD7">
        <w:rPr>
          <w:sz w:val="20"/>
          <w:szCs w:val="20"/>
        </w:rPr>
        <w:t>s</w:t>
      </w:r>
      <w:r w:rsidRPr="00B10537">
        <w:rPr>
          <w:sz w:val="20"/>
          <w:szCs w:val="20"/>
        </w:rPr>
        <w:t xml:space="preserve">trategy </w:t>
      </w:r>
      <w:r w:rsidR="00234AD7">
        <w:rPr>
          <w:sz w:val="20"/>
          <w:szCs w:val="20"/>
        </w:rPr>
        <w:t xml:space="preserve">that </w:t>
      </w:r>
      <w:r w:rsidRPr="00B10537">
        <w:rPr>
          <w:sz w:val="20"/>
          <w:szCs w:val="20"/>
        </w:rPr>
        <w:t>are at risk of HIV.</w:t>
      </w:r>
    </w:p>
    <w:p w14:paraId="72DC7750" w14:textId="5CF67421" w:rsidR="00CA7F81" w:rsidRDefault="00CA7F81" w:rsidP="00CA7F81">
      <w:pPr>
        <w:spacing w:before="360"/>
        <w:rPr>
          <w:rFonts w:ascii="Segoe UI Semibold" w:hAnsi="Segoe UI Semibold"/>
          <w:bCs/>
          <w:i/>
          <w:color w:val="00264D"/>
          <w:sz w:val="22"/>
          <w:szCs w:val="18"/>
        </w:rPr>
      </w:pPr>
      <w:r w:rsidRPr="00877BEF">
        <w:rPr>
          <w:rFonts w:ascii="Segoe UI Semibold" w:hAnsi="Segoe UI Semibold"/>
          <w:bCs/>
          <w:i/>
          <w:color w:val="00264D"/>
          <w:sz w:val="22"/>
          <w:szCs w:val="18"/>
        </w:rPr>
        <w:t xml:space="preserve">Aboriginal and Torres Strait Islander </w:t>
      </w:r>
      <w:r w:rsidR="00EA7756">
        <w:rPr>
          <w:rFonts w:ascii="Segoe UI Semibold" w:hAnsi="Segoe UI Semibold"/>
          <w:bCs/>
          <w:i/>
          <w:color w:val="00264D"/>
          <w:sz w:val="22"/>
          <w:szCs w:val="18"/>
        </w:rPr>
        <w:t>w</w:t>
      </w:r>
      <w:r w:rsidR="00EA7756" w:rsidRPr="00877BEF">
        <w:rPr>
          <w:rFonts w:ascii="Segoe UI Semibold" w:hAnsi="Segoe UI Semibold"/>
          <w:bCs/>
          <w:i/>
          <w:color w:val="00264D"/>
          <w:sz w:val="22"/>
          <w:szCs w:val="18"/>
        </w:rPr>
        <w:t>omen</w:t>
      </w:r>
      <w:r w:rsidR="00EA7756">
        <w:rPr>
          <w:rFonts w:ascii="Segoe UI Semibold" w:hAnsi="Segoe UI Semibold"/>
          <w:bCs/>
          <w:i/>
          <w:color w:val="00264D"/>
          <w:sz w:val="22"/>
          <w:szCs w:val="18"/>
        </w:rPr>
        <w:t xml:space="preserve"> </w:t>
      </w:r>
    </w:p>
    <w:p w14:paraId="0EDA2995" w14:textId="55D55284" w:rsidR="00390621" w:rsidRPr="0098603F" w:rsidRDefault="00B31C6D" w:rsidP="00390621">
      <w:pPr>
        <w:pStyle w:val="CommentText"/>
        <w:rPr>
          <w:iCs/>
        </w:rPr>
      </w:pPr>
      <w:r>
        <w:t>Aboriginal and Torres Strait Islander w</w:t>
      </w:r>
      <w:r w:rsidR="00390621" w:rsidRPr="0098603F">
        <w:t>omen face unique challenges, experiences and consequences</w:t>
      </w:r>
      <w:r w:rsidR="004E548B">
        <w:t>, including reproductive risks,</w:t>
      </w:r>
      <w:r>
        <w:rPr>
          <w:lang w:eastAsia="en-AU"/>
        </w:rPr>
        <w:t xml:space="preserve"> w</w:t>
      </w:r>
      <w:r w:rsidR="00390621" w:rsidRPr="0098603F">
        <w:rPr>
          <w:iCs/>
        </w:rPr>
        <w:t xml:space="preserve">hich need to be addressed and incorporated in the response to BBV and STI. For these reasons, </w:t>
      </w:r>
      <w:r>
        <w:t>Aboriginal and Torres Strait Islander w</w:t>
      </w:r>
      <w:r w:rsidRPr="0098603F">
        <w:t xml:space="preserve">omen </w:t>
      </w:r>
      <w:r w:rsidR="00390621" w:rsidRPr="0098603F">
        <w:rPr>
          <w:iCs/>
        </w:rPr>
        <w:t xml:space="preserve">are </w:t>
      </w:r>
      <w:r w:rsidR="004E548B">
        <w:rPr>
          <w:iCs/>
        </w:rPr>
        <w:t>a priority group i</w:t>
      </w:r>
      <w:r w:rsidR="00390621" w:rsidRPr="0098603F">
        <w:rPr>
          <w:iCs/>
        </w:rPr>
        <w:t xml:space="preserve">n this </w:t>
      </w:r>
      <w:r w:rsidR="00234AD7" w:rsidRPr="00234AD7">
        <w:rPr>
          <w:iCs/>
        </w:rPr>
        <w:t>s</w:t>
      </w:r>
      <w:r w:rsidR="00390621" w:rsidRPr="00234AD7">
        <w:rPr>
          <w:iCs/>
        </w:rPr>
        <w:t xml:space="preserve">trategy as well as being recognised across </w:t>
      </w:r>
      <w:r w:rsidR="00652972" w:rsidRPr="00234AD7">
        <w:rPr>
          <w:iCs/>
        </w:rPr>
        <w:t>most</w:t>
      </w:r>
      <w:r w:rsidR="00390621" w:rsidRPr="0098603F">
        <w:rPr>
          <w:iCs/>
        </w:rPr>
        <w:t xml:space="preserve"> of the </w:t>
      </w:r>
      <w:r w:rsidR="00F232B2">
        <w:rPr>
          <w:iCs/>
        </w:rPr>
        <w:t xml:space="preserve">other </w:t>
      </w:r>
      <w:r w:rsidR="00390621" w:rsidRPr="0098603F">
        <w:rPr>
          <w:iCs/>
        </w:rPr>
        <w:t xml:space="preserve">priority groups. </w:t>
      </w:r>
    </w:p>
    <w:p w14:paraId="6279F3CC" w14:textId="64B6ABDE" w:rsidR="00390621" w:rsidRDefault="00390621" w:rsidP="003E0F4B">
      <w:pPr>
        <w:autoSpaceDE w:val="0"/>
        <w:autoSpaceDN w:val="0"/>
        <w:adjustRightInd w:val="0"/>
      </w:pPr>
      <w:r w:rsidRPr="00234AD7">
        <w:rPr>
          <w:sz w:val="20"/>
          <w:szCs w:val="20"/>
          <w:lang w:eastAsia="en-AU"/>
        </w:rPr>
        <w:t>BBV and STI have a potentially devastating impact on unborn children and neonates, pregnant women and women of child</w:t>
      </w:r>
      <w:r w:rsidR="00234AD7" w:rsidRPr="00234AD7">
        <w:rPr>
          <w:sz w:val="20"/>
          <w:szCs w:val="20"/>
          <w:lang w:eastAsia="en-AU"/>
        </w:rPr>
        <w:t>-</w:t>
      </w:r>
      <w:r w:rsidRPr="00234AD7">
        <w:rPr>
          <w:sz w:val="20"/>
          <w:szCs w:val="20"/>
          <w:lang w:eastAsia="en-AU"/>
        </w:rPr>
        <w:t xml:space="preserve">bearing age, </w:t>
      </w:r>
      <w:r w:rsidR="00524DA9">
        <w:rPr>
          <w:sz w:val="20"/>
          <w:szCs w:val="20"/>
          <w:lang w:eastAsia="en-AU"/>
        </w:rPr>
        <w:t xml:space="preserve">so </w:t>
      </w:r>
      <w:r w:rsidRPr="00234AD7">
        <w:rPr>
          <w:sz w:val="20"/>
          <w:szCs w:val="20"/>
          <w:lang w:eastAsia="en-AU"/>
        </w:rPr>
        <w:t>a focus on prevention, high</w:t>
      </w:r>
      <w:r w:rsidR="00234AD7">
        <w:rPr>
          <w:sz w:val="20"/>
          <w:szCs w:val="20"/>
          <w:lang w:eastAsia="en-AU"/>
        </w:rPr>
        <w:t>-</w:t>
      </w:r>
      <w:r w:rsidRPr="00234AD7">
        <w:rPr>
          <w:sz w:val="20"/>
          <w:szCs w:val="20"/>
          <w:lang w:eastAsia="en-AU"/>
        </w:rPr>
        <w:t>quality antenatal care and ongoing support</w:t>
      </w:r>
      <w:r w:rsidR="00524DA9">
        <w:rPr>
          <w:sz w:val="20"/>
          <w:szCs w:val="20"/>
          <w:lang w:eastAsia="en-AU"/>
        </w:rPr>
        <w:t xml:space="preserve"> is required</w:t>
      </w:r>
      <w:r w:rsidRPr="00234AD7">
        <w:rPr>
          <w:sz w:val="20"/>
          <w:szCs w:val="20"/>
          <w:lang w:eastAsia="en-AU"/>
        </w:rPr>
        <w:t>.</w:t>
      </w:r>
      <w:r w:rsidRPr="0098603F">
        <w:t xml:space="preserve"> </w:t>
      </w:r>
    </w:p>
    <w:p w14:paraId="7B8ABB90" w14:textId="472B4AF3" w:rsidR="00CB1E49" w:rsidRDefault="00CA7F81" w:rsidP="00CA7F81">
      <w:pPr>
        <w:autoSpaceDE w:val="0"/>
        <w:autoSpaceDN w:val="0"/>
        <w:adjustRightInd w:val="0"/>
        <w:rPr>
          <w:sz w:val="20"/>
          <w:szCs w:val="20"/>
        </w:rPr>
      </w:pPr>
      <w:r w:rsidRPr="00B761F1">
        <w:rPr>
          <w:sz w:val="20"/>
          <w:szCs w:val="20"/>
          <w:lang w:eastAsia="en-AU"/>
        </w:rPr>
        <w:t xml:space="preserve">The rate of hepatitis B </w:t>
      </w:r>
      <w:r w:rsidR="00CB1E49">
        <w:rPr>
          <w:sz w:val="20"/>
          <w:szCs w:val="20"/>
          <w:lang w:eastAsia="en-AU"/>
        </w:rPr>
        <w:t xml:space="preserve">and </w:t>
      </w:r>
      <w:r w:rsidR="00CB1E49" w:rsidRPr="00B761F1">
        <w:rPr>
          <w:sz w:val="20"/>
          <w:szCs w:val="20"/>
          <w:lang w:eastAsia="en-AU"/>
        </w:rPr>
        <w:t xml:space="preserve">syphilis </w:t>
      </w:r>
      <w:r w:rsidRPr="00B761F1">
        <w:rPr>
          <w:sz w:val="20"/>
          <w:szCs w:val="20"/>
          <w:lang w:eastAsia="en-AU"/>
        </w:rPr>
        <w:t>in pregnant women is of particular concern given the risk of mother</w:t>
      </w:r>
      <w:r w:rsidRPr="00B761F1">
        <w:rPr>
          <w:sz w:val="20"/>
          <w:szCs w:val="20"/>
          <w:lang w:eastAsia="en-AU"/>
        </w:rPr>
        <w:noBreakHyphen/>
        <w:t xml:space="preserve">to-child transmission and the morbidity and mortality associated with </w:t>
      </w:r>
      <w:r w:rsidR="00CB1E49">
        <w:rPr>
          <w:sz w:val="20"/>
          <w:szCs w:val="20"/>
          <w:lang w:eastAsia="en-AU"/>
        </w:rPr>
        <w:t xml:space="preserve">hepatitis B and </w:t>
      </w:r>
      <w:r w:rsidRPr="00B761F1">
        <w:rPr>
          <w:sz w:val="20"/>
          <w:szCs w:val="20"/>
          <w:lang w:eastAsia="en-AU"/>
        </w:rPr>
        <w:t xml:space="preserve">congenital syphilis. </w:t>
      </w:r>
      <w:r w:rsidRPr="00B761F1">
        <w:rPr>
          <w:sz w:val="20"/>
          <w:szCs w:val="20"/>
        </w:rPr>
        <w:t>Children born to hepatitis B</w:t>
      </w:r>
      <w:r w:rsidR="00531A73">
        <w:rPr>
          <w:sz w:val="20"/>
          <w:szCs w:val="20"/>
        </w:rPr>
        <w:t xml:space="preserve"> </w:t>
      </w:r>
      <w:r w:rsidRPr="00B761F1">
        <w:rPr>
          <w:sz w:val="20"/>
          <w:szCs w:val="20"/>
        </w:rPr>
        <w:t>positive mothers who contract the infection before or at birth are at very high risk (90 per cent) of developing chronic hepatitis B.</w:t>
      </w:r>
      <w:r w:rsidRPr="00B761F1">
        <w:rPr>
          <w:rStyle w:val="EndnoteReference"/>
          <w:sz w:val="20"/>
          <w:szCs w:val="20"/>
        </w:rPr>
        <w:endnoteReference w:id="31"/>
      </w:r>
      <w:r w:rsidRPr="00B761F1">
        <w:rPr>
          <w:sz w:val="20"/>
          <w:szCs w:val="20"/>
        </w:rPr>
        <w:t xml:space="preserve"> </w:t>
      </w:r>
      <w:r w:rsidR="00CB1E49" w:rsidRPr="00B761F1">
        <w:rPr>
          <w:sz w:val="20"/>
          <w:szCs w:val="20"/>
        </w:rPr>
        <w:t xml:space="preserve">In 2016, the rate of newly diagnosed hepatitis B in Aboriginal and Torres Strait </w:t>
      </w:r>
      <w:r w:rsidR="00CB1E49">
        <w:rPr>
          <w:sz w:val="20"/>
          <w:szCs w:val="20"/>
        </w:rPr>
        <w:t>children and in women under 30 years was lower than in the non-Indigenous population</w:t>
      </w:r>
      <w:r w:rsidR="00531A73">
        <w:rPr>
          <w:sz w:val="20"/>
          <w:szCs w:val="20"/>
        </w:rPr>
        <w:t>;</w:t>
      </w:r>
      <w:r w:rsidR="00CB1E49">
        <w:rPr>
          <w:sz w:val="20"/>
          <w:szCs w:val="20"/>
        </w:rPr>
        <w:t xml:space="preserve"> however, continued maintenance of activities and </w:t>
      </w:r>
      <w:r w:rsidR="00CB1E49" w:rsidRPr="00A659A7">
        <w:rPr>
          <w:sz w:val="20"/>
          <w:szCs w:val="20"/>
        </w:rPr>
        <w:t>monitoring is important given the risks associated with maternal transmission of hepatitis B.</w:t>
      </w:r>
    </w:p>
    <w:p w14:paraId="144A7714" w14:textId="758BC0FE" w:rsidR="00BF735B" w:rsidRDefault="00CA7F81" w:rsidP="00CA7F81">
      <w:pPr>
        <w:autoSpaceDE w:val="0"/>
        <w:autoSpaceDN w:val="0"/>
        <w:adjustRightInd w:val="0"/>
        <w:rPr>
          <w:sz w:val="20"/>
          <w:szCs w:val="20"/>
        </w:rPr>
      </w:pPr>
      <w:r w:rsidRPr="00B761F1">
        <w:rPr>
          <w:rFonts w:eastAsia="ArialMTPro-Light" w:cs="Segoe UI"/>
          <w:color w:val="241F1F"/>
          <w:sz w:val="20"/>
          <w:szCs w:val="20"/>
        </w:rPr>
        <w:t xml:space="preserve">Over the last 10 years, 24 of the 43 congenital syphilis </w:t>
      </w:r>
      <w:r>
        <w:rPr>
          <w:rFonts w:eastAsia="ArialMTPro-Light" w:cs="Segoe UI"/>
          <w:color w:val="241F1F"/>
          <w:sz w:val="20"/>
          <w:szCs w:val="20"/>
        </w:rPr>
        <w:t xml:space="preserve">national </w:t>
      </w:r>
      <w:r w:rsidRPr="00B761F1">
        <w:rPr>
          <w:rFonts w:eastAsia="ArialMTPro-Light" w:cs="Segoe UI"/>
          <w:color w:val="241F1F"/>
          <w:sz w:val="20"/>
          <w:szCs w:val="20"/>
        </w:rPr>
        <w:t>notifications were in Aboriginal and Torres Strait Islander people.</w:t>
      </w:r>
      <w:r w:rsidR="002A68F0">
        <w:rPr>
          <w:rFonts w:eastAsia="ArialMTPro-Light" w:cs="Segoe UI"/>
          <w:color w:val="241F1F"/>
          <w:sz w:val="20"/>
          <w:szCs w:val="20"/>
          <w:vertAlign w:val="superscript"/>
        </w:rPr>
        <w:t>6</w:t>
      </w:r>
      <w:r w:rsidRPr="00B761F1">
        <w:rPr>
          <w:rFonts w:eastAsia="ArialMTPro-Light" w:cs="Segoe UI"/>
          <w:color w:val="241F1F"/>
          <w:sz w:val="20"/>
          <w:szCs w:val="20"/>
        </w:rPr>
        <w:t xml:space="preserve"> The notification rate of congenital syphilis in the Aboriginal and Torres Strait Islander population was 5.4 per 100</w:t>
      </w:r>
      <w:r w:rsidR="00531A73">
        <w:rPr>
          <w:rFonts w:eastAsia="ArialMTPro-Light" w:cs="Segoe UI"/>
          <w:color w:val="241F1F"/>
          <w:sz w:val="20"/>
          <w:szCs w:val="20"/>
        </w:rPr>
        <w:t> </w:t>
      </w:r>
      <w:r w:rsidRPr="00B761F1">
        <w:rPr>
          <w:rFonts w:eastAsia="ArialMTPro-Light" w:cs="Segoe UI"/>
          <w:color w:val="241F1F"/>
          <w:sz w:val="20"/>
          <w:szCs w:val="20"/>
        </w:rPr>
        <w:t>000 live births in 2016, which is 15 times the rate in the no</w:t>
      </w:r>
      <w:r w:rsidR="00531A73">
        <w:rPr>
          <w:rFonts w:eastAsia="ArialMTPro-Light" w:cs="Segoe UI"/>
          <w:color w:val="241F1F"/>
          <w:sz w:val="20"/>
          <w:szCs w:val="20"/>
        </w:rPr>
        <w:t>n-</w:t>
      </w:r>
      <w:r w:rsidRPr="00B761F1">
        <w:rPr>
          <w:rFonts w:eastAsia="ArialMTPro-Light" w:cs="Segoe UI"/>
          <w:color w:val="241F1F"/>
          <w:sz w:val="20"/>
          <w:szCs w:val="20"/>
        </w:rPr>
        <w:t>Indigenous population</w:t>
      </w:r>
      <w:r>
        <w:rPr>
          <w:rFonts w:eastAsia="ArialMTPro-Light" w:cs="Segoe UI"/>
          <w:color w:val="241F1F"/>
          <w:sz w:val="20"/>
          <w:szCs w:val="20"/>
        </w:rPr>
        <w:t>.</w:t>
      </w:r>
      <w:r>
        <w:rPr>
          <w:sz w:val="20"/>
          <w:szCs w:val="20"/>
          <w:lang w:eastAsia="en-AU"/>
        </w:rPr>
        <w:t xml:space="preserve"> </w:t>
      </w:r>
      <w:r w:rsidR="00537562" w:rsidRPr="00B761F1">
        <w:rPr>
          <w:sz w:val="20"/>
          <w:szCs w:val="20"/>
        </w:rPr>
        <w:t>Congenital syphilis can have severe and lifelong impacts on infants and can result in</w:t>
      </w:r>
      <w:r w:rsidR="00537562">
        <w:rPr>
          <w:sz w:val="20"/>
          <w:szCs w:val="20"/>
        </w:rPr>
        <w:t xml:space="preserve"> neonatal</w:t>
      </w:r>
      <w:r w:rsidR="00537562" w:rsidRPr="00B761F1">
        <w:rPr>
          <w:sz w:val="20"/>
          <w:szCs w:val="20"/>
        </w:rPr>
        <w:t xml:space="preserve"> death. </w:t>
      </w:r>
    </w:p>
    <w:p w14:paraId="07C7062C" w14:textId="0D77B7FA" w:rsidR="00CA7F81" w:rsidRDefault="00CA7F81" w:rsidP="00CA7F81">
      <w:pPr>
        <w:autoSpaceDE w:val="0"/>
        <w:autoSpaceDN w:val="0"/>
        <w:adjustRightInd w:val="0"/>
        <w:rPr>
          <w:sz w:val="20"/>
          <w:szCs w:val="20"/>
        </w:rPr>
      </w:pPr>
      <w:r w:rsidRPr="00A659A7">
        <w:rPr>
          <w:sz w:val="20"/>
          <w:szCs w:val="20"/>
        </w:rPr>
        <w:t>In 2016, the notification rates for both chlamydia and gonorrhoea were substantially higher in Aboriginal and Torres Strait Islander women aged 15</w:t>
      </w:r>
      <w:r w:rsidR="00531A73">
        <w:rPr>
          <w:sz w:val="20"/>
          <w:szCs w:val="20"/>
        </w:rPr>
        <w:t xml:space="preserve"> to </w:t>
      </w:r>
      <w:r w:rsidRPr="00A659A7">
        <w:rPr>
          <w:sz w:val="20"/>
          <w:szCs w:val="20"/>
        </w:rPr>
        <w:t>29 years than in all other age groups and the non-Indigenous population.</w:t>
      </w:r>
      <w:r w:rsidR="002A68F0">
        <w:rPr>
          <w:rFonts w:eastAsia="ArialMTPro-Light" w:cs="Segoe UI"/>
          <w:color w:val="241F1F"/>
          <w:sz w:val="20"/>
          <w:szCs w:val="20"/>
          <w:vertAlign w:val="superscript"/>
        </w:rPr>
        <w:t>6</w:t>
      </w:r>
      <w:r w:rsidRPr="00A659A7">
        <w:rPr>
          <w:sz w:val="20"/>
          <w:szCs w:val="20"/>
        </w:rPr>
        <w:t xml:space="preserve"> The overlap of these age groups with childbearing years is of serious concern</w:t>
      </w:r>
      <w:r w:rsidR="00531A73">
        <w:rPr>
          <w:sz w:val="20"/>
          <w:szCs w:val="20"/>
        </w:rPr>
        <w:t>,</w:t>
      </w:r>
      <w:r w:rsidRPr="00A659A7">
        <w:rPr>
          <w:sz w:val="20"/>
          <w:szCs w:val="20"/>
        </w:rPr>
        <w:t xml:space="preserve"> as STI can result in </w:t>
      </w:r>
      <w:r>
        <w:rPr>
          <w:sz w:val="20"/>
          <w:szCs w:val="20"/>
        </w:rPr>
        <w:t xml:space="preserve">infertility, </w:t>
      </w:r>
      <w:r w:rsidRPr="00A659A7">
        <w:rPr>
          <w:sz w:val="20"/>
          <w:szCs w:val="20"/>
        </w:rPr>
        <w:t>still birth, premature birth and eye disease.</w:t>
      </w:r>
      <w:r w:rsidRPr="00A659A7">
        <w:rPr>
          <w:rStyle w:val="EndnoteReference"/>
          <w:sz w:val="20"/>
          <w:szCs w:val="20"/>
        </w:rPr>
        <w:endnoteReference w:id="32"/>
      </w:r>
    </w:p>
    <w:p w14:paraId="79447988" w14:textId="0A5C3014" w:rsidR="00912E60" w:rsidRDefault="003E0F4B" w:rsidP="00CA7F81">
      <w:pPr>
        <w:autoSpaceDE w:val="0"/>
        <w:autoSpaceDN w:val="0"/>
        <w:adjustRightInd w:val="0"/>
        <w:rPr>
          <w:sz w:val="20"/>
          <w:szCs w:val="20"/>
        </w:rPr>
      </w:pPr>
      <w:r w:rsidRPr="001E692B">
        <w:rPr>
          <w:rFonts w:eastAsia="Times New Roman" w:cs="Segoe UI"/>
          <w:sz w:val="20"/>
          <w:szCs w:val="20"/>
          <w:lang w:eastAsia="en-AU"/>
        </w:rPr>
        <w:t>Between 2007 and 2016, the notification rates of newly diagnosed HIV infection among Aboriginal and</w:t>
      </w:r>
      <w:r>
        <w:rPr>
          <w:rFonts w:eastAsia="Times New Roman" w:cs="Segoe UI"/>
          <w:sz w:val="20"/>
          <w:szCs w:val="20"/>
          <w:lang w:eastAsia="en-AU"/>
        </w:rPr>
        <w:t xml:space="preserve"> </w:t>
      </w:r>
      <w:r w:rsidRPr="001E692B">
        <w:rPr>
          <w:rFonts w:eastAsia="Times New Roman" w:cs="Segoe UI"/>
          <w:sz w:val="20"/>
          <w:szCs w:val="20"/>
          <w:lang w:eastAsia="en-AU"/>
        </w:rPr>
        <w:t xml:space="preserve">Torres Strait Islander females were </w:t>
      </w:r>
      <w:r w:rsidR="00531A73">
        <w:rPr>
          <w:rFonts w:eastAsia="Times New Roman" w:cs="Segoe UI"/>
          <w:sz w:val="20"/>
          <w:szCs w:val="20"/>
          <w:lang w:eastAsia="en-AU"/>
        </w:rPr>
        <w:t xml:space="preserve">two </w:t>
      </w:r>
      <w:r w:rsidRPr="001E692B">
        <w:rPr>
          <w:rFonts w:eastAsia="Times New Roman" w:cs="Segoe UI"/>
          <w:sz w:val="20"/>
          <w:szCs w:val="20"/>
          <w:lang w:eastAsia="en-AU"/>
        </w:rPr>
        <w:t xml:space="preserve">to 12 times </w:t>
      </w:r>
      <w:r w:rsidR="00A5402F">
        <w:rPr>
          <w:rFonts w:eastAsia="Times New Roman" w:cs="Segoe UI"/>
          <w:sz w:val="20"/>
          <w:szCs w:val="20"/>
          <w:lang w:eastAsia="en-AU"/>
        </w:rPr>
        <w:t xml:space="preserve">as high as among the </w:t>
      </w:r>
      <w:r w:rsidRPr="001E692B">
        <w:rPr>
          <w:rFonts w:eastAsia="Times New Roman" w:cs="Segoe UI"/>
          <w:sz w:val="20"/>
          <w:szCs w:val="20"/>
          <w:lang w:eastAsia="en-AU"/>
        </w:rPr>
        <w:t>non</w:t>
      </w:r>
      <w:r w:rsidRPr="001E692B">
        <w:rPr>
          <w:rFonts w:eastAsia="Times New Roman" w:cs="Segoe UI"/>
          <w:sz w:val="20"/>
          <w:szCs w:val="20"/>
          <w:lang w:eastAsia="en-AU"/>
        </w:rPr>
        <w:noBreakHyphen/>
        <w:t>Indigenous Australian</w:t>
      </w:r>
      <w:r w:rsidRPr="001E692B">
        <w:rPr>
          <w:rFonts w:eastAsia="Times New Roman" w:cs="Segoe UI"/>
          <w:sz w:val="20"/>
          <w:szCs w:val="20"/>
          <w:lang w:eastAsia="en-AU"/>
        </w:rPr>
        <w:noBreakHyphen/>
        <w:t>born female</w:t>
      </w:r>
      <w:r>
        <w:rPr>
          <w:rFonts w:eastAsia="Times New Roman" w:cs="Segoe UI"/>
          <w:sz w:val="20"/>
          <w:szCs w:val="20"/>
          <w:lang w:eastAsia="en-AU"/>
        </w:rPr>
        <w:t xml:space="preserve"> </w:t>
      </w:r>
      <w:r w:rsidRPr="001E692B">
        <w:rPr>
          <w:rFonts w:eastAsia="Times New Roman" w:cs="Segoe UI"/>
          <w:sz w:val="20"/>
          <w:szCs w:val="20"/>
          <w:lang w:eastAsia="en-AU"/>
        </w:rPr>
        <w:t>population</w:t>
      </w:r>
      <w:r>
        <w:rPr>
          <w:rFonts w:eastAsia="Times New Roman" w:cs="Segoe UI"/>
          <w:sz w:val="20"/>
          <w:szCs w:val="20"/>
          <w:lang w:eastAsia="en-AU"/>
        </w:rPr>
        <w:t>.</w:t>
      </w:r>
      <w:r w:rsidR="002A68F0">
        <w:rPr>
          <w:rFonts w:eastAsia="Times New Roman" w:cs="Segoe UI"/>
          <w:sz w:val="20"/>
          <w:szCs w:val="20"/>
          <w:vertAlign w:val="superscript"/>
          <w:lang w:eastAsia="en-AU"/>
        </w:rPr>
        <w:t>6</w:t>
      </w:r>
      <w:r w:rsidRPr="00531A73">
        <w:rPr>
          <w:rFonts w:eastAsia="Times New Roman" w:cs="Segoe UI"/>
          <w:sz w:val="20"/>
          <w:szCs w:val="20"/>
          <w:lang w:eastAsia="en-AU"/>
        </w:rPr>
        <w:t xml:space="preserve"> </w:t>
      </w:r>
      <w:r w:rsidR="00912E60">
        <w:rPr>
          <w:sz w:val="20"/>
          <w:szCs w:val="20"/>
        </w:rPr>
        <w:t>Although specific data is not available for Aboriginal and Torres Strait Islander people i</w:t>
      </w:r>
      <w:r w:rsidR="00912E60" w:rsidRPr="00B90A7B">
        <w:rPr>
          <w:sz w:val="20"/>
          <w:szCs w:val="20"/>
        </w:rPr>
        <w:t>n relation to mother-to-child transmission, among 223 women with HIV who gave birth in the fiv</w:t>
      </w:r>
      <w:r w:rsidR="009A5C5E">
        <w:rPr>
          <w:sz w:val="20"/>
          <w:szCs w:val="20"/>
        </w:rPr>
        <w:t>e-</w:t>
      </w:r>
      <w:r w:rsidR="00912E60" w:rsidRPr="00B90A7B">
        <w:rPr>
          <w:sz w:val="20"/>
          <w:szCs w:val="20"/>
        </w:rPr>
        <w:t xml:space="preserve">year period </w:t>
      </w:r>
      <w:r w:rsidR="009A5C5E">
        <w:rPr>
          <w:sz w:val="20"/>
          <w:szCs w:val="20"/>
        </w:rPr>
        <w:t xml:space="preserve">from </w:t>
      </w:r>
      <w:r w:rsidR="00912E60" w:rsidRPr="00B90A7B">
        <w:rPr>
          <w:sz w:val="20"/>
          <w:szCs w:val="20"/>
        </w:rPr>
        <w:t>2012</w:t>
      </w:r>
      <w:r w:rsidR="009A5C5E">
        <w:rPr>
          <w:rFonts w:cs="Segoe UI"/>
          <w:sz w:val="20"/>
          <w:szCs w:val="20"/>
        </w:rPr>
        <w:t xml:space="preserve"> to </w:t>
      </w:r>
      <w:r w:rsidR="00912E60" w:rsidRPr="00B90A7B">
        <w:rPr>
          <w:sz w:val="20"/>
          <w:szCs w:val="20"/>
        </w:rPr>
        <w:t xml:space="preserve">2016, the transmission rate to newborns was 2 per cent compared </w:t>
      </w:r>
      <w:r w:rsidR="009A5C5E">
        <w:rPr>
          <w:sz w:val="20"/>
          <w:szCs w:val="20"/>
        </w:rPr>
        <w:t xml:space="preserve">with </w:t>
      </w:r>
      <w:r w:rsidR="00912E60" w:rsidRPr="00B90A7B">
        <w:rPr>
          <w:sz w:val="20"/>
          <w:szCs w:val="20"/>
        </w:rPr>
        <w:t xml:space="preserve">39 per cent in the period </w:t>
      </w:r>
      <w:r w:rsidR="009A5C5E">
        <w:rPr>
          <w:sz w:val="20"/>
          <w:szCs w:val="20"/>
        </w:rPr>
        <w:t xml:space="preserve">from </w:t>
      </w:r>
      <w:r w:rsidR="00912E60" w:rsidRPr="00B90A7B">
        <w:rPr>
          <w:sz w:val="20"/>
          <w:szCs w:val="20"/>
        </w:rPr>
        <w:t>1985</w:t>
      </w:r>
      <w:r w:rsidR="009A5C5E">
        <w:rPr>
          <w:rFonts w:cs="Segoe UI"/>
          <w:sz w:val="20"/>
          <w:szCs w:val="20"/>
        </w:rPr>
        <w:t xml:space="preserve"> to </w:t>
      </w:r>
      <w:r w:rsidR="00912E60" w:rsidRPr="00B90A7B">
        <w:rPr>
          <w:sz w:val="20"/>
          <w:szCs w:val="20"/>
        </w:rPr>
        <w:t xml:space="preserve">1991 and 28 per cent </w:t>
      </w:r>
      <w:r w:rsidR="009A5C5E">
        <w:rPr>
          <w:sz w:val="20"/>
          <w:szCs w:val="20"/>
        </w:rPr>
        <w:t xml:space="preserve">between </w:t>
      </w:r>
      <w:r w:rsidR="00912E60" w:rsidRPr="00B90A7B">
        <w:rPr>
          <w:sz w:val="20"/>
          <w:szCs w:val="20"/>
        </w:rPr>
        <w:t>1992</w:t>
      </w:r>
      <w:r w:rsidR="009A5C5E">
        <w:rPr>
          <w:rFonts w:cs="Segoe UI"/>
          <w:sz w:val="20"/>
          <w:szCs w:val="20"/>
        </w:rPr>
        <w:t xml:space="preserve"> and </w:t>
      </w:r>
      <w:r w:rsidR="00912E60" w:rsidRPr="00B90A7B">
        <w:rPr>
          <w:sz w:val="20"/>
          <w:szCs w:val="20"/>
        </w:rPr>
        <w:t>1996.</w:t>
      </w:r>
      <w:r w:rsidR="002A68F0">
        <w:rPr>
          <w:sz w:val="20"/>
          <w:szCs w:val="20"/>
          <w:vertAlign w:val="superscript"/>
        </w:rPr>
        <w:t>18</w:t>
      </w:r>
      <w:r w:rsidR="00912E60" w:rsidRPr="00B90A7B">
        <w:rPr>
          <w:sz w:val="20"/>
          <w:szCs w:val="20"/>
        </w:rPr>
        <w:t xml:space="preserve"> There were no cases notified in 2016. It is important that high</w:t>
      </w:r>
      <w:r w:rsidR="009A5C5E">
        <w:rPr>
          <w:sz w:val="20"/>
          <w:szCs w:val="20"/>
        </w:rPr>
        <w:t>-</w:t>
      </w:r>
      <w:r w:rsidR="00912E60" w:rsidRPr="00B90A7B">
        <w:rPr>
          <w:sz w:val="20"/>
          <w:szCs w:val="20"/>
        </w:rPr>
        <w:t xml:space="preserve">quality education is provided to all </w:t>
      </w:r>
      <w:r w:rsidR="00912E60">
        <w:rPr>
          <w:sz w:val="20"/>
          <w:szCs w:val="20"/>
        </w:rPr>
        <w:t xml:space="preserve">Aboriginal and Torres Strait Islander </w:t>
      </w:r>
      <w:r w:rsidR="00912E60" w:rsidRPr="00B90A7B">
        <w:rPr>
          <w:sz w:val="20"/>
          <w:szCs w:val="20"/>
        </w:rPr>
        <w:t xml:space="preserve">women </w:t>
      </w:r>
      <w:r w:rsidR="006D22CB">
        <w:rPr>
          <w:sz w:val="20"/>
          <w:szCs w:val="20"/>
        </w:rPr>
        <w:t>of child</w:t>
      </w:r>
      <w:r w:rsidR="00180B6D">
        <w:rPr>
          <w:sz w:val="20"/>
          <w:szCs w:val="20"/>
        </w:rPr>
        <w:t>-</w:t>
      </w:r>
      <w:r w:rsidR="006D22CB">
        <w:rPr>
          <w:sz w:val="20"/>
          <w:szCs w:val="20"/>
        </w:rPr>
        <w:t>bearing age</w:t>
      </w:r>
      <w:r w:rsidR="00912E60">
        <w:rPr>
          <w:sz w:val="20"/>
          <w:szCs w:val="20"/>
        </w:rPr>
        <w:t xml:space="preserve"> and that high</w:t>
      </w:r>
      <w:r w:rsidR="009A5C5E">
        <w:rPr>
          <w:sz w:val="20"/>
          <w:szCs w:val="20"/>
        </w:rPr>
        <w:t>-</w:t>
      </w:r>
      <w:r w:rsidR="00912E60">
        <w:rPr>
          <w:sz w:val="20"/>
          <w:szCs w:val="20"/>
        </w:rPr>
        <w:t xml:space="preserve">quality </w:t>
      </w:r>
      <w:r w:rsidR="00912E60" w:rsidRPr="00B90A7B">
        <w:rPr>
          <w:sz w:val="20"/>
          <w:szCs w:val="20"/>
        </w:rPr>
        <w:t xml:space="preserve">antenatal care </w:t>
      </w:r>
      <w:r w:rsidR="00912E60">
        <w:rPr>
          <w:sz w:val="20"/>
          <w:szCs w:val="20"/>
        </w:rPr>
        <w:t xml:space="preserve">is available to all pregnant Aboriginal and Torres Strait Islander </w:t>
      </w:r>
      <w:r w:rsidR="00912E60" w:rsidRPr="00180B6D">
        <w:rPr>
          <w:sz w:val="20"/>
          <w:szCs w:val="20"/>
        </w:rPr>
        <w:t xml:space="preserve">women in </w:t>
      </w:r>
      <w:r w:rsidR="00524DA9">
        <w:rPr>
          <w:sz w:val="20"/>
          <w:szCs w:val="20"/>
        </w:rPr>
        <w:t>to help maintain</w:t>
      </w:r>
      <w:r w:rsidR="00912E60" w:rsidRPr="00180B6D">
        <w:rPr>
          <w:sz w:val="20"/>
          <w:szCs w:val="20"/>
        </w:rPr>
        <w:t xml:space="preserve"> this</w:t>
      </w:r>
      <w:r w:rsidR="00912E60" w:rsidRPr="00B90A7B">
        <w:rPr>
          <w:sz w:val="20"/>
          <w:szCs w:val="20"/>
        </w:rPr>
        <w:t xml:space="preserve"> achievement. </w:t>
      </w:r>
      <w:r w:rsidR="00912E60" w:rsidRPr="00B90A7B" w:rsidDel="00B90A7B">
        <w:rPr>
          <w:sz w:val="20"/>
          <w:szCs w:val="20"/>
        </w:rPr>
        <w:t xml:space="preserve"> </w:t>
      </w:r>
    </w:p>
    <w:p w14:paraId="52F75569" w14:textId="0DAD2DD6" w:rsidR="00CA7F81" w:rsidRDefault="00CA7F81" w:rsidP="00CA7F81">
      <w:pPr>
        <w:autoSpaceDE w:val="0"/>
        <w:autoSpaceDN w:val="0"/>
        <w:adjustRightInd w:val="0"/>
        <w:rPr>
          <w:sz w:val="20"/>
          <w:szCs w:val="20"/>
        </w:rPr>
      </w:pPr>
      <w:r w:rsidRPr="00B761F1">
        <w:rPr>
          <w:sz w:val="20"/>
          <w:szCs w:val="20"/>
        </w:rPr>
        <w:t xml:space="preserve">Increasing access to </w:t>
      </w:r>
      <w:r>
        <w:rPr>
          <w:sz w:val="20"/>
          <w:szCs w:val="20"/>
        </w:rPr>
        <w:t>culturally</w:t>
      </w:r>
      <w:r w:rsidR="009A5C5E">
        <w:rPr>
          <w:sz w:val="20"/>
          <w:szCs w:val="20"/>
        </w:rPr>
        <w:t xml:space="preserve"> </w:t>
      </w:r>
      <w:r w:rsidR="00440846">
        <w:rPr>
          <w:sz w:val="20"/>
          <w:szCs w:val="20"/>
        </w:rPr>
        <w:t>respo</w:t>
      </w:r>
      <w:r w:rsidR="00EA7756">
        <w:rPr>
          <w:sz w:val="20"/>
          <w:szCs w:val="20"/>
        </w:rPr>
        <w:t>n</w:t>
      </w:r>
      <w:r w:rsidR="00440846">
        <w:rPr>
          <w:sz w:val="20"/>
          <w:szCs w:val="20"/>
        </w:rPr>
        <w:t xml:space="preserve">sive </w:t>
      </w:r>
      <w:r w:rsidRPr="00B761F1">
        <w:rPr>
          <w:sz w:val="20"/>
          <w:szCs w:val="20"/>
        </w:rPr>
        <w:t xml:space="preserve">antenatal care and </w:t>
      </w:r>
      <w:r>
        <w:rPr>
          <w:sz w:val="20"/>
          <w:szCs w:val="20"/>
        </w:rPr>
        <w:t xml:space="preserve">education </w:t>
      </w:r>
      <w:r w:rsidRPr="00B761F1">
        <w:rPr>
          <w:sz w:val="20"/>
          <w:szCs w:val="20"/>
        </w:rPr>
        <w:t xml:space="preserve">on the </w:t>
      </w:r>
      <w:r>
        <w:rPr>
          <w:sz w:val="20"/>
          <w:szCs w:val="20"/>
        </w:rPr>
        <w:t>importance of</w:t>
      </w:r>
      <w:r w:rsidRPr="00B761F1">
        <w:rPr>
          <w:sz w:val="20"/>
          <w:szCs w:val="20"/>
        </w:rPr>
        <w:t xml:space="preserve"> antenatal </w:t>
      </w:r>
      <w:r>
        <w:rPr>
          <w:sz w:val="20"/>
          <w:szCs w:val="20"/>
        </w:rPr>
        <w:t xml:space="preserve">BBV and STI </w:t>
      </w:r>
      <w:r w:rsidRPr="00B761F1">
        <w:rPr>
          <w:sz w:val="20"/>
          <w:szCs w:val="20"/>
        </w:rPr>
        <w:t>testing</w:t>
      </w:r>
      <w:r>
        <w:rPr>
          <w:sz w:val="20"/>
          <w:szCs w:val="20"/>
        </w:rPr>
        <w:t xml:space="preserve">, vaccination, treatment </w:t>
      </w:r>
      <w:r w:rsidRPr="00B761F1">
        <w:rPr>
          <w:sz w:val="20"/>
          <w:szCs w:val="20"/>
        </w:rPr>
        <w:t xml:space="preserve">and care </w:t>
      </w:r>
      <w:r>
        <w:rPr>
          <w:sz w:val="20"/>
          <w:szCs w:val="20"/>
        </w:rPr>
        <w:t>for</w:t>
      </w:r>
      <w:r w:rsidRPr="00B761F1">
        <w:rPr>
          <w:sz w:val="20"/>
          <w:szCs w:val="20"/>
        </w:rPr>
        <w:t xml:space="preserve"> Aboriginal and Torres Islander </w:t>
      </w:r>
      <w:r>
        <w:rPr>
          <w:sz w:val="20"/>
          <w:szCs w:val="20"/>
        </w:rPr>
        <w:t>women</w:t>
      </w:r>
      <w:r w:rsidR="00D8577B">
        <w:rPr>
          <w:sz w:val="20"/>
          <w:szCs w:val="20"/>
        </w:rPr>
        <w:t xml:space="preserve"> </w:t>
      </w:r>
      <w:r w:rsidRPr="00B761F1">
        <w:rPr>
          <w:sz w:val="20"/>
          <w:szCs w:val="20"/>
        </w:rPr>
        <w:t xml:space="preserve">is integral to preventing mother-to-child transmission </w:t>
      </w:r>
      <w:r>
        <w:rPr>
          <w:sz w:val="20"/>
          <w:szCs w:val="20"/>
        </w:rPr>
        <w:t xml:space="preserve">of BBV and STI </w:t>
      </w:r>
      <w:r w:rsidRPr="00B761F1">
        <w:rPr>
          <w:sz w:val="20"/>
          <w:szCs w:val="20"/>
        </w:rPr>
        <w:t>within this population.</w:t>
      </w:r>
      <w:r w:rsidR="00EA6CB4">
        <w:rPr>
          <w:sz w:val="20"/>
          <w:szCs w:val="20"/>
        </w:rPr>
        <w:t xml:space="preserve"> </w:t>
      </w:r>
    </w:p>
    <w:p w14:paraId="7594727C" w14:textId="0D1D15C5" w:rsidR="00CA7F81" w:rsidRDefault="00CA7F81" w:rsidP="00CA7F81">
      <w:pPr>
        <w:pStyle w:val="Caption"/>
        <w:rPr>
          <w:i/>
          <w:sz w:val="22"/>
        </w:rPr>
      </w:pPr>
      <w:r w:rsidRPr="00847E38">
        <w:rPr>
          <w:i/>
          <w:sz w:val="22"/>
        </w:rPr>
        <w:t xml:space="preserve">Aboriginal and </w:t>
      </w:r>
      <w:r>
        <w:rPr>
          <w:i/>
          <w:sz w:val="22"/>
        </w:rPr>
        <w:t>Torres Strait Islander trans and gender</w:t>
      </w:r>
      <w:r w:rsidR="009A5C5E">
        <w:rPr>
          <w:i/>
          <w:sz w:val="22"/>
        </w:rPr>
        <w:t>-</w:t>
      </w:r>
      <w:r>
        <w:rPr>
          <w:i/>
          <w:sz w:val="22"/>
        </w:rPr>
        <w:t>diverse people</w:t>
      </w:r>
    </w:p>
    <w:p w14:paraId="5AF8FAFA" w14:textId="0BB53156" w:rsidR="002B7D1B" w:rsidRDefault="00CA7F81" w:rsidP="00CA7F81">
      <w:pPr>
        <w:rPr>
          <w:sz w:val="20"/>
          <w:szCs w:val="20"/>
        </w:rPr>
      </w:pPr>
      <w:r w:rsidRPr="00B761F1">
        <w:rPr>
          <w:sz w:val="20"/>
          <w:szCs w:val="20"/>
        </w:rPr>
        <w:t xml:space="preserve">BBV and STI prevalence among Aboriginal and Torres Strait Islander transgender and gender diverse people, including </w:t>
      </w:r>
      <w:r w:rsidR="009C12CB" w:rsidRPr="009C12CB">
        <w:rPr>
          <w:sz w:val="20"/>
          <w:szCs w:val="20"/>
        </w:rPr>
        <w:t>Sistagirls/Sistergirls</w:t>
      </w:r>
      <w:r w:rsidRPr="00B761F1">
        <w:rPr>
          <w:sz w:val="20"/>
          <w:szCs w:val="20"/>
        </w:rPr>
        <w:t>, Brotherboys and other two-spirit people, is unknown in Australia due to a paucity of data. However, this population may be at greater risk due to high levels of population mobility, social isolation</w:t>
      </w:r>
      <w:r>
        <w:rPr>
          <w:sz w:val="20"/>
          <w:szCs w:val="20"/>
        </w:rPr>
        <w:t xml:space="preserve"> and exclusion</w:t>
      </w:r>
      <w:r w:rsidR="00FF6C31">
        <w:rPr>
          <w:sz w:val="20"/>
          <w:szCs w:val="20"/>
        </w:rPr>
        <w:t>.</w:t>
      </w:r>
      <w:r w:rsidR="004C2A84" w:rsidRPr="00972966">
        <w:rPr>
          <w:rStyle w:val="EndnoteReference"/>
          <w:iCs/>
          <w:sz w:val="20"/>
          <w:szCs w:val="20"/>
        </w:rPr>
        <w:endnoteReference w:id="33"/>
      </w:r>
      <w:r w:rsidR="004C2A84" w:rsidRPr="00972966">
        <w:rPr>
          <w:iCs/>
          <w:sz w:val="20"/>
          <w:szCs w:val="20"/>
          <w:vertAlign w:val="superscript"/>
        </w:rPr>
        <w:t>,</w:t>
      </w:r>
      <w:r w:rsidR="004C2A84" w:rsidRPr="00972966">
        <w:rPr>
          <w:rStyle w:val="EndnoteReference"/>
          <w:iCs/>
          <w:sz w:val="20"/>
          <w:szCs w:val="20"/>
        </w:rPr>
        <w:endnoteReference w:id="34"/>
      </w:r>
      <w:r w:rsidR="004C2A84" w:rsidRPr="00972966">
        <w:rPr>
          <w:iCs/>
          <w:sz w:val="20"/>
          <w:szCs w:val="20"/>
        </w:rPr>
        <w:t xml:space="preserve"> </w:t>
      </w:r>
      <w:r w:rsidR="005F2DCF" w:rsidRPr="005F2DCF">
        <w:rPr>
          <w:sz w:val="20"/>
          <w:szCs w:val="20"/>
        </w:rPr>
        <w:t>Aboriginal and Torres Strait Islander trans and gender</w:t>
      </w:r>
      <w:r w:rsidR="009C12CB">
        <w:rPr>
          <w:sz w:val="20"/>
          <w:szCs w:val="20"/>
        </w:rPr>
        <w:t>-</w:t>
      </w:r>
      <w:r w:rsidR="005F2DCF" w:rsidRPr="005F2DCF">
        <w:rPr>
          <w:sz w:val="20"/>
          <w:szCs w:val="20"/>
        </w:rPr>
        <w:t>diverse people</w:t>
      </w:r>
      <w:r w:rsidR="005F2DCF">
        <w:rPr>
          <w:sz w:val="20"/>
          <w:szCs w:val="20"/>
        </w:rPr>
        <w:t xml:space="preserve"> </w:t>
      </w:r>
      <w:r w:rsidR="002B7D1B" w:rsidRPr="00B761F1">
        <w:rPr>
          <w:sz w:val="20"/>
          <w:szCs w:val="20"/>
        </w:rPr>
        <w:t xml:space="preserve">may </w:t>
      </w:r>
      <w:r w:rsidR="002B7D1B" w:rsidRPr="00B761F1">
        <w:rPr>
          <w:sz w:val="20"/>
          <w:szCs w:val="20"/>
        </w:rPr>
        <w:lastRenderedPageBreak/>
        <w:t>also experience heightened levels of stigma, discrimination, homophobia</w:t>
      </w:r>
      <w:r w:rsidR="002B7D1B">
        <w:rPr>
          <w:sz w:val="20"/>
          <w:szCs w:val="20"/>
        </w:rPr>
        <w:t>/transphobia</w:t>
      </w:r>
      <w:r w:rsidR="00440846">
        <w:rPr>
          <w:sz w:val="20"/>
          <w:szCs w:val="20"/>
        </w:rPr>
        <w:t xml:space="preserve"> and </w:t>
      </w:r>
      <w:r w:rsidR="002B7D1B" w:rsidRPr="00B761F1">
        <w:rPr>
          <w:sz w:val="20"/>
          <w:szCs w:val="20"/>
        </w:rPr>
        <w:t>racism</w:t>
      </w:r>
      <w:r w:rsidR="002B7D1B">
        <w:rPr>
          <w:sz w:val="20"/>
          <w:szCs w:val="20"/>
        </w:rPr>
        <w:t xml:space="preserve">, which can negatively impact </w:t>
      </w:r>
      <w:r w:rsidR="001331EF">
        <w:rPr>
          <w:sz w:val="20"/>
          <w:szCs w:val="20"/>
        </w:rPr>
        <w:t xml:space="preserve">on </w:t>
      </w:r>
      <w:r w:rsidR="002B7D1B">
        <w:rPr>
          <w:sz w:val="20"/>
          <w:szCs w:val="20"/>
        </w:rPr>
        <w:t>health</w:t>
      </w:r>
      <w:r w:rsidR="009A5C5E">
        <w:rPr>
          <w:sz w:val="20"/>
          <w:szCs w:val="20"/>
        </w:rPr>
        <w:t>-</w:t>
      </w:r>
      <w:r w:rsidR="002B7D1B">
        <w:rPr>
          <w:sz w:val="20"/>
          <w:szCs w:val="20"/>
        </w:rPr>
        <w:t>seeking behaviour and access to services</w:t>
      </w:r>
      <w:r w:rsidR="002B7D1B" w:rsidRPr="00B761F1">
        <w:rPr>
          <w:sz w:val="20"/>
          <w:szCs w:val="20"/>
        </w:rPr>
        <w:t>.</w:t>
      </w:r>
    </w:p>
    <w:p w14:paraId="1CC13372" w14:textId="283AC416" w:rsidR="005F2DCF" w:rsidRPr="00FD22CD" w:rsidRDefault="005F2DCF" w:rsidP="005F2DCF">
      <w:pPr>
        <w:rPr>
          <w:sz w:val="20"/>
          <w:szCs w:val="20"/>
        </w:rPr>
      </w:pPr>
      <w:r>
        <w:rPr>
          <w:sz w:val="20"/>
          <w:szCs w:val="20"/>
        </w:rPr>
        <w:t>M</w:t>
      </w:r>
      <w:r w:rsidRPr="00E57BD0">
        <w:rPr>
          <w:sz w:val="20"/>
          <w:szCs w:val="20"/>
        </w:rPr>
        <w:t>any trans and gender</w:t>
      </w:r>
      <w:r w:rsidR="009A5C5E">
        <w:rPr>
          <w:sz w:val="20"/>
          <w:szCs w:val="20"/>
        </w:rPr>
        <w:t>-</w:t>
      </w:r>
      <w:r w:rsidRPr="00E57BD0">
        <w:rPr>
          <w:sz w:val="20"/>
          <w:szCs w:val="20"/>
        </w:rPr>
        <w:t xml:space="preserve">diverse people are part of </w:t>
      </w:r>
      <w:r>
        <w:rPr>
          <w:sz w:val="20"/>
          <w:szCs w:val="20"/>
        </w:rPr>
        <w:t>other</w:t>
      </w:r>
      <w:r w:rsidRPr="00E57BD0">
        <w:rPr>
          <w:sz w:val="20"/>
          <w:szCs w:val="20"/>
        </w:rPr>
        <w:t xml:space="preserve"> priority </w:t>
      </w:r>
      <w:r>
        <w:rPr>
          <w:sz w:val="20"/>
          <w:szCs w:val="20"/>
        </w:rPr>
        <w:t>groups</w:t>
      </w:r>
      <w:r w:rsidRPr="00E57BD0">
        <w:rPr>
          <w:sz w:val="20"/>
          <w:szCs w:val="20"/>
        </w:rPr>
        <w:t xml:space="preserve"> </w:t>
      </w:r>
      <w:r>
        <w:rPr>
          <w:sz w:val="20"/>
          <w:szCs w:val="20"/>
        </w:rPr>
        <w:t>(</w:t>
      </w:r>
      <w:r w:rsidRPr="00E57BD0">
        <w:rPr>
          <w:sz w:val="20"/>
          <w:szCs w:val="20"/>
        </w:rPr>
        <w:t>such as trans MSM</w:t>
      </w:r>
      <w:r w:rsidR="00094332">
        <w:rPr>
          <w:sz w:val="20"/>
          <w:szCs w:val="20"/>
        </w:rPr>
        <w:t>,</w:t>
      </w:r>
      <w:r w:rsidRPr="00E57BD0">
        <w:rPr>
          <w:sz w:val="20"/>
          <w:szCs w:val="20"/>
        </w:rPr>
        <w:t xml:space="preserve"> trans men, trans women and non-binary sex workers</w:t>
      </w:r>
      <w:r w:rsidR="003A6AEC">
        <w:rPr>
          <w:sz w:val="20"/>
          <w:szCs w:val="20"/>
        </w:rPr>
        <w:t>;</w:t>
      </w:r>
      <w:r w:rsidRPr="00E57BD0">
        <w:rPr>
          <w:sz w:val="20"/>
          <w:szCs w:val="20"/>
        </w:rPr>
        <w:t xml:space="preserve"> and injecting drug users</w:t>
      </w:r>
      <w:r>
        <w:rPr>
          <w:sz w:val="20"/>
          <w:szCs w:val="20"/>
        </w:rPr>
        <w:t>)</w:t>
      </w:r>
      <w:r w:rsidRPr="00E57BD0">
        <w:rPr>
          <w:sz w:val="20"/>
          <w:szCs w:val="20"/>
        </w:rPr>
        <w:t xml:space="preserve"> and share some of the same risk exposures</w:t>
      </w:r>
      <w:r>
        <w:rPr>
          <w:sz w:val="20"/>
          <w:szCs w:val="20"/>
        </w:rPr>
        <w:t>. However,</w:t>
      </w:r>
      <w:r w:rsidRPr="00E57BD0">
        <w:rPr>
          <w:sz w:val="20"/>
          <w:szCs w:val="20"/>
        </w:rPr>
        <w:t xml:space="preserve"> </w:t>
      </w:r>
      <w:r>
        <w:rPr>
          <w:sz w:val="20"/>
          <w:szCs w:val="20"/>
        </w:rPr>
        <w:t xml:space="preserve">it is important that the </w:t>
      </w:r>
      <w:r w:rsidRPr="00E57BD0">
        <w:rPr>
          <w:sz w:val="20"/>
          <w:szCs w:val="20"/>
        </w:rPr>
        <w:t xml:space="preserve">specific sexual health needs </w:t>
      </w:r>
      <w:r>
        <w:rPr>
          <w:sz w:val="20"/>
          <w:szCs w:val="20"/>
        </w:rPr>
        <w:t xml:space="preserve">of </w:t>
      </w:r>
      <w:r w:rsidRPr="00E57BD0">
        <w:rPr>
          <w:sz w:val="20"/>
          <w:szCs w:val="20"/>
        </w:rPr>
        <w:t>trans and gender</w:t>
      </w:r>
      <w:r w:rsidR="009C12CB">
        <w:rPr>
          <w:sz w:val="20"/>
          <w:szCs w:val="20"/>
        </w:rPr>
        <w:t>-</w:t>
      </w:r>
      <w:r w:rsidRPr="00E57BD0">
        <w:rPr>
          <w:sz w:val="20"/>
          <w:szCs w:val="20"/>
        </w:rPr>
        <w:t xml:space="preserve">diverse people and </w:t>
      </w:r>
      <w:r>
        <w:rPr>
          <w:sz w:val="20"/>
          <w:szCs w:val="20"/>
        </w:rPr>
        <w:t xml:space="preserve">the unique </w:t>
      </w:r>
      <w:r w:rsidRPr="00E57BD0">
        <w:rPr>
          <w:sz w:val="20"/>
          <w:szCs w:val="20"/>
        </w:rPr>
        <w:t xml:space="preserve">barriers to prevention, treatment and care </w:t>
      </w:r>
      <w:r>
        <w:rPr>
          <w:sz w:val="20"/>
          <w:szCs w:val="20"/>
        </w:rPr>
        <w:t>they experience are</w:t>
      </w:r>
      <w:r w:rsidRPr="00E57BD0">
        <w:rPr>
          <w:sz w:val="20"/>
          <w:szCs w:val="20"/>
        </w:rPr>
        <w:t xml:space="preserve"> taken into consideration in the response to </w:t>
      </w:r>
      <w:r>
        <w:rPr>
          <w:sz w:val="20"/>
          <w:szCs w:val="20"/>
        </w:rPr>
        <w:t>BBV and STI</w:t>
      </w:r>
      <w:r w:rsidRPr="00E57BD0">
        <w:rPr>
          <w:sz w:val="20"/>
          <w:szCs w:val="20"/>
        </w:rPr>
        <w:t>.</w:t>
      </w:r>
    </w:p>
    <w:p w14:paraId="3ADF6219" w14:textId="5E38A8E9" w:rsidR="00CA7F81" w:rsidRPr="00B761F1" w:rsidRDefault="00CA7F81" w:rsidP="00CA7F81">
      <w:pPr>
        <w:rPr>
          <w:sz w:val="20"/>
          <w:szCs w:val="20"/>
        </w:rPr>
      </w:pPr>
      <w:r w:rsidRPr="009F7EA2">
        <w:rPr>
          <w:sz w:val="20"/>
          <w:szCs w:val="20"/>
          <w:lang w:eastAsia="en-AU"/>
        </w:rPr>
        <w:t xml:space="preserve">Increased </w:t>
      </w:r>
      <w:r w:rsidR="00426022">
        <w:rPr>
          <w:sz w:val="20"/>
          <w:szCs w:val="20"/>
          <w:lang w:eastAsia="en-AU"/>
        </w:rPr>
        <w:t xml:space="preserve">community </w:t>
      </w:r>
      <w:r w:rsidRPr="009F7EA2">
        <w:rPr>
          <w:sz w:val="20"/>
          <w:szCs w:val="20"/>
          <w:lang w:eastAsia="en-AU"/>
        </w:rPr>
        <w:t>engagement</w:t>
      </w:r>
      <w:r w:rsidR="003A6AEC">
        <w:rPr>
          <w:sz w:val="20"/>
          <w:szCs w:val="20"/>
          <w:lang w:eastAsia="en-AU"/>
        </w:rPr>
        <w:t xml:space="preserve"> and </w:t>
      </w:r>
      <w:r w:rsidR="00426022">
        <w:rPr>
          <w:sz w:val="20"/>
          <w:szCs w:val="20"/>
          <w:lang w:eastAsia="en-AU"/>
        </w:rPr>
        <w:t>consultation</w:t>
      </w:r>
      <w:r w:rsidRPr="009F7EA2">
        <w:rPr>
          <w:sz w:val="20"/>
          <w:szCs w:val="20"/>
          <w:lang w:eastAsia="en-AU"/>
        </w:rPr>
        <w:t xml:space="preserve"> and improved data and research are needed to better understand how Aboriginal and Torres Strait Islander </w:t>
      </w:r>
      <w:r w:rsidRPr="009F7EA2">
        <w:rPr>
          <w:sz w:val="20"/>
          <w:szCs w:val="20"/>
        </w:rPr>
        <w:t>trans and gender</w:t>
      </w:r>
      <w:r w:rsidR="003A6AEC">
        <w:rPr>
          <w:sz w:val="20"/>
          <w:szCs w:val="20"/>
        </w:rPr>
        <w:t>-</w:t>
      </w:r>
      <w:r w:rsidRPr="009F7EA2">
        <w:rPr>
          <w:sz w:val="20"/>
          <w:szCs w:val="20"/>
        </w:rPr>
        <w:t xml:space="preserve">diverse </w:t>
      </w:r>
      <w:r w:rsidRPr="00046D1F">
        <w:rPr>
          <w:sz w:val="20"/>
          <w:szCs w:val="20"/>
        </w:rPr>
        <w:t>people</w:t>
      </w:r>
      <w:r w:rsidR="00A17073" w:rsidRPr="00046D1F">
        <w:rPr>
          <w:sz w:val="20"/>
          <w:szCs w:val="20"/>
        </w:rPr>
        <w:t xml:space="preserve"> are impacted</w:t>
      </w:r>
      <w:r w:rsidR="00A17073">
        <w:rPr>
          <w:sz w:val="20"/>
          <w:szCs w:val="20"/>
        </w:rPr>
        <w:t xml:space="preserve"> by BBV and STI</w:t>
      </w:r>
      <w:r w:rsidR="007807BD">
        <w:rPr>
          <w:sz w:val="20"/>
          <w:szCs w:val="20"/>
        </w:rPr>
        <w:t xml:space="preserve"> and</w:t>
      </w:r>
      <w:r w:rsidR="009F7EA2" w:rsidRPr="009F7EA2">
        <w:rPr>
          <w:sz w:val="20"/>
          <w:szCs w:val="20"/>
        </w:rPr>
        <w:t xml:space="preserve"> the</w:t>
      </w:r>
      <w:r w:rsidR="007807BD">
        <w:rPr>
          <w:sz w:val="20"/>
          <w:szCs w:val="20"/>
        </w:rPr>
        <w:t xml:space="preserve">ir unique experiences and needs. This would better inform the provision of </w:t>
      </w:r>
      <w:r w:rsidR="00A17073">
        <w:rPr>
          <w:sz w:val="20"/>
          <w:szCs w:val="20"/>
        </w:rPr>
        <w:t xml:space="preserve">culturally competent </w:t>
      </w:r>
      <w:r w:rsidR="00450A87">
        <w:rPr>
          <w:sz w:val="20"/>
          <w:szCs w:val="20"/>
        </w:rPr>
        <w:t>peer</w:t>
      </w:r>
      <w:r w:rsidR="00A17073">
        <w:rPr>
          <w:sz w:val="20"/>
          <w:szCs w:val="20"/>
        </w:rPr>
        <w:t>-based</w:t>
      </w:r>
      <w:r w:rsidR="00450A87">
        <w:rPr>
          <w:sz w:val="20"/>
          <w:szCs w:val="20"/>
        </w:rPr>
        <w:t xml:space="preserve"> </w:t>
      </w:r>
      <w:r w:rsidR="007807BD">
        <w:rPr>
          <w:sz w:val="20"/>
          <w:szCs w:val="20"/>
        </w:rPr>
        <w:t>approaches</w:t>
      </w:r>
      <w:r w:rsidR="007807BD" w:rsidRPr="009C12CB">
        <w:rPr>
          <w:sz w:val="20"/>
          <w:szCs w:val="20"/>
        </w:rPr>
        <w:t xml:space="preserve"> </w:t>
      </w:r>
      <w:r w:rsidR="009C12CB">
        <w:rPr>
          <w:sz w:val="20"/>
          <w:szCs w:val="20"/>
        </w:rPr>
        <w:t xml:space="preserve">and </w:t>
      </w:r>
      <w:r w:rsidR="007807BD" w:rsidRPr="009C12CB">
        <w:rPr>
          <w:sz w:val="20"/>
          <w:szCs w:val="20"/>
        </w:rPr>
        <w:t>identify opportunities</w:t>
      </w:r>
      <w:r w:rsidR="007807BD">
        <w:rPr>
          <w:sz w:val="20"/>
          <w:szCs w:val="20"/>
        </w:rPr>
        <w:t xml:space="preserve"> for more effective</w:t>
      </w:r>
      <w:r w:rsidR="00450A87">
        <w:rPr>
          <w:sz w:val="20"/>
          <w:szCs w:val="20"/>
        </w:rPr>
        <w:t xml:space="preserve"> </w:t>
      </w:r>
      <w:r w:rsidRPr="009F7EA2">
        <w:rPr>
          <w:sz w:val="20"/>
          <w:szCs w:val="20"/>
        </w:rPr>
        <w:t xml:space="preserve">inclusion in the </w:t>
      </w:r>
      <w:r w:rsidR="007807BD">
        <w:rPr>
          <w:sz w:val="20"/>
          <w:szCs w:val="20"/>
        </w:rPr>
        <w:t xml:space="preserve">broader </w:t>
      </w:r>
      <w:r w:rsidRPr="009F7EA2">
        <w:rPr>
          <w:sz w:val="20"/>
          <w:szCs w:val="20"/>
        </w:rPr>
        <w:t>BBV and STI response</w:t>
      </w:r>
      <w:r w:rsidR="007807BD">
        <w:rPr>
          <w:sz w:val="20"/>
          <w:szCs w:val="20"/>
        </w:rPr>
        <w:t>.</w:t>
      </w:r>
    </w:p>
    <w:p w14:paraId="26C33013" w14:textId="77777777" w:rsidR="00CA7F81" w:rsidRDefault="00CA7F81" w:rsidP="00CA7F81">
      <w:pPr>
        <w:pStyle w:val="Caption"/>
        <w:rPr>
          <w:i/>
          <w:sz w:val="22"/>
        </w:rPr>
      </w:pPr>
      <w:r w:rsidRPr="00847E38">
        <w:rPr>
          <w:i/>
          <w:sz w:val="22"/>
        </w:rPr>
        <w:t>Aboriginal and Torres Strait Islander people</w:t>
      </w:r>
      <w:r>
        <w:rPr>
          <w:i/>
          <w:sz w:val="22"/>
        </w:rPr>
        <w:t xml:space="preserve"> who inject drugs</w:t>
      </w:r>
    </w:p>
    <w:p w14:paraId="29181E53" w14:textId="3EB4E955" w:rsidR="00FE151D" w:rsidRDefault="00CA7F81" w:rsidP="00CA7F81">
      <w:pPr>
        <w:rPr>
          <w:sz w:val="20"/>
          <w:szCs w:val="20"/>
        </w:rPr>
      </w:pPr>
      <w:r>
        <w:rPr>
          <w:sz w:val="20"/>
          <w:szCs w:val="20"/>
        </w:rPr>
        <w:t>There is a</w:t>
      </w:r>
      <w:r w:rsidRPr="00B761F1">
        <w:rPr>
          <w:sz w:val="20"/>
          <w:szCs w:val="20"/>
        </w:rPr>
        <w:t xml:space="preserve"> higher prevalence of BBV in Aboriginal and Torres Strait Islander people who inject drugs</w:t>
      </w:r>
      <w:r>
        <w:rPr>
          <w:sz w:val="20"/>
          <w:szCs w:val="20"/>
        </w:rPr>
        <w:t xml:space="preserve"> </w:t>
      </w:r>
      <w:r w:rsidR="009C12CB">
        <w:rPr>
          <w:sz w:val="20"/>
          <w:szCs w:val="20"/>
        </w:rPr>
        <w:t xml:space="preserve">when </w:t>
      </w:r>
      <w:r>
        <w:rPr>
          <w:sz w:val="20"/>
          <w:szCs w:val="20"/>
        </w:rPr>
        <w:t xml:space="preserve">compared </w:t>
      </w:r>
      <w:r w:rsidR="009C12CB">
        <w:rPr>
          <w:sz w:val="20"/>
          <w:szCs w:val="20"/>
        </w:rPr>
        <w:t xml:space="preserve">with </w:t>
      </w:r>
      <w:r>
        <w:rPr>
          <w:sz w:val="20"/>
          <w:szCs w:val="20"/>
        </w:rPr>
        <w:t xml:space="preserve">the non-Indigenous population. A number of factors </w:t>
      </w:r>
      <w:r w:rsidR="00B63961">
        <w:rPr>
          <w:sz w:val="20"/>
          <w:szCs w:val="20"/>
        </w:rPr>
        <w:t xml:space="preserve">may </w:t>
      </w:r>
      <w:r>
        <w:rPr>
          <w:sz w:val="20"/>
          <w:szCs w:val="20"/>
        </w:rPr>
        <w:t xml:space="preserve">increase exposure risks in this population, including lack of access </w:t>
      </w:r>
      <w:r w:rsidR="00B63961">
        <w:rPr>
          <w:sz w:val="20"/>
          <w:szCs w:val="20"/>
        </w:rPr>
        <w:t xml:space="preserve">to, or uptake of, </w:t>
      </w:r>
      <w:r>
        <w:rPr>
          <w:sz w:val="20"/>
          <w:szCs w:val="20"/>
        </w:rPr>
        <w:t xml:space="preserve">culturally </w:t>
      </w:r>
      <w:r w:rsidR="004B36E9">
        <w:rPr>
          <w:sz w:val="20"/>
          <w:szCs w:val="20"/>
        </w:rPr>
        <w:t xml:space="preserve">competent </w:t>
      </w:r>
      <w:r>
        <w:rPr>
          <w:sz w:val="20"/>
          <w:szCs w:val="20"/>
        </w:rPr>
        <w:t xml:space="preserve">services and </w:t>
      </w:r>
      <w:r w:rsidRPr="00B761F1">
        <w:rPr>
          <w:sz w:val="20"/>
          <w:szCs w:val="20"/>
        </w:rPr>
        <w:t>NSPs</w:t>
      </w:r>
      <w:r>
        <w:rPr>
          <w:sz w:val="20"/>
          <w:szCs w:val="20"/>
        </w:rPr>
        <w:t>.</w:t>
      </w:r>
      <w:r w:rsidR="00FE151D">
        <w:rPr>
          <w:sz w:val="20"/>
          <w:szCs w:val="20"/>
        </w:rPr>
        <w:t xml:space="preserve"> </w:t>
      </w:r>
    </w:p>
    <w:p w14:paraId="1D500C54" w14:textId="4F6D6D70" w:rsidR="00CA7F81" w:rsidRPr="00B761F1" w:rsidRDefault="00CA7F81" w:rsidP="00CA7F81">
      <w:pPr>
        <w:rPr>
          <w:sz w:val="20"/>
          <w:szCs w:val="20"/>
        </w:rPr>
      </w:pPr>
      <w:r w:rsidRPr="00B761F1">
        <w:rPr>
          <w:sz w:val="20"/>
          <w:szCs w:val="20"/>
        </w:rPr>
        <w:t>In</w:t>
      </w:r>
      <w:r>
        <w:rPr>
          <w:sz w:val="20"/>
          <w:szCs w:val="20"/>
        </w:rPr>
        <w:t xml:space="preserve"> the five</w:t>
      </w:r>
      <w:r w:rsidR="003A6AEC">
        <w:rPr>
          <w:sz w:val="20"/>
          <w:szCs w:val="20"/>
        </w:rPr>
        <w:t>-</w:t>
      </w:r>
      <w:r>
        <w:rPr>
          <w:sz w:val="20"/>
          <w:szCs w:val="20"/>
        </w:rPr>
        <w:t>year period from 2012 to</w:t>
      </w:r>
      <w:r w:rsidRPr="00B761F1">
        <w:rPr>
          <w:sz w:val="20"/>
          <w:szCs w:val="20"/>
        </w:rPr>
        <w:t xml:space="preserve"> 2016, injecting drug use accounted for a higher proportion of new HIV notifications among the Aboriginal and Torres Strait Islander population </w:t>
      </w:r>
      <w:r w:rsidR="00545694">
        <w:rPr>
          <w:sz w:val="20"/>
          <w:szCs w:val="20"/>
        </w:rPr>
        <w:t xml:space="preserve">when </w:t>
      </w:r>
      <w:r w:rsidRPr="00B761F1">
        <w:rPr>
          <w:sz w:val="20"/>
          <w:szCs w:val="20"/>
        </w:rPr>
        <w:t xml:space="preserve">compared </w:t>
      </w:r>
      <w:r w:rsidR="003A6AEC">
        <w:rPr>
          <w:sz w:val="20"/>
          <w:szCs w:val="20"/>
        </w:rPr>
        <w:t xml:space="preserve">with </w:t>
      </w:r>
      <w:r w:rsidRPr="00B761F1">
        <w:rPr>
          <w:sz w:val="20"/>
          <w:szCs w:val="20"/>
        </w:rPr>
        <w:t xml:space="preserve">the non-Indigenous population </w:t>
      </w:r>
      <w:r>
        <w:rPr>
          <w:sz w:val="20"/>
          <w:szCs w:val="20"/>
        </w:rPr>
        <w:t>(</w:t>
      </w:r>
      <w:r w:rsidRPr="00B761F1">
        <w:rPr>
          <w:sz w:val="20"/>
          <w:szCs w:val="20"/>
        </w:rPr>
        <w:t>1</w:t>
      </w:r>
      <w:r w:rsidR="00C426AC">
        <w:rPr>
          <w:sz w:val="20"/>
          <w:szCs w:val="20"/>
        </w:rPr>
        <w:t>4</w:t>
      </w:r>
      <w:r w:rsidRPr="00B761F1">
        <w:rPr>
          <w:sz w:val="20"/>
          <w:szCs w:val="20"/>
        </w:rPr>
        <w:t xml:space="preserve"> per cent compared </w:t>
      </w:r>
      <w:r w:rsidR="003A6AEC">
        <w:rPr>
          <w:sz w:val="20"/>
          <w:szCs w:val="20"/>
        </w:rPr>
        <w:t xml:space="preserve">with </w:t>
      </w:r>
      <w:r w:rsidRPr="00B761F1">
        <w:rPr>
          <w:sz w:val="20"/>
          <w:szCs w:val="20"/>
        </w:rPr>
        <w:t>3 per cent</w:t>
      </w:r>
      <w:r>
        <w:rPr>
          <w:sz w:val="20"/>
          <w:szCs w:val="20"/>
        </w:rPr>
        <w:t>)</w:t>
      </w:r>
      <w:r w:rsidRPr="00B761F1">
        <w:rPr>
          <w:sz w:val="20"/>
          <w:szCs w:val="20"/>
        </w:rPr>
        <w:t>.</w:t>
      </w:r>
      <w:r w:rsidR="00E077BC">
        <w:rPr>
          <w:sz w:val="20"/>
          <w:szCs w:val="20"/>
          <w:vertAlign w:val="superscript"/>
        </w:rPr>
        <w:t>6</w:t>
      </w:r>
      <w:r w:rsidR="004F4A77">
        <w:rPr>
          <w:sz w:val="20"/>
          <w:szCs w:val="20"/>
          <w:vertAlign w:val="superscript"/>
        </w:rPr>
        <w:t>,10</w:t>
      </w:r>
    </w:p>
    <w:p w14:paraId="22F5B282" w14:textId="62718313" w:rsidR="00CA7F81" w:rsidRDefault="00CA7F81" w:rsidP="00CA7F81">
      <w:pPr>
        <w:rPr>
          <w:sz w:val="20"/>
          <w:szCs w:val="20"/>
        </w:rPr>
      </w:pPr>
      <w:r w:rsidRPr="00B761F1">
        <w:rPr>
          <w:sz w:val="20"/>
          <w:szCs w:val="20"/>
        </w:rPr>
        <w:t xml:space="preserve">Since 2007, </w:t>
      </w:r>
      <w:r w:rsidR="00545694" w:rsidRPr="00B761F1">
        <w:rPr>
          <w:sz w:val="20"/>
          <w:szCs w:val="20"/>
        </w:rPr>
        <w:t>for all years except 2010</w:t>
      </w:r>
      <w:r w:rsidR="00545694">
        <w:rPr>
          <w:sz w:val="20"/>
          <w:szCs w:val="20"/>
        </w:rPr>
        <w:t xml:space="preserve">, </w:t>
      </w:r>
      <w:r w:rsidRPr="009C12CB">
        <w:rPr>
          <w:sz w:val="20"/>
          <w:szCs w:val="20"/>
        </w:rPr>
        <w:t>the Australian Needle and Syringe Program Surveys have</w:t>
      </w:r>
      <w:r w:rsidRPr="00B761F1">
        <w:rPr>
          <w:sz w:val="20"/>
          <w:szCs w:val="20"/>
        </w:rPr>
        <w:t xml:space="preserve"> demonstrated that hepatitis C antibody prevalence </w:t>
      </w:r>
      <w:r>
        <w:rPr>
          <w:sz w:val="20"/>
          <w:szCs w:val="20"/>
        </w:rPr>
        <w:t xml:space="preserve">(indicating current or past infection) </w:t>
      </w:r>
      <w:r w:rsidRPr="00B761F1">
        <w:rPr>
          <w:sz w:val="20"/>
          <w:szCs w:val="20"/>
        </w:rPr>
        <w:t xml:space="preserve">is higher in Aboriginal and Torres Strait Islander respondents </w:t>
      </w:r>
      <w:r w:rsidR="00545694">
        <w:rPr>
          <w:sz w:val="20"/>
          <w:szCs w:val="20"/>
        </w:rPr>
        <w:t xml:space="preserve">when </w:t>
      </w:r>
      <w:r w:rsidRPr="00B761F1">
        <w:rPr>
          <w:sz w:val="20"/>
          <w:szCs w:val="20"/>
        </w:rPr>
        <w:t xml:space="preserve">compared </w:t>
      </w:r>
      <w:r w:rsidR="003A6AEC">
        <w:rPr>
          <w:sz w:val="20"/>
          <w:szCs w:val="20"/>
        </w:rPr>
        <w:t xml:space="preserve">with </w:t>
      </w:r>
      <w:r w:rsidRPr="00B761F1">
        <w:rPr>
          <w:sz w:val="20"/>
          <w:szCs w:val="20"/>
        </w:rPr>
        <w:t>non</w:t>
      </w:r>
      <w:r w:rsidRPr="00B761F1">
        <w:rPr>
          <w:sz w:val="20"/>
          <w:szCs w:val="20"/>
        </w:rPr>
        <w:noBreakHyphen/>
        <w:t>Indigenous respondents.</w:t>
      </w:r>
      <w:r w:rsidR="004F4A77">
        <w:rPr>
          <w:sz w:val="20"/>
          <w:szCs w:val="20"/>
          <w:vertAlign w:val="superscript"/>
        </w:rPr>
        <w:t>6</w:t>
      </w:r>
      <w:r w:rsidRPr="00B761F1">
        <w:rPr>
          <w:sz w:val="20"/>
          <w:szCs w:val="20"/>
        </w:rPr>
        <w:t xml:space="preserve"> This survey has also demonstrated a significant increase in receptive syringe sharing amongst Aboriginal and Torres Strait Islander respondents, increasing from 18 per cent in 2007 to 28 per cent in 2016 </w:t>
      </w:r>
      <w:r w:rsidR="00A272F1">
        <w:rPr>
          <w:sz w:val="20"/>
          <w:szCs w:val="20"/>
        </w:rPr>
        <w:t>(</w:t>
      </w:r>
      <w:r w:rsidRPr="00B761F1">
        <w:rPr>
          <w:sz w:val="20"/>
          <w:szCs w:val="20"/>
        </w:rPr>
        <w:t xml:space="preserve">compared </w:t>
      </w:r>
      <w:r w:rsidR="003A6AEC">
        <w:rPr>
          <w:sz w:val="20"/>
          <w:szCs w:val="20"/>
        </w:rPr>
        <w:t xml:space="preserve">with </w:t>
      </w:r>
      <w:r w:rsidR="00945366">
        <w:rPr>
          <w:sz w:val="20"/>
          <w:szCs w:val="20"/>
        </w:rPr>
        <w:t xml:space="preserve">an increase of </w:t>
      </w:r>
      <w:r w:rsidR="001E4F76">
        <w:rPr>
          <w:sz w:val="20"/>
          <w:szCs w:val="20"/>
        </w:rPr>
        <w:t>15</w:t>
      </w:r>
      <w:r w:rsidR="003A6AEC">
        <w:rPr>
          <w:sz w:val="20"/>
          <w:szCs w:val="20"/>
        </w:rPr>
        <w:t xml:space="preserve"> per cent</w:t>
      </w:r>
      <w:r w:rsidR="00945366">
        <w:rPr>
          <w:sz w:val="20"/>
          <w:szCs w:val="20"/>
        </w:rPr>
        <w:t xml:space="preserve"> to</w:t>
      </w:r>
      <w:r w:rsidR="001E4F76">
        <w:rPr>
          <w:sz w:val="20"/>
          <w:szCs w:val="20"/>
        </w:rPr>
        <w:t xml:space="preserve"> 17</w:t>
      </w:r>
      <w:r w:rsidR="003A6AEC">
        <w:rPr>
          <w:sz w:val="20"/>
          <w:szCs w:val="20"/>
        </w:rPr>
        <w:t xml:space="preserve"> per cent</w:t>
      </w:r>
      <w:r w:rsidR="00945366">
        <w:rPr>
          <w:sz w:val="20"/>
          <w:szCs w:val="20"/>
        </w:rPr>
        <w:t xml:space="preserve"> </w:t>
      </w:r>
      <w:r w:rsidR="000F5CF7">
        <w:rPr>
          <w:sz w:val="20"/>
          <w:szCs w:val="20"/>
        </w:rPr>
        <w:t xml:space="preserve">amongst </w:t>
      </w:r>
      <w:r w:rsidRPr="00B761F1">
        <w:rPr>
          <w:sz w:val="20"/>
          <w:szCs w:val="20"/>
        </w:rPr>
        <w:t>non-Indigenous respondents</w:t>
      </w:r>
      <w:r w:rsidR="00A272F1">
        <w:rPr>
          <w:sz w:val="20"/>
          <w:szCs w:val="20"/>
        </w:rPr>
        <w:t>)</w:t>
      </w:r>
      <w:r w:rsidRPr="00B761F1">
        <w:rPr>
          <w:sz w:val="20"/>
          <w:szCs w:val="20"/>
        </w:rPr>
        <w:t>.</w:t>
      </w:r>
      <w:r w:rsidR="004F4A77">
        <w:rPr>
          <w:sz w:val="20"/>
          <w:szCs w:val="20"/>
          <w:vertAlign w:val="superscript"/>
        </w:rPr>
        <w:t>6</w:t>
      </w:r>
      <w:r w:rsidRPr="00B761F1">
        <w:rPr>
          <w:sz w:val="20"/>
          <w:szCs w:val="20"/>
        </w:rPr>
        <w:t xml:space="preserve"> In this same period, the number of participants identifying as Aboriginal and</w:t>
      </w:r>
      <w:r>
        <w:rPr>
          <w:sz w:val="20"/>
          <w:szCs w:val="20"/>
        </w:rPr>
        <w:t>/or</w:t>
      </w:r>
      <w:r w:rsidRPr="00B761F1">
        <w:rPr>
          <w:sz w:val="20"/>
          <w:szCs w:val="20"/>
        </w:rPr>
        <w:t xml:space="preserve"> Torres Strait </w:t>
      </w:r>
      <w:r>
        <w:rPr>
          <w:sz w:val="20"/>
          <w:szCs w:val="20"/>
        </w:rPr>
        <w:t xml:space="preserve">Islander </w:t>
      </w:r>
      <w:r w:rsidRPr="00B761F1">
        <w:rPr>
          <w:sz w:val="20"/>
          <w:szCs w:val="20"/>
        </w:rPr>
        <w:t>also increased</w:t>
      </w:r>
      <w:r w:rsidR="00A64A29">
        <w:rPr>
          <w:sz w:val="20"/>
          <w:szCs w:val="20"/>
        </w:rPr>
        <w:t>.</w:t>
      </w:r>
      <w:r w:rsidR="00BF735B">
        <w:rPr>
          <w:sz w:val="20"/>
          <w:szCs w:val="20"/>
        </w:rPr>
        <w:t xml:space="preserve"> </w:t>
      </w:r>
      <w:r w:rsidR="00FD3B5E">
        <w:rPr>
          <w:sz w:val="20"/>
          <w:szCs w:val="20"/>
        </w:rPr>
        <w:t xml:space="preserve">To inform effective responses, it is important to understand the drivers behind changing this data.  </w:t>
      </w:r>
      <w:r w:rsidR="00094332" w:rsidRPr="00545694">
        <w:rPr>
          <w:sz w:val="20"/>
          <w:szCs w:val="20"/>
        </w:rPr>
        <w:t>T</w:t>
      </w:r>
      <w:r w:rsidRPr="00545694">
        <w:rPr>
          <w:sz w:val="20"/>
          <w:szCs w:val="20"/>
        </w:rPr>
        <w:t>his</w:t>
      </w:r>
      <w:r w:rsidRPr="00B761F1">
        <w:rPr>
          <w:sz w:val="20"/>
          <w:szCs w:val="20"/>
        </w:rPr>
        <w:t xml:space="preserve"> </w:t>
      </w:r>
      <w:r>
        <w:rPr>
          <w:sz w:val="20"/>
          <w:szCs w:val="20"/>
        </w:rPr>
        <w:t xml:space="preserve">priority </w:t>
      </w:r>
      <w:r w:rsidR="00CA6DF3">
        <w:rPr>
          <w:sz w:val="20"/>
          <w:szCs w:val="20"/>
        </w:rPr>
        <w:t xml:space="preserve">group </w:t>
      </w:r>
      <w:r w:rsidRPr="00B761F1">
        <w:rPr>
          <w:sz w:val="20"/>
          <w:szCs w:val="20"/>
        </w:rPr>
        <w:t xml:space="preserve">will continue to be a significant </w:t>
      </w:r>
      <w:r>
        <w:rPr>
          <w:sz w:val="20"/>
          <w:szCs w:val="20"/>
        </w:rPr>
        <w:t>focus</w:t>
      </w:r>
      <w:r w:rsidRPr="00B761F1">
        <w:rPr>
          <w:sz w:val="20"/>
          <w:szCs w:val="20"/>
        </w:rPr>
        <w:t xml:space="preserve"> in the BBV and STI response</w:t>
      </w:r>
      <w:r>
        <w:rPr>
          <w:sz w:val="20"/>
          <w:szCs w:val="20"/>
        </w:rPr>
        <w:t>.</w:t>
      </w:r>
      <w:r w:rsidR="005C1608">
        <w:rPr>
          <w:sz w:val="20"/>
          <w:szCs w:val="20"/>
        </w:rPr>
        <w:t xml:space="preserve"> </w:t>
      </w:r>
      <w:r>
        <w:rPr>
          <w:sz w:val="20"/>
          <w:szCs w:val="20"/>
        </w:rPr>
        <w:t xml:space="preserve"> </w:t>
      </w:r>
    </w:p>
    <w:p w14:paraId="46CDDD59" w14:textId="6BCAAA97" w:rsidR="00CA7F81" w:rsidRDefault="00945366" w:rsidP="00CA7F81">
      <w:pPr>
        <w:rPr>
          <w:sz w:val="20"/>
          <w:szCs w:val="20"/>
        </w:rPr>
      </w:pPr>
      <w:r>
        <w:rPr>
          <w:sz w:val="20"/>
          <w:szCs w:val="20"/>
        </w:rPr>
        <w:t>Co-designed and t</w:t>
      </w:r>
      <w:r w:rsidRPr="00B761F1">
        <w:rPr>
          <w:sz w:val="20"/>
          <w:szCs w:val="20"/>
        </w:rPr>
        <w:t xml:space="preserve">ailored approaches </w:t>
      </w:r>
      <w:r>
        <w:rPr>
          <w:sz w:val="20"/>
          <w:szCs w:val="20"/>
        </w:rPr>
        <w:t>are</w:t>
      </w:r>
      <w:r w:rsidRPr="00B761F1">
        <w:rPr>
          <w:sz w:val="20"/>
          <w:szCs w:val="20"/>
        </w:rPr>
        <w:t xml:space="preserve"> needed to ensure </w:t>
      </w:r>
      <w:r>
        <w:rPr>
          <w:sz w:val="20"/>
          <w:szCs w:val="20"/>
        </w:rPr>
        <w:t xml:space="preserve">this priority group has equitable </w:t>
      </w:r>
      <w:r w:rsidRPr="00B761F1">
        <w:rPr>
          <w:sz w:val="20"/>
          <w:szCs w:val="20"/>
        </w:rPr>
        <w:t xml:space="preserve">access to </w:t>
      </w:r>
      <w:r>
        <w:rPr>
          <w:sz w:val="20"/>
          <w:szCs w:val="20"/>
        </w:rPr>
        <w:t>safe prevention methods, including evidence-based harm reduction, and testing and treatment services. Aboriginal and Torres Strait Islander people who inject drugs</w:t>
      </w:r>
      <w:r w:rsidRPr="00246EFF">
        <w:rPr>
          <w:sz w:val="20"/>
          <w:szCs w:val="20"/>
        </w:rPr>
        <w:t xml:space="preserve"> are a priority </w:t>
      </w:r>
      <w:r>
        <w:rPr>
          <w:sz w:val="20"/>
          <w:szCs w:val="20"/>
        </w:rPr>
        <w:t>group</w:t>
      </w:r>
      <w:r w:rsidRPr="00246EFF">
        <w:rPr>
          <w:sz w:val="20"/>
          <w:szCs w:val="20"/>
        </w:rPr>
        <w:t xml:space="preserve"> for hep</w:t>
      </w:r>
      <w:r>
        <w:rPr>
          <w:sz w:val="20"/>
          <w:szCs w:val="20"/>
        </w:rPr>
        <w:t>atitis</w:t>
      </w:r>
      <w:r w:rsidRPr="00246EFF">
        <w:rPr>
          <w:sz w:val="20"/>
          <w:szCs w:val="20"/>
        </w:rPr>
        <w:t xml:space="preserve"> C treatment, as successful treatment </w:t>
      </w:r>
      <w:r>
        <w:rPr>
          <w:sz w:val="20"/>
          <w:szCs w:val="20"/>
        </w:rPr>
        <w:t>prevents</w:t>
      </w:r>
      <w:r w:rsidRPr="00246EFF">
        <w:rPr>
          <w:sz w:val="20"/>
          <w:szCs w:val="20"/>
        </w:rPr>
        <w:t xml:space="preserve"> onward transmission.</w:t>
      </w:r>
      <w:r w:rsidRPr="00860BC0">
        <w:rPr>
          <w:sz w:val="20"/>
          <w:szCs w:val="20"/>
        </w:rPr>
        <w:t xml:space="preserve"> </w:t>
      </w:r>
      <w:r>
        <w:rPr>
          <w:sz w:val="20"/>
          <w:szCs w:val="20"/>
        </w:rPr>
        <w:t xml:space="preserve">This also applies to Aboriginal and Torres Strait Islander people with HIV who inject drugs. </w:t>
      </w:r>
      <w:r w:rsidR="00CA7F81">
        <w:rPr>
          <w:sz w:val="20"/>
          <w:szCs w:val="20"/>
        </w:rPr>
        <w:t xml:space="preserve">The development of such responses needs to acknowledge the impact of stigma and discrimination as a barrier to accessing both </w:t>
      </w:r>
      <w:r w:rsidR="00CA7F81" w:rsidRPr="00211E45">
        <w:rPr>
          <w:sz w:val="20"/>
          <w:szCs w:val="20"/>
        </w:rPr>
        <w:t xml:space="preserve">mainstream and </w:t>
      </w:r>
      <w:r w:rsidR="00B6181E" w:rsidRPr="00211E45">
        <w:rPr>
          <w:sz w:val="20"/>
          <w:szCs w:val="20"/>
        </w:rPr>
        <w:t>ACCHS</w:t>
      </w:r>
      <w:r w:rsidR="00E033ED">
        <w:rPr>
          <w:sz w:val="20"/>
          <w:szCs w:val="20"/>
        </w:rPr>
        <w:t>;</w:t>
      </w:r>
      <w:r w:rsidR="00CA7F81" w:rsidRPr="00211E45">
        <w:rPr>
          <w:sz w:val="20"/>
          <w:szCs w:val="20"/>
        </w:rPr>
        <w:t xml:space="preserve"> and include</w:t>
      </w:r>
      <w:r w:rsidR="00CA7F81">
        <w:rPr>
          <w:sz w:val="20"/>
          <w:szCs w:val="20"/>
        </w:rPr>
        <w:t xml:space="preserve"> a focus on the provision of </w:t>
      </w:r>
      <w:r w:rsidR="00796AD1">
        <w:rPr>
          <w:sz w:val="20"/>
          <w:szCs w:val="20"/>
        </w:rPr>
        <w:t>culturally</w:t>
      </w:r>
      <w:r w:rsidR="003A6AEC">
        <w:rPr>
          <w:sz w:val="20"/>
          <w:szCs w:val="20"/>
        </w:rPr>
        <w:t xml:space="preserve"> </w:t>
      </w:r>
      <w:r w:rsidR="006F65C9">
        <w:rPr>
          <w:sz w:val="20"/>
          <w:szCs w:val="20"/>
        </w:rPr>
        <w:t>competent</w:t>
      </w:r>
      <w:r w:rsidR="00796AD1">
        <w:rPr>
          <w:sz w:val="20"/>
          <w:szCs w:val="20"/>
        </w:rPr>
        <w:t xml:space="preserve"> </w:t>
      </w:r>
      <w:r w:rsidR="00CA7F81">
        <w:rPr>
          <w:sz w:val="20"/>
          <w:szCs w:val="20"/>
        </w:rPr>
        <w:t xml:space="preserve">peer-based services and interventions as a means of reaching </w:t>
      </w:r>
      <w:r w:rsidR="00C426AC">
        <w:rPr>
          <w:sz w:val="20"/>
          <w:szCs w:val="20"/>
        </w:rPr>
        <w:t xml:space="preserve">these </w:t>
      </w:r>
      <w:r w:rsidR="00CA7F81">
        <w:rPr>
          <w:sz w:val="20"/>
          <w:szCs w:val="20"/>
        </w:rPr>
        <w:t>key group</w:t>
      </w:r>
      <w:r w:rsidR="00C426AC">
        <w:rPr>
          <w:sz w:val="20"/>
          <w:szCs w:val="20"/>
        </w:rPr>
        <w:t>s</w:t>
      </w:r>
      <w:r w:rsidR="00CA7F81">
        <w:rPr>
          <w:sz w:val="20"/>
          <w:szCs w:val="20"/>
        </w:rPr>
        <w:t>.</w:t>
      </w:r>
    </w:p>
    <w:p w14:paraId="62B17B0B" w14:textId="7016D790" w:rsidR="00EB0FF6" w:rsidRDefault="00AA06DB" w:rsidP="00EB0FF6">
      <w:pPr>
        <w:rPr>
          <w:sz w:val="20"/>
          <w:szCs w:val="20"/>
          <w:lang w:eastAsia="en-AU"/>
        </w:rPr>
      </w:pPr>
      <w:r>
        <w:rPr>
          <w:sz w:val="20"/>
          <w:szCs w:val="20"/>
        </w:rPr>
        <w:t>In addition to the BBV transmission risks associated with injecting drug use, r</w:t>
      </w:r>
      <w:r w:rsidR="00EB0FF6" w:rsidRPr="00AA06DB">
        <w:rPr>
          <w:sz w:val="20"/>
          <w:szCs w:val="20"/>
        </w:rPr>
        <w:t>esearch</w:t>
      </w:r>
      <w:r w:rsidR="00EB0FF6" w:rsidRPr="00AA06DB">
        <w:rPr>
          <w:sz w:val="20"/>
          <w:szCs w:val="20"/>
          <w:lang w:eastAsia="en-AU"/>
        </w:rPr>
        <w:t xml:space="preserve"> suggests that the use and misuse of some illicit and licit </w:t>
      </w:r>
      <w:r w:rsidR="00433353">
        <w:rPr>
          <w:sz w:val="20"/>
          <w:szCs w:val="20"/>
          <w:lang w:eastAsia="en-AU"/>
        </w:rPr>
        <w:t xml:space="preserve">drugs </w:t>
      </w:r>
      <w:r w:rsidR="00EB0FF6" w:rsidRPr="00AA06DB">
        <w:rPr>
          <w:sz w:val="20"/>
          <w:szCs w:val="20"/>
          <w:lang w:eastAsia="en-AU"/>
        </w:rPr>
        <w:t>may increase the likelihood of high</w:t>
      </w:r>
      <w:r w:rsidR="003A6AEC">
        <w:rPr>
          <w:sz w:val="20"/>
          <w:szCs w:val="20"/>
          <w:lang w:eastAsia="en-AU"/>
        </w:rPr>
        <w:t>-</w:t>
      </w:r>
      <w:r w:rsidR="00EB0FF6" w:rsidRPr="00AA06DB">
        <w:rPr>
          <w:sz w:val="20"/>
          <w:szCs w:val="20"/>
          <w:lang w:eastAsia="en-AU"/>
        </w:rPr>
        <w:t>risk sexual contact and STI transmission.</w:t>
      </w:r>
      <w:r w:rsidR="00EB0FF6" w:rsidRPr="00AA06DB">
        <w:rPr>
          <w:rStyle w:val="EndnoteReference"/>
          <w:sz w:val="20"/>
          <w:szCs w:val="20"/>
          <w:lang w:eastAsia="en-AU"/>
        </w:rPr>
        <w:endnoteReference w:id="35"/>
      </w:r>
      <w:r w:rsidR="00EB0FF6" w:rsidRPr="00AA06DB">
        <w:rPr>
          <w:sz w:val="20"/>
          <w:szCs w:val="20"/>
          <w:vertAlign w:val="superscript"/>
          <w:lang w:eastAsia="en-AU"/>
        </w:rPr>
        <w:t>,</w:t>
      </w:r>
      <w:r w:rsidR="00EB0FF6" w:rsidRPr="00AA06DB">
        <w:rPr>
          <w:rStyle w:val="EndnoteReference"/>
          <w:sz w:val="20"/>
          <w:szCs w:val="20"/>
          <w:lang w:eastAsia="en-AU"/>
        </w:rPr>
        <w:endnoteReference w:id="36"/>
      </w:r>
      <w:r w:rsidR="00EB0FF6" w:rsidRPr="00AA06DB">
        <w:rPr>
          <w:sz w:val="20"/>
          <w:szCs w:val="20"/>
          <w:vertAlign w:val="superscript"/>
          <w:lang w:eastAsia="en-AU"/>
        </w:rPr>
        <w:t>,</w:t>
      </w:r>
      <w:r w:rsidR="00EB0FF6" w:rsidRPr="00AA06DB">
        <w:rPr>
          <w:rStyle w:val="EndnoteReference"/>
          <w:sz w:val="20"/>
          <w:szCs w:val="20"/>
          <w:lang w:eastAsia="en-AU"/>
        </w:rPr>
        <w:endnoteReference w:id="37"/>
      </w:r>
      <w:r w:rsidR="00EB0FF6" w:rsidRPr="00AA06DB">
        <w:rPr>
          <w:sz w:val="20"/>
          <w:szCs w:val="20"/>
          <w:vertAlign w:val="superscript"/>
          <w:lang w:eastAsia="en-AU"/>
        </w:rPr>
        <w:t>,</w:t>
      </w:r>
      <w:r w:rsidR="00EB0FF6" w:rsidRPr="00AA06DB">
        <w:rPr>
          <w:rStyle w:val="EndnoteReference"/>
          <w:sz w:val="20"/>
          <w:szCs w:val="20"/>
          <w:lang w:eastAsia="en-AU"/>
        </w:rPr>
        <w:endnoteReference w:id="38"/>
      </w:r>
      <w:r w:rsidR="00EB0FF6" w:rsidRPr="00AA06DB">
        <w:rPr>
          <w:sz w:val="20"/>
          <w:szCs w:val="20"/>
          <w:lang w:eastAsia="en-AU"/>
        </w:rPr>
        <w:t xml:space="preserve"> The correlation between methamphetamine use and increased risk of STI has been well</w:t>
      </w:r>
      <w:r w:rsidR="003A6AEC">
        <w:rPr>
          <w:sz w:val="20"/>
          <w:szCs w:val="20"/>
          <w:lang w:eastAsia="en-AU"/>
        </w:rPr>
        <w:t xml:space="preserve"> </w:t>
      </w:r>
      <w:r w:rsidR="00EB0FF6" w:rsidRPr="00AA06DB">
        <w:rPr>
          <w:sz w:val="20"/>
          <w:szCs w:val="20"/>
          <w:lang w:eastAsia="en-AU"/>
        </w:rPr>
        <w:t>documented, and there is increasing evidence that this may also apply more widely to injecting drug use, non</w:t>
      </w:r>
      <w:r w:rsidR="00EB0FF6" w:rsidRPr="00AA06DB">
        <w:rPr>
          <w:sz w:val="20"/>
          <w:szCs w:val="20"/>
          <w:lang w:eastAsia="en-AU"/>
        </w:rPr>
        <w:noBreakHyphen/>
        <w:t>medical use of prescription drugs and other illicit drug use.</w:t>
      </w:r>
      <w:r w:rsidR="00EB0FF6" w:rsidRPr="00AA06DB">
        <w:rPr>
          <w:rStyle w:val="EndnoteReference"/>
          <w:sz w:val="20"/>
          <w:szCs w:val="20"/>
          <w:lang w:eastAsia="en-AU"/>
        </w:rPr>
        <w:endnoteReference w:id="39"/>
      </w:r>
      <w:r w:rsidR="00EB0FF6" w:rsidRPr="00AA06DB">
        <w:rPr>
          <w:sz w:val="20"/>
          <w:szCs w:val="20"/>
          <w:vertAlign w:val="superscript"/>
          <w:lang w:eastAsia="en-AU"/>
        </w:rPr>
        <w:t>,</w:t>
      </w:r>
      <w:r w:rsidR="00EB0FF6" w:rsidRPr="00AA06DB">
        <w:rPr>
          <w:rStyle w:val="EndnoteReference"/>
          <w:sz w:val="20"/>
          <w:szCs w:val="20"/>
          <w:lang w:eastAsia="en-AU"/>
        </w:rPr>
        <w:endnoteReference w:id="40"/>
      </w:r>
      <w:r w:rsidR="00EB0FF6" w:rsidRPr="00AA06DB">
        <w:rPr>
          <w:sz w:val="20"/>
          <w:szCs w:val="20"/>
          <w:vertAlign w:val="superscript"/>
          <w:lang w:eastAsia="en-AU"/>
        </w:rPr>
        <w:t>,</w:t>
      </w:r>
      <w:r w:rsidR="00EB0FF6" w:rsidRPr="00AA06DB">
        <w:rPr>
          <w:rStyle w:val="EndnoteReference"/>
          <w:sz w:val="20"/>
          <w:szCs w:val="20"/>
          <w:lang w:eastAsia="en-AU"/>
        </w:rPr>
        <w:endnoteReference w:id="41"/>
      </w:r>
      <w:r w:rsidR="00EB0FF6" w:rsidRPr="00AA06DB">
        <w:rPr>
          <w:sz w:val="20"/>
          <w:szCs w:val="20"/>
          <w:lang w:eastAsia="en-AU"/>
        </w:rPr>
        <w:t xml:space="preserve"> </w:t>
      </w:r>
      <w:r w:rsidRPr="00AA06DB">
        <w:rPr>
          <w:sz w:val="20"/>
          <w:szCs w:val="20"/>
          <w:lang w:eastAsia="en-AU"/>
        </w:rPr>
        <w:t xml:space="preserve">It is important that the response considers and addresses the unique challenges and experiences of </w:t>
      </w:r>
      <w:r>
        <w:rPr>
          <w:sz w:val="20"/>
          <w:szCs w:val="20"/>
          <w:lang w:eastAsia="en-AU"/>
        </w:rPr>
        <w:t xml:space="preserve">Aboriginal and Torres Strait Islander </w:t>
      </w:r>
      <w:r w:rsidRPr="00AA06DB">
        <w:rPr>
          <w:sz w:val="20"/>
          <w:szCs w:val="20"/>
          <w:lang w:eastAsia="en-AU"/>
        </w:rPr>
        <w:t>people</w:t>
      </w:r>
      <w:r>
        <w:rPr>
          <w:sz w:val="20"/>
          <w:szCs w:val="20"/>
          <w:lang w:eastAsia="en-AU"/>
        </w:rPr>
        <w:t xml:space="preserve"> who use drugs</w:t>
      </w:r>
      <w:r w:rsidRPr="00AA06DB">
        <w:rPr>
          <w:sz w:val="20"/>
          <w:szCs w:val="20"/>
          <w:lang w:eastAsia="en-AU"/>
        </w:rPr>
        <w:t>.</w:t>
      </w:r>
      <w:r>
        <w:rPr>
          <w:sz w:val="20"/>
          <w:szCs w:val="20"/>
          <w:lang w:eastAsia="en-AU"/>
        </w:rPr>
        <w:t xml:space="preserve"> </w:t>
      </w:r>
      <w:r w:rsidR="00EB0FF6" w:rsidRPr="00AA06DB">
        <w:rPr>
          <w:sz w:val="20"/>
          <w:szCs w:val="20"/>
          <w:lang w:eastAsia="en-AU"/>
        </w:rPr>
        <w:t xml:space="preserve">Aboriginal and Torres Strait Islander people are recognised as </w:t>
      </w:r>
      <w:r w:rsidR="00972630" w:rsidRPr="00AA06DB">
        <w:rPr>
          <w:sz w:val="20"/>
          <w:szCs w:val="20"/>
          <w:lang w:eastAsia="en-AU"/>
        </w:rPr>
        <w:t xml:space="preserve">one of the </w:t>
      </w:r>
      <w:r w:rsidR="00EB0FF6" w:rsidRPr="00AA06DB">
        <w:rPr>
          <w:sz w:val="20"/>
          <w:szCs w:val="20"/>
          <w:lang w:eastAsia="en-AU"/>
        </w:rPr>
        <w:t>priority population</w:t>
      </w:r>
      <w:r w:rsidR="00972630" w:rsidRPr="00AA06DB">
        <w:rPr>
          <w:sz w:val="20"/>
          <w:szCs w:val="20"/>
          <w:lang w:eastAsia="en-AU"/>
        </w:rPr>
        <w:t>s</w:t>
      </w:r>
      <w:r w:rsidR="00EB0FF6" w:rsidRPr="00AA06DB">
        <w:rPr>
          <w:sz w:val="20"/>
          <w:szCs w:val="20"/>
          <w:lang w:eastAsia="en-AU"/>
        </w:rPr>
        <w:t xml:space="preserve"> in the </w:t>
      </w:r>
      <w:r w:rsidR="00EB0FF6" w:rsidRPr="001C6323">
        <w:rPr>
          <w:sz w:val="20"/>
          <w:szCs w:val="20"/>
          <w:lang w:eastAsia="en-AU"/>
        </w:rPr>
        <w:t>National Drug Strategy 2017</w:t>
      </w:r>
      <w:r w:rsidR="003A6AEC" w:rsidRPr="001C6323">
        <w:rPr>
          <w:sz w:val="20"/>
          <w:szCs w:val="20"/>
          <w:lang w:eastAsia="en-AU"/>
        </w:rPr>
        <w:t>–</w:t>
      </w:r>
      <w:r w:rsidR="00EB0FF6" w:rsidRPr="001C6323">
        <w:rPr>
          <w:sz w:val="20"/>
          <w:szCs w:val="20"/>
          <w:lang w:eastAsia="en-AU"/>
        </w:rPr>
        <w:t>2026</w:t>
      </w:r>
      <w:r w:rsidR="003A6AEC">
        <w:rPr>
          <w:sz w:val="20"/>
          <w:szCs w:val="20"/>
          <w:lang w:eastAsia="en-AU"/>
        </w:rPr>
        <w:t>,</w:t>
      </w:r>
      <w:r w:rsidR="00EB0FF6" w:rsidRPr="00AA06DB">
        <w:rPr>
          <w:i/>
          <w:sz w:val="20"/>
          <w:szCs w:val="20"/>
          <w:lang w:eastAsia="en-AU"/>
        </w:rPr>
        <w:t xml:space="preserve"> </w:t>
      </w:r>
      <w:r w:rsidRPr="00AA06DB">
        <w:rPr>
          <w:sz w:val="20"/>
          <w:szCs w:val="20"/>
          <w:lang w:eastAsia="en-AU"/>
        </w:rPr>
        <w:t xml:space="preserve">which </w:t>
      </w:r>
      <w:r w:rsidR="007F6A7F">
        <w:rPr>
          <w:sz w:val="20"/>
          <w:szCs w:val="20"/>
          <w:lang w:eastAsia="en-AU"/>
        </w:rPr>
        <w:t>outlines a range of strategies to prevent and minimise the associated harms among individuals, families and communities.</w:t>
      </w:r>
      <w:r w:rsidR="00EB0FF6" w:rsidRPr="00AA06DB">
        <w:rPr>
          <w:rStyle w:val="EndnoteReference"/>
          <w:sz w:val="20"/>
          <w:szCs w:val="20"/>
          <w:lang w:eastAsia="en-AU"/>
        </w:rPr>
        <w:endnoteReference w:id="42"/>
      </w:r>
      <w:r w:rsidR="00EB0FF6" w:rsidRPr="00AA06DB">
        <w:rPr>
          <w:sz w:val="20"/>
          <w:szCs w:val="20"/>
          <w:lang w:eastAsia="en-AU"/>
        </w:rPr>
        <w:t xml:space="preserve"> </w:t>
      </w:r>
    </w:p>
    <w:p w14:paraId="4DCA3B6C" w14:textId="77777777" w:rsidR="00CA7F81" w:rsidRDefault="00CA7F81" w:rsidP="00CA7F81">
      <w:pPr>
        <w:pStyle w:val="Caption"/>
        <w:rPr>
          <w:i/>
          <w:sz w:val="22"/>
        </w:rPr>
      </w:pPr>
      <w:r w:rsidRPr="00847E38">
        <w:rPr>
          <w:i/>
          <w:sz w:val="22"/>
        </w:rPr>
        <w:t xml:space="preserve">Aboriginal and </w:t>
      </w:r>
      <w:r>
        <w:rPr>
          <w:i/>
          <w:sz w:val="22"/>
        </w:rPr>
        <w:t>Torres Strait Islander people in custodial settings</w:t>
      </w:r>
    </w:p>
    <w:p w14:paraId="625683AF" w14:textId="04A356F4" w:rsidR="00945366" w:rsidRDefault="00CA7F81" w:rsidP="00CA7F81">
      <w:pPr>
        <w:rPr>
          <w:rFonts w:cs="Segoe UI"/>
          <w:sz w:val="20"/>
          <w:szCs w:val="20"/>
        </w:rPr>
      </w:pPr>
      <w:r>
        <w:rPr>
          <w:rFonts w:cs="Segoe UI"/>
          <w:sz w:val="20"/>
          <w:szCs w:val="20"/>
        </w:rPr>
        <w:lastRenderedPageBreak/>
        <w:t>There is evidence that people in custodial settings</w:t>
      </w:r>
      <w:r w:rsidRPr="00414E27">
        <w:rPr>
          <w:rFonts w:cs="Segoe UI"/>
          <w:sz w:val="20"/>
          <w:szCs w:val="20"/>
        </w:rPr>
        <w:t xml:space="preserve"> </w:t>
      </w:r>
      <w:r>
        <w:rPr>
          <w:rFonts w:cs="Segoe UI"/>
          <w:sz w:val="20"/>
          <w:szCs w:val="20"/>
        </w:rPr>
        <w:t xml:space="preserve">are at heightened risk of BBV and STI transmission and encounter </w:t>
      </w:r>
      <w:r w:rsidRPr="00414E27">
        <w:rPr>
          <w:rFonts w:cs="Segoe UI"/>
          <w:sz w:val="20"/>
          <w:szCs w:val="20"/>
        </w:rPr>
        <w:t>barriers to prevention</w:t>
      </w:r>
      <w:r w:rsidR="00426022">
        <w:rPr>
          <w:rFonts w:cs="Segoe UI"/>
          <w:sz w:val="20"/>
          <w:szCs w:val="20"/>
        </w:rPr>
        <w:t xml:space="preserve">, testing </w:t>
      </w:r>
      <w:r w:rsidRPr="00414E27">
        <w:rPr>
          <w:rFonts w:cs="Segoe UI"/>
          <w:sz w:val="20"/>
          <w:szCs w:val="20"/>
        </w:rPr>
        <w:t>and treatment</w:t>
      </w:r>
      <w:r>
        <w:rPr>
          <w:rFonts w:cs="Segoe UI"/>
          <w:sz w:val="20"/>
          <w:szCs w:val="20"/>
        </w:rPr>
        <w:t xml:space="preserve">. Causes include </w:t>
      </w:r>
      <w:r w:rsidR="00945366">
        <w:rPr>
          <w:rFonts w:cs="Segoe UI"/>
          <w:sz w:val="20"/>
          <w:szCs w:val="20"/>
        </w:rPr>
        <w:t>barriers to accessing</w:t>
      </w:r>
      <w:r w:rsidR="00945366" w:rsidRPr="00414E27">
        <w:rPr>
          <w:rFonts w:cs="Segoe UI"/>
          <w:sz w:val="20"/>
          <w:szCs w:val="20"/>
        </w:rPr>
        <w:t xml:space="preserve"> </w:t>
      </w:r>
      <w:r w:rsidR="00945366">
        <w:rPr>
          <w:rFonts w:cs="Segoe UI"/>
          <w:sz w:val="20"/>
          <w:szCs w:val="20"/>
        </w:rPr>
        <w:t>preventative measure</w:t>
      </w:r>
      <w:r w:rsidR="00945366" w:rsidRPr="00414E27">
        <w:rPr>
          <w:rFonts w:cs="Segoe UI"/>
          <w:sz w:val="20"/>
          <w:szCs w:val="20"/>
        </w:rPr>
        <w:t>s</w:t>
      </w:r>
      <w:r w:rsidR="00945366">
        <w:rPr>
          <w:rFonts w:cs="Segoe UI"/>
          <w:sz w:val="20"/>
          <w:szCs w:val="20"/>
        </w:rPr>
        <w:t xml:space="preserve"> </w:t>
      </w:r>
      <w:r w:rsidR="00945366" w:rsidRPr="004A0F11">
        <w:rPr>
          <w:rFonts w:cs="Segoe UI"/>
          <w:sz w:val="20"/>
          <w:szCs w:val="20"/>
        </w:rPr>
        <w:t>and healthcare services,</w:t>
      </w:r>
      <w:r w:rsidR="00945366">
        <w:rPr>
          <w:rFonts w:cs="Segoe UI"/>
          <w:sz w:val="20"/>
          <w:szCs w:val="20"/>
        </w:rPr>
        <w:t xml:space="preserve"> a lack of</w:t>
      </w:r>
      <w:r w:rsidR="00945366" w:rsidRPr="00C6247A">
        <w:rPr>
          <w:rFonts w:cs="Segoe UI"/>
          <w:sz w:val="20"/>
          <w:szCs w:val="20"/>
        </w:rPr>
        <w:t xml:space="preserve"> </w:t>
      </w:r>
      <w:r w:rsidR="00945366">
        <w:rPr>
          <w:rFonts w:cs="Segoe UI"/>
          <w:sz w:val="20"/>
          <w:szCs w:val="20"/>
        </w:rPr>
        <w:t>continuity of</w:t>
      </w:r>
      <w:r w:rsidR="00945366" w:rsidRPr="00C6247A">
        <w:rPr>
          <w:rFonts w:cs="Segoe UI"/>
          <w:sz w:val="20"/>
          <w:szCs w:val="20"/>
        </w:rPr>
        <w:t xml:space="preserve"> care and support</w:t>
      </w:r>
      <w:r w:rsidR="00945366">
        <w:rPr>
          <w:rFonts w:cs="Segoe UI"/>
          <w:sz w:val="20"/>
          <w:szCs w:val="20"/>
        </w:rPr>
        <w:t xml:space="preserve">, a </w:t>
      </w:r>
      <w:r>
        <w:rPr>
          <w:rFonts w:cs="Segoe UI"/>
          <w:sz w:val="20"/>
          <w:szCs w:val="20"/>
        </w:rPr>
        <w:t>lack of access to sterile injecting and tattooing equipment,</w:t>
      </w:r>
      <w:r w:rsidRPr="00414E27">
        <w:rPr>
          <w:rFonts w:cs="Segoe UI"/>
          <w:sz w:val="20"/>
          <w:szCs w:val="20"/>
        </w:rPr>
        <w:t xml:space="preserve"> sexual assault,</w:t>
      </w:r>
      <w:r w:rsidR="00945366">
        <w:rPr>
          <w:rFonts w:cs="Segoe UI"/>
          <w:sz w:val="20"/>
          <w:szCs w:val="20"/>
        </w:rPr>
        <w:t xml:space="preserve"> </w:t>
      </w:r>
      <w:r w:rsidR="00FF6C31">
        <w:rPr>
          <w:rFonts w:cs="Segoe UI"/>
          <w:sz w:val="20"/>
          <w:szCs w:val="20"/>
        </w:rPr>
        <w:t xml:space="preserve">incarceration of </w:t>
      </w:r>
      <w:r w:rsidR="00E033ED" w:rsidRPr="00E033ED">
        <w:rPr>
          <w:rFonts w:cs="Segoe UI"/>
          <w:sz w:val="20"/>
          <w:szCs w:val="20"/>
        </w:rPr>
        <w:t>Sistagirls/Sistergirls</w:t>
      </w:r>
      <w:r w:rsidR="00E033ED" w:rsidRPr="00E033ED" w:rsidDel="00E033ED">
        <w:rPr>
          <w:rFonts w:cs="Segoe UI"/>
          <w:sz w:val="20"/>
          <w:szCs w:val="20"/>
        </w:rPr>
        <w:t xml:space="preserve"> </w:t>
      </w:r>
      <w:r w:rsidR="00FF6C31">
        <w:rPr>
          <w:rFonts w:cs="Segoe UI"/>
          <w:sz w:val="20"/>
          <w:szCs w:val="20"/>
        </w:rPr>
        <w:t xml:space="preserve">and </w:t>
      </w:r>
      <w:r w:rsidR="0075109A">
        <w:rPr>
          <w:rFonts w:cs="Segoe UI"/>
          <w:sz w:val="20"/>
          <w:szCs w:val="20"/>
        </w:rPr>
        <w:t>B</w:t>
      </w:r>
      <w:r w:rsidR="00FF6C31">
        <w:rPr>
          <w:rFonts w:cs="Segoe UI"/>
          <w:sz w:val="20"/>
          <w:szCs w:val="20"/>
        </w:rPr>
        <w:t>rotherboys in facilities inappropriate for their gender,</w:t>
      </w:r>
      <w:r w:rsidR="00945366">
        <w:rPr>
          <w:rFonts w:cs="Segoe UI"/>
          <w:sz w:val="20"/>
          <w:szCs w:val="20"/>
        </w:rPr>
        <w:t xml:space="preserve"> and</w:t>
      </w:r>
      <w:r w:rsidRPr="00414E27">
        <w:rPr>
          <w:rFonts w:cs="Segoe UI"/>
          <w:sz w:val="20"/>
          <w:szCs w:val="20"/>
        </w:rPr>
        <w:t xml:space="preserve"> stigma and </w:t>
      </w:r>
      <w:r w:rsidRPr="00C6247A">
        <w:rPr>
          <w:rFonts w:cs="Segoe UI"/>
          <w:sz w:val="20"/>
          <w:szCs w:val="20"/>
        </w:rPr>
        <w:t xml:space="preserve">discrimination. </w:t>
      </w:r>
    </w:p>
    <w:p w14:paraId="2C06CE88" w14:textId="094B73E2" w:rsidR="00CA7F81" w:rsidRPr="00325D81" w:rsidRDefault="006F5FDA" w:rsidP="00CA7F81">
      <w:pPr>
        <w:rPr>
          <w:rFonts w:cs="Segoe UI"/>
          <w:sz w:val="20"/>
          <w:szCs w:val="20"/>
        </w:rPr>
      </w:pPr>
      <w:r>
        <w:rPr>
          <w:rFonts w:cs="Segoe UI"/>
          <w:sz w:val="20"/>
          <w:szCs w:val="20"/>
        </w:rPr>
        <w:t xml:space="preserve">Aboriginal and Torres Strait Islander people are over-represented in custodial settings. </w:t>
      </w:r>
      <w:r w:rsidR="00CA7F81" w:rsidRPr="00325D81">
        <w:rPr>
          <w:rFonts w:cs="Segoe UI"/>
          <w:sz w:val="20"/>
          <w:szCs w:val="20"/>
        </w:rPr>
        <w:t>Although Aboriginal and Torres Strait I</w:t>
      </w:r>
      <w:r w:rsidR="00CA7F81">
        <w:rPr>
          <w:rFonts w:cs="Segoe UI"/>
          <w:sz w:val="20"/>
          <w:szCs w:val="20"/>
        </w:rPr>
        <w:t>slander adults make up around 3 per cent</w:t>
      </w:r>
      <w:r w:rsidR="00CA7F81" w:rsidRPr="00325D81">
        <w:rPr>
          <w:rFonts w:cs="Segoe UI"/>
          <w:sz w:val="20"/>
          <w:szCs w:val="20"/>
        </w:rPr>
        <w:t xml:space="preserve"> of the</w:t>
      </w:r>
      <w:r w:rsidR="00CA7F81">
        <w:rPr>
          <w:rFonts w:cs="Segoe UI"/>
          <w:sz w:val="20"/>
          <w:szCs w:val="20"/>
        </w:rPr>
        <w:t xml:space="preserve"> national population, they constitute 27 per cent</w:t>
      </w:r>
      <w:r w:rsidR="00CA7F81" w:rsidRPr="00325D81">
        <w:rPr>
          <w:rFonts w:cs="Segoe UI"/>
          <w:sz w:val="20"/>
          <w:szCs w:val="20"/>
        </w:rPr>
        <w:t xml:space="preserve"> of t</w:t>
      </w:r>
      <w:r w:rsidR="00CA7F81">
        <w:rPr>
          <w:rFonts w:cs="Segoe UI"/>
          <w:sz w:val="20"/>
          <w:szCs w:val="20"/>
        </w:rPr>
        <w:t>he national prison population.</w:t>
      </w:r>
      <w:r w:rsidR="00CA7F81">
        <w:rPr>
          <w:rStyle w:val="EndnoteReference"/>
          <w:rFonts w:cs="Segoe UI"/>
          <w:sz w:val="20"/>
          <w:szCs w:val="20"/>
        </w:rPr>
        <w:endnoteReference w:id="43"/>
      </w:r>
      <w:r w:rsidR="00CA7F81" w:rsidRPr="00AF705F">
        <w:rPr>
          <w:rFonts w:cs="Segoe UI"/>
          <w:sz w:val="20"/>
          <w:szCs w:val="20"/>
        </w:rPr>
        <w:t xml:space="preserve"> </w:t>
      </w:r>
      <w:r w:rsidR="00E12103">
        <w:rPr>
          <w:rFonts w:cs="Segoe UI"/>
          <w:sz w:val="20"/>
          <w:szCs w:val="20"/>
        </w:rPr>
        <w:t>In a 2017 report, y</w:t>
      </w:r>
      <w:r w:rsidR="00CA7F81">
        <w:rPr>
          <w:rFonts w:cs="Segoe UI"/>
          <w:sz w:val="20"/>
          <w:szCs w:val="20"/>
        </w:rPr>
        <w:t>oung Aboriginal and Torres Strait Islander people aged between 10</w:t>
      </w:r>
      <w:r w:rsidR="003A6AEC">
        <w:rPr>
          <w:rFonts w:cs="Segoe UI"/>
          <w:sz w:val="20"/>
          <w:szCs w:val="20"/>
        </w:rPr>
        <w:t xml:space="preserve"> and </w:t>
      </w:r>
      <w:r w:rsidR="00CA7F81">
        <w:rPr>
          <w:rFonts w:cs="Segoe UI"/>
          <w:sz w:val="20"/>
          <w:szCs w:val="20"/>
        </w:rPr>
        <w:t xml:space="preserve">17 years were </w:t>
      </w:r>
      <w:r w:rsidR="00AC34F1">
        <w:rPr>
          <w:rFonts w:cs="Segoe UI"/>
          <w:sz w:val="20"/>
          <w:szCs w:val="20"/>
        </w:rPr>
        <w:t>identified</w:t>
      </w:r>
      <w:r w:rsidR="00E12103">
        <w:rPr>
          <w:rFonts w:cs="Segoe UI"/>
          <w:sz w:val="20"/>
          <w:szCs w:val="20"/>
        </w:rPr>
        <w:t xml:space="preserve"> as being </w:t>
      </w:r>
      <w:r w:rsidR="00CA7F81">
        <w:rPr>
          <w:rFonts w:cs="Segoe UI"/>
          <w:sz w:val="20"/>
          <w:szCs w:val="20"/>
        </w:rPr>
        <w:t xml:space="preserve">24 times as likely as non-Indigenous </w:t>
      </w:r>
      <w:r w:rsidR="004D1F4A">
        <w:rPr>
          <w:rFonts w:cs="Segoe UI"/>
          <w:sz w:val="20"/>
          <w:szCs w:val="20"/>
        </w:rPr>
        <w:t>young people to be in detention.</w:t>
      </w:r>
      <w:r w:rsidR="004D1F4A">
        <w:rPr>
          <w:rStyle w:val="EndnoteReference"/>
          <w:rFonts w:cs="Segoe UI"/>
          <w:sz w:val="20"/>
          <w:szCs w:val="20"/>
        </w:rPr>
        <w:endnoteReference w:id="44"/>
      </w:r>
    </w:p>
    <w:p w14:paraId="1C2DF7D9" w14:textId="739EB3EB" w:rsidR="00CA7F81" w:rsidRPr="0080613C" w:rsidRDefault="00CA7F81" w:rsidP="00CA7F81">
      <w:pPr>
        <w:rPr>
          <w:rFonts w:cs="Segoe UI"/>
          <w:sz w:val="20"/>
          <w:szCs w:val="20"/>
        </w:rPr>
      </w:pPr>
      <w:r w:rsidRPr="0080613C">
        <w:rPr>
          <w:sz w:val="20"/>
          <w:szCs w:val="20"/>
        </w:rPr>
        <w:t xml:space="preserve">Limited data are available on BBV and STI exposure in custodial settings. While data on the percentage tested for BBV and STI on entering and leaving the prison system are available, the results of these tests are not </w:t>
      </w:r>
      <w:r w:rsidRPr="001936C5">
        <w:rPr>
          <w:sz w:val="20"/>
          <w:szCs w:val="20"/>
        </w:rPr>
        <w:t>available</w:t>
      </w:r>
      <w:r w:rsidR="00001A65">
        <w:rPr>
          <w:sz w:val="20"/>
          <w:szCs w:val="20"/>
        </w:rPr>
        <w:t>.</w:t>
      </w:r>
      <w:r w:rsidR="001936C5" w:rsidRPr="001936C5">
        <w:rPr>
          <w:rStyle w:val="EndnoteReference"/>
          <w:rFonts w:cs="Segoe UI"/>
        </w:rPr>
        <w:t>17</w:t>
      </w:r>
      <w:r w:rsidRPr="001936C5">
        <w:rPr>
          <w:rStyle w:val="EndnoteReference"/>
          <w:rFonts w:cs="Segoe UI"/>
        </w:rPr>
        <w:t xml:space="preserve"> </w:t>
      </w:r>
      <w:r w:rsidRPr="0080613C">
        <w:rPr>
          <w:sz w:val="20"/>
          <w:szCs w:val="20"/>
        </w:rPr>
        <w:t>This highlights a significant gap in our understanding of BBV and STI in Aboriginal and Torres Strait Islander people in custodial settings.</w:t>
      </w:r>
    </w:p>
    <w:p w14:paraId="2A89FB67" w14:textId="11A6C47B" w:rsidR="00CA7F81" w:rsidRPr="00C6247A" w:rsidRDefault="00CA7F81" w:rsidP="00CA7F81">
      <w:pPr>
        <w:rPr>
          <w:sz w:val="20"/>
          <w:szCs w:val="20"/>
          <w:lang w:eastAsia="en-AU"/>
        </w:rPr>
      </w:pPr>
      <w:r w:rsidRPr="00C6247A">
        <w:rPr>
          <w:rFonts w:cs="Segoe UI"/>
          <w:sz w:val="20"/>
          <w:szCs w:val="20"/>
        </w:rPr>
        <w:t xml:space="preserve">In 2016 the prevalence </w:t>
      </w:r>
      <w:r>
        <w:rPr>
          <w:rFonts w:cs="Segoe UI"/>
          <w:sz w:val="20"/>
          <w:szCs w:val="20"/>
        </w:rPr>
        <w:t>of chronic hepatitis B was 6</w:t>
      </w:r>
      <w:r w:rsidRPr="00C6247A">
        <w:rPr>
          <w:rFonts w:cs="Segoe UI"/>
          <w:sz w:val="20"/>
          <w:szCs w:val="20"/>
        </w:rPr>
        <w:t xml:space="preserve"> per cent in Aboriginal and Torres Strait Islander prison entrants and 2 per cent in no</w:t>
      </w:r>
      <w:r w:rsidR="003A6AEC">
        <w:rPr>
          <w:rFonts w:cs="Segoe UI"/>
          <w:sz w:val="20"/>
          <w:szCs w:val="20"/>
        </w:rPr>
        <w:t>n-</w:t>
      </w:r>
      <w:r w:rsidRPr="00C6247A">
        <w:rPr>
          <w:rFonts w:cs="Segoe UI"/>
          <w:sz w:val="20"/>
          <w:szCs w:val="20"/>
        </w:rPr>
        <w:t>Indigenous entrants.</w:t>
      </w:r>
      <w:r>
        <w:rPr>
          <w:rStyle w:val="EndnoteReference"/>
          <w:rFonts w:cs="Segoe UI"/>
          <w:sz w:val="20"/>
          <w:szCs w:val="20"/>
        </w:rPr>
        <w:endnoteReference w:id="45"/>
      </w:r>
      <w:r w:rsidRPr="00C6247A">
        <w:rPr>
          <w:rFonts w:cs="Segoe UI"/>
          <w:sz w:val="20"/>
          <w:szCs w:val="20"/>
        </w:rPr>
        <w:t xml:space="preserve"> </w:t>
      </w:r>
      <w:r w:rsidR="00CF7B12">
        <w:rPr>
          <w:sz w:val="20"/>
          <w:szCs w:val="20"/>
        </w:rPr>
        <w:t>Twenty</w:t>
      </w:r>
      <w:r w:rsidR="003A6AEC">
        <w:rPr>
          <w:sz w:val="20"/>
          <w:szCs w:val="20"/>
        </w:rPr>
        <w:t>-</w:t>
      </w:r>
      <w:r w:rsidR="00CF7B12">
        <w:rPr>
          <w:sz w:val="20"/>
          <w:szCs w:val="20"/>
        </w:rPr>
        <w:t>one per</w:t>
      </w:r>
      <w:r w:rsidR="003A6AEC">
        <w:rPr>
          <w:sz w:val="20"/>
          <w:szCs w:val="20"/>
        </w:rPr>
        <w:t xml:space="preserve"> </w:t>
      </w:r>
      <w:r w:rsidR="00CF7B12">
        <w:rPr>
          <w:sz w:val="20"/>
          <w:szCs w:val="20"/>
        </w:rPr>
        <w:t>cent</w:t>
      </w:r>
      <w:r w:rsidRPr="00C6247A">
        <w:rPr>
          <w:sz w:val="20"/>
          <w:szCs w:val="20"/>
        </w:rPr>
        <w:t xml:space="preserve"> of </w:t>
      </w:r>
      <w:r>
        <w:rPr>
          <w:sz w:val="20"/>
          <w:szCs w:val="20"/>
        </w:rPr>
        <w:t>Aboriginal and Torres Strait Islander people in prison are positive for the hepatitis C</w:t>
      </w:r>
      <w:r w:rsidRPr="00C6247A">
        <w:rPr>
          <w:sz w:val="20"/>
          <w:szCs w:val="20"/>
        </w:rPr>
        <w:t xml:space="preserve"> antibody </w:t>
      </w:r>
      <w:r w:rsidR="00CF7B12">
        <w:rPr>
          <w:sz w:val="20"/>
          <w:szCs w:val="20"/>
        </w:rPr>
        <w:t xml:space="preserve">(compared </w:t>
      </w:r>
      <w:r w:rsidR="003A6AEC">
        <w:rPr>
          <w:sz w:val="20"/>
          <w:szCs w:val="20"/>
        </w:rPr>
        <w:t>with</w:t>
      </w:r>
      <w:r w:rsidR="00CF7B12">
        <w:rPr>
          <w:sz w:val="20"/>
          <w:szCs w:val="20"/>
        </w:rPr>
        <w:t xml:space="preserve"> 23</w:t>
      </w:r>
      <w:r w:rsidR="003A6AEC">
        <w:rPr>
          <w:sz w:val="20"/>
          <w:szCs w:val="20"/>
        </w:rPr>
        <w:t xml:space="preserve"> per cent</w:t>
      </w:r>
      <w:r w:rsidR="00CF7B12">
        <w:rPr>
          <w:sz w:val="20"/>
          <w:szCs w:val="20"/>
        </w:rPr>
        <w:t xml:space="preserve"> in non-Indigenous</w:t>
      </w:r>
      <w:r w:rsidR="003A6AEC">
        <w:rPr>
          <w:sz w:val="20"/>
          <w:szCs w:val="20"/>
        </w:rPr>
        <w:t xml:space="preserve"> people</w:t>
      </w:r>
      <w:r w:rsidR="00CF7B12">
        <w:rPr>
          <w:sz w:val="20"/>
          <w:szCs w:val="20"/>
        </w:rPr>
        <w:t xml:space="preserve">) </w:t>
      </w:r>
      <w:r w:rsidRPr="00C6247A">
        <w:rPr>
          <w:sz w:val="20"/>
          <w:szCs w:val="20"/>
        </w:rPr>
        <w:t xml:space="preserve">and </w:t>
      </w:r>
      <w:r>
        <w:rPr>
          <w:sz w:val="20"/>
          <w:szCs w:val="20"/>
        </w:rPr>
        <w:t xml:space="preserve">just under a third have the hepatitis B </w:t>
      </w:r>
      <w:r w:rsidRPr="00C82035">
        <w:rPr>
          <w:sz w:val="20"/>
          <w:szCs w:val="20"/>
        </w:rPr>
        <w:t>core-antibody</w:t>
      </w:r>
      <w:r w:rsidR="002A3C55">
        <w:rPr>
          <w:sz w:val="20"/>
          <w:szCs w:val="20"/>
        </w:rPr>
        <w:t xml:space="preserve"> (compared </w:t>
      </w:r>
      <w:r w:rsidR="003A6AEC">
        <w:rPr>
          <w:sz w:val="20"/>
          <w:szCs w:val="20"/>
        </w:rPr>
        <w:t xml:space="preserve">with </w:t>
      </w:r>
      <w:r w:rsidR="002A3C55">
        <w:rPr>
          <w:sz w:val="20"/>
          <w:szCs w:val="20"/>
        </w:rPr>
        <w:t>8</w:t>
      </w:r>
      <w:r w:rsidR="003A6AEC">
        <w:rPr>
          <w:sz w:val="20"/>
          <w:szCs w:val="20"/>
        </w:rPr>
        <w:t xml:space="preserve"> per cent</w:t>
      </w:r>
      <w:r w:rsidR="002A3C55">
        <w:rPr>
          <w:sz w:val="20"/>
          <w:szCs w:val="20"/>
        </w:rPr>
        <w:t xml:space="preserve"> in non-Indigenous</w:t>
      </w:r>
      <w:r w:rsidR="003A6AEC">
        <w:rPr>
          <w:sz w:val="20"/>
          <w:szCs w:val="20"/>
        </w:rPr>
        <w:t xml:space="preserve"> people</w:t>
      </w:r>
      <w:r w:rsidR="002A3C55">
        <w:rPr>
          <w:sz w:val="20"/>
          <w:szCs w:val="20"/>
        </w:rPr>
        <w:t>)</w:t>
      </w:r>
      <w:r>
        <w:rPr>
          <w:sz w:val="20"/>
          <w:szCs w:val="20"/>
        </w:rPr>
        <w:t>,</w:t>
      </w:r>
      <w:r w:rsidRPr="00C6247A">
        <w:rPr>
          <w:sz w:val="20"/>
          <w:szCs w:val="20"/>
        </w:rPr>
        <w:t xml:space="preserve"> </w:t>
      </w:r>
      <w:r>
        <w:rPr>
          <w:sz w:val="20"/>
          <w:szCs w:val="20"/>
        </w:rPr>
        <w:t xml:space="preserve">indicating previous or current infection with these viruses. </w:t>
      </w:r>
      <w:r w:rsidRPr="00C6247A">
        <w:rPr>
          <w:sz w:val="20"/>
          <w:szCs w:val="20"/>
        </w:rPr>
        <w:t>There were no</w:t>
      </w:r>
      <w:r>
        <w:rPr>
          <w:sz w:val="20"/>
          <w:szCs w:val="20"/>
        </w:rPr>
        <w:t xml:space="preserve"> identified</w:t>
      </w:r>
      <w:r w:rsidRPr="00C6247A">
        <w:rPr>
          <w:sz w:val="20"/>
          <w:szCs w:val="20"/>
        </w:rPr>
        <w:t xml:space="preserve"> cases of HIV transmission in Australian prisons in 201</w:t>
      </w:r>
      <w:r>
        <w:rPr>
          <w:sz w:val="20"/>
          <w:szCs w:val="20"/>
        </w:rPr>
        <w:t>6.</w:t>
      </w:r>
      <w:r w:rsidRPr="00C6247A">
        <w:rPr>
          <w:sz w:val="20"/>
          <w:szCs w:val="20"/>
        </w:rPr>
        <w:t xml:space="preserve"> </w:t>
      </w:r>
      <w:r>
        <w:rPr>
          <w:sz w:val="20"/>
          <w:szCs w:val="20"/>
        </w:rPr>
        <w:t>H</w:t>
      </w:r>
      <w:r w:rsidRPr="00C6247A">
        <w:rPr>
          <w:sz w:val="20"/>
          <w:szCs w:val="20"/>
          <w:lang w:eastAsia="en-AU"/>
        </w:rPr>
        <w:t xml:space="preserve">owever, the risk of transmission in the context of undiagnosed HIV or detectable viral load is significant given the nature of risk exposures </w:t>
      </w:r>
      <w:r w:rsidR="00120E85">
        <w:rPr>
          <w:sz w:val="20"/>
          <w:szCs w:val="20"/>
          <w:lang w:eastAsia="en-AU"/>
        </w:rPr>
        <w:t>occurring in custodial settings.</w:t>
      </w:r>
      <w:r w:rsidR="00120E85" w:rsidRPr="00120E85">
        <w:rPr>
          <w:sz w:val="20"/>
          <w:szCs w:val="20"/>
          <w:vertAlign w:val="superscript"/>
          <w:lang w:eastAsia="en-AU"/>
        </w:rPr>
        <w:t>2</w:t>
      </w:r>
      <w:r w:rsidR="004F4A77">
        <w:rPr>
          <w:sz w:val="20"/>
          <w:szCs w:val="20"/>
          <w:vertAlign w:val="superscript"/>
          <w:lang w:eastAsia="en-AU"/>
        </w:rPr>
        <w:t>5</w:t>
      </w:r>
      <w:r w:rsidR="00120E85" w:rsidRPr="00120E85">
        <w:rPr>
          <w:sz w:val="20"/>
          <w:szCs w:val="20"/>
          <w:vertAlign w:val="superscript"/>
          <w:lang w:eastAsia="en-AU"/>
        </w:rPr>
        <w:t>,</w:t>
      </w:r>
      <w:r w:rsidRPr="00C6247A">
        <w:rPr>
          <w:rStyle w:val="EndnoteReference"/>
          <w:sz w:val="20"/>
          <w:szCs w:val="20"/>
        </w:rPr>
        <w:endnoteReference w:id="46"/>
      </w:r>
      <w:r w:rsidRPr="00C6247A">
        <w:rPr>
          <w:sz w:val="20"/>
          <w:szCs w:val="20"/>
          <w:vertAlign w:val="superscript"/>
        </w:rPr>
        <w:t>,</w:t>
      </w:r>
      <w:r w:rsidRPr="00C6247A">
        <w:rPr>
          <w:rStyle w:val="EndnoteReference"/>
          <w:sz w:val="20"/>
          <w:szCs w:val="20"/>
        </w:rPr>
        <w:endnoteReference w:id="47"/>
      </w:r>
      <w:r w:rsidRPr="00C6247A">
        <w:rPr>
          <w:sz w:val="20"/>
          <w:szCs w:val="20"/>
          <w:vertAlign w:val="superscript"/>
        </w:rPr>
        <w:t xml:space="preserve"> </w:t>
      </w:r>
      <w:r w:rsidRPr="00C6247A">
        <w:rPr>
          <w:sz w:val="20"/>
          <w:szCs w:val="20"/>
          <w:lang w:eastAsia="en-AU"/>
        </w:rPr>
        <w:t xml:space="preserve"> </w:t>
      </w:r>
    </w:p>
    <w:p w14:paraId="0A7E6168" w14:textId="09448147" w:rsidR="00CA7F81" w:rsidRPr="00531226" w:rsidRDefault="00CA7F81" w:rsidP="00CA7F81">
      <w:pPr>
        <w:rPr>
          <w:sz w:val="20"/>
          <w:szCs w:val="20"/>
        </w:rPr>
      </w:pPr>
      <w:r w:rsidRPr="00C041BE">
        <w:rPr>
          <w:sz w:val="20"/>
          <w:szCs w:val="20"/>
        </w:rPr>
        <w:t xml:space="preserve">Opportunities for </w:t>
      </w:r>
      <w:r>
        <w:rPr>
          <w:sz w:val="20"/>
          <w:szCs w:val="20"/>
        </w:rPr>
        <w:t xml:space="preserve">improved access to preventive measures </w:t>
      </w:r>
      <w:r w:rsidRPr="00C041BE">
        <w:rPr>
          <w:sz w:val="20"/>
          <w:szCs w:val="20"/>
        </w:rPr>
        <w:t xml:space="preserve">in </w:t>
      </w:r>
      <w:r>
        <w:rPr>
          <w:sz w:val="20"/>
          <w:szCs w:val="20"/>
        </w:rPr>
        <w:t>custodial</w:t>
      </w:r>
      <w:r w:rsidRPr="00C041BE">
        <w:rPr>
          <w:sz w:val="20"/>
          <w:szCs w:val="20"/>
        </w:rPr>
        <w:t xml:space="preserve"> settings</w:t>
      </w:r>
      <w:r w:rsidR="007D1A69">
        <w:rPr>
          <w:sz w:val="20"/>
          <w:szCs w:val="20"/>
        </w:rPr>
        <w:t xml:space="preserve"> </w:t>
      </w:r>
      <w:r w:rsidRPr="00C041BE">
        <w:rPr>
          <w:sz w:val="20"/>
          <w:szCs w:val="20"/>
        </w:rPr>
        <w:t xml:space="preserve">need to be </w:t>
      </w:r>
      <w:r w:rsidR="00426022">
        <w:rPr>
          <w:sz w:val="20"/>
          <w:szCs w:val="20"/>
        </w:rPr>
        <w:t xml:space="preserve">prioritised and </w:t>
      </w:r>
      <w:r w:rsidRPr="00C041BE">
        <w:rPr>
          <w:sz w:val="20"/>
          <w:szCs w:val="20"/>
        </w:rPr>
        <w:t>explored</w:t>
      </w:r>
      <w:r w:rsidR="008D0C64">
        <w:rPr>
          <w:sz w:val="20"/>
          <w:szCs w:val="20"/>
        </w:rPr>
        <w:t xml:space="preserve">. </w:t>
      </w:r>
      <w:r w:rsidR="008D0C64" w:rsidRPr="00150D4E" w:rsidDel="00150D4E">
        <w:rPr>
          <w:sz w:val="20"/>
          <w:szCs w:val="20"/>
        </w:rPr>
        <w:t>This includes v</w:t>
      </w:r>
      <w:r w:rsidRPr="00150D4E" w:rsidDel="00150D4E">
        <w:rPr>
          <w:sz w:val="20"/>
          <w:szCs w:val="20"/>
        </w:rPr>
        <w:t>accination, condoms</w:t>
      </w:r>
      <w:r w:rsidR="008D0C64" w:rsidRPr="00150D4E" w:rsidDel="00150D4E">
        <w:rPr>
          <w:sz w:val="20"/>
          <w:szCs w:val="20"/>
        </w:rPr>
        <w:t>,</w:t>
      </w:r>
      <w:r w:rsidRPr="00150D4E" w:rsidDel="00150D4E">
        <w:rPr>
          <w:sz w:val="20"/>
          <w:szCs w:val="20"/>
        </w:rPr>
        <w:t xml:space="preserve"> </w:t>
      </w:r>
      <w:r w:rsidR="00790F33" w:rsidRPr="00150D4E" w:rsidDel="00150D4E">
        <w:rPr>
          <w:sz w:val="20"/>
          <w:szCs w:val="20"/>
        </w:rPr>
        <w:t>and addressing gaps in ac</w:t>
      </w:r>
      <w:r w:rsidR="00790F33" w:rsidRPr="00790F33" w:rsidDel="00150D4E">
        <w:rPr>
          <w:sz w:val="20"/>
          <w:szCs w:val="20"/>
        </w:rPr>
        <w:t>cess to other important prevention measures</w:t>
      </w:r>
      <w:r w:rsidR="008D0C64" w:rsidRPr="00790F33" w:rsidDel="00150D4E">
        <w:rPr>
          <w:sz w:val="20"/>
          <w:szCs w:val="20"/>
        </w:rPr>
        <w:t>.</w:t>
      </w:r>
      <w:r w:rsidRPr="00C041BE" w:rsidDel="00150D4E">
        <w:rPr>
          <w:sz w:val="20"/>
          <w:szCs w:val="20"/>
        </w:rPr>
        <w:t xml:space="preserve"> </w:t>
      </w:r>
      <w:r w:rsidR="00790F33">
        <w:rPr>
          <w:sz w:val="20"/>
          <w:szCs w:val="20"/>
        </w:rPr>
        <w:t xml:space="preserve">There are currently limitations on the delivery of evidence-based harm reduction and demand reduction programs in custodial settings, such as provision of sterile needles and syringes, sterile tattooing and body piercings, and evidence-based OTP. Opportunities for greater harm reduction and demand reduction services need to be explored. </w:t>
      </w:r>
      <w:r w:rsidRPr="00325D81">
        <w:rPr>
          <w:sz w:val="20"/>
          <w:szCs w:val="20"/>
        </w:rPr>
        <w:t xml:space="preserve">Care </w:t>
      </w:r>
      <w:r>
        <w:rPr>
          <w:sz w:val="20"/>
          <w:szCs w:val="20"/>
        </w:rPr>
        <w:t>coordination</w:t>
      </w:r>
      <w:r w:rsidRPr="00325D81">
        <w:rPr>
          <w:sz w:val="20"/>
          <w:szCs w:val="20"/>
        </w:rPr>
        <w:t xml:space="preserve"> for </w:t>
      </w:r>
      <w:r w:rsidR="00FA5E4D">
        <w:rPr>
          <w:sz w:val="20"/>
          <w:szCs w:val="20"/>
        </w:rPr>
        <w:t>people</w:t>
      </w:r>
      <w:r w:rsidR="009E386E">
        <w:rPr>
          <w:sz w:val="20"/>
          <w:szCs w:val="20"/>
        </w:rPr>
        <w:t xml:space="preserve"> living with</w:t>
      </w:r>
      <w:r w:rsidR="009E386E" w:rsidRPr="002B7DF9">
        <w:rPr>
          <w:sz w:val="20"/>
          <w:szCs w:val="20"/>
        </w:rPr>
        <w:t xml:space="preserve"> </w:t>
      </w:r>
      <w:r w:rsidR="009E386E">
        <w:rPr>
          <w:sz w:val="20"/>
          <w:szCs w:val="20"/>
        </w:rPr>
        <w:t>or at risk of</w:t>
      </w:r>
      <w:r w:rsidR="009E386E" w:rsidRPr="00531226">
        <w:rPr>
          <w:sz w:val="20"/>
          <w:szCs w:val="20"/>
        </w:rPr>
        <w:t xml:space="preserve"> </w:t>
      </w:r>
      <w:r>
        <w:rPr>
          <w:sz w:val="20"/>
          <w:szCs w:val="20"/>
        </w:rPr>
        <w:t>BBV</w:t>
      </w:r>
      <w:r w:rsidR="009E386E">
        <w:rPr>
          <w:sz w:val="20"/>
          <w:szCs w:val="20"/>
        </w:rPr>
        <w:t xml:space="preserve">, </w:t>
      </w:r>
      <w:r w:rsidRPr="00531226">
        <w:rPr>
          <w:sz w:val="20"/>
          <w:szCs w:val="20"/>
        </w:rPr>
        <w:t>ensuring continuity of access to medication, and engagement with medical care and community supports</w:t>
      </w:r>
      <w:r>
        <w:rPr>
          <w:sz w:val="20"/>
          <w:szCs w:val="20"/>
        </w:rPr>
        <w:t xml:space="preserve"> following release from custody</w:t>
      </w:r>
      <w:r w:rsidRPr="00531226">
        <w:rPr>
          <w:sz w:val="20"/>
          <w:szCs w:val="20"/>
        </w:rPr>
        <w:t xml:space="preserve"> </w:t>
      </w:r>
      <w:r w:rsidR="00580C08">
        <w:rPr>
          <w:sz w:val="20"/>
          <w:szCs w:val="20"/>
        </w:rPr>
        <w:t xml:space="preserve">are </w:t>
      </w:r>
      <w:r w:rsidR="00580C08" w:rsidRPr="00150D4E">
        <w:rPr>
          <w:sz w:val="20"/>
          <w:szCs w:val="20"/>
        </w:rPr>
        <w:t>all</w:t>
      </w:r>
      <w:r w:rsidRPr="00150D4E">
        <w:rPr>
          <w:sz w:val="20"/>
          <w:szCs w:val="20"/>
        </w:rPr>
        <w:t xml:space="preserve"> crucial</w:t>
      </w:r>
      <w:r w:rsidRPr="00531226">
        <w:rPr>
          <w:sz w:val="20"/>
          <w:szCs w:val="20"/>
        </w:rPr>
        <w:t xml:space="preserve"> to reduce </w:t>
      </w:r>
      <w:r>
        <w:rPr>
          <w:sz w:val="20"/>
          <w:szCs w:val="20"/>
        </w:rPr>
        <w:t xml:space="preserve">morbidity and </w:t>
      </w:r>
      <w:r w:rsidRPr="00531226">
        <w:rPr>
          <w:sz w:val="20"/>
          <w:szCs w:val="20"/>
        </w:rPr>
        <w:t>transmission risk</w:t>
      </w:r>
      <w:r w:rsidR="00A76BC9">
        <w:rPr>
          <w:sz w:val="20"/>
          <w:szCs w:val="20"/>
        </w:rPr>
        <w:t>.</w:t>
      </w:r>
    </w:p>
    <w:p w14:paraId="2D6B9518" w14:textId="0203926F" w:rsidR="00CA7F81" w:rsidRPr="00175FC3" w:rsidRDefault="00CA7F81" w:rsidP="00CA7F81">
      <w:pPr>
        <w:rPr>
          <w:sz w:val="20"/>
          <w:szCs w:val="20"/>
        </w:rPr>
      </w:pPr>
      <w:r>
        <w:rPr>
          <w:sz w:val="20"/>
          <w:szCs w:val="20"/>
        </w:rPr>
        <w:t>Appropriate and effective BBV and STI education, p</w:t>
      </w:r>
      <w:r w:rsidRPr="00531226">
        <w:rPr>
          <w:sz w:val="20"/>
          <w:szCs w:val="20"/>
        </w:rPr>
        <w:t xml:space="preserve">revention, testing and treatment for </w:t>
      </w:r>
      <w:r w:rsidR="00426022" w:rsidRPr="00531226">
        <w:rPr>
          <w:sz w:val="20"/>
          <w:szCs w:val="20"/>
        </w:rPr>
        <w:t>this</w:t>
      </w:r>
      <w:r w:rsidR="00426022">
        <w:rPr>
          <w:sz w:val="20"/>
          <w:szCs w:val="20"/>
        </w:rPr>
        <w:t xml:space="preserve"> priority group</w:t>
      </w:r>
      <w:r w:rsidRPr="00531226">
        <w:rPr>
          <w:sz w:val="20"/>
          <w:szCs w:val="20"/>
        </w:rPr>
        <w:t xml:space="preserve"> require a strong,</w:t>
      </w:r>
      <w:r w:rsidRPr="00FD22CD">
        <w:rPr>
          <w:sz w:val="20"/>
          <w:szCs w:val="20"/>
        </w:rPr>
        <w:t xml:space="preserve"> whole</w:t>
      </w:r>
      <w:r w:rsidR="003A6AEC">
        <w:rPr>
          <w:sz w:val="20"/>
          <w:szCs w:val="20"/>
        </w:rPr>
        <w:t>-</w:t>
      </w:r>
      <w:r w:rsidRPr="00FD22CD">
        <w:rPr>
          <w:sz w:val="20"/>
          <w:szCs w:val="20"/>
        </w:rPr>
        <w:t>of</w:t>
      </w:r>
      <w:r w:rsidR="003A6AEC">
        <w:rPr>
          <w:sz w:val="20"/>
          <w:szCs w:val="20"/>
        </w:rPr>
        <w:t>-</w:t>
      </w:r>
      <w:r w:rsidRPr="00FD22CD">
        <w:rPr>
          <w:sz w:val="20"/>
          <w:szCs w:val="20"/>
        </w:rPr>
        <w:t xml:space="preserve">government partnership approach involving those concerned with </w:t>
      </w:r>
      <w:r>
        <w:rPr>
          <w:sz w:val="20"/>
          <w:szCs w:val="20"/>
        </w:rPr>
        <w:t xml:space="preserve">Aboriginal and Torres Strait Islander people in </w:t>
      </w:r>
      <w:r w:rsidRPr="00FD22CD">
        <w:rPr>
          <w:sz w:val="20"/>
          <w:szCs w:val="20"/>
        </w:rPr>
        <w:t>juvenile detention centres as well as adult prisons.</w:t>
      </w:r>
    </w:p>
    <w:p w14:paraId="13438A0C" w14:textId="77777777" w:rsidR="00CA7F81" w:rsidRDefault="00CA7F81" w:rsidP="00CA7F81">
      <w:pPr>
        <w:pStyle w:val="Caption"/>
        <w:rPr>
          <w:i/>
          <w:sz w:val="22"/>
        </w:rPr>
      </w:pPr>
      <w:r w:rsidRPr="00847E38">
        <w:rPr>
          <w:i/>
          <w:sz w:val="22"/>
        </w:rPr>
        <w:t xml:space="preserve">Aboriginal and </w:t>
      </w:r>
      <w:r>
        <w:rPr>
          <w:i/>
          <w:sz w:val="22"/>
        </w:rPr>
        <w:t>Torres Strait Islander sex workers</w:t>
      </w:r>
    </w:p>
    <w:p w14:paraId="2113970C" w14:textId="77777777" w:rsidR="00A10681" w:rsidRPr="002B17C5" w:rsidRDefault="00CA7F81" w:rsidP="00FA5E4D">
      <w:pPr>
        <w:rPr>
          <w:sz w:val="20"/>
          <w:szCs w:val="20"/>
        </w:rPr>
      </w:pPr>
      <w:r w:rsidRPr="00FA4A9C">
        <w:rPr>
          <w:sz w:val="20"/>
          <w:szCs w:val="20"/>
          <w:lang w:eastAsia="en-AU"/>
        </w:rPr>
        <w:t xml:space="preserve">Sex workers are a priority </w:t>
      </w:r>
      <w:r w:rsidR="00923AB1">
        <w:rPr>
          <w:sz w:val="20"/>
          <w:szCs w:val="20"/>
          <w:lang w:eastAsia="en-AU"/>
        </w:rPr>
        <w:t>group</w:t>
      </w:r>
      <w:r w:rsidR="00923AB1" w:rsidRPr="00FA4A9C">
        <w:rPr>
          <w:sz w:val="20"/>
          <w:szCs w:val="20"/>
          <w:lang w:eastAsia="en-AU"/>
        </w:rPr>
        <w:t xml:space="preserve"> </w:t>
      </w:r>
      <w:r w:rsidRPr="00FA4A9C">
        <w:rPr>
          <w:sz w:val="20"/>
          <w:szCs w:val="20"/>
          <w:lang w:eastAsia="en-AU"/>
        </w:rPr>
        <w:t xml:space="preserve">due to the potential higher exposure risk associated with sex work. </w:t>
      </w:r>
      <w:r w:rsidRPr="00DE11AB">
        <w:rPr>
          <w:sz w:val="20"/>
          <w:szCs w:val="20"/>
        </w:rPr>
        <w:t xml:space="preserve">Australia’s strong and sustained health promotion programs among sex workers mean that rates of BBV and STI in this group continue to be among the lowest in the world </w:t>
      </w:r>
      <w:r>
        <w:rPr>
          <w:sz w:val="20"/>
          <w:szCs w:val="20"/>
        </w:rPr>
        <w:t xml:space="preserve">when </w:t>
      </w:r>
      <w:r w:rsidRPr="00DE11AB">
        <w:rPr>
          <w:sz w:val="20"/>
          <w:szCs w:val="20"/>
        </w:rPr>
        <w:t xml:space="preserve">compared with sex workers in other countries. </w:t>
      </w:r>
      <w:r w:rsidR="00A10681">
        <w:rPr>
          <w:sz w:val="20"/>
          <w:szCs w:val="20"/>
        </w:rPr>
        <w:t>However, t</w:t>
      </w:r>
      <w:r w:rsidR="00A10681" w:rsidRPr="00FA4A9C">
        <w:rPr>
          <w:sz w:val="20"/>
          <w:szCs w:val="20"/>
        </w:rPr>
        <w:t xml:space="preserve">he prevalence of BBV and STI among Aboriginal and Torres Strait Islander sex workers is unknown </w:t>
      </w:r>
      <w:r w:rsidR="00A10681" w:rsidRPr="002B17C5">
        <w:rPr>
          <w:sz w:val="20"/>
          <w:szCs w:val="20"/>
        </w:rPr>
        <w:t>in Australia due to a paucity of data</w:t>
      </w:r>
      <w:r w:rsidR="006670F2" w:rsidRPr="002B17C5">
        <w:rPr>
          <w:sz w:val="20"/>
          <w:szCs w:val="20"/>
        </w:rPr>
        <w:t>, signallin</w:t>
      </w:r>
      <w:r w:rsidR="001C10EB" w:rsidRPr="002B17C5">
        <w:rPr>
          <w:sz w:val="20"/>
          <w:szCs w:val="20"/>
        </w:rPr>
        <w:t>g a need for research in this area.</w:t>
      </w:r>
    </w:p>
    <w:p w14:paraId="0796730A" w14:textId="1353FD4D" w:rsidR="000846B1" w:rsidRPr="002B17C5" w:rsidRDefault="000846B1" w:rsidP="00FA5E4D">
      <w:pPr>
        <w:rPr>
          <w:sz w:val="20"/>
          <w:szCs w:val="20"/>
        </w:rPr>
      </w:pPr>
      <w:r w:rsidRPr="002B17C5">
        <w:rPr>
          <w:sz w:val="20"/>
          <w:szCs w:val="20"/>
        </w:rPr>
        <w:t>Sex workers experience specific barriers to accessing health services, including stigma and discrimination and regulatory and legal issues</w:t>
      </w:r>
      <w:r w:rsidR="003A6AEC">
        <w:rPr>
          <w:sz w:val="20"/>
          <w:szCs w:val="20"/>
        </w:rPr>
        <w:t>—</w:t>
      </w:r>
      <w:r w:rsidRPr="002B17C5">
        <w:rPr>
          <w:sz w:val="20"/>
          <w:szCs w:val="20"/>
        </w:rPr>
        <w:t>criminalisation, licensing, registration and mandatory testing in some jurisdictio</w:t>
      </w:r>
      <w:r w:rsidR="003960CF" w:rsidRPr="002B17C5">
        <w:rPr>
          <w:sz w:val="20"/>
          <w:szCs w:val="20"/>
        </w:rPr>
        <w:t>n</w:t>
      </w:r>
      <w:r w:rsidR="00DA7B7E" w:rsidRPr="002B17C5">
        <w:rPr>
          <w:sz w:val="20"/>
          <w:szCs w:val="20"/>
        </w:rPr>
        <w:t>s.</w:t>
      </w:r>
      <w:r w:rsidRPr="002B17C5">
        <w:rPr>
          <w:rStyle w:val="EndnoteReference"/>
          <w:sz w:val="20"/>
          <w:szCs w:val="20"/>
        </w:rPr>
        <w:endnoteReference w:id="48"/>
      </w:r>
      <w:r w:rsidRPr="002B17C5">
        <w:rPr>
          <w:sz w:val="20"/>
          <w:szCs w:val="20"/>
        </w:rPr>
        <w:t xml:space="preserve"> </w:t>
      </w:r>
      <w:r w:rsidR="00DA7B7E" w:rsidRPr="002B17C5">
        <w:rPr>
          <w:sz w:val="20"/>
          <w:szCs w:val="20"/>
        </w:rPr>
        <w:t>T</w:t>
      </w:r>
      <w:r w:rsidR="003960CF" w:rsidRPr="002B17C5">
        <w:rPr>
          <w:sz w:val="20"/>
          <w:szCs w:val="20"/>
        </w:rPr>
        <w:t xml:space="preserve">hese </w:t>
      </w:r>
      <w:r w:rsidRPr="002B17C5">
        <w:rPr>
          <w:sz w:val="20"/>
          <w:szCs w:val="20"/>
        </w:rPr>
        <w:t xml:space="preserve">barriers </w:t>
      </w:r>
      <w:r w:rsidR="003960CF" w:rsidRPr="002B17C5">
        <w:rPr>
          <w:sz w:val="20"/>
          <w:szCs w:val="20"/>
        </w:rPr>
        <w:t>are heightened for Aboriginal and Torres Strait Islander sex workers</w:t>
      </w:r>
      <w:r w:rsidR="00EA1AB4">
        <w:rPr>
          <w:sz w:val="20"/>
          <w:szCs w:val="20"/>
        </w:rPr>
        <w:t>,</w:t>
      </w:r>
      <w:r w:rsidR="00DA7B7E" w:rsidRPr="002B17C5">
        <w:rPr>
          <w:sz w:val="20"/>
          <w:szCs w:val="20"/>
        </w:rPr>
        <w:t xml:space="preserve"> </w:t>
      </w:r>
      <w:r w:rsidR="003960CF" w:rsidRPr="002B17C5">
        <w:rPr>
          <w:sz w:val="20"/>
          <w:szCs w:val="20"/>
        </w:rPr>
        <w:t xml:space="preserve">who can also be impacted by racism; </w:t>
      </w:r>
      <w:r w:rsidR="004B36E9">
        <w:rPr>
          <w:sz w:val="20"/>
          <w:szCs w:val="20"/>
        </w:rPr>
        <w:t>a lack of cultural respect</w:t>
      </w:r>
      <w:r w:rsidR="003960CF" w:rsidRPr="002B17C5">
        <w:rPr>
          <w:sz w:val="20"/>
          <w:szCs w:val="20"/>
        </w:rPr>
        <w:t xml:space="preserve"> regarding their sex work; incarceration and criminalisation; </w:t>
      </w:r>
      <w:r w:rsidR="003A6AEC">
        <w:rPr>
          <w:sz w:val="20"/>
          <w:szCs w:val="20"/>
        </w:rPr>
        <w:t xml:space="preserve">and </w:t>
      </w:r>
      <w:r w:rsidR="003960CF" w:rsidRPr="002B17C5">
        <w:rPr>
          <w:sz w:val="20"/>
          <w:szCs w:val="20"/>
        </w:rPr>
        <w:t>a lack of appropriately targeted services</w:t>
      </w:r>
      <w:r w:rsidR="004B6FAE">
        <w:rPr>
          <w:sz w:val="20"/>
          <w:szCs w:val="20"/>
        </w:rPr>
        <w:t xml:space="preserve">, including </w:t>
      </w:r>
      <w:r w:rsidR="00796AD1">
        <w:rPr>
          <w:sz w:val="20"/>
          <w:szCs w:val="20"/>
        </w:rPr>
        <w:t xml:space="preserve">culturally </w:t>
      </w:r>
      <w:r w:rsidR="00AF1074">
        <w:rPr>
          <w:sz w:val="20"/>
          <w:szCs w:val="20"/>
        </w:rPr>
        <w:t>competent</w:t>
      </w:r>
      <w:r w:rsidR="00796AD1">
        <w:rPr>
          <w:sz w:val="20"/>
          <w:szCs w:val="20"/>
        </w:rPr>
        <w:t xml:space="preserve"> </w:t>
      </w:r>
      <w:r w:rsidR="004B6FAE">
        <w:rPr>
          <w:sz w:val="20"/>
          <w:szCs w:val="20"/>
        </w:rPr>
        <w:t>peer education and outreach</w:t>
      </w:r>
      <w:r w:rsidR="003960CF" w:rsidRPr="002B17C5">
        <w:rPr>
          <w:sz w:val="20"/>
          <w:szCs w:val="20"/>
        </w:rPr>
        <w:t>.</w:t>
      </w:r>
      <w:r w:rsidR="002B17C5" w:rsidRPr="002B17C5">
        <w:rPr>
          <w:sz w:val="20"/>
          <w:szCs w:val="20"/>
        </w:rPr>
        <w:t xml:space="preserve"> These barriers can </w:t>
      </w:r>
      <w:r w:rsidRPr="002B17C5">
        <w:rPr>
          <w:sz w:val="20"/>
          <w:szCs w:val="20"/>
        </w:rPr>
        <w:t>impede access to evidence-based prevention, testing, treatment and support services and can result in increased risk of STI, loss of livelihood, and risk to personal and physical safety.</w:t>
      </w:r>
      <w:r w:rsidRPr="002B17C5">
        <w:rPr>
          <w:rStyle w:val="EndnoteReference"/>
          <w:sz w:val="20"/>
          <w:szCs w:val="20"/>
        </w:rPr>
        <w:endnoteReference w:id="49"/>
      </w:r>
      <w:r w:rsidR="006670F2" w:rsidRPr="002B17C5">
        <w:rPr>
          <w:sz w:val="20"/>
          <w:szCs w:val="20"/>
        </w:rPr>
        <w:t xml:space="preserve"> </w:t>
      </w:r>
      <w:r w:rsidR="00FA5E4D" w:rsidRPr="002B17C5">
        <w:rPr>
          <w:sz w:val="20"/>
          <w:szCs w:val="20"/>
        </w:rPr>
        <w:t xml:space="preserve">This can be further exacerbated </w:t>
      </w:r>
      <w:r w:rsidR="002B17C5" w:rsidRPr="002B17C5">
        <w:rPr>
          <w:sz w:val="20"/>
          <w:szCs w:val="20"/>
        </w:rPr>
        <w:t>for</w:t>
      </w:r>
      <w:r w:rsidR="00FA5E4D" w:rsidRPr="002B17C5">
        <w:rPr>
          <w:sz w:val="20"/>
          <w:szCs w:val="20"/>
        </w:rPr>
        <w:t xml:space="preserve"> </w:t>
      </w:r>
      <w:r w:rsidR="002B17C5" w:rsidRPr="002B17C5">
        <w:rPr>
          <w:sz w:val="20"/>
          <w:szCs w:val="20"/>
        </w:rPr>
        <w:t xml:space="preserve">Aboriginal and Torres Strait Islander </w:t>
      </w:r>
      <w:r w:rsidR="00FA5E4D" w:rsidRPr="002B17C5">
        <w:rPr>
          <w:sz w:val="20"/>
          <w:szCs w:val="20"/>
        </w:rPr>
        <w:t xml:space="preserve">sex workers </w:t>
      </w:r>
      <w:r w:rsidR="005412DB">
        <w:rPr>
          <w:sz w:val="20"/>
          <w:szCs w:val="20"/>
        </w:rPr>
        <w:t>if they are</w:t>
      </w:r>
      <w:r w:rsidR="002B17C5">
        <w:rPr>
          <w:sz w:val="20"/>
          <w:szCs w:val="20"/>
        </w:rPr>
        <w:t xml:space="preserve"> highly mobile</w:t>
      </w:r>
      <w:r w:rsidR="005412DB">
        <w:rPr>
          <w:sz w:val="20"/>
          <w:szCs w:val="20"/>
        </w:rPr>
        <w:t xml:space="preserve"> and </w:t>
      </w:r>
      <w:r w:rsidR="005412DB">
        <w:rPr>
          <w:sz w:val="20"/>
          <w:szCs w:val="20"/>
        </w:rPr>
        <w:lastRenderedPageBreak/>
        <w:t xml:space="preserve">by </w:t>
      </w:r>
      <w:r w:rsidR="002B17C5" w:rsidRPr="002B17C5">
        <w:rPr>
          <w:sz w:val="20"/>
          <w:szCs w:val="20"/>
        </w:rPr>
        <w:t>experiences of social isolation and exclusion</w:t>
      </w:r>
      <w:r w:rsidR="005412DB">
        <w:rPr>
          <w:sz w:val="20"/>
          <w:szCs w:val="20"/>
        </w:rPr>
        <w:t xml:space="preserve">. </w:t>
      </w:r>
      <w:r w:rsidR="00FA5E4D" w:rsidRPr="002B17C5">
        <w:rPr>
          <w:sz w:val="20"/>
          <w:szCs w:val="20"/>
        </w:rPr>
        <w:t xml:space="preserve">Additional layers of stigma are </w:t>
      </w:r>
      <w:r w:rsidRPr="002B17C5">
        <w:rPr>
          <w:sz w:val="20"/>
          <w:szCs w:val="20"/>
        </w:rPr>
        <w:t xml:space="preserve">also </w:t>
      </w:r>
      <w:r w:rsidR="00FA5E4D" w:rsidRPr="002B17C5">
        <w:rPr>
          <w:sz w:val="20"/>
          <w:szCs w:val="20"/>
        </w:rPr>
        <w:t xml:space="preserve">experienced by sex workers </w:t>
      </w:r>
      <w:r w:rsidRPr="002B17C5">
        <w:rPr>
          <w:sz w:val="20"/>
          <w:szCs w:val="20"/>
        </w:rPr>
        <w:t>who identify with other</w:t>
      </w:r>
      <w:r w:rsidR="00FA5E4D" w:rsidRPr="002B17C5">
        <w:rPr>
          <w:sz w:val="20"/>
          <w:szCs w:val="20"/>
        </w:rPr>
        <w:t xml:space="preserve"> priority </w:t>
      </w:r>
      <w:r w:rsidRPr="002B17C5">
        <w:rPr>
          <w:sz w:val="20"/>
          <w:szCs w:val="20"/>
        </w:rPr>
        <w:t>groups</w:t>
      </w:r>
      <w:r w:rsidRPr="00EA1AB4">
        <w:rPr>
          <w:sz w:val="20"/>
          <w:szCs w:val="20"/>
        </w:rPr>
        <w:t>,</w:t>
      </w:r>
      <w:r w:rsidR="00FA5E4D" w:rsidRPr="00EA1AB4">
        <w:rPr>
          <w:sz w:val="20"/>
          <w:szCs w:val="20"/>
        </w:rPr>
        <w:t xml:space="preserve"> such as sex</w:t>
      </w:r>
      <w:r w:rsidR="00FA5E4D" w:rsidRPr="002B17C5">
        <w:rPr>
          <w:sz w:val="20"/>
          <w:szCs w:val="20"/>
        </w:rPr>
        <w:t xml:space="preserve"> workers who inject drugs, sex workers with BBV and trans and gender</w:t>
      </w:r>
      <w:r w:rsidR="00EA1AB4">
        <w:rPr>
          <w:sz w:val="20"/>
          <w:szCs w:val="20"/>
        </w:rPr>
        <w:t>-</w:t>
      </w:r>
      <w:r w:rsidR="00FA5E4D" w:rsidRPr="002B17C5">
        <w:rPr>
          <w:sz w:val="20"/>
          <w:szCs w:val="20"/>
        </w:rPr>
        <w:t xml:space="preserve">diverse sex workers. </w:t>
      </w:r>
    </w:p>
    <w:p w14:paraId="1ECF612B" w14:textId="60C9873F" w:rsidR="006F4E9B" w:rsidRDefault="00526DBB" w:rsidP="006F4E9B">
      <w:pPr>
        <w:rPr>
          <w:sz w:val="20"/>
          <w:szCs w:val="20"/>
          <w:lang w:eastAsia="en-AU"/>
        </w:rPr>
      </w:pPr>
      <w:r>
        <w:rPr>
          <w:sz w:val="20"/>
          <w:szCs w:val="20"/>
        </w:rPr>
        <w:t xml:space="preserve">The risk </w:t>
      </w:r>
      <w:r w:rsidR="00BC0752" w:rsidRPr="00E971C7">
        <w:rPr>
          <w:sz w:val="20"/>
          <w:szCs w:val="20"/>
        </w:rPr>
        <w:t xml:space="preserve">of exposure to BBV and STI is greater for </w:t>
      </w:r>
      <w:r w:rsidR="009C61D3">
        <w:rPr>
          <w:sz w:val="20"/>
          <w:szCs w:val="20"/>
        </w:rPr>
        <w:t>sex</w:t>
      </w:r>
      <w:r>
        <w:rPr>
          <w:sz w:val="20"/>
          <w:szCs w:val="20"/>
        </w:rPr>
        <w:t xml:space="preserve"> workers w</w:t>
      </w:r>
      <w:r w:rsidR="00BC0752" w:rsidRPr="00E971C7">
        <w:rPr>
          <w:sz w:val="20"/>
          <w:szCs w:val="20"/>
        </w:rPr>
        <w:t xml:space="preserve">ho have less opportunity to control </w:t>
      </w:r>
      <w:r>
        <w:rPr>
          <w:sz w:val="20"/>
          <w:szCs w:val="20"/>
        </w:rPr>
        <w:t xml:space="preserve">the </w:t>
      </w:r>
      <w:r w:rsidR="00BC0752" w:rsidRPr="00E971C7">
        <w:rPr>
          <w:sz w:val="20"/>
          <w:szCs w:val="20"/>
        </w:rPr>
        <w:t>health a</w:t>
      </w:r>
      <w:r w:rsidR="00D95AF6">
        <w:rPr>
          <w:sz w:val="20"/>
          <w:szCs w:val="20"/>
        </w:rPr>
        <w:t>nd safety aspec</w:t>
      </w:r>
      <w:r>
        <w:rPr>
          <w:sz w:val="20"/>
          <w:szCs w:val="20"/>
        </w:rPr>
        <w:t xml:space="preserve">ts of their work. This includes </w:t>
      </w:r>
      <w:r w:rsidRPr="00E971C7">
        <w:rPr>
          <w:sz w:val="20"/>
          <w:szCs w:val="20"/>
        </w:rPr>
        <w:t>street-based sex workers</w:t>
      </w:r>
      <w:r w:rsidR="003A6AEC">
        <w:rPr>
          <w:sz w:val="20"/>
          <w:szCs w:val="20"/>
        </w:rPr>
        <w:t>,</w:t>
      </w:r>
      <w:r>
        <w:rPr>
          <w:sz w:val="20"/>
          <w:szCs w:val="20"/>
        </w:rPr>
        <w:t xml:space="preserve"> who are more heavily criminalised and policed. </w:t>
      </w:r>
      <w:r w:rsidR="00D95AF6" w:rsidRPr="00E971C7">
        <w:rPr>
          <w:sz w:val="20"/>
          <w:szCs w:val="20"/>
        </w:rPr>
        <w:t>Aboriginal and Torres Strait Islander sex workers are over</w:t>
      </w:r>
      <w:r w:rsidR="003A6AEC">
        <w:rPr>
          <w:sz w:val="20"/>
          <w:szCs w:val="20"/>
        </w:rPr>
        <w:t>-</w:t>
      </w:r>
      <w:r w:rsidR="00D95AF6" w:rsidRPr="00E971C7">
        <w:rPr>
          <w:sz w:val="20"/>
          <w:szCs w:val="20"/>
        </w:rPr>
        <w:t>represented in street-based sex work and may be particularly marginalised.</w:t>
      </w:r>
      <w:r w:rsidR="00D95AF6" w:rsidRPr="00E971C7">
        <w:rPr>
          <w:rStyle w:val="EndnoteReference"/>
          <w:sz w:val="20"/>
          <w:szCs w:val="20"/>
        </w:rPr>
        <w:endnoteReference w:id="50"/>
      </w:r>
      <w:r w:rsidR="006F4E9B">
        <w:rPr>
          <w:sz w:val="20"/>
          <w:szCs w:val="20"/>
        </w:rPr>
        <w:t xml:space="preserve"> </w:t>
      </w:r>
      <w:r w:rsidR="006F4E9B">
        <w:rPr>
          <w:sz w:val="20"/>
          <w:szCs w:val="20"/>
          <w:lang w:eastAsia="en-AU"/>
        </w:rPr>
        <w:t xml:space="preserve">Evidence that has emerged since the previous strategy definitively shows that decriminalisation of sex work is linked to the reduction of HIV risk and </w:t>
      </w:r>
      <w:r w:rsidR="006F4E9B" w:rsidRPr="001936C5">
        <w:rPr>
          <w:sz w:val="20"/>
          <w:szCs w:val="20"/>
          <w:lang w:eastAsia="en-AU"/>
        </w:rPr>
        <w:t>rates</w:t>
      </w:r>
      <w:r w:rsidR="006F4E9B">
        <w:rPr>
          <w:sz w:val="20"/>
          <w:szCs w:val="20"/>
          <w:lang w:eastAsia="en-AU"/>
        </w:rPr>
        <w:t>.</w:t>
      </w:r>
      <w:r w:rsidR="001936C5" w:rsidRPr="001936C5">
        <w:rPr>
          <w:rStyle w:val="EndnoteReference"/>
        </w:rPr>
        <w:t>48</w:t>
      </w:r>
      <w:r w:rsidR="006F4E9B" w:rsidRPr="001936C5">
        <w:rPr>
          <w:rStyle w:val="EndnoteReference"/>
        </w:rPr>
        <w:t xml:space="preserve"> </w:t>
      </w:r>
    </w:p>
    <w:p w14:paraId="62737794" w14:textId="182928A0" w:rsidR="00242A5C" w:rsidRPr="006670F2" w:rsidRDefault="000846B1" w:rsidP="006670F2">
      <w:pPr>
        <w:pStyle w:val="Default"/>
        <w:rPr>
          <w:rFonts w:ascii="Segoe UI" w:hAnsi="Segoe UI" w:cs="Times New Roman"/>
          <w:color w:val="auto"/>
          <w:sz w:val="20"/>
          <w:szCs w:val="20"/>
          <w:lang w:eastAsia="en-US"/>
        </w:rPr>
      </w:pPr>
      <w:r w:rsidRPr="00E971C7">
        <w:rPr>
          <w:rFonts w:ascii="Segoe UI" w:hAnsi="Segoe UI" w:cs="Times New Roman"/>
          <w:color w:val="auto"/>
          <w:sz w:val="20"/>
          <w:szCs w:val="20"/>
          <w:lang w:eastAsia="en-US"/>
        </w:rPr>
        <w:t xml:space="preserve">There is a need to </w:t>
      </w:r>
      <w:r w:rsidR="00AF1074">
        <w:rPr>
          <w:rFonts w:ascii="Segoe UI" w:hAnsi="Segoe UI" w:cs="Times New Roman"/>
          <w:color w:val="auto"/>
          <w:sz w:val="20"/>
          <w:szCs w:val="20"/>
          <w:lang w:eastAsia="en-US"/>
        </w:rPr>
        <w:t xml:space="preserve">identify and </w:t>
      </w:r>
      <w:r w:rsidRPr="00E971C7">
        <w:rPr>
          <w:rFonts w:ascii="Segoe UI" w:hAnsi="Segoe UI" w:cs="Times New Roman"/>
          <w:color w:val="auto"/>
          <w:sz w:val="20"/>
          <w:szCs w:val="20"/>
          <w:lang w:eastAsia="en-US"/>
        </w:rPr>
        <w:t xml:space="preserve">expand </w:t>
      </w:r>
      <w:r w:rsidR="00AF1074">
        <w:rPr>
          <w:rFonts w:ascii="Segoe UI" w:hAnsi="Segoe UI" w:cs="Times New Roman"/>
          <w:color w:val="auto"/>
          <w:sz w:val="20"/>
          <w:szCs w:val="20"/>
          <w:lang w:eastAsia="en-US"/>
        </w:rPr>
        <w:t xml:space="preserve">culturally competent </w:t>
      </w:r>
      <w:r w:rsidR="006670F2" w:rsidRPr="00E971C7">
        <w:rPr>
          <w:rFonts w:ascii="Segoe UI" w:hAnsi="Segoe UI" w:cs="Times New Roman"/>
          <w:color w:val="auto"/>
          <w:sz w:val="20"/>
          <w:szCs w:val="20"/>
          <w:lang w:eastAsia="en-US"/>
        </w:rPr>
        <w:t>peer</w:t>
      </w:r>
      <w:r w:rsidR="007807BD">
        <w:rPr>
          <w:rFonts w:ascii="Segoe UI" w:hAnsi="Segoe UI" w:cs="Times New Roman"/>
          <w:color w:val="auto"/>
          <w:sz w:val="20"/>
          <w:szCs w:val="20"/>
          <w:lang w:eastAsia="en-US"/>
        </w:rPr>
        <w:t>-based</w:t>
      </w:r>
      <w:r w:rsidR="006670F2" w:rsidRPr="00E971C7">
        <w:rPr>
          <w:rFonts w:ascii="Segoe UI" w:hAnsi="Segoe UI" w:cs="Times New Roman"/>
          <w:color w:val="auto"/>
          <w:sz w:val="20"/>
          <w:szCs w:val="20"/>
          <w:lang w:eastAsia="en-US"/>
        </w:rPr>
        <w:t xml:space="preserve"> responses </w:t>
      </w:r>
      <w:r w:rsidRPr="00E971C7">
        <w:rPr>
          <w:rFonts w:ascii="Segoe UI" w:hAnsi="Segoe UI" w:cs="Times New Roman"/>
          <w:color w:val="auto"/>
          <w:sz w:val="20"/>
          <w:szCs w:val="20"/>
          <w:lang w:eastAsia="en-US"/>
        </w:rPr>
        <w:t>for Aboriginal and Torres Strait Islander sex workers</w:t>
      </w:r>
      <w:r w:rsidR="00242A5C" w:rsidRPr="00E971C7">
        <w:rPr>
          <w:rFonts w:ascii="Segoe UI" w:hAnsi="Segoe UI" w:cs="Times New Roman"/>
          <w:color w:val="auto"/>
          <w:sz w:val="20"/>
          <w:szCs w:val="20"/>
          <w:lang w:eastAsia="en-US"/>
        </w:rPr>
        <w:t xml:space="preserve"> </w:t>
      </w:r>
      <w:r w:rsidR="006670F2" w:rsidRPr="00E971C7">
        <w:rPr>
          <w:rFonts w:ascii="Segoe UI" w:hAnsi="Segoe UI" w:cs="Times New Roman"/>
          <w:color w:val="auto"/>
          <w:sz w:val="20"/>
          <w:szCs w:val="20"/>
          <w:lang w:eastAsia="en-US"/>
        </w:rPr>
        <w:t>as well as</w:t>
      </w:r>
      <w:r w:rsidR="00242A5C" w:rsidRPr="00E971C7">
        <w:rPr>
          <w:rFonts w:ascii="Segoe UI" w:hAnsi="Segoe UI" w:cs="Times New Roman"/>
          <w:color w:val="auto"/>
          <w:sz w:val="20"/>
          <w:szCs w:val="20"/>
          <w:lang w:eastAsia="en-US"/>
        </w:rPr>
        <w:t xml:space="preserve"> for</w:t>
      </w:r>
      <w:r w:rsidR="00D95AF6">
        <w:rPr>
          <w:rFonts w:ascii="Segoe UI" w:hAnsi="Segoe UI" w:cs="Times New Roman"/>
          <w:color w:val="auto"/>
          <w:sz w:val="20"/>
          <w:szCs w:val="20"/>
          <w:lang w:eastAsia="en-US"/>
        </w:rPr>
        <w:t xml:space="preserve"> </w:t>
      </w:r>
      <w:r w:rsidR="00D95AF6" w:rsidRPr="00E971C7">
        <w:rPr>
          <w:rFonts w:ascii="Segoe UI" w:hAnsi="Segoe UI" w:cs="Times New Roman"/>
          <w:color w:val="auto"/>
          <w:sz w:val="20"/>
          <w:szCs w:val="20"/>
          <w:lang w:eastAsia="en-US"/>
        </w:rPr>
        <w:t>Aboriginal and Torres Strait Islander</w:t>
      </w:r>
      <w:r w:rsidR="00242A5C" w:rsidRPr="00E971C7">
        <w:rPr>
          <w:rFonts w:ascii="Segoe UI" w:hAnsi="Segoe UI" w:cs="Times New Roman"/>
          <w:color w:val="auto"/>
          <w:sz w:val="20"/>
          <w:szCs w:val="20"/>
          <w:lang w:eastAsia="en-US"/>
        </w:rPr>
        <w:t xml:space="preserve"> </w:t>
      </w:r>
      <w:r w:rsidR="008D0C64" w:rsidRPr="00E971C7">
        <w:rPr>
          <w:rFonts w:ascii="Segoe UI" w:hAnsi="Segoe UI" w:cs="Times New Roman"/>
          <w:color w:val="auto"/>
          <w:sz w:val="20"/>
          <w:szCs w:val="20"/>
          <w:lang w:eastAsia="en-US"/>
        </w:rPr>
        <w:t>people</w:t>
      </w:r>
      <w:r w:rsidR="00242A5C" w:rsidRPr="00E971C7">
        <w:rPr>
          <w:rFonts w:ascii="Segoe UI" w:hAnsi="Segoe UI" w:cs="Times New Roman"/>
          <w:color w:val="auto"/>
          <w:sz w:val="20"/>
          <w:szCs w:val="20"/>
          <w:lang w:eastAsia="en-US"/>
        </w:rPr>
        <w:t xml:space="preserve"> </w:t>
      </w:r>
      <w:r w:rsidR="00D95AF6">
        <w:rPr>
          <w:rFonts w:ascii="Segoe UI" w:hAnsi="Segoe UI" w:cs="Times New Roman"/>
          <w:color w:val="auto"/>
          <w:sz w:val="20"/>
          <w:szCs w:val="20"/>
          <w:lang w:eastAsia="en-US"/>
        </w:rPr>
        <w:t>who provide s</w:t>
      </w:r>
      <w:r w:rsidR="00242A5C" w:rsidRPr="00E971C7">
        <w:rPr>
          <w:rFonts w:ascii="Segoe UI" w:hAnsi="Segoe UI" w:cs="Times New Roman"/>
          <w:color w:val="auto"/>
          <w:sz w:val="20"/>
          <w:szCs w:val="20"/>
          <w:lang w:eastAsia="en-US"/>
        </w:rPr>
        <w:t xml:space="preserve">exual services but may not identify as being </w:t>
      </w:r>
      <w:r w:rsidR="006670F2" w:rsidRPr="00E971C7">
        <w:rPr>
          <w:rFonts w:ascii="Segoe UI" w:hAnsi="Segoe UI" w:cs="Times New Roman"/>
          <w:color w:val="auto"/>
          <w:sz w:val="20"/>
          <w:szCs w:val="20"/>
          <w:lang w:eastAsia="en-US"/>
        </w:rPr>
        <w:t>a</w:t>
      </w:r>
      <w:r w:rsidR="00242A5C" w:rsidRPr="00E971C7">
        <w:rPr>
          <w:rFonts w:ascii="Segoe UI" w:hAnsi="Segoe UI" w:cs="Times New Roman"/>
          <w:color w:val="auto"/>
          <w:sz w:val="20"/>
          <w:szCs w:val="20"/>
          <w:lang w:eastAsia="en-US"/>
        </w:rPr>
        <w:t xml:space="preserve"> sex worker.</w:t>
      </w:r>
      <w:r w:rsidR="00242A5C" w:rsidRPr="006670F2">
        <w:rPr>
          <w:rFonts w:ascii="Segoe UI" w:hAnsi="Segoe UI" w:cs="Times New Roman"/>
          <w:color w:val="auto"/>
          <w:sz w:val="20"/>
          <w:szCs w:val="20"/>
          <w:lang w:eastAsia="en-US"/>
        </w:rPr>
        <w:t xml:space="preserve"> </w:t>
      </w:r>
    </w:p>
    <w:p w14:paraId="02BF6347" w14:textId="77777777" w:rsidR="006670F2" w:rsidRDefault="006670F2" w:rsidP="00BC0752">
      <w:pPr>
        <w:autoSpaceDE w:val="0"/>
        <w:autoSpaceDN w:val="0"/>
        <w:adjustRightInd w:val="0"/>
        <w:spacing w:after="0"/>
        <w:rPr>
          <w:sz w:val="20"/>
          <w:szCs w:val="20"/>
        </w:rPr>
      </w:pPr>
    </w:p>
    <w:p w14:paraId="03504D99" w14:textId="77777777" w:rsidR="00CA7F81" w:rsidRPr="006670F2" w:rsidRDefault="00CA7F81" w:rsidP="00BC0752">
      <w:pPr>
        <w:autoSpaceDE w:val="0"/>
        <w:autoSpaceDN w:val="0"/>
        <w:adjustRightInd w:val="0"/>
        <w:spacing w:after="0"/>
        <w:rPr>
          <w:rFonts w:ascii="Segoe UI Semibold" w:hAnsi="Segoe UI Semibold"/>
          <w:bCs/>
          <w:i/>
          <w:color w:val="00264D"/>
          <w:sz w:val="22"/>
          <w:szCs w:val="18"/>
        </w:rPr>
      </w:pPr>
      <w:r w:rsidRPr="006670F2">
        <w:rPr>
          <w:rFonts w:ascii="Segoe UI Semibold" w:hAnsi="Segoe UI Semibold"/>
          <w:bCs/>
          <w:i/>
          <w:color w:val="00264D"/>
          <w:sz w:val="22"/>
          <w:szCs w:val="18"/>
        </w:rPr>
        <w:t xml:space="preserve">People living in the cross-border region of Australia and Papua New Guinea </w:t>
      </w:r>
    </w:p>
    <w:p w14:paraId="607E7F78" w14:textId="3879FB5D" w:rsidR="00C372D6" w:rsidRDefault="00CA7F81" w:rsidP="006C155C">
      <w:pPr>
        <w:spacing w:before="120" w:after="0"/>
      </w:pPr>
      <w:r w:rsidRPr="005E0C1E">
        <w:rPr>
          <w:sz w:val="20"/>
          <w:szCs w:val="20"/>
        </w:rPr>
        <w:t xml:space="preserve">For </w:t>
      </w:r>
      <w:r w:rsidR="00426022">
        <w:rPr>
          <w:sz w:val="20"/>
          <w:szCs w:val="20"/>
        </w:rPr>
        <w:t xml:space="preserve">Aboriginal and Torres Strait Islander </w:t>
      </w:r>
      <w:r w:rsidRPr="005E0C1E">
        <w:rPr>
          <w:sz w:val="20"/>
          <w:szCs w:val="20"/>
        </w:rPr>
        <w:t xml:space="preserve">people living in the cross-border region of Australia and Papua New Guinea, there is an elevated risk </w:t>
      </w:r>
      <w:r w:rsidR="00EA1AB4">
        <w:rPr>
          <w:sz w:val="20"/>
          <w:szCs w:val="20"/>
        </w:rPr>
        <w:t xml:space="preserve">of </w:t>
      </w:r>
      <w:r w:rsidRPr="00EA1AB4">
        <w:rPr>
          <w:sz w:val="20"/>
          <w:szCs w:val="20"/>
        </w:rPr>
        <w:t>HIV, BBV and STI entering communities</w:t>
      </w:r>
      <w:r w:rsidR="005B737F" w:rsidRPr="00EA1AB4">
        <w:rPr>
          <w:sz w:val="20"/>
          <w:szCs w:val="20"/>
        </w:rPr>
        <w:t>.</w:t>
      </w:r>
      <w:r w:rsidR="005B737F">
        <w:rPr>
          <w:sz w:val="20"/>
          <w:szCs w:val="20"/>
        </w:rPr>
        <w:t xml:space="preserve"> This is</w:t>
      </w:r>
      <w:r w:rsidRPr="005E0C1E">
        <w:rPr>
          <w:sz w:val="20"/>
          <w:szCs w:val="20"/>
        </w:rPr>
        <w:t xml:space="preserve"> because of proximity </w:t>
      </w:r>
      <w:r w:rsidR="00242A5C">
        <w:rPr>
          <w:sz w:val="20"/>
          <w:szCs w:val="20"/>
        </w:rPr>
        <w:t xml:space="preserve">and </w:t>
      </w:r>
      <w:r w:rsidRPr="005E0C1E">
        <w:rPr>
          <w:sz w:val="20"/>
          <w:szCs w:val="20"/>
        </w:rPr>
        <w:t>cultural, familial and trade c</w:t>
      </w:r>
      <w:r w:rsidR="005B737F">
        <w:rPr>
          <w:sz w:val="20"/>
          <w:szCs w:val="20"/>
        </w:rPr>
        <w:t xml:space="preserve">onnections to Papua New Guinea, which </w:t>
      </w:r>
      <w:r w:rsidRPr="005E0C1E">
        <w:rPr>
          <w:sz w:val="20"/>
          <w:szCs w:val="20"/>
        </w:rPr>
        <w:t xml:space="preserve">has </w:t>
      </w:r>
      <w:r>
        <w:rPr>
          <w:sz w:val="20"/>
          <w:szCs w:val="20"/>
        </w:rPr>
        <w:t xml:space="preserve">high rates of STI, including </w:t>
      </w:r>
      <w:r w:rsidRPr="005E0C1E">
        <w:rPr>
          <w:sz w:val="20"/>
          <w:szCs w:val="20"/>
        </w:rPr>
        <w:t>the highest rate of HIV in the Pacific region.</w:t>
      </w:r>
      <w:r>
        <w:rPr>
          <w:rStyle w:val="EndnoteReference"/>
          <w:sz w:val="20"/>
          <w:szCs w:val="20"/>
        </w:rPr>
        <w:endnoteReference w:id="51"/>
      </w:r>
      <w:r w:rsidRPr="00857ABA">
        <w:rPr>
          <w:sz w:val="20"/>
          <w:szCs w:val="20"/>
          <w:vertAlign w:val="superscript"/>
        </w:rPr>
        <w:t>,</w:t>
      </w:r>
      <w:r>
        <w:rPr>
          <w:rStyle w:val="EndnoteReference"/>
          <w:sz w:val="20"/>
          <w:szCs w:val="20"/>
        </w:rPr>
        <w:endnoteReference w:id="52"/>
      </w:r>
      <w:r w:rsidRPr="005E0C1E">
        <w:rPr>
          <w:sz w:val="20"/>
          <w:szCs w:val="20"/>
        </w:rPr>
        <w:t xml:space="preserve"> The movement of people has steadily increased in recent years, increasing the risk of transmission and the pressure on healthcare facilities both in Australia and in Papua New Guinea. In response to managing this risk the </w:t>
      </w:r>
      <w:r w:rsidR="003A6AEC">
        <w:rPr>
          <w:sz w:val="20"/>
          <w:szCs w:val="20"/>
        </w:rPr>
        <w:t xml:space="preserve">Australian Government </w:t>
      </w:r>
      <w:r w:rsidRPr="005E0C1E">
        <w:rPr>
          <w:sz w:val="20"/>
          <w:szCs w:val="20"/>
        </w:rPr>
        <w:t xml:space="preserve">has funded </w:t>
      </w:r>
      <w:r>
        <w:rPr>
          <w:sz w:val="20"/>
          <w:szCs w:val="20"/>
        </w:rPr>
        <w:t xml:space="preserve">Torres and Cape Hospital and Health Service, </w:t>
      </w:r>
      <w:r w:rsidRPr="005E0C1E">
        <w:rPr>
          <w:sz w:val="20"/>
          <w:szCs w:val="20"/>
        </w:rPr>
        <w:t>Queensland Health</w:t>
      </w:r>
      <w:r w:rsidR="003A6AEC">
        <w:rPr>
          <w:sz w:val="20"/>
          <w:szCs w:val="20"/>
        </w:rPr>
        <w:t>,</w:t>
      </w:r>
      <w:r w:rsidRPr="005E0C1E">
        <w:rPr>
          <w:sz w:val="20"/>
          <w:szCs w:val="20"/>
        </w:rPr>
        <w:t xml:space="preserve"> over several years to further support its health services to specifically target these issues. Data shows </w:t>
      </w:r>
      <w:r w:rsidR="00EA1AB4">
        <w:rPr>
          <w:sz w:val="20"/>
          <w:szCs w:val="20"/>
        </w:rPr>
        <w:t xml:space="preserve">that </w:t>
      </w:r>
      <w:r w:rsidRPr="005E0C1E">
        <w:rPr>
          <w:sz w:val="20"/>
          <w:szCs w:val="20"/>
        </w:rPr>
        <w:t>the incidence of these diseases is declining</w:t>
      </w:r>
      <w:r w:rsidR="00EA1AB4">
        <w:rPr>
          <w:sz w:val="20"/>
          <w:szCs w:val="20"/>
        </w:rPr>
        <w:t>,</w:t>
      </w:r>
      <w:r w:rsidRPr="005E0C1E">
        <w:rPr>
          <w:sz w:val="20"/>
          <w:szCs w:val="20"/>
        </w:rPr>
        <w:t xml:space="preserve"> with the exception of </w:t>
      </w:r>
      <w:r>
        <w:rPr>
          <w:sz w:val="20"/>
          <w:szCs w:val="20"/>
        </w:rPr>
        <w:t>HIV</w:t>
      </w:r>
      <w:r w:rsidR="004F4A77">
        <w:rPr>
          <w:sz w:val="20"/>
          <w:szCs w:val="20"/>
          <w:vertAlign w:val="superscript"/>
        </w:rPr>
        <w:t>6</w:t>
      </w:r>
      <w:r w:rsidRPr="003A6AEC">
        <w:rPr>
          <w:sz w:val="20"/>
          <w:szCs w:val="20"/>
        </w:rPr>
        <w:t xml:space="preserve"> </w:t>
      </w:r>
      <w:r>
        <w:rPr>
          <w:sz w:val="20"/>
          <w:szCs w:val="20"/>
        </w:rPr>
        <w:t xml:space="preserve">and </w:t>
      </w:r>
      <w:r w:rsidRPr="005E0C1E">
        <w:rPr>
          <w:sz w:val="20"/>
          <w:szCs w:val="20"/>
        </w:rPr>
        <w:t xml:space="preserve">an outbreak of syphilis in </w:t>
      </w:r>
      <w:r>
        <w:rPr>
          <w:sz w:val="20"/>
          <w:szCs w:val="20"/>
        </w:rPr>
        <w:t>northern Australia, including the Torres Strait</w:t>
      </w:r>
      <w:r w:rsidR="00CB1E49">
        <w:rPr>
          <w:sz w:val="20"/>
          <w:szCs w:val="20"/>
        </w:rPr>
        <w:t>,</w:t>
      </w:r>
      <w:r w:rsidRPr="005E0C1E">
        <w:rPr>
          <w:sz w:val="20"/>
          <w:szCs w:val="20"/>
        </w:rPr>
        <w:t xml:space="preserve"> and for which a national enhanced response is underway.</w:t>
      </w:r>
      <w:bookmarkEnd w:id="8"/>
      <w:bookmarkEnd w:id="9"/>
      <w:bookmarkEnd w:id="10"/>
      <w:bookmarkEnd w:id="11"/>
      <w:bookmarkEnd w:id="12"/>
      <w:bookmarkEnd w:id="13"/>
      <w:bookmarkEnd w:id="14"/>
      <w:bookmarkEnd w:id="15"/>
      <w:bookmarkEnd w:id="16"/>
      <w:bookmarkEnd w:id="17"/>
      <w:bookmarkEnd w:id="18"/>
      <w:r w:rsidR="006C155C">
        <w:t xml:space="preserve"> </w:t>
      </w:r>
    </w:p>
    <w:p w14:paraId="6FED1880" w14:textId="77777777" w:rsidR="00FD0CA6" w:rsidRDefault="00FD0CA6" w:rsidP="00FD0CA6">
      <w:pPr>
        <w:sectPr w:rsidR="00FD0CA6" w:rsidSect="00140F0D">
          <w:footnotePr>
            <w:numFmt w:val="lowerLetter"/>
          </w:footnotePr>
          <w:endnotePr>
            <w:numFmt w:val="decimal"/>
          </w:endnotePr>
          <w:pgSz w:w="11907" w:h="16839" w:code="9"/>
          <w:pgMar w:top="1440" w:right="1080" w:bottom="1440" w:left="1080" w:header="720" w:footer="720" w:gutter="0"/>
          <w:cols w:space="720"/>
          <w:docGrid w:linePitch="360"/>
        </w:sectPr>
      </w:pPr>
    </w:p>
    <w:p w14:paraId="75D1D4A4" w14:textId="77777777" w:rsidR="00693F8E" w:rsidRDefault="00693F8E" w:rsidP="00693F8E">
      <w:pPr>
        <w:pStyle w:val="Heading1"/>
      </w:pPr>
      <w:bookmarkStart w:id="25" w:name="_Toc495937272"/>
      <w:bookmarkStart w:id="26" w:name="_Toc501537604"/>
      <w:bookmarkStart w:id="27" w:name="_Toc529472450"/>
      <w:bookmarkStart w:id="28" w:name="_Toc497122344"/>
      <w:bookmarkStart w:id="29" w:name="_Toc497154148"/>
      <w:bookmarkStart w:id="30" w:name="_Toc497208341"/>
      <w:bookmarkStart w:id="31" w:name="_Toc497217074"/>
      <w:bookmarkStart w:id="32" w:name="_Toc497120625"/>
      <w:bookmarkStart w:id="33" w:name="_Toc496779366"/>
      <w:bookmarkStart w:id="34" w:name="_Toc495352188"/>
      <w:bookmarkStart w:id="35" w:name="_Toc496281668"/>
      <w:bookmarkStart w:id="36" w:name="_Toc496282328"/>
      <w:bookmarkEnd w:id="25"/>
      <w:r>
        <w:lastRenderedPageBreak/>
        <w:t>Key areas for action</w:t>
      </w:r>
      <w:bookmarkEnd w:id="26"/>
      <w:bookmarkEnd w:id="27"/>
    </w:p>
    <w:bookmarkEnd w:id="28"/>
    <w:bookmarkEnd w:id="29"/>
    <w:bookmarkEnd w:id="30"/>
    <w:bookmarkEnd w:id="31"/>
    <w:bookmarkEnd w:id="32"/>
    <w:bookmarkEnd w:id="33"/>
    <w:bookmarkEnd w:id="34"/>
    <w:bookmarkEnd w:id="35"/>
    <w:bookmarkEnd w:id="36"/>
    <w:p w14:paraId="0DD79862" w14:textId="353642E6" w:rsidR="00D85D1F" w:rsidRPr="00740F96" w:rsidDel="00252B68" w:rsidRDefault="00D85D1F" w:rsidP="00D85D1F">
      <w:pPr>
        <w:rPr>
          <w:i/>
          <w:sz w:val="20"/>
          <w:szCs w:val="20"/>
          <w:lang w:eastAsia="en-AU"/>
        </w:rPr>
      </w:pPr>
      <w:r w:rsidRPr="00740F96" w:rsidDel="00252B68">
        <w:rPr>
          <w:i/>
          <w:sz w:val="20"/>
          <w:szCs w:val="20"/>
          <w:lang w:eastAsia="en-AU"/>
        </w:rPr>
        <w:t xml:space="preserve">This </w:t>
      </w:r>
      <w:r w:rsidR="00EA1AB4">
        <w:rPr>
          <w:i/>
          <w:sz w:val="20"/>
          <w:szCs w:val="20"/>
          <w:lang w:eastAsia="en-AU"/>
        </w:rPr>
        <w:t>s</w:t>
      </w:r>
      <w:r w:rsidRPr="00740F96" w:rsidDel="00252B68">
        <w:rPr>
          <w:i/>
          <w:sz w:val="20"/>
          <w:szCs w:val="20"/>
          <w:lang w:eastAsia="en-AU"/>
        </w:rPr>
        <w:t>trategy includes a set of priority areas for action designed to support the achievement of the goal</w:t>
      </w:r>
      <w:r w:rsidR="00D90D6F">
        <w:rPr>
          <w:i/>
          <w:sz w:val="20"/>
          <w:szCs w:val="20"/>
          <w:lang w:eastAsia="en-AU"/>
        </w:rPr>
        <w:t>s</w:t>
      </w:r>
      <w:r w:rsidRPr="00740F96" w:rsidDel="00252B68">
        <w:rPr>
          <w:i/>
          <w:sz w:val="20"/>
          <w:szCs w:val="20"/>
          <w:lang w:eastAsia="en-AU"/>
        </w:rPr>
        <w:t xml:space="preserve"> and targets. Each priority area for action relates to one or more of the targets</w:t>
      </w:r>
      <w:r w:rsidR="00EA1AB4">
        <w:rPr>
          <w:i/>
          <w:sz w:val="20"/>
          <w:szCs w:val="20"/>
          <w:lang w:eastAsia="en-AU"/>
        </w:rPr>
        <w:t>.</w:t>
      </w:r>
      <w:r w:rsidRPr="00740F96" w:rsidDel="00252B68">
        <w:rPr>
          <w:i/>
          <w:sz w:val="20"/>
          <w:szCs w:val="20"/>
          <w:lang w:eastAsia="en-AU"/>
        </w:rPr>
        <w:t xml:space="preserve"> </w:t>
      </w:r>
      <w:r w:rsidR="00EA1AB4">
        <w:rPr>
          <w:i/>
          <w:sz w:val="20"/>
          <w:szCs w:val="20"/>
          <w:lang w:eastAsia="en-AU"/>
        </w:rPr>
        <w:t>I</w:t>
      </w:r>
      <w:r w:rsidRPr="00740F96" w:rsidDel="00252B68">
        <w:rPr>
          <w:i/>
          <w:sz w:val="20"/>
          <w:szCs w:val="20"/>
          <w:lang w:eastAsia="en-AU"/>
        </w:rPr>
        <w:t>t is the interaction of these</w:t>
      </w:r>
      <w:r w:rsidR="007D1A69">
        <w:rPr>
          <w:i/>
          <w:sz w:val="20"/>
          <w:szCs w:val="20"/>
          <w:lang w:eastAsia="en-AU"/>
        </w:rPr>
        <w:t xml:space="preserve"> actions</w:t>
      </w:r>
      <w:r w:rsidRPr="00740F96" w:rsidDel="00252B68">
        <w:rPr>
          <w:i/>
          <w:sz w:val="20"/>
          <w:szCs w:val="20"/>
          <w:lang w:eastAsia="en-AU"/>
        </w:rPr>
        <w:t xml:space="preserve"> </w:t>
      </w:r>
      <w:r w:rsidRPr="00EA1AB4" w:rsidDel="00252B68">
        <w:rPr>
          <w:i/>
          <w:sz w:val="20"/>
          <w:szCs w:val="20"/>
          <w:lang w:eastAsia="en-AU"/>
        </w:rPr>
        <w:t>as a whole</w:t>
      </w:r>
      <w:r w:rsidRPr="00740F96" w:rsidDel="00252B68">
        <w:rPr>
          <w:i/>
          <w:sz w:val="20"/>
          <w:szCs w:val="20"/>
          <w:lang w:eastAsia="en-AU"/>
        </w:rPr>
        <w:t xml:space="preserve"> </w:t>
      </w:r>
      <w:r w:rsidR="003A6AEC">
        <w:rPr>
          <w:i/>
          <w:sz w:val="20"/>
          <w:szCs w:val="20"/>
          <w:lang w:eastAsia="en-AU"/>
        </w:rPr>
        <w:t>that</w:t>
      </w:r>
      <w:r w:rsidR="003A6AEC" w:rsidRPr="00740F96" w:rsidDel="00252B68">
        <w:rPr>
          <w:i/>
          <w:sz w:val="20"/>
          <w:szCs w:val="20"/>
          <w:lang w:eastAsia="en-AU"/>
        </w:rPr>
        <w:t xml:space="preserve"> </w:t>
      </w:r>
      <w:r w:rsidRPr="00740F96" w:rsidDel="00252B68">
        <w:rPr>
          <w:i/>
          <w:sz w:val="20"/>
          <w:szCs w:val="20"/>
          <w:lang w:eastAsia="en-AU"/>
        </w:rPr>
        <w:t>is essential to the achievement of th</w:t>
      </w:r>
      <w:r w:rsidR="00801226">
        <w:rPr>
          <w:i/>
          <w:sz w:val="20"/>
          <w:szCs w:val="20"/>
          <w:lang w:eastAsia="en-AU"/>
        </w:rPr>
        <w:t>is</w:t>
      </w:r>
      <w:r w:rsidRPr="00740F96" w:rsidDel="00252B68">
        <w:rPr>
          <w:i/>
          <w:sz w:val="20"/>
          <w:szCs w:val="20"/>
          <w:lang w:eastAsia="en-AU"/>
        </w:rPr>
        <w:t xml:space="preserve"> </w:t>
      </w:r>
      <w:r w:rsidR="00EA1AB4">
        <w:rPr>
          <w:i/>
          <w:sz w:val="20"/>
          <w:szCs w:val="20"/>
          <w:lang w:eastAsia="en-AU"/>
        </w:rPr>
        <w:t>s</w:t>
      </w:r>
      <w:r w:rsidRPr="00740F96" w:rsidDel="00252B68">
        <w:rPr>
          <w:i/>
          <w:sz w:val="20"/>
          <w:szCs w:val="20"/>
          <w:lang w:eastAsia="en-AU"/>
        </w:rPr>
        <w:t>trategy.</w:t>
      </w:r>
      <w:r>
        <w:rPr>
          <w:i/>
          <w:sz w:val="20"/>
          <w:szCs w:val="20"/>
          <w:lang w:eastAsia="en-AU"/>
        </w:rPr>
        <w:t xml:space="preserve"> </w:t>
      </w:r>
    </w:p>
    <w:p w14:paraId="22FDA45F" w14:textId="6BA32DC7" w:rsidR="00D85D1F" w:rsidRDefault="00D85D1F" w:rsidP="00D85D1F">
      <w:pPr>
        <w:rPr>
          <w:sz w:val="20"/>
          <w:szCs w:val="20"/>
        </w:rPr>
      </w:pPr>
      <w:r w:rsidRPr="00740F96">
        <w:rPr>
          <w:sz w:val="20"/>
          <w:szCs w:val="20"/>
          <w:lang w:eastAsia="en-AU"/>
        </w:rPr>
        <w:t xml:space="preserve">Australia’s response to BBV and STI in Aboriginal and Torres Strait Islander people builds on the lessons learned over </w:t>
      </w:r>
      <w:r>
        <w:rPr>
          <w:sz w:val="20"/>
          <w:szCs w:val="20"/>
          <w:lang w:eastAsia="en-AU"/>
        </w:rPr>
        <w:t>previous decades</w:t>
      </w:r>
      <w:r w:rsidRPr="00740F96">
        <w:rPr>
          <w:sz w:val="20"/>
          <w:szCs w:val="20"/>
          <w:lang w:eastAsia="en-AU"/>
        </w:rPr>
        <w:t xml:space="preserve"> and is shaped by a number of </w:t>
      </w:r>
      <w:r>
        <w:rPr>
          <w:sz w:val="20"/>
          <w:szCs w:val="20"/>
          <w:lang w:eastAsia="en-AU"/>
        </w:rPr>
        <w:t>significant</w:t>
      </w:r>
      <w:r w:rsidRPr="00740F96">
        <w:rPr>
          <w:sz w:val="20"/>
          <w:szCs w:val="20"/>
          <w:lang w:eastAsia="en-AU"/>
        </w:rPr>
        <w:t xml:space="preserve"> challenges and opportunities. Some of these have been around for </w:t>
      </w:r>
      <w:r>
        <w:rPr>
          <w:sz w:val="20"/>
          <w:szCs w:val="20"/>
          <w:lang w:eastAsia="en-AU"/>
        </w:rPr>
        <w:t>considerable</w:t>
      </w:r>
      <w:r w:rsidRPr="00740F96">
        <w:rPr>
          <w:sz w:val="20"/>
          <w:szCs w:val="20"/>
          <w:lang w:eastAsia="en-AU"/>
        </w:rPr>
        <w:t xml:space="preserve"> time and others are new and reflect changes in epidemiology</w:t>
      </w:r>
      <w:r w:rsidR="00AC29BC" w:rsidRPr="00AC29BC">
        <w:rPr>
          <w:sz w:val="20"/>
          <w:szCs w:val="20"/>
          <w:lang w:eastAsia="en-AU"/>
        </w:rPr>
        <w:t xml:space="preserve"> </w:t>
      </w:r>
      <w:r w:rsidR="00AC29BC" w:rsidRPr="00740F96">
        <w:rPr>
          <w:sz w:val="20"/>
          <w:szCs w:val="20"/>
          <w:lang w:eastAsia="en-AU"/>
        </w:rPr>
        <w:t>and other aspects of the response</w:t>
      </w:r>
      <w:r w:rsidRPr="00740F96">
        <w:rPr>
          <w:sz w:val="20"/>
          <w:szCs w:val="20"/>
          <w:lang w:eastAsia="en-AU"/>
        </w:rPr>
        <w:t xml:space="preserve"> </w:t>
      </w:r>
      <w:r>
        <w:rPr>
          <w:sz w:val="20"/>
          <w:szCs w:val="20"/>
          <w:lang w:eastAsia="en-AU"/>
        </w:rPr>
        <w:t xml:space="preserve">as well as </w:t>
      </w:r>
      <w:r w:rsidRPr="00740F96">
        <w:rPr>
          <w:sz w:val="20"/>
          <w:szCs w:val="20"/>
          <w:lang w:eastAsia="en-AU"/>
        </w:rPr>
        <w:t xml:space="preserve">biomedical </w:t>
      </w:r>
      <w:r w:rsidR="00AC29BC">
        <w:rPr>
          <w:sz w:val="20"/>
          <w:szCs w:val="20"/>
          <w:lang w:eastAsia="en-AU"/>
        </w:rPr>
        <w:t xml:space="preserve">advances in </w:t>
      </w:r>
      <w:r w:rsidRPr="00740F96">
        <w:rPr>
          <w:sz w:val="20"/>
          <w:szCs w:val="20"/>
          <w:lang w:eastAsia="en-AU"/>
        </w:rPr>
        <w:t>prevention</w:t>
      </w:r>
      <w:r w:rsidR="006D1FE9">
        <w:rPr>
          <w:sz w:val="20"/>
          <w:szCs w:val="20"/>
          <w:lang w:eastAsia="en-AU"/>
        </w:rPr>
        <w:t xml:space="preserve"> and treatment</w:t>
      </w:r>
      <w:r w:rsidRPr="00740F96">
        <w:rPr>
          <w:sz w:val="20"/>
          <w:szCs w:val="20"/>
          <w:lang w:eastAsia="en-AU"/>
        </w:rPr>
        <w:t xml:space="preserve">. </w:t>
      </w:r>
      <w:r w:rsidRPr="00740F96">
        <w:rPr>
          <w:sz w:val="20"/>
          <w:szCs w:val="20"/>
        </w:rPr>
        <w:t xml:space="preserve">This </w:t>
      </w:r>
      <w:r w:rsidR="00EA1AB4">
        <w:rPr>
          <w:sz w:val="20"/>
          <w:szCs w:val="20"/>
        </w:rPr>
        <w:t>s</w:t>
      </w:r>
      <w:r w:rsidRPr="00740F96">
        <w:rPr>
          <w:sz w:val="20"/>
          <w:szCs w:val="20"/>
        </w:rPr>
        <w:t xml:space="preserve">trategy </w:t>
      </w:r>
      <w:r w:rsidRPr="000F6E8E">
        <w:rPr>
          <w:sz w:val="20"/>
          <w:szCs w:val="20"/>
        </w:rPr>
        <w:t>is designed to address these while recognising t</w:t>
      </w:r>
      <w:r w:rsidRPr="00522749">
        <w:rPr>
          <w:sz w:val="20"/>
          <w:szCs w:val="20"/>
        </w:rPr>
        <w:t xml:space="preserve">he need to maintain </w:t>
      </w:r>
      <w:r w:rsidRPr="00522749">
        <w:rPr>
          <w:sz w:val="20"/>
          <w:szCs w:val="20"/>
          <w:lang w:eastAsia="en-AU"/>
        </w:rPr>
        <w:t>key aspects of the response that remain pivotal to its success</w:t>
      </w:r>
      <w:r w:rsidR="003664BA">
        <w:rPr>
          <w:sz w:val="20"/>
          <w:szCs w:val="20"/>
          <w:lang w:eastAsia="en-AU"/>
        </w:rPr>
        <w:t xml:space="preserve"> and </w:t>
      </w:r>
      <w:r w:rsidRPr="00522749">
        <w:rPr>
          <w:sz w:val="20"/>
          <w:szCs w:val="20"/>
          <w:lang w:eastAsia="en-AU"/>
        </w:rPr>
        <w:t xml:space="preserve">respond </w:t>
      </w:r>
      <w:r w:rsidRPr="008E7E90">
        <w:rPr>
          <w:sz w:val="20"/>
          <w:szCs w:val="20"/>
        </w:rPr>
        <w:t xml:space="preserve">flexibility to other issues as they arise. </w:t>
      </w:r>
    </w:p>
    <w:p w14:paraId="77978FE6" w14:textId="77777777" w:rsidR="00D85D1F" w:rsidRPr="00D57053" w:rsidRDefault="00D85D1F" w:rsidP="00D85D1F">
      <w:pPr>
        <w:spacing w:before="240"/>
        <w:rPr>
          <w:rFonts w:ascii="Segoe UI Semibold" w:hAnsi="Segoe UI Semibold"/>
          <w:color w:val="17365D"/>
          <w:sz w:val="22"/>
        </w:rPr>
      </w:pPr>
      <w:r>
        <w:rPr>
          <w:rFonts w:ascii="Segoe UI Semibold" w:hAnsi="Segoe UI Semibold"/>
          <w:color w:val="17365D"/>
          <w:sz w:val="22"/>
        </w:rPr>
        <w:t xml:space="preserve">EDUCATION AND </w:t>
      </w:r>
      <w:r w:rsidRPr="00D57053">
        <w:rPr>
          <w:rFonts w:ascii="Segoe UI Semibold" w:hAnsi="Segoe UI Semibold"/>
          <w:color w:val="17365D"/>
          <w:sz w:val="22"/>
        </w:rPr>
        <w:t>PREVENTION</w:t>
      </w:r>
    </w:p>
    <w:p w14:paraId="0C785E06" w14:textId="61ECA76C" w:rsidR="008430BC" w:rsidRPr="00B7269C" w:rsidRDefault="00D85D1F" w:rsidP="009012A9">
      <w:pPr>
        <w:numPr>
          <w:ilvl w:val="0"/>
          <w:numId w:val="12"/>
        </w:numPr>
        <w:rPr>
          <w:i/>
          <w:sz w:val="20"/>
        </w:rPr>
      </w:pPr>
      <w:r w:rsidRPr="00B7269C">
        <w:rPr>
          <w:i/>
          <w:sz w:val="20"/>
          <w:szCs w:val="20"/>
        </w:rPr>
        <w:t>Implement</w:t>
      </w:r>
      <w:r w:rsidR="008E3237" w:rsidRPr="00B7269C">
        <w:rPr>
          <w:i/>
          <w:sz w:val="20"/>
          <w:szCs w:val="20"/>
        </w:rPr>
        <w:t>, support and evaluate</w:t>
      </w:r>
      <w:r w:rsidRPr="00B7269C">
        <w:rPr>
          <w:i/>
          <w:sz w:val="20"/>
          <w:szCs w:val="20"/>
        </w:rPr>
        <w:t xml:space="preserve"> </w:t>
      </w:r>
      <w:r w:rsidR="0067109C">
        <w:rPr>
          <w:i/>
          <w:sz w:val="20"/>
          <w:szCs w:val="20"/>
        </w:rPr>
        <w:t xml:space="preserve">a range of </w:t>
      </w:r>
      <w:r w:rsidR="00A370EC" w:rsidRPr="00B7269C">
        <w:rPr>
          <w:i/>
          <w:sz w:val="20"/>
          <w:szCs w:val="20"/>
        </w:rPr>
        <w:t xml:space="preserve">community </w:t>
      </w:r>
      <w:r w:rsidR="00A370EC">
        <w:rPr>
          <w:i/>
          <w:sz w:val="20"/>
          <w:szCs w:val="20"/>
        </w:rPr>
        <w:t>(</w:t>
      </w:r>
      <w:r w:rsidR="00A370EC" w:rsidRPr="00B7269C">
        <w:rPr>
          <w:i/>
          <w:sz w:val="20"/>
          <w:szCs w:val="20"/>
        </w:rPr>
        <w:t>c</w:t>
      </w:r>
      <w:r w:rsidR="00A370EC">
        <w:rPr>
          <w:i/>
          <w:sz w:val="20"/>
          <w:szCs w:val="20"/>
        </w:rPr>
        <w:t>o)</w:t>
      </w:r>
      <w:r w:rsidR="00A370EC" w:rsidRPr="00B7269C">
        <w:rPr>
          <w:i/>
          <w:sz w:val="20"/>
          <w:szCs w:val="20"/>
        </w:rPr>
        <w:t xml:space="preserve">-designed and led, </w:t>
      </w:r>
      <w:r w:rsidR="00A370EC">
        <w:rPr>
          <w:i/>
          <w:sz w:val="20"/>
        </w:rPr>
        <w:t>evidence-based and</w:t>
      </w:r>
      <w:r w:rsidR="00A370EC" w:rsidRPr="00B7269C">
        <w:rPr>
          <w:i/>
          <w:sz w:val="20"/>
        </w:rPr>
        <w:t xml:space="preserve"> </w:t>
      </w:r>
      <w:r w:rsidR="00607E0B" w:rsidRPr="003664BA">
        <w:rPr>
          <w:i/>
          <w:sz w:val="20"/>
          <w:szCs w:val="20"/>
        </w:rPr>
        <w:t>multi</w:t>
      </w:r>
      <w:r w:rsidR="00587557" w:rsidRPr="003664BA">
        <w:rPr>
          <w:i/>
          <w:sz w:val="20"/>
          <w:szCs w:val="20"/>
        </w:rPr>
        <w:t>faceted</w:t>
      </w:r>
      <w:r w:rsidR="00587557" w:rsidRPr="00B7269C">
        <w:rPr>
          <w:i/>
          <w:sz w:val="20"/>
          <w:szCs w:val="20"/>
        </w:rPr>
        <w:t xml:space="preserve"> </w:t>
      </w:r>
      <w:r w:rsidRPr="00B7269C">
        <w:rPr>
          <w:i/>
          <w:sz w:val="20"/>
        </w:rPr>
        <w:t xml:space="preserve">BBV and STI education and prevention initiatives </w:t>
      </w:r>
      <w:r w:rsidR="0061287B" w:rsidRPr="00B7269C">
        <w:rPr>
          <w:i/>
          <w:sz w:val="20"/>
        </w:rPr>
        <w:t xml:space="preserve">across priority settings </w:t>
      </w:r>
      <w:r w:rsidR="00A370EC">
        <w:rPr>
          <w:i/>
          <w:sz w:val="20"/>
        </w:rPr>
        <w:t>to</w:t>
      </w:r>
      <w:r w:rsidRPr="00B7269C">
        <w:rPr>
          <w:i/>
          <w:sz w:val="20"/>
        </w:rPr>
        <w:t xml:space="preserve"> build community knowledge and awareness and effectively </w:t>
      </w:r>
      <w:r w:rsidR="00A370EC">
        <w:rPr>
          <w:i/>
          <w:sz w:val="20"/>
        </w:rPr>
        <w:t xml:space="preserve">target and </w:t>
      </w:r>
      <w:r w:rsidRPr="00B7269C">
        <w:rPr>
          <w:i/>
          <w:sz w:val="20"/>
        </w:rPr>
        <w:t xml:space="preserve">engage </w:t>
      </w:r>
      <w:r w:rsidR="0083088D" w:rsidRPr="00B7269C">
        <w:rPr>
          <w:i/>
          <w:sz w:val="20"/>
        </w:rPr>
        <w:t xml:space="preserve">priority </w:t>
      </w:r>
      <w:r w:rsidR="00923AB1" w:rsidRPr="00B7269C">
        <w:rPr>
          <w:i/>
          <w:sz w:val="20"/>
        </w:rPr>
        <w:t>groups</w:t>
      </w:r>
      <w:r w:rsidR="00443A1B" w:rsidRPr="00B7269C">
        <w:rPr>
          <w:i/>
          <w:sz w:val="20"/>
        </w:rPr>
        <w:t xml:space="preserve"> </w:t>
      </w:r>
    </w:p>
    <w:p w14:paraId="00BBBC37" w14:textId="77777777" w:rsidR="00D85D1F" w:rsidRPr="00B7269C" w:rsidRDefault="008430BC" w:rsidP="009012A9">
      <w:pPr>
        <w:numPr>
          <w:ilvl w:val="0"/>
          <w:numId w:val="12"/>
        </w:numPr>
        <w:rPr>
          <w:i/>
          <w:sz w:val="20"/>
        </w:rPr>
      </w:pPr>
      <w:r w:rsidRPr="00B7269C">
        <w:rPr>
          <w:i/>
          <w:sz w:val="20"/>
          <w:szCs w:val="20"/>
        </w:rPr>
        <w:t>S</w:t>
      </w:r>
      <w:r w:rsidR="0074272C" w:rsidRPr="00B7269C">
        <w:rPr>
          <w:i/>
          <w:sz w:val="20"/>
          <w:szCs w:val="20"/>
        </w:rPr>
        <w:t>upport</w:t>
      </w:r>
      <w:r w:rsidRPr="00B7269C">
        <w:rPr>
          <w:i/>
          <w:sz w:val="20"/>
          <w:szCs w:val="20"/>
        </w:rPr>
        <w:t xml:space="preserve"> sexual health education in schools and community settings to improve knowledge and awareness of healthy relationships and STI, reduce risk behaviours associated with the transmission of STI</w:t>
      </w:r>
      <w:r w:rsidR="00426022" w:rsidRPr="00B7269C">
        <w:rPr>
          <w:i/>
          <w:sz w:val="20"/>
          <w:szCs w:val="20"/>
        </w:rPr>
        <w:t>, and highlight the importance of regular STI testing once sexually active</w:t>
      </w:r>
    </w:p>
    <w:p w14:paraId="3D3027A7" w14:textId="77777777" w:rsidR="00B75CD9" w:rsidRDefault="00BF030F" w:rsidP="009012A9">
      <w:pPr>
        <w:numPr>
          <w:ilvl w:val="0"/>
          <w:numId w:val="12"/>
        </w:numPr>
        <w:rPr>
          <w:i/>
          <w:sz w:val="20"/>
          <w:szCs w:val="20"/>
        </w:rPr>
      </w:pPr>
      <w:r w:rsidRPr="00B75CD9">
        <w:rPr>
          <w:i/>
          <w:sz w:val="20"/>
          <w:szCs w:val="20"/>
        </w:rPr>
        <w:t xml:space="preserve">Build knowledge and awareness of the various means of prevention for BBV and STI, including </w:t>
      </w:r>
      <w:r w:rsidR="008E3237" w:rsidRPr="00B75CD9">
        <w:rPr>
          <w:i/>
          <w:sz w:val="20"/>
          <w:szCs w:val="20"/>
        </w:rPr>
        <w:t xml:space="preserve">reinforcing </w:t>
      </w:r>
      <w:r w:rsidR="0084134C" w:rsidRPr="00B75CD9">
        <w:rPr>
          <w:i/>
          <w:sz w:val="20"/>
          <w:szCs w:val="20"/>
        </w:rPr>
        <w:t xml:space="preserve">the central role of condoms, </w:t>
      </w:r>
      <w:r w:rsidR="0074272C" w:rsidRPr="00B75CD9">
        <w:rPr>
          <w:i/>
          <w:sz w:val="20"/>
          <w:szCs w:val="20"/>
        </w:rPr>
        <w:t xml:space="preserve">the importance of vaccination, </w:t>
      </w:r>
      <w:r w:rsidR="008E3237" w:rsidRPr="00B75CD9">
        <w:rPr>
          <w:i/>
          <w:sz w:val="20"/>
          <w:szCs w:val="20"/>
        </w:rPr>
        <w:t>the effective use of</w:t>
      </w:r>
      <w:r w:rsidR="00D90D6F" w:rsidRPr="00B75CD9">
        <w:rPr>
          <w:i/>
          <w:sz w:val="20"/>
          <w:szCs w:val="20"/>
        </w:rPr>
        <w:t xml:space="preserve"> biomedical tools such as PEP, </w:t>
      </w:r>
      <w:r w:rsidR="00814549" w:rsidRPr="00B75CD9">
        <w:rPr>
          <w:i/>
          <w:sz w:val="20"/>
          <w:szCs w:val="20"/>
        </w:rPr>
        <w:t>Pr</w:t>
      </w:r>
      <w:r w:rsidR="00814549">
        <w:rPr>
          <w:i/>
          <w:sz w:val="20"/>
          <w:szCs w:val="20"/>
        </w:rPr>
        <w:t>E</w:t>
      </w:r>
      <w:r w:rsidR="00814549" w:rsidRPr="00B75CD9">
        <w:rPr>
          <w:i/>
          <w:sz w:val="20"/>
          <w:szCs w:val="20"/>
        </w:rPr>
        <w:t xml:space="preserve">P </w:t>
      </w:r>
      <w:r w:rsidR="00D90D6F" w:rsidRPr="00B75CD9">
        <w:rPr>
          <w:i/>
          <w:sz w:val="20"/>
          <w:szCs w:val="20"/>
        </w:rPr>
        <w:t xml:space="preserve">and </w:t>
      </w:r>
      <w:r w:rsidR="001B28B5">
        <w:rPr>
          <w:i/>
          <w:sz w:val="20"/>
          <w:szCs w:val="20"/>
        </w:rPr>
        <w:t>treatment as prevention for HIV and hepatitis C</w:t>
      </w:r>
      <w:r w:rsidR="00A8346E" w:rsidRPr="00B75CD9">
        <w:rPr>
          <w:i/>
          <w:sz w:val="20"/>
          <w:szCs w:val="20"/>
        </w:rPr>
        <w:t xml:space="preserve">, and </w:t>
      </w:r>
      <w:r w:rsidR="001E493C" w:rsidRPr="00B75CD9">
        <w:rPr>
          <w:i/>
          <w:sz w:val="20"/>
          <w:szCs w:val="20"/>
        </w:rPr>
        <w:t>the need for</w:t>
      </w:r>
      <w:r w:rsidR="0074272C" w:rsidRPr="00B75CD9">
        <w:rPr>
          <w:i/>
          <w:sz w:val="20"/>
          <w:szCs w:val="20"/>
        </w:rPr>
        <w:t xml:space="preserve"> </w:t>
      </w:r>
      <w:r w:rsidR="00A8346E" w:rsidRPr="00B75CD9">
        <w:rPr>
          <w:i/>
          <w:sz w:val="20"/>
          <w:szCs w:val="20"/>
        </w:rPr>
        <w:t>s</w:t>
      </w:r>
      <w:r w:rsidR="007B67D8" w:rsidRPr="00B75CD9">
        <w:rPr>
          <w:i/>
          <w:sz w:val="20"/>
          <w:szCs w:val="20"/>
        </w:rPr>
        <w:t>terile</w:t>
      </w:r>
      <w:r w:rsidR="00A8346E" w:rsidRPr="00B75CD9">
        <w:rPr>
          <w:i/>
          <w:sz w:val="20"/>
          <w:szCs w:val="20"/>
        </w:rPr>
        <w:t xml:space="preserve"> injecting practices</w:t>
      </w:r>
    </w:p>
    <w:p w14:paraId="7B6E08CF" w14:textId="4EDFB905" w:rsidR="00593BBC" w:rsidRPr="00593BBC" w:rsidRDefault="00593BBC" w:rsidP="009012A9">
      <w:pPr>
        <w:numPr>
          <w:ilvl w:val="0"/>
          <w:numId w:val="12"/>
        </w:numPr>
        <w:rPr>
          <w:i/>
          <w:sz w:val="20"/>
          <w:szCs w:val="20"/>
        </w:rPr>
      </w:pPr>
      <w:r w:rsidRPr="00593BBC">
        <w:rPr>
          <w:i/>
          <w:sz w:val="20"/>
          <w:szCs w:val="20"/>
        </w:rPr>
        <w:t>Support widespread and equitable access to all means of STI and BBV prevention across the country in combination with STI and BBV prevention education and regular testing and treatment services</w:t>
      </w:r>
    </w:p>
    <w:p w14:paraId="4754DC05" w14:textId="29938E8E" w:rsidR="00D45CFA" w:rsidRPr="001E493C" w:rsidRDefault="00D85D1F" w:rsidP="00D85D1F">
      <w:pPr>
        <w:rPr>
          <w:i/>
          <w:sz w:val="20"/>
          <w:szCs w:val="20"/>
        </w:rPr>
      </w:pPr>
      <w:r>
        <w:rPr>
          <w:sz w:val="20"/>
          <w:szCs w:val="20"/>
        </w:rPr>
        <w:t>Sustained education</w:t>
      </w:r>
      <w:r w:rsidRPr="00300A75">
        <w:rPr>
          <w:sz w:val="20"/>
          <w:szCs w:val="20"/>
        </w:rPr>
        <w:t xml:space="preserve"> and prevention initiatives</w:t>
      </w:r>
      <w:r>
        <w:rPr>
          <w:sz w:val="20"/>
          <w:szCs w:val="20"/>
        </w:rPr>
        <w:t xml:space="preserve"> </w:t>
      </w:r>
      <w:r w:rsidRPr="00300A75">
        <w:rPr>
          <w:sz w:val="20"/>
          <w:szCs w:val="20"/>
        </w:rPr>
        <w:t xml:space="preserve">are critical in reducing the spread of BBV </w:t>
      </w:r>
      <w:r>
        <w:rPr>
          <w:sz w:val="20"/>
          <w:szCs w:val="20"/>
        </w:rPr>
        <w:t xml:space="preserve">and STI </w:t>
      </w:r>
      <w:r w:rsidRPr="00300A75">
        <w:rPr>
          <w:sz w:val="20"/>
          <w:szCs w:val="20"/>
        </w:rPr>
        <w:t>among Aboriginal and Torres Strait Islander people.</w:t>
      </w:r>
      <w:r>
        <w:rPr>
          <w:sz w:val="20"/>
          <w:szCs w:val="20"/>
        </w:rPr>
        <w:t xml:space="preserve"> Education and prevention</w:t>
      </w:r>
      <w:r w:rsidR="00A370EC">
        <w:rPr>
          <w:sz w:val="20"/>
          <w:szCs w:val="20"/>
        </w:rPr>
        <w:t xml:space="preserve"> </w:t>
      </w:r>
      <w:r>
        <w:rPr>
          <w:sz w:val="20"/>
          <w:szCs w:val="20"/>
        </w:rPr>
        <w:t>approaches that target gaps in knowledge and misconceptions</w:t>
      </w:r>
      <w:r w:rsidR="00A370EC">
        <w:rPr>
          <w:sz w:val="20"/>
          <w:szCs w:val="20"/>
        </w:rPr>
        <w:t xml:space="preserve">, and build on </w:t>
      </w:r>
      <w:r w:rsidR="00226D2F">
        <w:rPr>
          <w:sz w:val="20"/>
          <w:szCs w:val="20"/>
        </w:rPr>
        <w:t xml:space="preserve">the strength of community and </w:t>
      </w:r>
      <w:r w:rsidR="00387A6D">
        <w:rPr>
          <w:sz w:val="20"/>
          <w:szCs w:val="20"/>
        </w:rPr>
        <w:t xml:space="preserve">effective </w:t>
      </w:r>
      <w:r w:rsidR="00A370EC">
        <w:rPr>
          <w:sz w:val="20"/>
          <w:szCs w:val="20"/>
        </w:rPr>
        <w:t>peer networks,</w:t>
      </w:r>
      <w:r>
        <w:rPr>
          <w:sz w:val="20"/>
          <w:szCs w:val="20"/>
        </w:rPr>
        <w:t xml:space="preserve"> can significantly reduce stigma, increase rates of testing and treatment, and reduce the overall impact of BBV and STI. </w:t>
      </w:r>
      <w:r w:rsidR="00760FB9">
        <w:rPr>
          <w:sz w:val="20"/>
          <w:szCs w:val="20"/>
        </w:rPr>
        <w:t xml:space="preserve"> </w:t>
      </w:r>
    </w:p>
    <w:p w14:paraId="1D89782C" w14:textId="12BF4394" w:rsidR="00D45CFA" w:rsidRDefault="00760FB9" w:rsidP="00D45CFA">
      <w:pPr>
        <w:rPr>
          <w:sz w:val="20"/>
          <w:szCs w:val="20"/>
        </w:rPr>
      </w:pPr>
      <w:r>
        <w:rPr>
          <w:sz w:val="20"/>
          <w:szCs w:val="20"/>
        </w:rPr>
        <w:t>Education and prevention approaches must successfully engage priority groups to improve knowledge of transmission pathways and effective methods for reducing risk to better inform decision</w:t>
      </w:r>
      <w:r w:rsidR="0089782E">
        <w:rPr>
          <w:sz w:val="20"/>
          <w:szCs w:val="20"/>
        </w:rPr>
        <w:t>-</w:t>
      </w:r>
      <w:r>
        <w:rPr>
          <w:sz w:val="20"/>
          <w:szCs w:val="20"/>
        </w:rPr>
        <w:t xml:space="preserve">making and health behaviour choices. </w:t>
      </w:r>
      <w:r w:rsidR="002F376C" w:rsidRPr="00876F98">
        <w:rPr>
          <w:sz w:val="20"/>
          <w:szCs w:val="20"/>
        </w:rPr>
        <w:t>The most effective education and prevention approaches are those based on a sound understanding of the behaviours, knowledge, beliefs and practices that they are trying to influence.</w:t>
      </w:r>
      <w:r w:rsidR="002F376C">
        <w:rPr>
          <w:rStyle w:val="EndnoteReference"/>
          <w:sz w:val="20"/>
          <w:szCs w:val="20"/>
        </w:rPr>
        <w:endnoteReference w:id="53"/>
      </w:r>
      <w:r w:rsidR="002F376C">
        <w:rPr>
          <w:sz w:val="20"/>
          <w:szCs w:val="20"/>
        </w:rPr>
        <w:t xml:space="preserve"> </w:t>
      </w:r>
      <w:r>
        <w:rPr>
          <w:sz w:val="20"/>
          <w:szCs w:val="20"/>
        </w:rPr>
        <w:t xml:space="preserve">Efforts should include a strong focus on </w:t>
      </w:r>
      <w:r w:rsidR="00045362">
        <w:rPr>
          <w:sz w:val="20"/>
          <w:szCs w:val="20"/>
        </w:rPr>
        <w:t xml:space="preserve">engaging </w:t>
      </w:r>
      <w:r>
        <w:rPr>
          <w:sz w:val="20"/>
          <w:szCs w:val="20"/>
        </w:rPr>
        <w:t xml:space="preserve">higher risk priority groups, including younger people, pregnant women, people in remote areas, gay men and other MSM, people who have </w:t>
      </w:r>
      <w:r w:rsidR="00B83DFB">
        <w:rPr>
          <w:sz w:val="20"/>
          <w:szCs w:val="20"/>
        </w:rPr>
        <w:t>a current or</w:t>
      </w:r>
      <w:r>
        <w:rPr>
          <w:sz w:val="20"/>
          <w:szCs w:val="20"/>
        </w:rPr>
        <w:t xml:space="preserve"> previous </w:t>
      </w:r>
      <w:r w:rsidR="00B83DFB">
        <w:rPr>
          <w:sz w:val="20"/>
          <w:szCs w:val="20"/>
        </w:rPr>
        <w:t xml:space="preserve">BBV or </w:t>
      </w:r>
      <w:r>
        <w:rPr>
          <w:sz w:val="20"/>
          <w:szCs w:val="20"/>
        </w:rPr>
        <w:t xml:space="preserve">STI, </w:t>
      </w:r>
      <w:r w:rsidR="006A2E2B">
        <w:rPr>
          <w:sz w:val="20"/>
          <w:szCs w:val="20"/>
        </w:rPr>
        <w:t xml:space="preserve">people who inject drugs, </w:t>
      </w:r>
      <w:r w:rsidR="00433ED7">
        <w:rPr>
          <w:sz w:val="20"/>
          <w:szCs w:val="20"/>
        </w:rPr>
        <w:t xml:space="preserve">sex workers </w:t>
      </w:r>
      <w:r>
        <w:rPr>
          <w:sz w:val="20"/>
          <w:szCs w:val="20"/>
        </w:rPr>
        <w:t>and people in high</w:t>
      </w:r>
      <w:r w:rsidR="0089782E">
        <w:rPr>
          <w:sz w:val="20"/>
          <w:szCs w:val="20"/>
        </w:rPr>
        <w:t>-</w:t>
      </w:r>
      <w:r>
        <w:rPr>
          <w:sz w:val="20"/>
          <w:szCs w:val="20"/>
        </w:rPr>
        <w:t>prevalence communities.</w:t>
      </w:r>
      <w:r w:rsidR="00A10337">
        <w:rPr>
          <w:sz w:val="20"/>
          <w:szCs w:val="20"/>
        </w:rPr>
        <w:t xml:space="preserve"> </w:t>
      </w:r>
      <w:r w:rsidR="00D45CFA">
        <w:rPr>
          <w:sz w:val="20"/>
          <w:szCs w:val="20"/>
        </w:rPr>
        <w:t>Due to the greater prevalence of HIV and STI transmitted through heterosexual contact in Aboriginal and Torres Strait Islander people, this exposure route should be a focus of education and prevention activities.</w:t>
      </w:r>
    </w:p>
    <w:p w14:paraId="3DD3E6FB" w14:textId="4E90456E" w:rsidR="004F6342" w:rsidRDefault="00D45CFA" w:rsidP="004F6342">
      <w:pPr>
        <w:spacing w:before="120"/>
        <w:rPr>
          <w:sz w:val="20"/>
          <w:szCs w:val="20"/>
        </w:rPr>
      </w:pPr>
      <w:r>
        <w:rPr>
          <w:sz w:val="20"/>
          <w:szCs w:val="20"/>
        </w:rPr>
        <w:t xml:space="preserve">Education and prevention initiatives must be </w:t>
      </w:r>
      <w:r w:rsidRPr="00300A75">
        <w:rPr>
          <w:sz w:val="20"/>
          <w:szCs w:val="20"/>
        </w:rPr>
        <w:t>culturally</w:t>
      </w:r>
      <w:r>
        <w:rPr>
          <w:sz w:val="20"/>
          <w:szCs w:val="20"/>
        </w:rPr>
        <w:t xml:space="preserve"> safe and linguistically</w:t>
      </w:r>
      <w:r w:rsidRPr="00300A75">
        <w:rPr>
          <w:sz w:val="20"/>
          <w:szCs w:val="20"/>
        </w:rPr>
        <w:t xml:space="preserve"> appropriate</w:t>
      </w:r>
      <w:r>
        <w:rPr>
          <w:sz w:val="20"/>
          <w:szCs w:val="20"/>
        </w:rPr>
        <w:t xml:space="preserve">, </w:t>
      </w:r>
      <w:r w:rsidR="00F179A4">
        <w:rPr>
          <w:sz w:val="20"/>
          <w:szCs w:val="20"/>
        </w:rPr>
        <w:t>co-designed</w:t>
      </w:r>
      <w:r w:rsidR="007F6773">
        <w:rPr>
          <w:sz w:val="20"/>
          <w:szCs w:val="20"/>
        </w:rPr>
        <w:t>, co-</w:t>
      </w:r>
      <w:r>
        <w:rPr>
          <w:sz w:val="20"/>
          <w:szCs w:val="20"/>
        </w:rPr>
        <w:t xml:space="preserve">developed and led by the community, and responsive to the social, cultural and environmental context in which they are being implemented. </w:t>
      </w:r>
      <w:r w:rsidR="002178CB">
        <w:rPr>
          <w:sz w:val="20"/>
          <w:szCs w:val="20"/>
        </w:rPr>
        <w:t>It is important that BBV and STI education and prevention efforts sit within a community-wide approach to build general knowledge and awareness, minimise the stigmatisation of priority groups and ensure messaging is effective in reaching the broader community.</w:t>
      </w:r>
      <w:r w:rsidR="002178CB">
        <w:rPr>
          <w:rStyle w:val="EndnoteReference"/>
          <w:sz w:val="20"/>
          <w:szCs w:val="20"/>
        </w:rPr>
        <w:endnoteReference w:id="54"/>
      </w:r>
      <w:r w:rsidR="002178CB">
        <w:rPr>
          <w:sz w:val="20"/>
          <w:szCs w:val="20"/>
        </w:rPr>
        <w:t xml:space="preserve"> </w:t>
      </w:r>
      <w:r w:rsidR="004F6342" w:rsidRPr="004F6342">
        <w:rPr>
          <w:sz w:val="20"/>
          <w:szCs w:val="20"/>
        </w:rPr>
        <w:t xml:space="preserve">Embedding BBV and STI prevention and education activities into broader Aboriginal and Torres Strait Islander health promotion and comprehensive primary </w:t>
      </w:r>
      <w:r w:rsidR="004F6342" w:rsidRPr="00BB37EA">
        <w:rPr>
          <w:sz w:val="20"/>
          <w:szCs w:val="20"/>
        </w:rPr>
        <w:t>healthcare</w:t>
      </w:r>
      <w:r w:rsidR="004F6342" w:rsidRPr="004F6342">
        <w:rPr>
          <w:sz w:val="20"/>
          <w:szCs w:val="20"/>
        </w:rPr>
        <w:t xml:space="preserve"> programs supports a more holistic approach to health and wellbeing.</w:t>
      </w:r>
      <w:r w:rsidR="004F6342">
        <w:rPr>
          <w:sz w:val="20"/>
          <w:szCs w:val="20"/>
        </w:rPr>
        <w:t xml:space="preserve"> </w:t>
      </w:r>
    </w:p>
    <w:p w14:paraId="05511177" w14:textId="0FC45D70" w:rsidR="00433ED7" w:rsidRDefault="00045362" w:rsidP="0022694A">
      <w:pPr>
        <w:rPr>
          <w:sz w:val="20"/>
          <w:szCs w:val="20"/>
        </w:rPr>
      </w:pPr>
      <w:r>
        <w:rPr>
          <w:sz w:val="20"/>
          <w:szCs w:val="20"/>
        </w:rPr>
        <w:t xml:space="preserve">Opportunities to learn from, and build on, successful education and prevention approaches should be </w:t>
      </w:r>
      <w:r w:rsidRPr="008916FE">
        <w:rPr>
          <w:sz w:val="20"/>
          <w:szCs w:val="20"/>
        </w:rPr>
        <w:t xml:space="preserve">identified. </w:t>
      </w:r>
      <w:r w:rsidR="00387A6D" w:rsidRPr="008916FE">
        <w:rPr>
          <w:sz w:val="20"/>
          <w:szCs w:val="20"/>
        </w:rPr>
        <w:t>Formalised p</w:t>
      </w:r>
      <w:r w:rsidR="002A5009" w:rsidRPr="008916FE">
        <w:rPr>
          <w:sz w:val="20"/>
          <w:szCs w:val="20"/>
        </w:rPr>
        <w:t>eer-</w:t>
      </w:r>
      <w:r w:rsidR="002A4734" w:rsidRPr="008916FE">
        <w:rPr>
          <w:sz w:val="20"/>
          <w:szCs w:val="20"/>
        </w:rPr>
        <w:t>based</w:t>
      </w:r>
      <w:r w:rsidR="002A5009" w:rsidRPr="008916FE">
        <w:rPr>
          <w:sz w:val="20"/>
          <w:szCs w:val="20"/>
        </w:rPr>
        <w:t xml:space="preserve"> approaches</w:t>
      </w:r>
      <w:r w:rsidR="002A4734" w:rsidRPr="008916FE">
        <w:rPr>
          <w:sz w:val="20"/>
          <w:szCs w:val="20"/>
        </w:rPr>
        <w:t xml:space="preserve">, which </w:t>
      </w:r>
      <w:r w:rsidR="008E1D13" w:rsidRPr="008916FE">
        <w:rPr>
          <w:sz w:val="20"/>
          <w:szCs w:val="20"/>
        </w:rPr>
        <w:t xml:space="preserve">are community-led and </w:t>
      </w:r>
      <w:r w:rsidR="002A4734" w:rsidRPr="008916FE">
        <w:rPr>
          <w:sz w:val="20"/>
          <w:szCs w:val="20"/>
        </w:rPr>
        <w:t xml:space="preserve">involve </w:t>
      </w:r>
      <w:r w:rsidR="004C70BC">
        <w:rPr>
          <w:sz w:val="20"/>
          <w:szCs w:val="20"/>
        </w:rPr>
        <w:t>well-supported</w:t>
      </w:r>
      <w:r w:rsidR="002A4734" w:rsidRPr="008916FE">
        <w:rPr>
          <w:sz w:val="20"/>
          <w:szCs w:val="20"/>
        </w:rPr>
        <w:t xml:space="preserve"> </w:t>
      </w:r>
      <w:r w:rsidR="002A4734" w:rsidRPr="008916FE">
        <w:rPr>
          <w:sz w:val="20"/>
          <w:szCs w:val="20"/>
        </w:rPr>
        <w:lastRenderedPageBreak/>
        <w:t xml:space="preserve">community members with lived experience, </w:t>
      </w:r>
      <w:r w:rsidR="002A5009" w:rsidRPr="008916FE">
        <w:rPr>
          <w:sz w:val="20"/>
          <w:szCs w:val="20"/>
        </w:rPr>
        <w:t xml:space="preserve">are considered an effective way of supporting the provision of culturally </w:t>
      </w:r>
      <w:r w:rsidR="00522AB9">
        <w:rPr>
          <w:sz w:val="20"/>
          <w:szCs w:val="20"/>
        </w:rPr>
        <w:t>responsive</w:t>
      </w:r>
      <w:r w:rsidR="00522AB9" w:rsidRPr="008916FE">
        <w:rPr>
          <w:sz w:val="20"/>
          <w:szCs w:val="20"/>
        </w:rPr>
        <w:t xml:space="preserve"> </w:t>
      </w:r>
      <w:r w:rsidR="002A5009" w:rsidRPr="008916FE">
        <w:rPr>
          <w:sz w:val="20"/>
          <w:szCs w:val="20"/>
        </w:rPr>
        <w:t>education and health promotion</w:t>
      </w:r>
      <w:r w:rsidR="008E1D13" w:rsidRPr="008916FE">
        <w:rPr>
          <w:sz w:val="20"/>
          <w:szCs w:val="20"/>
        </w:rPr>
        <w:t xml:space="preserve"> </w:t>
      </w:r>
      <w:r w:rsidR="002A5009" w:rsidRPr="008916FE">
        <w:rPr>
          <w:sz w:val="20"/>
          <w:szCs w:val="20"/>
        </w:rPr>
        <w:t>and engaging communities.</w:t>
      </w:r>
      <w:r w:rsidR="002A5009" w:rsidRPr="008916FE">
        <w:rPr>
          <w:rStyle w:val="EndnoteReference"/>
          <w:sz w:val="20"/>
          <w:szCs w:val="20"/>
        </w:rPr>
        <w:endnoteReference w:id="55"/>
      </w:r>
      <w:r w:rsidR="002A5009" w:rsidRPr="008916FE">
        <w:rPr>
          <w:sz w:val="20"/>
          <w:szCs w:val="20"/>
          <w:vertAlign w:val="superscript"/>
        </w:rPr>
        <w:t>,</w:t>
      </w:r>
      <w:r w:rsidR="002A5009" w:rsidRPr="008916FE">
        <w:rPr>
          <w:rStyle w:val="EndnoteReference"/>
          <w:sz w:val="20"/>
          <w:szCs w:val="20"/>
        </w:rPr>
        <w:endnoteReference w:id="56"/>
      </w:r>
      <w:r w:rsidR="008E1D13" w:rsidRPr="008916FE">
        <w:rPr>
          <w:sz w:val="20"/>
          <w:szCs w:val="20"/>
          <w:vertAlign w:val="superscript"/>
        </w:rPr>
        <w:t>,</w:t>
      </w:r>
      <w:r w:rsidR="008E1D13" w:rsidRPr="008916FE">
        <w:rPr>
          <w:rStyle w:val="EndnoteReference"/>
          <w:sz w:val="20"/>
          <w:szCs w:val="20"/>
        </w:rPr>
        <w:endnoteReference w:id="57"/>
      </w:r>
      <w:r w:rsidR="008E1D13" w:rsidRPr="008916FE">
        <w:rPr>
          <w:sz w:val="20"/>
          <w:szCs w:val="20"/>
        </w:rPr>
        <w:t xml:space="preserve"> </w:t>
      </w:r>
      <w:r w:rsidR="00BD20B4" w:rsidRPr="008916FE">
        <w:rPr>
          <w:sz w:val="20"/>
          <w:szCs w:val="20"/>
        </w:rPr>
        <w:t xml:space="preserve">The evaluation of </w:t>
      </w:r>
      <w:r w:rsidR="0022694A" w:rsidRPr="008916FE">
        <w:rPr>
          <w:sz w:val="20"/>
          <w:szCs w:val="20"/>
        </w:rPr>
        <w:t xml:space="preserve">existing BBV and STI </w:t>
      </w:r>
      <w:r w:rsidR="007957D4" w:rsidRPr="008916FE">
        <w:rPr>
          <w:sz w:val="20"/>
          <w:szCs w:val="20"/>
        </w:rPr>
        <w:t xml:space="preserve">programs, including those </w:t>
      </w:r>
      <w:r w:rsidR="0022694A" w:rsidRPr="008916FE">
        <w:rPr>
          <w:sz w:val="20"/>
          <w:szCs w:val="20"/>
        </w:rPr>
        <w:t xml:space="preserve">targeting other priority populations, </w:t>
      </w:r>
      <w:r w:rsidR="00BD20B4" w:rsidRPr="008916FE">
        <w:rPr>
          <w:sz w:val="20"/>
          <w:szCs w:val="20"/>
        </w:rPr>
        <w:t xml:space="preserve">is important to build </w:t>
      </w:r>
      <w:r w:rsidR="000C35A7" w:rsidRPr="008916FE">
        <w:rPr>
          <w:sz w:val="20"/>
          <w:szCs w:val="20"/>
        </w:rPr>
        <w:t>a robust</w:t>
      </w:r>
      <w:r w:rsidR="00BD20B4" w:rsidRPr="008916FE">
        <w:rPr>
          <w:sz w:val="20"/>
          <w:szCs w:val="20"/>
        </w:rPr>
        <w:t xml:space="preserve"> evidence base</w:t>
      </w:r>
      <w:r w:rsidR="000C35A7" w:rsidRPr="008916FE">
        <w:rPr>
          <w:sz w:val="20"/>
          <w:szCs w:val="20"/>
        </w:rPr>
        <w:t xml:space="preserve">, </w:t>
      </w:r>
      <w:r w:rsidR="0022694A" w:rsidRPr="008916FE">
        <w:rPr>
          <w:sz w:val="20"/>
          <w:szCs w:val="20"/>
        </w:rPr>
        <w:t>inform the design and delivery of new</w:t>
      </w:r>
      <w:r w:rsidR="000C35A7" w:rsidRPr="008916FE">
        <w:rPr>
          <w:sz w:val="20"/>
          <w:szCs w:val="20"/>
        </w:rPr>
        <w:t xml:space="preserve"> </w:t>
      </w:r>
      <w:r w:rsidR="0022694A" w:rsidRPr="008916FE">
        <w:rPr>
          <w:sz w:val="20"/>
          <w:szCs w:val="20"/>
        </w:rPr>
        <w:t>programs</w:t>
      </w:r>
      <w:r w:rsidR="000C35A7" w:rsidRPr="008916FE">
        <w:rPr>
          <w:sz w:val="20"/>
          <w:szCs w:val="20"/>
        </w:rPr>
        <w:t xml:space="preserve"> </w:t>
      </w:r>
      <w:r w:rsidR="0022694A" w:rsidRPr="008916FE">
        <w:rPr>
          <w:sz w:val="20"/>
          <w:szCs w:val="20"/>
        </w:rPr>
        <w:t xml:space="preserve">and identify </w:t>
      </w:r>
      <w:r w:rsidR="007957D4" w:rsidRPr="008916FE">
        <w:rPr>
          <w:sz w:val="20"/>
          <w:szCs w:val="20"/>
        </w:rPr>
        <w:t xml:space="preserve">opportunities </w:t>
      </w:r>
      <w:r w:rsidR="0022694A" w:rsidRPr="008916FE">
        <w:rPr>
          <w:sz w:val="20"/>
          <w:szCs w:val="20"/>
        </w:rPr>
        <w:t xml:space="preserve">for </w:t>
      </w:r>
      <w:r w:rsidR="000C35A7" w:rsidRPr="008916FE">
        <w:rPr>
          <w:sz w:val="20"/>
          <w:szCs w:val="20"/>
        </w:rPr>
        <w:t xml:space="preserve">program </w:t>
      </w:r>
      <w:r w:rsidR="007957D4" w:rsidRPr="008916FE">
        <w:rPr>
          <w:sz w:val="20"/>
          <w:szCs w:val="20"/>
        </w:rPr>
        <w:t>adapt</w:t>
      </w:r>
      <w:r w:rsidR="0022694A" w:rsidRPr="008916FE">
        <w:rPr>
          <w:sz w:val="20"/>
          <w:szCs w:val="20"/>
        </w:rPr>
        <w:t>ation</w:t>
      </w:r>
      <w:r w:rsidR="007957D4" w:rsidRPr="008916FE">
        <w:rPr>
          <w:sz w:val="20"/>
          <w:szCs w:val="20"/>
        </w:rPr>
        <w:t xml:space="preserve"> and scale</w:t>
      </w:r>
      <w:r w:rsidR="0089782E">
        <w:rPr>
          <w:sz w:val="20"/>
          <w:szCs w:val="20"/>
        </w:rPr>
        <w:t>-</w:t>
      </w:r>
      <w:r w:rsidR="007957D4" w:rsidRPr="008916FE">
        <w:rPr>
          <w:sz w:val="20"/>
          <w:szCs w:val="20"/>
        </w:rPr>
        <w:t>up.</w:t>
      </w:r>
    </w:p>
    <w:p w14:paraId="1217B363" w14:textId="3481EFCC" w:rsidR="002178CB" w:rsidRDefault="002A5009" w:rsidP="004F6342">
      <w:pPr>
        <w:rPr>
          <w:sz w:val="20"/>
          <w:szCs w:val="20"/>
        </w:rPr>
      </w:pPr>
      <w:r>
        <w:rPr>
          <w:sz w:val="20"/>
          <w:szCs w:val="20"/>
        </w:rPr>
        <w:t xml:space="preserve">Health professionals play </w:t>
      </w:r>
      <w:r w:rsidR="007F6773">
        <w:rPr>
          <w:sz w:val="20"/>
          <w:szCs w:val="20"/>
        </w:rPr>
        <w:t>a</w:t>
      </w:r>
      <w:r>
        <w:rPr>
          <w:sz w:val="20"/>
          <w:szCs w:val="20"/>
        </w:rPr>
        <w:t xml:space="preserve"> critical role in prevention education, including through the contact they have with patients and families and</w:t>
      </w:r>
      <w:r w:rsidR="0089782E">
        <w:rPr>
          <w:sz w:val="20"/>
          <w:szCs w:val="20"/>
        </w:rPr>
        <w:t>,</w:t>
      </w:r>
      <w:r>
        <w:rPr>
          <w:sz w:val="20"/>
          <w:szCs w:val="20"/>
        </w:rPr>
        <w:t xml:space="preserve"> more broadly</w:t>
      </w:r>
      <w:r w:rsidR="0089782E">
        <w:rPr>
          <w:sz w:val="20"/>
          <w:szCs w:val="20"/>
        </w:rPr>
        <w:t>,</w:t>
      </w:r>
      <w:r>
        <w:rPr>
          <w:sz w:val="20"/>
          <w:szCs w:val="20"/>
        </w:rPr>
        <w:t xml:space="preserve"> with people of influence in their communities. </w:t>
      </w:r>
      <w:r w:rsidR="002178CB" w:rsidRPr="000F6E8E">
        <w:rPr>
          <w:sz w:val="20"/>
          <w:szCs w:val="20"/>
        </w:rPr>
        <w:t>Programs delivered</w:t>
      </w:r>
      <w:r w:rsidR="002178CB">
        <w:rPr>
          <w:sz w:val="20"/>
          <w:szCs w:val="20"/>
        </w:rPr>
        <w:t xml:space="preserve"> </w:t>
      </w:r>
      <w:r w:rsidR="00F434FD">
        <w:rPr>
          <w:sz w:val="20"/>
          <w:szCs w:val="20"/>
        </w:rPr>
        <w:t xml:space="preserve">using </w:t>
      </w:r>
      <w:r w:rsidR="002178CB">
        <w:rPr>
          <w:sz w:val="20"/>
          <w:szCs w:val="20"/>
        </w:rPr>
        <w:t>multiple mechanisms and mediums achieve maximum engagement, impact and reach. This includes A</w:t>
      </w:r>
      <w:r w:rsidR="002178CB" w:rsidRPr="000F6E8E">
        <w:rPr>
          <w:sz w:val="20"/>
          <w:szCs w:val="20"/>
        </w:rPr>
        <w:t xml:space="preserve">CCHS, </w:t>
      </w:r>
      <w:r w:rsidR="002178CB">
        <w:rPr>
          <w:sz w:val="20"/>
          <w:szCs w:val="20"/>
        </w:rPr>
        <w:t>other</w:t>
      </w:r>
      <w:r w:rsidR="002178CB" w:rsidRPr="000F6E8E">
        <w:rPr>
          <w:sz w:val="20"/>
          <w:szCs w:val="20"/>
        </w:rPr>
        <w:t xml:space="preserve"> primary health services, </w:t>
      </w:r>
      <w:r w:rsidR="002178CB">
        <w:rPr>
          <w:sz w:val="20"/>
          <w:szCs w:val="20"/>
        </w:rPr>
        <w:t xml:space="preserve">sexual health services, </w:t>
      </w:r>
      <w:r w:rsidR="002178CB" w:rsidRPr="000F6E8E">
        <w:rPr>
          <w:sz w:val="20"/>
          <w:szCs w:val="20"/>
        </w:rPr>
        <w:t xml:space="preserve">education institutions, youth services, </w:t>
      </w:r>
      <w:r w:rsidR="00CA6A48">
        <w:rPr>
          <w:sz w:val="20"/>
          <w:szCs w:val="20"/>
        </w:rPr>
        <w:t>BBV and STI</w:t>
      </w:r>
      <w:r w:rsidR="00CA6A48" w:rsidRPr="000F6E8E">
        <w:rPr>
          <w:sz w:val="20"/>
          <w:szCs w:val="20"/>
        </w:rPr>
        <w:t xml:space="preserve"> </w:t>
      </w:r>
      <w:r w:rsidR="002178CB" w:rsidRPr="000F6E8E">
        <w:rPr>
          <w:sz w:val="20"/>
          <w:szCs w:val="20"/>
        </w:rPr>
        <w:t>organisat</w:t>
      </w:r>
      <w:r w:rsidR="002178CB">
        <w:rPr>
          <w:sz w:val="20"/>
          <w:szCs w:val="20"/>
        </w:rPr>
        <w:t xml:space="preserve">ions, peer-based services, </w:t>
      </w:r>
      <w:r w:rsidR="0060433F">
        <w:rPr>
          <w:sz w:val="20"/>
          <w:szCs w:val="20"/>
        </w:rPr>
        <w:t xml:space="preserve">alcohol and </w:t>
      </w:r>
      <w:r w:rsidR="0060433F" w:rsidRPr="0060433F">
        <w:rPr>
          <w:sz w:val="20"/>
          <w:szCs w:val="20"/>
        </w:rPr>
        <w:t>other drug (</w:t>
      </w:r>
      <w:r w:rsidR="005C5DB6" w:rsidRPr="0060433F">
        <w:rPr>
          <w:sz w:val="20"/>
          <w:szCs w:val="20"/>
        </w:rPr>
        <w:t>AOD</w:t>
      </w:r>
      <w:r w:rsidR="0060433F" w:rsidRPr="0060433F">
        <w:rPr>
          <w:sz w:val="20"/>
          <w:szCs w:val="20"/>
        </w:rPr>
        <w:t>)</w:t>
      </w:r>
      <w:r w:rsidR="00F179A4" w:rsidRPr="0060433F">
        <w:rPr>
          <w:sz w:val="20"/>
          <w:szCs w:val="20"/>
        </w:rPr>
        <w:t>, mental</w:t>
      </w:r>
      <w:r w:rsidR="00F179A4" w:rsidRPr="00BB37EA">
        <w:rPr>
          <w:sz w:val="20"/>
          <w:szCs w:val="20"/>
        </w:rPr>
        <w:t xml:space="preserve"> health</w:t>
      </w:r>
      <w:r w:rsidR="00BB37EA">
        <w:rPr>
          <w:sz w:val="20"/>
          <w:szCs w:val="20"/>
        </w:rPr>
        <w:t xml:space="preserve"> services</w:t>
      </w:r>
      <w:r w:rsidR="00F179A4" w:rsidRPr="00BB37EA">
        <w:rPr>
          <w:sz w:val="20"/>
          <w:szCs w:val="20"/>
        </w:rPr>
        <w:t xml:space="preserve">, </w:t>
      </w:r>
      <w:r w:rsidR="002178CB" w:rsidRPr="00BB37EA">
        <w:rPr>
          <w:sz w:val="20"/>
          <w:szCs w:val="20"/>
        </w:rPr>
        <w:t>and</w:t>
      </w:r>
      <w:r w:rsidR="002178CB">
        <w:rPr>
          <w:sz w:val="20"/>
          <w:szCs w:val="20"/>
        </w:rPr>
        <w:t xml:space="preserve"> </w:t>
      </w:r>
      <w:r w:rsidR="00511165">
        <w:rPr>
          <w:sz w:val="20"/>
          <w:szCs w:val="20"/>
        </w:rPr>
        <w:t xml:space="preserve">services in </w:t>
      </w:r>
      <w:r w:rsidR="002178CB">
        <w:rPr>
          <w:sz w:val="20"/>
          <w:szCs w:val="20"/>
        </w:rPr>
        <w:t xml:space="preserve">custodial and other settings. </w:t>
      </w:r>
      <w:r>
        <w:rPr>
          <w:sz w:val="20"/>
          <w:szCs w:val="20"/>
        </w:rPr>
        <w:t>Reporting back to affected communities on research and emerging issues is also an important part of community engagement and can assist prevention efforts.</w:t>
      </w:r>
    </w:p>
    <w:p w14:paraId="32499670" w14:textId="74E6CEF4" w:rsidR="00140C3B" w:rsidRDefault="00F179A4" w:rsidP="00140C3B">
      <w:pPr>
        <w:spacing w:before="120" w:after="0"/>
        <w:rPr>
          <w:sz w:val="20"/>
          <w:szCs w:val="20"/>
        </w:rPr>
      </w:pPr>
      <w:r>
        <w:rPr>
          <w:sz w:val="20"/>
          <w:szCs w:val="20"/>
        </w:rPr>
        <w:t>Prevention e</w:t>
      </w:r>
      <w:r w:rsidR="00045362">
        <w:rPr>
          <w:sz w:val="20"/>
          <w:szCs w:val="20"/>
        </w:rPr>
        <w:t>ducation needs to be coupled with ready access to the means of prevention</w:t>
      </w:r>
      <w:r w:rsidR="00BB37EA">
        <w:rPr>
          <w:sz w:val="20"/>
          <w:szCs w:val="20"/>
        </w:rPr>
        <w:t xml:space="preserve">, including </w:t>
      </w:r>
      <w:r w:rsidR="00045362">
        <w:rPr>
          <w:sz w:val="20"/>
          <w:szCs w:val="20"/>
        </w:rPr>
        <w:t xml:space="preserve">vaccination, condoms and dams, water-based lubricant, PrEP, </w:t>
      </w:r>
      <w:r w:rsidR="001E493C">
        <w:rPr>
          <w:sz w:val="20"/>
          <w:szCs w:val="20"/>
        </w:rPr>
        <w:t>PEP</w:t>
      </w:r>
      <w:r w:rsidR="001B28B5">
        <w:rPr>
          <w:sz w:val="20"/>
          <w:szCs w:val="20"/>
        </w:rPr>
        <w:t xml:space="preserve"> and treatment as prevention for HIV and hepatitis C, s</w:t>
      </w:r>
      <w:r w:rsidR="00045362">
        <w:rPr>
          <w:sz w:val="20"/>
          <w:szCs w:val="20"/>
        </w:rPr>
        <w:t xml:space="preserve">terile needles and syringes and evidence-based OTP. </w:t>
      </w:r>
      <w:r w:rsidR="00045362" w:rsidRPr="00C041BE">
        <w:rPr>
          <w:sz w:val="20"/>
          <w:szCs w:val="20"/>
        </w:rPr>
        <w:t xml:space="preserve">Opportunities for </w:t>
      </w:r>
      <w:r w:rsidR="00045362">
        <w:rPr>
          <w:sz w:val="20"/>
          <w:szCs w:val="20"/>
        </w:rPr>
        <w:t xml:space="preserve">improved access to these preventive measures </w:t>
      </w:r>
      <w:r w:rsidR="00045362" w:rsidRPr="00C041BE">
        <w:rPr>
          <w:sz w:val="20"/>
          <w:szCs w:val="20"/>
        </w:rPr>
        <w:t xml:space="preserve">in </w:t>
      </w:r>
      <w:r w:rsidR="00045362">
        <w:rPr>
          <w:sz w:val="20"/>
          <w:szCs w:val="20"/>
        </w:rPr>
        <w:t>custodial</w:t>
      </w:r>
      <w:r w:rsidR="00045362" w:rsidRPr="00C041BE">
        <w:rPr>
          <w:sz w:val="20"/>
          <w:szCs w:val="20"/>
        </w:rPr>
        <w:t xml:space="preserve"> settings need to be</w:t>
      </w:r>
      <w:r>
        <w:rPr>
          <w:sz w:val="20"/>
          <w:szCs w:val="20"/>
        </w:rPr>
        <w:t xml:space="preserve"> </w:t>
      </w:r>
      <w:r w:rsidR="00045362" w:rsidRPr="00C041BE">
        <w:rPr>
          <w:sz w:val="20"/>
          <w:szCs w:val="20"/>
        </w:rPr>
        <w:t>explored</w:t>
      </w:r>
      <w:r w:rsidR="00045362">
        <w:rPr>
          <w:sz w:val="20"/>
          <w:szCs w:val="20"/>
        </w:rPr>
        <w:t xml:space="preserve"> and advanced, with an emphasis on evidence-based </w:t>
      </w:r>
      <w:r w:rsidR="00045362" w:rsidRPr="00C041BE">
        <w:rPr>
          <w:sz w:val="20"/>
          <w:szCs w:val="20"/>
        </w:rPr>
        <w:t xml:space="preserve">harm reduction and demand reduction </w:t>
      </w:r>
      <w:r w:rsidR="00045362">
        <w:rPr>
          <w:sz w:val="20"/>
          <w:szCs w:val="20"/>
        </w:rPr>
        <w:t xml:space="preserve">measures, including </w:t>
      </w:r>
      <w:r w:rsidR="001B28B5">
        <w:rPr>
          <w:sz w:val="20"/>
          <w:szCs w:val="20"/>
        </w:rPr>
        <w:t xml:space="preserve">NSPs and </w:t>
      </w:r>
      <w:r w:rsidR="005C5DB6">
        <w:rPr>
          <w:sz w:val="20"/>
          <w:szCs w:val="20"/>
        </w:rPr>
        <w:t>AOD</w:t>
      </w:r>
      <w:r w:rsidR="00045362">
        <w:rPr>
          <w:sz w:val="20"/>
          <w:szCs w:val="20"/>
        </w:rPr>
        <w:t xml:space="preserve"> treatment</w:t>
      </w:r>
      <w:r w:rsidR="001B28B5">
        <w:rPr>
          <w:sz w:val="20"/>
          <w:szCs w:val="20"/>
        </w:rPr>
        <w:t>.</w:t>
      </w:r>
      <w:r w:rsidR="00045362" w:rsidRPr="00C041BE">
        <w:rPr>
          <w:sz w:val="20"/>
          <w:szCs w:val="20"/>
        </w:rPr>
        <w:t xml:space="preserve"> </w:t>
      </w:r>
      <w:r w:rsidR="00140C3B" w:rsidRPr="00140C3B">
        <w:rPr>
          <w:sz w:val="20"/>
          <w:szCs w:val="20"/>
          <w:lang w:eastAsia="en-AU"/>
        </w:rPr>
        <w:t xml:space="preserve"> </w:t>
      </w:r>
    </w:p>
    <w:p w14:paraId="4C1D0660" w14:textId="2357384F" w:rsidR="00140C3B" w:rsidRDefault="00140C3B" w:rsidP="00140C3B">
      <w:pPr>
        <w:spacing w:before="120"/>
        <w:rPr>
          <w:sz w:val="20"/>
          <w:szCs w:val="20"/>
        </w:rPr>
      </w:pPr>
      <w:r>
        <w:rPr>
          <w:sz w:val="20"/>
          <w:szCs w:val="20"/>
          <w:lang w:eastAsia="en-AU"/>
        </w:rPr>
        <w:t xml:space="preserve">Education and prevention initiatives </w:t>
      </w:r>
      <w:r>
        <w:rPr>
          <w:sz w:val="20"/>
          <w:szCs w:val="20"/>
        </w:rPr>
        <w:t>must be supported by accessible and acceptable</w:t>
      </w:r>
      <w:r w:rsidR="00F179A4">
        <w:rPr>
          <w:sz w:val="20"/>
          <w:szCs w:val="20"/>
        </w:rPr>
        <w:t xml:space="preserve"> culturally </w:t>
      </w:r>
      <w:r w:rsidR="00522AB9">
        <w:rPr>
          <w:sz w:val="20"/>
          <w:szCs w:val="20"/>
        </w:rPr>
        <w:t xml:space="preserve">competent </w:t>
      </w:r>
      <w:r>
        <w:rPr>
          <w:sz w:val="20"/>
          <w:szCs w:val="20"/>
        </w:rPr>
        <w:t xml:space="preserve">clinical services. Approaches must also improve knowledge and skills in how to access and navigate the available local health services and assist </w:t>
      </w:r>
      <w:r w:rsidR="0089782E">
        <w:rPr>
          <w:sz w:val="20"/>
          <w:szCs w:val="20"/>
        </w:rPr>
        <w:t xml:space="preserve">in </w:t>
      </w:r>
      <w:r w:rsidRPr="002E3A10">
        <w:rPr>
          <w:sz w:val="20"/>
          <w:szCs w:val="20"/>
        </w:rPr>
        <w:t>address</w:t>
      </w:r>
      <w:r w:rsidR="00F179A4">
        <w:rPr>
          <w:sz w:val="20"/>
          <w:szCs w:val="20"/>
        </w:rPr>
        <w:t>ing</w:t>
      </w:r>
      <w:r w:rsidRPr="002E3A10">
        <w:rPr>
          <w:sz w:val="20"/>
          <w:szCs w:val="20"/>
        </w:rPr>
        <w:t xml:space="preserve"> some of the barriers faced by Aboriginal and Torres Strait Islander people in accessing health services. Studies have shown that </w:t>
      </w:r>
      <w:r w:rsidR="007F6773" w:rsidRPr="002E3A10">
        <w:rPr>
          <w:sz w:val="20"/>
          <w:szCs w:val="20"/>
        </w:rPr>
        <w:t xml:space="preserve">young </w:t>
      </w:r>
      <w:r w:rsidRPr="002E3A10">
        <w:rPr>
          <w:sz w:val="20"/>
          <w:szCs w:val="20"/>
        </w:rPr>
        <w:t xml:space="preserve">Aboriginal and Torres Strait Islander people often face barriers in accessing health services due to stigma, confidentiality concerns, lack of age-appropriate services and lack of health professionals of the same </w:t>
      </w:r>
      <w:r w:rsidRPr="001936C5">
        <w:rPr>
          <w:sz w:val="20"/>
          <w:szCs w:val="20"/>
        </w:rPr>
        <w:t>gender</w:t>
      </w:r>
      <w:r w:rsidRPr="002E3A10">
        <w:rPr>
          <w:sz w:val="20"/>
          <w:szCs w:val="20"/>
        </w:rPr>
        <w:t>.</w:t>
      </w:r>
      <w:r w:rsidR="001936C5">
        <w:rPr>
          <w:sz w:val="20"/>
          <w:szCs w:val="20"/>
          <w:vertAlign w:val="superscript"/>
        </w:rPr>
        <w:t>20,</w:t>
      </w:r>
      <w:r w:rsidR="008D53C2">
        <w:rPr>
          <w:rStyle w:val="EndnoteReference"/>
          <w:sz w:val="20"/>
          <w:szCs w:val="20"/>
        </w:rPr>
        <w:endnoteReference w:id="58"/>
      </w:r>
      <w:r w:rsidR="00250F4B">
        <w:rPr>
          <w:sz w:val="20"/>
          <w:szCs w:val="20"/>
          <w:vertAlign w:val="superscript"/>
        </w:rPr>
        <w:t>,</w:t>
      </w:r>
      <w:r w:rsidR="008D53C2">
        <w:rPr>
          <w:rStyle w:val="EndnoteReference"/>
          <w:sz w:val="20"/>
          <w:szCs w:val="20"/>
        </w:rPr>
        <w:endnoteReference w:id="59"/>
      </w:r>
    </w:p>
    <w:p w14:paraId="108A79DA" w14:textId="6417FA26" w:rsidR="00930037" w:rsidRDefault="00930037" w:rsidP="00140C3B">
      <w:pPr>
        <w:rPr>
          <w:sz w:val="20"/>
          <w:szCs w:val="20"/>
        </w:rPr>
      </w:pPr>
      <w:r w:rsidRPr="00E83B73">
        <w:rPr>
          <w:sz w:val="20"/>
          <w:szCs w:val="20"/>
        </w:rPr>
        <w:t xml:space="preserve">Education programs in primary and secondary schools have been </w:t>
      </w:r>
      <w:r w:rsidR="002A5009">
        <w:rPr>
          <w:sz w:val="20"/>
          <w:szCs w:val="20"/>
        </w:rPr>
        <w:t>shown to support young people in managing risks and engaging</w:t>
      </w:r>
      <w:r w:rsidRPr="00E83B73">
        <w:rPr>
          <w:sz w:val="20"/>
          <w:szCs w:val="20"/>
        </w:rPr>
        <w:t xml:space="preserve"> in positive health</w:t>
      </w:r>
      <w:r w:rsidR="0089782E">
        <w:rPr>
          <w:sz w:val="20"/>
          <w:szCs w:val="20"/>
        </w:rPr>
        <w:t>-</w:t>
      </w:r>
      <w:r w:rsidRPr="00E83B73">
        <w:rPr>
          <w:sz w:val="20"/>
          <w:szCs w:val="20"/>
        </w:rPr>
        <w:t>seeking behaviours.</w:t>
      </w:r>
      <w:r w:rsidRPr="00E83B73">
        <w:rPr>
          <w:rStyle w:val="EndnoteReference"/>
          <w:iCs/>
          <w:sz w:val="20"/>
          <w:szCs w:val="20"/>
        </w:rPr>
        <w:endnoteReference w:id="60"/>
      </w:r>
      <w:r w:rsidRPr="00911D9A">
        <w:rPr>
          <w:sz w:val="20"/>
          <w:szCs w:val="20"/>
          <w:vertAlign w:val="superscript"/>
        </w:rPr>
        <w:t>,</w:t>
      </w:r>
      <w:r w:rsidRPr="00E83B73">
        <w:rPr>
          <w:rStyle w:val="EndnoteReference"/>
          <w:iCs/>
          <w:sz w:val="20"/>
          <w:szCs w:val="20"/>
        </w:rPr>
        <w:endnoteReference w:id="61"/>
      </w:r>
      <w:r w:rsidRPr="001727B9">
        <w:rPr>
          <w:sz w:val="20"/>
          <w:szCs w:val="20"/>
        </w:rPr>
        <w:t xml:space="preserve"> </w:t>
      </w:r>
      <w:r w:rsidRPr="00E83B73">
        <w:rPr>
          <w:sz w:val="20"/>
          <w:szCs w:val="20"/>
        </w:rPr>
        <w:t>Support is also required in non-school settings for young people not engaged in the school environment.</w:t>
      </w:r>
      <w:r>
        <w:rPr>
          <w:sz w:val="20"/>
          <w:szCs w:val="20"/>
        </w:rPr>
        <w:t xml:space="preserve"> </w:t>
      </w:r>
      <w:r w:rsidR="00AC34F1">
        <w:rPr>
          <w:sz w:val="20"/>
          <w:szCs w:val="20"/>
        </w:rPr>
        <w:t>E</w:t>
      </w:r>
      <w:r>
        <w:rPr>
          <w:sz w:val="20"/>
          <w:szCs w:val="20"/>
        </w:rPr>
        <w:t xml:space="preserve">vidence suggests that </w:t>
      </w:r>
      <w:r w:rsidR="006F65C9">
        <w:rPr>
          <w:sz w:val="20"/>
          <w:szCs w:val="20"/>
        </w:rPr>
        <w:t>community-led</w:t>
      </w:r>
      <w:r w:rsidR="00E53819">
        <w:rPr>
          <w:sz w:val="20"/>
          <w:szCs w:val="20"/>
        </w:rPr>
        <w:t xml:space="preserve"> </w:t>
      </w:r>
      <w:r>
        <w:rPr>
          <w:sz w:val="20"/>
          <w:szCs w:val="20"/>
        </w:rPr>
        <w:t xml:space="preserve">peer education may be an effective way of engaging young Aboriginal and Torres Strait Islander people in STI prevention interventions, particularly to address some of the social </w:t>
      </w:r>
      <w:r w:rsidR="00F179A4">
        <w:rPr>
          <w:sz w:val="20"/>
          <w:szCs w:val="20"/>
        </w:rPr>
        <w:t xml:space="preserve">and cultural </w:t>
      </w:r>
      <w:r>
        <w:rPr>
          <w:sz w:val="20"/>
          <w:szCs w:val="20"/>
        </w:rPr>
        <w:t xml:space="preserve">barriers and influences on sexual </w:t>
      </w:r>
      <w:r w:rsidRPr="001936C5">
        <w:rPr>
          <w:sz w:val="20"/>
          <w:szCs w:val="20"/>
        </w:rPr>
        <w:t>health</w:t>
      </w:r>
      <w:r>
        <w:rPr>
          <w:sz w:val="20"/>
          <w:szCs w:val="20"/>
        </w:rPr>
        <w:t>.</w:t>
      </w:r>
      <w:r w:rsidR="001936C5" w:rsidRPr="001936C5">
        <w:rPr>
          <w:rStyle w:val="EndnoteReference"/>
          <w:iCs/>
        </w:rPr>
        <w:t>24</w:t>
      </w:r>
      <w:r w:rsidR="00C925DB" w:rsidRPr="001936C5">
        <w:rPr>
          <w:rStyle w:val="EndnoteReference"/>
          <w:iCs/>
        </w:rPr>
        <w:t xml:space="preserve"> </w:t>
      </w:r>
    </w:p>
    <w:p w14:paraId="2B716608" w14:textId="1633C773" w:rsidR="00970548" w:rsidRDefault="00970548" w:rsidP="002178CB">
      <w:pPr>
        <w:rPr>
          <w:sz w:val="20"/>
          <w:szCs w:val="20"/>
          <w:lang w:eastAsia="en-AU"/>
        </w:rPr>
      </w:pPr>
      <w:r>
        <w:rPr>
          <w:sz w:val="20"/>
          <w:szCs w:val="20"/>
          <w:lang w:eastAsia="en-AU"/>
        </w:rPr>
        <w:t>It has been recommended</w:t>
      </w:r>
      <w:r w:rsidRPr="001F2F28">
        <w:rPr>
          <w:sz w:val="20"/>
          <w:szCs w:val="20"/>
          <w:lang w:eastAsia="en-AU"/>
        </w:rPr>
        <w:t xml:space="preserve"> </w:t>
      </w:r>
      <w:r>
        <w:rPr>
          <w:sz w:val="20"/>
          <w:szCs w:val="20"/>
          <w:lang w:eastAsia="en-AU"/>
        </w:rPr>
        <w:t xml:space="preserve">that </w:t>
      </w:r>
      <w:r w:rsidRPr="001F2F28">
        <w:rPr>
          <w:sz w:val="20"/>
          <w:szCs w:val="20"/>
          <w:lang w:eastAsia="en-AU"/>
        </w:rPr>
        <w:t xml:space="preserve">STI prevention strategies </w:t>
      </w:r>
      <w:r>
        <w:rPr>
          <w:sz w:val="20"/>
          <w:szCs w:val="20"/>
          <w:lang w:eastAsia="en-AU"/>
        </w:rPr>
        <w:t xml:space="preserve">combine safe sex </w:t>
      </w:r>
      <w:r w:rsidR="007B67D8">
        <w:rPr>
          <w:sz w:val="20"/>
          <w:szCs w:val="20"/>
          <w:lang w:eastAsia="en-AU"/>
        </w:rPr>
        <w:t>education</w:t>
      </w:r>
      <w:r>
        <w:rPr>
          <w:sz w:val="20"/>
          <w:szCs w:val="20"/>
          <w:lang w:eastAsia="en-AU"/>
        </w:rPr>
        <w:t xml:space="preserve"> with </w:t>
      </w:r>
      <w:r w:rsidR="005C5DB6">
        <w:rPr>
          <w:sz w:val="20"/>
          <w:szCs w:val="20"/>
          <w:lang w:eastAsia="en-AU"/>
        </w:rPr>
        <w:t>AOD</w:t>
      </w:r>
      <w:r w:rsidRPr="001F2F28">
        <w:rPr>
          <w:sz w:val="20"/>
          <w:szCs w:val="20"/>
          <w:lang w:eastAsia="en-AU"/>
        </w:rPr>
        <w:t xml:space="preserve"> harm reduction </w:t>
      </w:r>
      <w:r w:rsidR="007B67D8">
        <w:rPr>
          <w:sz w:val="20"/>
          <w:szCs w:val="20"/>
          <w:lang w:eastAsia="en-AU"/>
        </w:rPr>
        <w:t>education</w:t>
      </w:r>
      <w:r w:rsidRPr="001F2F28">
        <w:rPr>
          <w:sz w:val="20"/>
          <w:szCs w:val="20"/>
          <w:lang w:eastAsia="en-AU"/>
        </w:rPr>
        <w:t xml:space="preserve"> for </w:t>
      </w:r>
      <w:r w:rsidR="00647837" w:rsidRPr="001F2F28">
        <w:rPr>
          <w:sz w:val="20"/>
          <w:szCs w:val="20"/>
          <w:lang w:eastAsia="en-AU"/>
        </w:rPr>
        <w:t xml:space="preserve">young </w:t>
      </w:r>
      <w:r>
        <w:rPr>
          <w:sz w:val="20"/>
          <w:szCs w:val="20"/>
          <w:lang w:eastAsia="en-AU"/>
        </w:rPr>
        <w:t>Aboriginal and Torres Strait Islander</w:t>
      </w:r>
      <w:r w:rsidRPr="001F2F28">
        <w:rPr>
          <w:sz w:val="20"/>
          <w:szCs w:val="20"/>
          <w:lang w:eastAsia="en-AU"/>
        </w:rPr>
        <w:t xml:space="preserve"> people</w:t>
      </w:r>
      <w:r w:rsidRPr="001F2F28">
        <w:t>.</w:t>
      </w:r>
      <w:r w:rsidRPr="001F2F28">
        <w:rPr>
          <w:rStyle w:val="EndnoteReference"/>
        </w:rPr>
        <w:endnoteReference w:id="62"/>
      </w:r>
      <w:r>
        <w:t xml:space="preserve"> </w:t>
      </w:r>
      <w:r w:rsidR="002A5009">
        <w:rPr>
          <w:sz w:val="20"/>
          <w:szCs w:val="20"/>
          <w:lang w:eastAsia="en-AU"/>
        </w:rPr>
        <w:t xml:space="preserve">This call for combined messaging is supported by </w:t>
      </w:r>
      <w:r w:rsidRPr="001F2F28">
        <w:rPr>
          <w:sz w:val="20"/>
          <w:szCs w:val="20"/>
          <w:lang w:eastAsia="en-AU"/>
        </w:rPr>
        <w:t>the</w:t>
      </w:r>
      <w:r w:rsidR="002A5009">
        <w:rPr>
          <w:sz w:val="20"/>
          <w:szCs w:val="20"/>
          <w:lang w:eastAsia="en-AU"/>
        </w:rPr>
        <w:t xml:space="preserve"> results of the</w:t>
      </w:r>
      <w:r w:rsidRPr="001F2F28">
        <w:rPr>
          <w:sz w:val="20"/>
          <w:szCs w:val="20"/>
          <w:lang w:eastAsia="en-AU"/>
        </w:rPr>
        <w:t xml:space="preserve"> GOANNA survey of 2877 </w:t>
      </w:r>
      <w:r w:rsidR="00647837" w:rsidRPr="001F2F28">
        <w:rPr>
          <w:sz w:val="20"/>
          <w:szCs w:val="20"/>
          <w:lang w:eastAsia="en-AU"/>
        </w:rPr>
        <w:t xml:space="preserve">young </w:t>
      </w:r>
      <w:r>
        <w:rPr>
          <w:sz w:val="20"/>
          <w:szCs w:val="20"/>
          <w:lang w:eastAsia="en-AU"/>
        </w:rPr>
        <w:t>Aboriginal and Torres Strait Islander</w:t>
      </w:r>
      <w:r w:rsidRPr="001F2F28">
        <w:rPr>
          <w:sz w:val="20"/>
          <w:szCs w:val="20"/>
          <w:lang w:eastAsia="en-AU"/>
        </w:rPr>
        <w:t xml:space="preserve"> people</w:t>
      </w:r>
      <w:r w:rsidR="00594C21">
        <w:rPr>
          <w:sz w:val="20"/>
          <w:szCs w:val="20"/>
          <w:lang w:eastAsia="en-AU"/>
        </w:rPr>
        <w:t>,</w:t>
      </w:r>
      <w:r w:rsidRPr="001F2F28">
        <w:rPr>
          <w:sz w:val="20"/>
          <w:szCs w:val="20"/>
          <w:lang w:eastAsia="en-AU"/>
        </w:rPr>
        <w:t xml:space="preserve"> </w:t>
      </w:r>
      <w:r w:rsidR="002A5009">
        <w:rPr>
          <w:sz w:val="20"/>
          <w:szCs w:val="20"/>
          <w:lang w:eastAsia="en-AU"/>
        </w:rPr>
        <w:t xml:space="preserve">which </w:t>
      </w:r>
      <w:r w:rsidRPr="001F2F28">
        <w:rPr>
          <w:sz w:val="20"/>
          <w:szCs w:val="20"/>
          <w:lang w:eastAsia="en-AU"/>
        </w:rPr>
        <w:t xml:space="preserve">found that illicit drug use was higher among respondents </w:t>
      </w:r>
      <w:r w:rsidR="00512AE9">
        <w:rPr>
          <w:sz w:val="20"/>
          <w:szCs w:val="20"/>
          <w:lang w:eastAsia="en-AU"/>
        </w:rPr>
        <w:t xml:space="preserve">compared </w:t>
      </w:r>
      <w:r w:rsidR="0089782E">
        <w:rPr>
          <w:sz w:val="20"/>
          <w:szCs w:val="20"/>
          <w:lang w:eastAsia="en-AU"/>
        </w:rPr>
        <w:t xml:space="preserve">with </w:t>
      </w:r>
      <w:r w:rsidRPr="001F2F28">
        <w:rPr>
          <w:sz w:val="20"/>
          <w:szCs w:val="20"/>
          <w:lang w:eastAsia="en-AU"/>
        </w:rPr>
        <w:t>the similar</w:t>
      </w:r>
      <w:r w:rsidR="0089782E">
        <w:rPr>
          <w:sz w:val="20"/>
          <w:szCs w:val="20"/>
          <w:lang w:eastAsia="en-AU"/>
        </w:rPr>
        <w:t>-</w:t>
      </w:r>
      <w:r w:rsidRPr="001F2F28">
        <w:rPr>
          <w:sz w:val="20"/>
          <w:szCs w:val="20"/>
          <w:lang w:eastAsia="en-AU"/>
        </w:rPr>
        <w:t>aged non-Indigenous populations</w:t>
      </w:r>
      <w:r w:rsidR="002A5009">
        <w:rPr>
          <w:sz w:val="20"/>
          <w:szCs w:val="20"/>
          <w:lang w:eastAsia="en-AU"/>
        </w:rPr>
        <w:t xml:space="preserve"> and </w:t>
      </w:r>
      <w:r w:rsidRPr="001F2F28">
        <w:rPr>
          <w:sz w:val="20"/>
          <w:szCs w:val="20"/>
          <w:lang w:eastAsia="en-AU"/>
        </w:rPr>
        <w:t>was associated with risky sexua</w:t>
      </w:r>
      <w:r>
        <w:rPr>
          <w:sz w:val="20"/>
          <w:szCs w:val="20"/>
          <w:lang w:eastAsia="en-AU"/>
        </w:rPr>
        <w:t>l behaviours and STI diagnosis</w:t>
      </w:r>
      <w:r w:rsidR="002A5009">
        <w:rPr>
          <w:sz w:val="20"/>
          <w:szCs w:val="20"/>
          <w:lang w:eastAsia="en-AU"/>
        </w:rPr>
        <w:t>.</w:t>
      </w:r>
      <w:r w:rsidR="003F1AA4">
        <w:rPr>
          <w:sz w:val="20"/>
          <w:szCs w:val="20"/>
          <w:lang w:eastAsia="en-AU"/>
        </w:rPr>
        <w:t xml:space="preserve"> </w:t>
      </w:r>
      <w:r w:rsidR="004F6342">
        <w:rPr>
          <w:sz w:val="20"/>
          <w:szCs w:val="20"/>
          <w:lang w:eastAsia="en-AU"/>
        </w:rPr>
        <w:t>International research has also suggested that the us</w:t>
      </w:r>
      <w:r w:rsidR="00A857D9">
        <w:rPr>
          <w:sz w:val="20"/>
          <w:szCs w:val="20"/>
          <w:lang w:eastAsia="en-AU"/>
        </w:rPr>
        <w:t xml:space="preserve">e and misuse of some illicit and licit drugs and risky alcohol consumption </w:t>
      </w:r>
      <w:r w:rsidR="004F6342">
        <w:rPr>
          <w:sz w:val="20"/>
          <w:szCs w:val="20"/>
          <w:lang w:eastAsia="en-AU"/>
        </w:rPr>
        <w:t>may increase the likelihood of high</w:t>
      </w:r>
      <w:r w:rsidR="0089782E">
        <w:rPr>
          <w:sz w:val="20"/>
          <w:szCs w:val="20"/>
          <w:lang w:eastAsia="en-AU"/>
        </w:rPr>
        <w:t>-</w:t>
      </w:r>
      <w:r w:rsidR="004F6342">
        <w:rPr>
          <w:sz w:val="20"/>
          <w:szCs w:val="20"/>
          <w:lang w:eastAsia="en-AU"/>
        </w:rPr>
        <w:t xml:space="preserve">risk sexual contact and </w:t>
      </w:r>
      <w:r w:rsidR="004F6342" w:rsidRPr="00D46E81">
        <w:rPr>
          <w:sz w:val="20"/>
          <w:szCs w:val="20"/>
          <w:lang w:eastAsia="en-AU"/>
        </w:rPr>
        <w:t>STI transmission</w:t>
      </w:r>
      <w:r w:rsidR="004F6342">
        <w:rPr>
          <w:sz w:val="20"/>
          <w:szCs w:val="20"/>
          <w:lang w:eastAsia="en-AU"/>
        </w:rPr>
        <w:t>.</w:t>
      </w:r>
      <w:r w:rsidR="00D46E81" w:rsidRPr="00D46E81">
        <w:rPr>
          <w:rStyle w:val="EndnoteReference"/>
          <w:iCs/>
        </w:rPr>
        <w:t>34,36,37</w:t>
      </w:r>
      <w:r w:rsidR="00D55F69" w:rsidRPr="00025E04">
        <w:rPr>
          <w:sz w:val="20"/>
          <w:szCs w:val="20"/>
          <w:lang w:eastAsia="en-AU"/>
        </w:rPr>
        <w:t xml:space="preserve"> </w:t>
      </w:r>
      <w:r w:rsidR="003F1AA4">
        <w:rPr>
          <w:sz w:val="20"/>
          <w:szCs w:val="20"/>
          <w:lang w:eastAsia="en-AU"/>
        </w:rPr>
        <w:t xml:space="preserve"> </w:t>
      </w:r>
    </w:p>
    <w:p w14:paraId="3863FF79" w14:textId="77777777" w:rsidR="00D85D1F" w:rsidRPr="007105DC" w:rsidRDefault="00D85D1F" w:rsidP="002178CB">
      <w:pPr>
        <w:rPr>
          <w:sz w:val="20"/>
          <w:szCs w:val="20"/>
          <w:lang w:eastAsia="en-AU"/>
        </w:rPr>
      </w:pPr>
      <w:r>
        <w:rPr>
          <w:sz w:val="20"/>
          <w:szCs w:val="20"/>
        </w:rPr>
        <w:t xml:space="preserve">Education and prevention initiatives need to </w:t>
      </w:r>
      <w:r w:rsidR="00357DEE">
        <w:rPr>
          <w:sz w:val="20"/>
          <w:szCs w:val="20"/>
        </w:rPr>
        <w:t xml:space="preserve">provide accurate and comprehensive information on </w:t>
      </w:r>
      <w:r>
        <w:rPr>
          <w:sz w:val="20"/>
          <w:szCs w:val="20"/>
        </w:rPr>
        <w:t>the</w:t>
      </w:r>
      <w:r w:rsidR="00F01B46">
        <w:rPr>
          <w:sz w:val="20"/>
          <w:szCs w:val="20"/>
        </w:rPr>
        <w:t xml:space="preserve"> possible</w:t>
      </w:r>
      <w:r w:rsidR="006C5ED5">
        <w:rPr>
          <w:sz w:val="20"/>
          <w:szCs w:val="20"/>
        </w:rPr>
        <w:t xml:space="preserve"> long-</w:t>
      </w:r>
      <w:r>
        <w:rPr>
          <w:sz w:val="20"/>
          <w:szCs w:val="20"/>
        </w:rPr>
        <w:t xml:space="preserve">term consequences of BBV and STI. Emphasising the ramifications of untreated or undertreated </w:t>
      </w:r>
      <w:r w:rsidRPr="007105DC">
        <w:rPr>
          <w:sz w:val="20"/>
          <w:szCs w:val="20"/>
        </w:rPr>
        <w:t xml:space="preserve">infections </w:t>
      </w:r>
      <w:r w:rsidR="00F434FD" w:rsidRPr="007105DC">
        <w:rPr>
          <w:sz w:val="20"/>
          <w:szCs w:val="20"/>
        </w:rPr>
        <w:t xml:space="preserve">on </w:t>
      </w:r>
      <w:r w:rsidRPr="007105DC">
        <w:rPr>
          <w:sz w:val="20"/>
          <w:szCs w:val="20"/>
        </w:rPr>
        <w:t>reproductive health</w:t>
      </w:r>
      <w:r w:rsidR="001B28B5">
        <w:rPr>
          <w:sz w:val="20"/>
          <w:szCs w:val="20"/>
        </w:rPr>
        <w:t>,</w:t>
      </w:r>
      <w:r w:rsidR="00357DEE" w:rsidRPr="007105DC">
        <w:rPr>
          <w:sz w:val="20"/>
          <w:szCs w:val="20"/>
        </w:rPr>
        <w:t xml:space="preserve"> and the</w:t>
      </w:r>
      <w:r w:rsidRPr="007105DC">
        <w:rPr>
          <w:sz w:val="20"/>
          <w:szCs w:val="20"/>
        </w:rPr>
        <w:t xml:space="preserve"> perinatal and neonatal impacts of infections</w:t>
      </w:r>
      <w:r w:rsidR="001B28B5">
        <w:rPr>
          <w:sz w:val="20"/>
          <w:szCs w:val="20"/>
        </w:rPr>
        <w:t>,</w:t>
      </w:r>
      <w:r w:rsidRPr="007105DC">
        <w:rPr>
          <w:sz w:val="20"/>
          <w:szCs w:val="20"/>
        </w:rPr>
        <w:t xml:space="preserve"> may </w:t>
      </w:r>
      <w:r w:rsidR="00357DEE" w:rsidRPr="007105DC">
        <w:rPr>
          <w:sz w:val="20"/>
          <w:szCs w:val="20"/>
        </w:rPr>
        <w:t xml:space="preserve">build community support for BBV and STI initiatives and </w:t>
      </w:r>
      <w:r w:rsidR="00192B62" w:rsidRPr="007105DC">
        <w:rPr>
          <w:sz w:val="20"/>
          <w:szCs w:val="20"/>
        </w:rPr>
        <w:t>improve</w:t>
      </w:r>
      <w:r w:rsidR="00357DEE" w:rsidRPr="007105DC">
        <w:rPr>
          <w:sz w:val="20"/>
          <w:szCs w:val="20"/>
        </w:rPr>
        <w:t xml:space="preserve"> the engagement of pregnant women </w:t>
      </w:r>
      <w:r w:rsidRPr="007105DC">
        <w:rPr>
          <w:sz w:val="20"/>
          <w:szCs w:val="20"/>
        </w:rPr>
        <w:t>with antenatal care services</w:t>
      </w:r>
      <w:r w:rsidRPr="007105DC">
        <w:rPr>
          <w:sz w:val="20"/>
          <w:szCs w:val="20"/>
          <w:lang w:eastAsia="en-AU"/>
        </w:rPr>
        <w:t xml:space="preserve">. </w:t>
      </w:r>
    </w:p>
    <w:p w14:paraId="6F4C9221" w14:textId="05F7E63C" w:rsidR="007105DC" w:rsidRPr="00554646" w:rsidRDefault="00557937" w:rsidP="00852D76">
      <w:pPr>
        <w:spacing w:before="120"/>
        <w:rPr>
          <w:sz w:val="20"/>
          <w:szCs w:val="20"/>
        </w:rPr>
      </w:pPr>
      <w:r w:rsidRPr="00554646">
        <w:rPr>
          <w:sz w:val="20"/>
          <w:szCs w:val="20"/>
          <w:lang w:eastAsia="en-AU"/>
        </w:rPr>
        <w:t>In the case of HIV, while prevalence among Aboriginal and Torres Strait Islander people in Australia is low,</w:t>
      </w:r>
      <w:r w:rsidRPr="00554646">
        <w:rPr>
          <w:sz w:val="20"/>
          <w:szCs w:val="20"/>
        </w:rPr>
        <w:t xml:space="preserve"> rates of newly diagnosed HIV are increasing. While HIV notification rates have been highest in urban areas in most years, rising HIV notifications in remote areas is also a concern.</w:t>
      </w:r>
      <w:r w:rsidR="004F4A77">
        <w:rPr>
          <w:sz w:val="20"/>
          <w:szCs w:val="20"/>
          <w:vertAlign w:val="superscript"/>
        </w:rPr>
        <w:t>6</w:t>
      </w:r>
      <w:r w:rsidRPr="00554646">
        <w:rPr>
          <w:sz w:val="20"/>
          <w:szCs w:val="20"/>
        </w:rPr>
        <w:t xml:space="preserve"> Remote areas are often associated with high rates of untreated bacterial STI</w:t>
      </w:r>
      <w:r w:rsidR="00A367AD">
        <w:rPr>
          <w:sz w:val="20"/>
          <w:szCs w:val="20"/>
        </w:rPr>
        <w:t>,</w:t>
      </w:r>
      <w:r w:rsidRPr="00554646">
        <w:rPr>
          <w:sz w:val="20"/>
          <w:szCs w:val="20"/>
        </w:rPr>
        <w:t xml:space="preserve"> which increases the risk of HIV transmission.</w:t>
      </w:r>
      <w:r w:rsidR="00BB7BE5" w:rsidRPr="00554646">
        <w:rPr>
          <w:sz w:val="20"/>
          <w:szCs w:val="20"/>
        </w:rPr>
        <w:t xml:space="preserve"> </w:t>
      </w:r>
      <w:r w:rsidR="007105DC" w:rsidRPr="00554646">
        <w:rPr>
          <w:rFonts w:eastAsia="Times New Roman" w:cs="Segoe UI"/>
          <w:color w:val="000000"/>
          <w:sz w:val="20"/>
          <w:szCs w:val="20"/>
          <w:bdr w:val="none" w:sz="0" w:space="0" w:color="auto" w:frame="1"/>
          <w:lang w:eastAsia="en-AU"/>
        </w:rPr>
        <w:t>Prevention messages</w:t>
      </w:r>
      <w:r w:rsidR="00C06D78" w:rsidRPr="00554646">
        <w:rPr>
          <w:rFonts w:eastAsia="Times New Roman" w:cs="Segoe UI"/>
          <w:color w:val="000000"/>
          <w:sz w:val="20"/>
          <w:szCs w:val="20"/>
          <w:bdr w:val="none" w:sz="0" w:space="0" w:color="auto" w:frame="1"/>
          <w:lang w:eastAsia="en-AU"/>
        </w:rPr>
        <w:t xml:space="preserve"> which effectively engage</w:t>
      </w:r>
      <w:r w:rsidR="007105DC" w:rsidRPr="00554646">
        <w:rPr>
          <w:rFonts w:eastAsia="Times New Roman" w:cs="Segoe UI"/>
          <w:color w:val="000000"/>
          <w:sz w:val="20"/>
          <w:szCs w:val="20"/>
          <w:bdr w:val="none" w:sz="0" w:space="0" w:color="auto" w:frame="1"/>
          <w:lang w:eastAsia="en-AU"/>
        </w:rPr>
        <w:t xml:space="preserve"> those at risk</w:t>
      </w:r>
      <w:r w:rsidR="00723C2C" w:rsidRPr="00554646">
        <w:rPr>
          <w:rFonts w:eastAsia="Times New Roman" w:cs="Segoe UI"/>
          <w:color w:val="000000"/>
          <w:sz w:val="20"/>
          <w:szCs w:val="20"/>
          <w:bdr w:val="none" w:sz="0" w:space="0" w:color="auto" w:frame="1"/>
          <w:lang w:eastAsia="en-AU"/>
        </w:rPr>
        <w:t xml:space="preserve"> are needed across all priority settings and</w:t>
      </w:r>
      <w:r w:rsidR="0000452B" w:rsidRPr="00554646">
        <w:rPr>
          <w:rFonts w:eastAsia="Times New Roman" w:cs="Segoe UI"/>
          <w:color w:val="000000"/>
          <w:sz w:val="20"/>
          <w:szCs w:val="20"/>
          <w:bdr w:val="none" w:sz="0" w:space="0" w:color="auto" w:frame="1"/>
          <w:lang w:eastAsia="en-AU"/>
        </w:rPr>
        <w:t xml:space="preserve"> geographic</w:t>
      </w:r>
      <w:r w:rsidR="00723C2C" w:rsidRPr="00554646">
        <w:rPr>
          <w:rFonts w:eastAsia="Times New Roman" w:cs="Segoe UI"/>
          <w:color w:val="000000"/>
          <w:sz w:val="20"/>
          <w:szCs w:val="20"/>
          <w:bdr w:val="none" w:sz="0" w:space="0" w:color="auto" w:frame="1"/>
          <w:lang w:eastAsia="en-AU"/>
        </w:rPr>
        <w:t xml:space="preserve"> areas</w:t>
      </w:r>
      <w:r w:rsidR="00765448" w:rsidRPr="00554646">
        <w:rPr>
          <w:rFonts w:eastAsia="Times New Roman" w:cs="Segoe UI"/>
          <w:color w:val="000000"/>
          <w:sz w:val="20"/>
          <w:szCs w:val="20"/>
          <w:bdr w:val="none" w:sz="0" w:space="0" w:color="auto" w:frame="1"/>
          <w:lang w:eastAsia="en-AU"/>
        </w:rPr>
        <w:t>. To effectively reverse recent rate increases, t</w:t>
      </w:r>
      <w:r w:rsidR="0000452B" w:rsidRPr="00554646">
        <w:rPr>
          <w:rFonts w:eastAsia="Times New Roman" w:cs="Segoe UI"/>
          <w:color w:val="000000"/>
          <w:sz w:val="20"/>
          <w:szCs w:val="20"/>
          <w:bdr w:val="none" w:sz="0" w:space="0" w:color="auto" w:frame="1"/>
          <w:lang w:eastAsia="en-AU"/>
        </w:rPr>
        <w:t>his must be coupled with i</w:t>
      </w:r>
      <w:r w:rsidR="00F5308E" w:rsidRPr="00554646">
        <w:rPr>
          <w:rFonts w:eastAsia="Times New Roman" w:cs="Segoe UI"/>
          <w:color w:val="000000"/>
          <w:sz w:val="20"/>
          <w:szCs w:val="20"/>
          <w:bdr w:val="none" w:sz="0" w:space="0" w:color="auto" w:frame="1"/>
          <w:lang w:eastAsia="en-AU"/>
        </w:rPr>
        <w:t xml:space="preserve">ncreased </w:t>
      </w:r>
      <w:r w:rsidR="0000452B" w:rsidRPr="00554646">
        <w:rPr>
          <w:rFonts w:eastAsia="Times New Roman" w:cs="Segoe UI"/>
          <w:color w:val="000000"/>
          <w:sz w:val="20"/>
          <w:szCs w:val="20"/>
          <w:bdr w:val="none" w:sz="0" w:space="0" w:color="auto" w:frame="1"/>
          <w:lang w:eastAsia="en-AU"/>
        </w:rPr>
        <w:t xml:space="preserve">access to HIV and STI </w:t>
      </w:r>
      <w:r w:rsidR="00F5308E" w:rsidRPr="00554646">
        <w:rPr>
          <w:rFonts w:eastAsia="Times New Roman" w:cs="Segoe UI"/>
          <w:color w:val="000000"/>
          <w:sz w:val="20"/>
          <w:szCs w:val="20"/>
          <w:bdr w:val="none" w:sz="0" w:space="0" w:color="auto" w:frame="1"/>
          <w:lang w:eastAsia="en-AU"/>
        </w:rPr>
        <w:t>testing</w:t>
      </w:r>
      <w:r w:rsidR="0000452B" w:rsidRPr="00554646">
        <w:rPr>
          <w:rFonts w:eastAsia="Times New Roman" w:cs="Segoe UI"/>
          <w:color w:val="000000"/>
          <w:sz w:val="20"/>
          <w:szCs w:val="20"/>
          <w:bdr w:val="none" w:sz="0" w:space="0" w:color="auto" w:frame="1"/>
          <w:lang w:eastAsia="en-AU"/>
        </w:rPr>
        <w:t>, improved uptake of PrEP</w:t>
      </w:r>
      <w:r w:rsidR="00232B95">
        <w:rPr>
          <w:rFonts w:eastAsia="Times New Roman" w:cs="Segoe UI"/>
          <w:color w:val="000000"/>
          <w:sz w:val="20"/>
          <w:szCs w:val="20"/>
          <w:bdr w:val="none" w:sz="0" w:space="0" w:color="auto" w:frame="1"/>
          <w:lang w:eastAsia="en-AU"/>
        </w:rPr>
        <w:t>, PEP</w:t>
      </w:r>
      <w:r w:rsidR="0000452B" w:rsidRPr="00554646">
        <w:rPr>
          <w:rFonts w:eastAsia="Times New Roman" w:cs="Segoe UI"/>
          <w:color w:val="000000"/>
          <w:sz w:val="20"/>
          <w:szCs w:val="20"/>
          <w:bdr w:val="none" w:sz="0" w:space="0" w:color="auto" w:frame="1"/>
          <w:lang w:eastAsia="en-AU"/>
        </w:rPr>
        <w:t xml:space="preserve"> and TasP,</w:t>
      </w:r>
      <w:r w:rsidR="00F5308E" w:rsidRPr="00554646">
        <w:rPr>
          <w:rFonts w:eastAsia="Times New Roman" w:cs="Segoe UI"/>
          <w:color w:val="000000"/>
          <w:sz w:val="20"/>
          <w:szCs w:val="20"/>
          <w:bdr w:val="none" w:sz="0" w:space="0" w:color="auto" w:frame="1"/>
          <w:lang w:eastAsia="en-AU"/>
        </w:rPr>
        <w:t xml:space="preserve"> and </w:t>
      </w:r>
      <w:r w:rsidR="007105DC" w:rsidRPr="00554646">
        <w:rPr>
          <w:rFonts w:eastAsia="Times New Roman" w:cs="Segoe UI"/>
          <w:color w:val="000000"/>
          <w:sz w:val="20"/>
          <w:szCs w:val="20"/>
          <w:bdr w:val="none" w:sz="0" w:space="0" w:color="auto" w:frame="1"/>
          <w:lang w:eastAsia="en-AU"/>
        </w:rPr>
        <w:t xml:space="preserve">culturally </w:t>
      </w:r>
      <w:r w:rsidR="00522AB9">
        <w:rPr>
          <w:rFonts w:eastAsia="Times New Roman" w:cs="Segoe UI"/>
          <w:color w:val="000000"/>
          <w:sz w:val="20"/>
          <w:szCs w:val="20"/>
          <w:bdr w:val="none" w:sz="0" w:space="0" w:color="auto" w:frame="1"/>
          <w:lang w:eastAsia="en-AU"/>
        </w:rPr>
        <w:t>responsive</w:t>
      </w:r>
      <w:r w:rsidR="00522AB9" w:rsidRPr="00554646">
        <w:rPr>
          <w:rFonts w:eastAsia="Times New Roman" w:cs="Segoe UI"/>
          <w:color w:val="000000"/>
          <w:sz w:val="20"/>
          <w:szCs w:val="20"/>
          <w:bdr w:val="none" w:sz="0" w:space="0" w:color="auto" w:frame="1"/>
          <w:lang w:eastAsia="en-AU"/>
        </w:rPr>
        <w:t xml:space="preserve"> </w:t>
      </w:r>
      <w:r w:rsidR="00765448" w:rsidRPr="00554646">
        <w:rPr>
          <w:rFonts w:eastAsia="Times New Roman" w:cs="Segoe UI"/>
          <w:color w:val="000000"/>
          <w:sz w:val="20"/>
          <w:szCs w:val="20"/>
          <w:bdr w:val="none" w:sz="0" w:space="0" w:color="auto" w:frame="1"/>
          <w:lang w:eastAsia="en-AU"/>
        </w:rPr>
        <w:t xml:space="preserve">clinical </w:t>
      </w:r>
      <w:r w:rsidR="007105DC" w:rsidRPr="00554646">
        <w:rPr>
          <w:rFonts w:eastAsia="Times New Roman" w:cs="Segoe UI"/>
          <w:color w:val="000000"/>
          <w:sz w:val="20"/>
          <w:szCs w:val="20"/>
          <w:bdr w:val="none" w:sz="0" w:space="0" w:color="auto" w:frame="1"/>
          <w:lang w:eastAsia="en-AU"/>
        </w:rPr>
        <w:t>management and support for people living with HIV</w:t>
      </w:r>
      <w:r w:rsidR="007105DC" w:rsidRPr="00554646">
        <w:rPr>
          <w:sz w:val="20"/>
          <w:szCs w:val="20"/>
        </w:rPr>
        <w:t>.</w:t>
      </w:r>
      <w:r w:rsidR="007105DC" w:rsidRPr="00554646">
        <w:rPr>
          <w:rStyle w:val="EndnoteReference"/>
          <w:sz w:val="20"/>
          <w:szCs w:val="20"/>
        </w:rPr>
        <w:endnoteReference w:id="63"/>
      </w:r>
      <w:r w:rsidR="0000452B" w:rsidRPr="00554646">
        <w:rPr>
          <w:sz w:val="20"/>
          <w:szCs w:val="20"/>
          <w:vertAlign w:val="superscript"/>
        </w:rPr>
        <w:t>,</w:t>
      </w:r>
      <w:r w:rsidR="0000452B" w:rsidRPr="00554646">
        <w:rPr>
          <w:rStyle w:val="EndnoteReference"/>
          <w:sz w:val="20"/>
          <w:szCs w:val="20"/>
        </w:rPr>
        <w:endnoteReference w:id="64"/>
      </w:r>
    </w:p>
    <w:p w14:paraId="678EFFA3" w14:textId="526806A4" w:rsidR="00557937" w:rsidRDefault="00557937" w:rsidP="006A2E2B">
      <w:pPr>
        <w:rPr>
          <w:sz w:val="20"/>
          <w:szCs w:val="20"/>
        </w:rPr>
      </w:pPr>
      <w:r w:rsidRPr="00554646">
        <w:rPr>
          <w:rFonts w:eastAsia="Times New Roman" w:cs="Segoe UI"/>
          <w:color w:val="000000"/>
          <w:sz w:val="20"/>
          <w:szCs w:val="20"/>
          <w:bdr w:val="none" w:sz="0" w:space="0" w:color="auto" w:frame="1"/>
          <w:lang w:eastAsia="en-AU"/>
        </w:rPr>
        <w:lastRenderedPageBreak/>
        <w:t xml:space="preserve">Education for health professionals and </w:t>
      </w:r>
      <w:r w:rsidR="006A2E2B" w:rsidRPr="00554646">
        <w:rPr>
          <w:rFonts w:eastAsia="Times New Roman" w:cs="Segoe UI"/>
          <w:color w:val="000000"/>
          <w:sz w:val="20"/>
          <w:szCs w:val="20"/>
          <w:bdr w:val="none" w:sz="0" w:space="0" w:color="auto" w:frame="1"/>
          <w:lang w:eastAsia="en-AU"/>
        </w:rPr>
        <w:t xml:space="preserve">Aboriginal and Torres Strait Islander </w:t>
      </w:r>
      <w:r w:rsidRPr="00554646">
        <w:rPr>
          <w:rFonts w:eastAsia="Times New Roman" w:cs="Segoe UI"/>
          <w:color w:val="000000"/>
          <w:sz w:val="20"/>
          <w:szCs w:val="20"/>
          <w:bdr w:val="none" w:sz="0" w:space="0" w:color="auto" w:frame="1"/>
          <w:lang w:eastAsia="en-AU"/>
        </w:rPr>
        <w:t xml:space="preserve">people with, or at risk of, HIV should outline the benefits of having an undetectable viral load. Raising awareness </w:t>
      </w:r>
      <w:r w:rsidR="00E0024A" w:rsidRPr="00554646">
        <w:rPr>
          <w:rFonts w:eastAsia="Times New Roman" w:cs="Segoe UI"/>
          <w:color w:val="000000"/>
          <w:sz w:val="20"/>
          <w:szCs w:val="20"/>
          <w:bdr w:val="none" w:sz="0" w:space="0" w:color="auto" w:frame="1"/>
          <w:lang w:eastAsia="en-AU"/>
        </w:rPr>
        <w:t xml:space="preserve">in those with HIV and their partners </w:t>
      </w:r>
      <w:r w:rsidRPr="00554646">
        <w:rPr>
          <w:rFonts w:eastAsia="Times New Roman" w:cs="Segoe UI"/>
          <w:color w:val="000000"/>
          <w:sz w:val="20"/>
          <w:szCs w:val="20"/>
          <w:bdr w:val="none" w:sz="0" w:space="0" w:color="auto" w:frame="1"/>
          <w:lang w:eastAsia="en-AU"/>
        </w:rPr>
        <w:t>of the significance of having an undetectable viral load</w:t>
      </w:r>
      <w:r w:rsidR="00E0024A" w:rsidRPr="00554646">
        <w:rPr>
          <w:rFonts w:eastAsia="Times New Roman" w:cs="Segoe UI"/>
          <w:color w:val="000000"/>
          <w:sz w:val="20"/>
          <w:szCs w:val="20"/>
          <w:bdr w:val="none" w:sz="0" w:space="0" w:color="auto" w:frame="1"/>
          <w:lang w:eastAsia="en-AU"/>
        </w:rPr>
        <w:t xml:space="preserve"> in HIV prevention</w:t>
      </w:r>
      <w:r w:rsidRPr="00554646">
        <w:rPr>
          <w:rFonts w:eastAsia="Times New Roman" w:cs="Segoe UI"/>
          <w:color w:val="000000"/>
          <w:sz w:val="20"/>
          <w:szCs w:val="20"/>
          <w:bdr w:val="none" w:sz="0" w:space="0" w:color="auto" w:frame="1"/>
          <w:lang w:eastAsia="en-AU"/>
        </w:rPr>
        <w:t xml:space="preserve"> may also assist in addressing HIV-related stigma. T</w:t>
      </w:r>
      <w:r w:rsidRPr="00554646">
        <w:rPr>
          <w:sz w:val="20"/>
          <w:szCs w:val="20"/>
        </w:rPr>
        <w:t>he subsidisation of PrEP for people at medium and high risk of HIV</w:t>
      </w:r>
      <w:r w:rsidRPr="00554646">
        <w:rPr>
          <w:rStyle w:val="FootnoteReference"/>
          <w:sz w:val="20"/>
          <w:szCs w:val="20"/>
        </w:rPr>
        <w:footnoteReference w:id="10"/>
      </w:r>
      <w:r w:rsidRPr="00554646">
        <w:rPr>
          <w:sz w:val="20"/>
          <w:szCs w:val="20"/>
        </w:rPr>
        <w:t xml:space="preserve"> through</w:t>
      </w:r>
      <w:r w:rsidRPr="007105DC">
        <w:rPr>
          <w:sz w:val="20"/>
          <w:szCs w:val="20"/>
        </w:rPr>
        <w:t xml:space="preserve"> the </w:t>
      </w:r>
      <w:r w:rsidR="00F82359">
        <w:rPr>
          <w:sz w:val="20"/>
          <w:szCs w:val="20"/>
        </w:rPr>
        <w:t>PBS</w:t>
      </w:r>
      <w:r w:rsidR="00B65C03">
        <w:rPr>
          <w:rStyle w:val="FootnoteReference"/>
          <w:sz w:val="20"/>
          <w:szCs w:val="20"/>
        </w:rPr>
        <w:footnoteReference w:id="11"/>
      </w:r>
      <w:r w:rsidRPr="007105DC">
        <w:rPr>
          <w:sz w:val="20"/>
          <w:szCs w:val="20"/>
        </w:rPr>
        <w:t xml:space="preserve"> as of 1 April 2018</w:t>
      </w:r>
      <w:r w:rsidR="006A2E2B" w:rsidRPr="007105DC">
        <w:rPr>
          <w:sz w:val="20"/>
          <w:szCs w:val="20"/>
        </w:rPr>
        <w:t xml:space="preserve"> is a significant development that needs to be capitalised on</w:t>
      </w:r>
      <w:r w:rsidRPr="007105DC">
        <w:rPr>
          <w:sz w:val="20"/>
          <w:szCs w:val="20"/>
        </w:rPr>
        <w:t>.</w:t>
      </w:r>
      <w:r w:rsidR="00554646">
        <w:rPr>
          <w:sz w:val="20"/>
          <w:szCs w:val="20"/>
        </w:rPr>
        <w:t xml:space="preserve"> </w:t>
      </w:r>
      <w:r w:rsidRPr="007105DC">
        <w:rPr>
          <w:sz w:val="20"/>
          <w:szCs w:val="20"/>
        </w:rPr>
        <w:t xml:space="preserve">A lack of awareness about the role of PrEP among relevant priority groups and not having a general practitioner or other clinician who is familiar with PrEP are some of the identified barriers that need to be addressed. </w:t>
      </w:r>
      <w:r w:rsidR="00F032DE">
        <w:rPr>
          <w:sz w:val="20"/>
          <w:szCs w:val="20"/>
        </w:rPr>
        <w:t xml:space="preserve">Improving the targeted education about the benefits of PrEP to support </w:t>
      </w:r>
      <w:r w:rsidR="002A18F4">
        <w:rPr>
          <w:sz w:val="20"/>
          <w:szCs w:val="20"/>
        </w:rPr>
        <w:t xml:space="preserve">its </w:t>
      </w:r>
      <w:r w:rsidR="00F032DE">
        <w:rPr>
          <w:sz w:val="20"/>
          <w:szCs w:val="20"/>
        </w:rPr>
        <w:t>uptake is important. R</w:t>
      </w:r>
      <w:r w:rsidRPr="007105DC">
        <w:rPr>
          <w:sz w:val="20"/>
          <w:szCs w:val="20"/>
        </w:rPr>
        <w:t>ecognis</w:t>
      </w:r>
      <w:r w:rsidR="00F032DE">
        <w:rPr>
          <w:sz w:val="20"/>
          <w:szCs w:val="20"/>
        </w:rPr>
        <w:t>ing</w:t>
      </w:r>
      <w:r w:rsidRPr="007105DC">
        <w:rPr>
          <w:sz w:val="20"/>
          <w:szCs w:val="20"/>
        </w:rPr>
        <w:t xml:space="preserve"> the role of PEP in the prevention ‘toolbox’ for individuals who have been exposed (or suspect</w:t>
      </w:r>
      <w:r w:rsidRPr="00673D1F">
        <w:rPr>
          <w:sz w:val="20"/>
          <w:szCs w:val="20"/>
        </w:rPr>
        <w:t xml:space="preserve"> they have been exposed) to HIV</w:t>
      </w:r>
      <w:r w:rsidR="00F032DE">
        <w:rPr>
          <w:sz w:val="20"/>
          <w:szCs w:val="20"/>
        </w:rPr>
        <w:t xml:space="preserve"> is also important</w:t>
      </w:r>
      <w:r w:rsidR="00647837">
        <w:rPr>
          <w:sz w:val="20"/>
          <w:szCs w:val="20"/>
        </w:rPr>
        <w:t>,</w:t>
      </w:r>
      <w:r w:rsidR="00647837" w:rsidRPr="00673D1F">
        <w:rPr>
          <w:rStyle w:val="EndnoteReference"/>
          <w:sz w:val="20"/>
          <w:szCs w:val="20"/>
        </w:rPr>
        <w:endnoteReference w:id="65"/>
      </w:r>
      <w:r w:rsidR="00647837" w:rsidRPr="00673D1F">
        <w:rPr>
          <w:sz w:val="20"/>
          <w:szCs w:val="20"/>
          <w:vertAlign w:val="superscript"/>
        </w:rPr>
        <w:t>,</w:t>
      </w:r>
      <w:r w:rsidR="00647837" w:rsidRPr="00673D1F">
        <w:rPr>
          <w:rStyle w:val="EndnoteReference"/>
          <w:sz w:val="20"/>
          <w:szCs w:val="20"/>
        </w:rPr>
        <w:endnoteReference w:id="66"/>
      </w:r>
      <w:r w:rsidR="00647837" w:rsidRPr="00673D1F">
        <w:rPr>
          <w:sz w:val="20"/>
          <w:szCs w:val="20"/>
          <w:vertAlign w:val="superscript"/>
        </w:rPr>
        <w:t xml:space="preserve"> </w:t>
      </w:r>
      <w:r w:rsidR="00647837">
        <w:rPr>
          <w:sz w:val="20"/>
          <w:szCs w:val="20"/>
        </w:rPr>
        <w:t>as is promoting</w:t>
      </w:r>
      <w:r w:rsidR="00647837" w:rsidRPr="00673D1F">
        <w:rPr>
          <w:sz w:val="20"/>
          <w:szCs w:val="20"/>
        </w:rPr>
        <w:t xml:space="preserve"> </w:t>
      </w:r>
      <w:r w:rsidRPr="00673D1F">
        <w:rPr>
          <w:sz w:val="20"/>
          <w:szCs w:val="20"/>
        </w:rPr>
        <w:t xml:space="preserve">awareness and accessibility to this medication.  </w:t>
      </w:r>
    </w:p>
    <w:p w14:paraId="73F1EF99" w14:textId="77777777" w:rsidR="00D85D1F" w:rsidRPr="003C7E72" w:rsidRDefault="00D85D1F" w:rsidP="00D85D1F">
      <w:pPr>
        <w:spacing w:before="120" w:after="0"/>
        <w:rPr>
          <w:i/>
          <w:sz w:val="20"/>
          <w:szCs w:val="20"/>
        </w:rPr>
      </w:pPr>
      <w:r w:rsidRPr="003C7E72">
        <w:rPr>
          <w:i/>
          <w:sz w:val="20"/>
          <w:szCs w:val="20"/>
        </w:rPr>
        <w:t>Vaccination</w:t>
      </w:r>
      <w:r w:rsidR="00A305D8">
        <w:rPr>
          <w:i/>
          <w:sz w:val="20"/>
          <w:szCs w:val="20"/>
        </w:rPr>
        <w:t xml:space="preserve">  </w:t>
      </w:r>
    </w:p>
    <w:p w14:paraId="2381A331" w14:textId="77777777" w:rsidR="00596304" w:rsidRDefault="00D85D1F" w:rsidP="00D85D1F">
      <w:pPr>
        <w:spacing w:before="120" w:after="0"/>
        <w:rPr>
          <w:sz w:val="20"/>
          <w:szCs w:val="20"/>
        </w:rPr>
      </w:pPr>
      <w:r>
        <w:rPr>
          <w:sz w:val="20"/>
          <w:szCs w:val="20"/>
        </w:rPr>
        <w:t xml:space="preserve">Vaccination is a critical aspect of </w:t>
      </w:r>
      <w:r w:rsidR="00596304">
        <w:rPr>
          <w:sz w:val="20"/>
          <w:szCs w:val="20"/>
        </w:rPr>
        <w:t xml:space="preserve">the response to </w:t>
      </w:r>
      <w:r>
        <w:rPr>
          <w:sz w:val="20"/>
          <w:szCs w:val="20"/>
        </w:rPr>
        <w:t>BBV and STI.</w:t>
      </w:r>
      <w:r w:rsidR="00596304" w:rsidRPr="00596304">
        <w:rPr>
          <w:sz w:val="20"/>
          <w:szCs w:val="20"/>
        </w:rPr>
        <w:t xml:space="preserve"> </w:t>
      </w:r>
      <w:r w:rsidR="00596304">
        <w:rPr>
          <w:sz w:val="20"/>
          <w:szCs w:val="20"/>
        </w:rPr>
        <w:t>Improving awareness and education on the importance of vaccination and available catch-up programs is critical in preventing transmission.</w:t>
      </w:r>
    </w:p>
    <w:p w14:paraId="3F5E43C7" w14:textId="7BD3AFA5" w:rsidR="00D85D1F" w:rsidRDefault="00D85D1F" w:rsidP="00D85D1F">
      <w:pPr>
        <w:spacing w:before="120" w:after="0"/>
        <w:rPr>
          <w:sz w:val="20"/>
          <w:szCs w:val="20"/>
        </w:rPr>
      </w:pPr>
      <w:r>
        <w:rPr>
          <w:sz w:val="20"/>
          <w:szCs w:val="20"/>
        </w:rPr>
        <w:t xml:space="preserve">Continued effort is needed to maintain and build on the success of the hepatitis B and HPV vaccination programs for Aboriginal and Torres Strait Islander people. Supporting </w:t>
      </w:r>
      <w:r w:rsidR="0060524D">
        <w:rPr>
          <w:sz w:val="20"/>
          <w:szCs w:val="20"/>
        </w:rPr>
        <w:t>improve</w:t>
      </w:r>
      <w:r w:rsidR="0004123E">
        <w:rPr>
          <w:sz w:val="20"/>
          <w:szCs w:val="20"/>
        </w:rPr>
        <w:t xml:space="preserve">d and sustained </w:t>
      </w:r>
      <w:r w:rsidR="0060524D">
        <w:rPr>
          <w:sz w:val="20"/>
          <w:szCs w:val="20"/>
        </w:rPr>
        <w:t xml:space="preserve">immunisation </w:t>
      </w:r>
      <w:r>
        <w:rPr>
          <w:sz w:val="20"/>
          <w:szCs w:val="20"/>
        </w:rPr>
        <w:t xml:space="preserve">coverage as outlined in the </w:t>
      </w:r>
      <w:r w:rsidRPr="00F82359">
        <w:rPr>
          <w:sz w:val="20"/>
          <w:szCs w:val="20"/>
        </w:rPr>
        <w:t>National Immunisation Strategy 2019</w:t>
      </w:r>
      <w:r w:rsidR="0089782E" w:rsidRPr="00F82359">
        <w:rPr>
          <w:sz w:val="20"/>
          <w:szCs w:val="20"/>
        </w:rPr>
        <w:t>–</w:t>
      </w:r>
      <w:r w:rsidRPr="00F82359">
        <w:rPr>
          <w:sz w:val="20"/>
          <w:szCs w:val="20"/>
        </w:rPr>
        <w:t>202</w:t>
      </w:r>
      <w:r w:rsidR="00551CD8" w:rsidRPr="00F82359">
        <w:rPr>
          <w:sz w:val="20"/>
          <w:szCs w:val="20"/>
        </w:rPr>
        <w:t>4</w:t>
      </w:r>
      <w:r>
        <w:rPr>
          <w:sz w:val="20"/>
          <w:szCs w:val="20"/>
        </w:rPr>
        <w:t xml:space="preserve"> is essential. </w:t>
      </w:r>
    </w:p>
    <w:p w14:paraId="1E5AECE1" w14:textId="22D0415E" w:rsidR="00D85D1F" w:rsidRDefault="00D85D1F" w:rsidP="00D85D1F">
      <w:pPr>
        <w:spacing w:before="120" w:after="0"/>
        <w:rPr>
          <w:sz w:val="20"/>
          <w:szCs w:val="20"/>
        </w:rPr>
      </w:pPr>
      <w:r>
        <w:rPr>
          <w:sz w:val="20"/>
          <w:szCs w:val="20"/>
        </w:rPr>
        <w:t>D</w:t>
      </w:r>
      <w:r w:rsidRPr="00E83B73">
        <w:rPr>
          <w:sz w:val="20"/>
          <w:szCs w:val="20"/>
        </w:rPr>
        <w:t xml:space="preserve">espite high infant vaccination coverage, </w:t>
      </w:r>
      <w:r w:rsidR="00284CF1">
        <w:rPr>
          <w:sz w:val="20"/>
          <w:szCs w:val="20"/>
        </w:rPr>
        <w:t xml:space="preserve">improved </w:t>
      </w:r>
      <w:r>
        <w:rPr>
          <w:sz w:val="20"/>
          <w:szCs w:val="20"/>
        </w:rPr>
        <w:t>timeliness of hepatitis B vaccination</w:t>
      </w:r>
      <w:r w:rsidR="008F2941">
        <w:rPr>
          <w:sz w:val="20"/>
          <w:szCs w:val="20"/>
        </w:rPr>
        <w:t xml:space="preserve"> (as part of efforts to improve vaccination timeliness more broadly) </w:t>
      </w:r>
      <w:r>
        <w:rPr>
          <w:sz w:val="20"/>
          <w:szCs w:val="20"/>
        </w:rPr>
        <w:t xml:space="preserve">for Aboriginal and Torres Strait Islander children </w:t>
      </w:r>
      <w:r w:rsidR="00284CF1">
        <w:rPr>
          <w:sz w:val="20"/>
          <w:szCs w:val="20"/>
        </w:rPr>
        <w:t>is</w:t>
      </w:r>
      <w:r>
        <w:rPr>
          <w:sz w:val="20"/>
          <w:szCs w:val="20"/>
        </w:rPr>
        <w:t xml:space="preserve"> required to achieve the 95 per cent hepatitis B vaccination coverage</w:t>
      </w:r>
      <w:r w:rsidR="00284CF1">
        <w:rPr>
          <w:sz w:val="20"/>
          <w:szCs w:val="20"/>
        </w:rPr>
        <w:t xml:space="preserve"> </w:t>
      </w:r>
      <w:r>
        <w:rPr>
          <w:sz w:val="20"/>
          <w:szCs w:val="20"/>
        </w:rPr>
        <w:t>target</w:t>
      </w:r>
      <w:r w:rsidRPr="000F6E8E">
        <w:rPr>
          <w:sz w:val="20"/>
          <w:szCs w:val="20"/>
        </w:rPr>
        <w:t xml:space="preserve">. </w:t>
      </w:r>
      <w:r w:rsidR="00551CD8">
        <w:rPr>
          <w:sz w:val="20"/>
          <w:szCs w:val="20"/>
        </w:rPr>
        <w:t>All individuals up to 19 years of age are eligible for catch</w:t>
      </w:r>
      <w:r w:rsidR="0089782E">
        <w:rPr>
          <w:sz w:val="20"/>
          <w:szCs w:val="20"/>
        </w:rPr>
        <w:t>-</w:t>
      </w:r>
      <w:r w:rsidR="00551CD8">
        <w:rPr>
          <w:sz w:val="20"/>
          <w:szCs w:val="20"/>
        </w:rPr>
        <w:t xml:space="preserve">up vaccines through the National Immunisation Program, including for hepatitis B. </w:t>
      </w:r>
      <w:r w:rsidRPr="000F6E8E">
        <w:rPr>
          <w:sz w:val="20"/>
          <w:szCs w:val="20"/>
        </w:rPr>
        <w:t>T</w:t>
      </w:r>
      <w:r w:rsidRPr="00522749">
        <w:rPr>
          <w:sz w:val="20"/>
          <w:szCs w:val="20"/>
        </w:rPr>
        <w:t>argeted catch-up programs</w:t>
      </w:r>
      <w:r>
        <w:rPr>
          <w:sz w:val="20"/>
          <w:szCs w:val="20"/>
        </w:rPr>
        <w:t xml:space="preserve"> for Aboriginal and Torres Strait Islander people </w:t>
      </w:r>
      <w:r w:rsidR="00551CD8">
        <w:rPr>
          <w:sz w:val="20"/>
          <w:szCs w:val="20"/>
        </w:rPr>
        <w:t xml:space="preserve">aged 20 years and older </w:t>
      </w:r>
      <w:r>
        <w:rPr>
          <w:sz w:val="20"/>
          <w:szCs w:val="20"/>
        </w:rPr>
        <w:t>who missed or were not included in childhood vaccination</w:t>
      </w:r>
      <w:r w:rsidRPr="000F6E8E">
        <w:rPr>
          <w:sz w:val="20"/>
          <w:szCs w:val="20"/>
        </w:rPr>
        <w:t xml:space="preserve">, in line with the </w:t>
      </w:r>
      <w:r>
        <w:rPr>
          <w:sz w:val="20"/>
          <w:szCs w:val="20"/>
        </w:rPr>
        <w:t xml:space="preserve">recommendations of the </w:t>
      </w:r>
      <w:r w:rsidRPr="00911D9A">
        <w:rPr>
          <w:i/>
          <w:sz w:val="20"/>
          <w:szCs w:val="20"/>
        </w:rPr>
        <w:t>Australian Immunisation Handbook</w:t>
      </w:r>
      <w:r w:rsidRPr="000F6E8E">
        <w:rPr>
          <w:sz w:val="20"/>
          <w:szCs w:val="20"/>
        </w:rPr>
        <w:t>,</w:t>
      </w:r>
      <w:r>
        <w:rPr>
          <w:sz w:val="20"/>
          <w:szCs w:val="20"/>
        </w:rPr>
        <w:t xml:space="preserve"> </w:t>
      </w:r>
      <w:r w:rsidRPr="00911D9A">
        <w:rPr>
          <w:sz w:val="20"/>
          <w:szCs w:val="20"/>
        </w:rPr>
        <w:t xml:space="preserve">would </w:t>
      </w:r>
      <w:r w:rsidRPr="000F6E8E">
        <w:rPr>
          <w:sz w:val="20"/>
          <w:szCs w:val="20"/>
        </w:rPr>
        <w:t>further reduce transmission rates.</w:t>
      </w:r>
      <w:r w:rsidRPr="000F6E8E">
        <w:rPr>
          <w:rStyle w:val="EndnoteReference"/>
          <w:sz w:val="20"/>
          <w:szCs w:val="20"/>
        </w:rPr>
        <w:endnoteReference w:id="67"/>
      </w:r>
      <w:r w:rsidR="0089782E">
        <w:rPr>
          <w:sz w:val="20"/>
          <w:szCs w:val="20"/>
          <w:vertAlign w:val="superscript"/>
        </w:rPr>
        <w:t>,</w:t>
      </w:r>
      <w:r w:rsidRPr="00522749">
        <w:rPr>
          <w:rStyle w:val="EndnoteReference"/>
          <w:sz w:val="20"/>
          <w:szCs w:val="20"/>
        </w:rPr>
        <w:endnoteReference w:id="68"/>
      </w:r>
      <w:r w:rsidRPr="00E83B73">
        <w:rPr>
          <w:sz w:val="20"/>
          <w:szCs w:val="20"/>
        </w:rPr>
        <w:t xml:space="preserve"> </w:t>
      </w:r>
    </w:p>
    <w:p w14:paraId="213E476F" w14:textId="3719B468" w:rsidR="00D85D1F" w:rsidRDefault="0060524D" w:rsidP="00D85D1F">
      <w:pPr>
        <w:spacing w:before="120" w:after="0"/>
        <w:rPr>
          <w:sz w:val="20"/>
          <w:szCs w:val="20"/>
        </w:rPr>
      </w:pPr>
      <w:r>
        <w:rPr>
          <w:sz w:val="20"/>
          <w:szCs w:val="20"/>
          <w:lang w:eastAsia="en-AU"/>
        </w:rPr>
        <w:t>C</w:t>
      </w:r>
      <w:r w:rsidRPr="00911D9A">
        <w:rPr>
          <w:sz w:val="20"/>
          <w:szCs w:val="20"/>
          <w:lang w:eastAsia="en-AU"/>
        </w:rPr>
        <w:t>ommunity education need</w:t>
      </w:r>
      <w:r w:rsidR="0004123E">
        <w:rPr>
          <w:sz w:val="20"/>
          <w:szCs w:val="20"/>
          <w:lang w:eastAsia="en-AU"/>
        </w:rPr>
        <w:t>s</w:t>
      </w:r>
      <w:r w:rsidRPr="00911D9A">
        <w:rPr>
          <w:sz w:val="20"/>
          <w:szCs w:val="20"/>
          <w:lang w:eastAsia="en-AU"/>
        </w:rPr>
        <w:t xml:space="preserve"> to contextualise hepatitis B as</w:t>
      </w:r>
      <w:r w:rsidR="00D50146">
        <w:rPr>
          <w:sz w:val="20"/>
          <w:szCs w:val="20"/>
          <w:lang w:eastAsia="en-AU"/>
        </w:rPr>
        <w:t xml:space="preserve"> a</w:t>
      </w:r>
      <w:r w:rsidRPr="00911D9A">
        <w:rPr>
          <w:sz w:val="20"/>
          <w:szCs w:val="20"/>
          <w:lang w:eastAsia="en-AU"/>
        </w:rPr>
        <w:t xml:space="preserve"> family health and cancer prevention issue</w:t>
      </w:r>
      <w:r w:rsidR="00596304">
        <w:rPr>
          <w:sz w:val="20"/>
          <w:szCs w:val="20"/>
          <w:lang w:eastAsia="en-AU"/>
        </w:rPr>
        <w:t>. It also needs to</w:t>
      </w:r>
      <w:r w:rsidRPr="00911D9A">
        <w:rPr>
          <w:sz w:val="20"/>
          <w:szCs w:val="20"/>
          <w:lang w:eastAsia="en-AU"/>
        </w:rPr>
        <w:t xml:space="preserve"> reinforce the need for antenatal screening to prevent vertical transmission.</w:t>
      </w:r>
      <w:r>
        <w:rPr>
          <w:sz w:val="20"/>
          <w:szCs w:val="20"/>
          <w:lang w:eastAsia="en-AU"/>
        </w:rPr>
        <w:t xml:space="preserve"> </w:t>
      </w:r>
      <w:r w:rsidR="0004123E">
        <w:rPr>
          <w:sz w:val="20"/>
          <w:szCs w:val="20"/>
        </w:rPr>
        <w:t>A</w:t>
      </w:r>
      <w:r w:rsidR="00D85D1F" w:rsidRPr="00E83B73">
        <w:rPr>
          <w:sz w:val="20"/>
          <w:szCs w:val="20"/>
        </w:rPr>
        <w:t xml:space="preserve">ntenatal and neonatal </w:t>
      </w:r>
      <w:r w:rsidR="0064610E">
        <w:rPr>
          <w:sz w:val="20"/>
          <w:szCs w:val="20"/>
        </w:rPr>
        <w:t xml:space="preserve">prevention and </w:t>
      </w:r>
      <w:r w:rsidR="00D85D1F" w:rsidRPr="00E83B73">
        <w:rPr>
          <w:sz w:val="20"/>
          <w:szCs w:val="20"/>
        </w:rPr>
        <w:t xml:space="preserve">vaccination protocols </w:t>
      </w:r>
      <w:r w:rsidR="0004123E">
        <w:rPr>
          <w:sz w:val="20"/>
          <w:szCs w:val="20"/>
        </w:rPr>
        <w:t xml:space="preserve">need to be </w:t>
      </w:r>
      <w:r w:rsidR="00D85D1F">
        <w:rPr>
          <w:sz w:val="20"/>
          <w:szCs w:val="20"/>
        </w:rPr>
        <w:t>implemented a</w:t>
      </w:r>
      <w:r w:rsidR="00D85D1F" w:rsidRPr="00E83B73">
        <w:rPr>
          <w:sz w:val="20"/>
          <w:szCs w:val="20"/>
        </w:rPr>
        <w:t xml:space="preserve">longside management and care for </w:t>
      </w:r>
      <w:r w:rsidR="00D85D1F">
        <w:rPr>
          <w:sz w:val="20"/>
          <w:szCs w:val="20"/>
        </w:rPr>
        <w:t xml:space="preserve">women living with </w:t>
      </w:r>
      <w:r w:rsidR="00D85D1F" w:rsidRPr="00E83B73">
        <w:rPr>
          <w:sz w:val="20"/>
          <w:szCs w:val="20"/>
        </w:rPr>
        <w:t>hepatitis B</w:t>
      </w:r>
      <w:r w:rsidR="00C70BC8">
        <w:rPr>
          <w:sz w:val="20"/>
          <w:szCs w:val="20"/>
        </w:rPr>
        <w:t>.</w:t>
      </w:r>
      <w:r w:rsidR="00D85D1F">
        <w:rPr>
          <w:rStyle w:val="EndnoteReference"/>
          <w:sz w:val="20"/>
          <w:szCs w:val="20"/>
        </w:rPr>
        <w:t xml:space="preserve"> </w:t>
      </w:r>
      <w:r w:rsidR="00C70BC8">
        <w:rPr>
          <w:sz w:val="20"/>
          <w:szCs w:val="20"/>
        </w:rPr>
        <w:t xml:space="preserve">This is particularly important </w:t>
      </w:r>
      <w:r w:rsidR="00D85D1F">
        <w:rPr>
          <w:sz w:val="20"/>
          <w:szCs w:val="20"/>
        </w:rPr>
        <w:t>due</w:t>
      </w:r>
      <w:r w:rsidR="00D85D1F" w:rsidRPr="00E83B73">
        <w:rPr>
          <w:sz w:val="20"/>
          <w:szCs w:val="20"/>
        </w:rPr>
        <w:t xml:space="preserve"> to the greater health consequences that follow from infection at </w:t>
      </w:r>
      <w:r w:rsidR="00D85D1F">
        <w:rPr>
          <w:sz w:val="20"/>
          <w:szCs w:val="20"/>
        </w:rPr>
        <w:t xml:space="preserve">birth. </w:t>
      </w:r>
    </w:p>
    <w:p w14:paraId="6D47430A" w14:textId="42AECBD5" w:rsidR="0004123E" w:rsidRDefault="00E26C06" w:rsidP="00D85D1F">
      <w:pPr>
        <w:spacing w:before="120" w:after="0"/>
        <w:rPr>
          <w:sz w:val="20"/>
          <w:szCs w:val="20"/>
        </w:rPr>
      </w:pPr>
      <w:r>
        <w:rPr>
          <w:sz w:val="20"/>
          <w:szCs w:val="20"/>
        </w:rPr>
        <w:t xml:space="preserve">Following the introduction of HPV vaccination in 2007, </w:t>
      </w:r>
      <w:r w:rsidR="00596304">
        <w:rPr>
          <w:sz w:val="20"/>
          <w:szCs w:val="20"/>
        </w:rPr>
        <w:t xml:space="preserve">there were </w:t>
      </w:r>
      <w:r>
        <w:rPr>
          <w:sz w:val="20"/>
          <w:szCs w:val="20"/>
        </w:rPr>
        <w:t>marked declines</w:t>
      </w:r>
      <w:r w:rsidRPr="00E26C06">
        <w:rPr>
          <w:sz w:val="20"/>
          <w:szCs w:val="20"/>
        </w:rPr>
        <w:t xml:space="preserve"> in </w:t>
      </w:r>
      <w:r>
        <w:rPr>
          <w:sz w:val="20"/>
          <w:szCs w:val="20"/>
        </w:rPr>
        <w:t xml:space="preserve">diagnosis of genital warts in </w:t>
      </w:r>
      <w:r w:rsidRPr="00E26C06">
        <w:rPr>
          <w:sz w:val="20"/>
          <w:szCs w:val="20"/>
        </w:rPr>
        <w:t>Aboriginal and Torres Strait Islander women and men attending sexual health clinics for the first time</w:t>
      </w:r>
      <w:r>
        <w:rPr>
          <w:sz w:val="20"/>
          <w:szCs w:val="20"/>
        </w:rPr>
        <w:t>.</w:t>
      </w:r>
      <w:r w:rsidR="00F27774">
        <w:rPr>
          <w:sz w:val="20"/>
          <w:szCs w:val="20"/>
          <w:vertAlign w:val="superscript"/>
        </w:rPr>
        <w:t>2</w:t>
      </w:r>
      <w:r>
        <w:rPr>
          <w:sz w:val="20"/>
          <w:szCs w:val="20"/>
        </w:rPr>
        <w:t xml:space="preserve"> </w:t>
      </w:r>
      <w:r w:rsidR="00A739C7">
        <w:rPr>
          <w:sz w:val="20"/>
          <w:szCs w:val="20"/>
        </w:rPr>
        <w:t xml:space="preserve">HPV vaccination </w:t>
      </w:r>
      <w:r w:rsidR="00D50146">
        <w:rPr>
          <w:sz w:val="20"/>
          <w:szCs w:val="20"/>
        </w:rPr>
        <w:t xml:space="preserve">has been shown to </w:t>
      </w:r>
      <w:r w:rsidR="00A739C7" w:rsidRPr="00A739C7">
        <w:rPr>
          <w:sz w:val="20"/>
          <w:szCs w:val="20"/>
        </w:rPr>
        <w:t>protect a high proportion of Aboriginal and Torres Strait Islander women agai</w:t>
      </w:r>
      <w:r w:rsidR="00A739C7">
        <w:rPr>
          <w:sz w:val="20"/>
          <w:szCs w:val="20"/>
        </w:rPr>
        <w:t>nst vaccine</w:t>
      </w:r>
      <w:r w:rsidR="00D41A7F">
        <w:rPr>
          <w:sz w:val="20"/>
          <w:szCs w:val="20"/>
        </w:rPr>
        <w:t>-</w:t>
      </w:r>
      <w:r w:rsidR="00A739C7">
        <w:rPr>
          <w:sz w:val="20"/>
          <w:szCs w:val="20"/>
        </w:rPr>
        <w:t>targeted HPV types</w:t>
      </w:r>
      <w:r w:rsidR="00A84748">
        <w:rPr>
          <w:sz w:val="20"/>
          <w:szCs w:val="20"/>
        </w:rPr>
        <w:t xml:space="preserve"> that are associated with </w:t>
      </w:r>
      <w:r w:rsidR="00D41A7F">
        <w:rPr>
          <w:sz w:val="20"/>
          <w:szCs w:val="20"/>
        </w:rPr>
        <w:t xml:space="preserve">the development of </w:t>
      </w:r>
      <w:r w:rsidR="00D50146" w:rsidRPr="00D50146">
        <w:rPr>
          <w:sz w:val="20"/>
          <w:szCs w:val="20"/>
        </w:rPr>
        <w:t>cervical cancer.</w:t>
      </w:r>
      <w:r w:rsidR="00857ABA">
        <w:rPr>
          <w:rStyle w:val="EndnoteReference"/>
          <w:sz w:val="20"/>
          <w:szCs w:val="20"/>
        </w:rPr>
        <w:endnoteReference w:id="69"/>
      </w:r>
      <w:r w:rsidR="00D50146">
        <w:rPr>
          <w:sz w:val="20"/>
          <w:szCs w:val="20"/>
        </w:rPr>
        <w:t xml:space="preserve"> </w:t>
      </w:r>
      <w:r w:rsidR="00A739C7" w:rsidRPr="000C6E17">
        <w:rPr>
          <w:sz w:val="20"/>
          <w:szCs w:val="20"/>
        </w:rPr>
        <w:t>Th</w:t>
      </w:r>
      <w:r w:rsidR="00A739C7" w:rsidRPr="00D92E90">
        <w:rPr>
          <w:sz w:val="20"/>
          <w:szCs w:val="20"/>
        </w:rPr>
        <w:t>e introduction of Gardasil</w:t>
      </w:r>
      <w:r w:rsidR="00A739C7">
        <w:rPr>
          <w:rFonts w:cs="Segoe UI"/>
          <w:sz w:val="20"/>
          <w:szCs w:val="20"/>
        </w:rPr>
        <w:t>®</w:t>
      </w:r>
      <w:r w:rsidR="00A739C7" w:rsidRPr="00D92E90">
        <w:rPr>
          <w:sz w:val="20"/>
          <w:szCs w:val="20"/>
        </w:rPr>
        <w:t>9</w:t>
      </w:r>
      <w:r w:rsidR="000A2658">
        <w:rPr>
          <w:sz w:val="20"/>
          <w:szCs w:val="20"/>
        </w:rPr>
        <w:t>, which protects</w:t>
      </w:r>
      <w:r w:rsidR="000A2658" w:rsidRPr="00D92E90">
        <w:rPr>
          <w:sz w:val="20"/>
          <w:szCs w:val="20"/>
        </w:rPr>
        <w:t xml:space="preserve"> against nine types of HPV,</w:t>
      </w:r>
      <w:r w:rsidR="00A739C7" w:rsidRPr="00D92E90">
        <w:rPr>
          <w:sz w:val="20"/>
          <w:szCs w:val="20"/>
        </w:rPr>
        <w:t xml:space="preserve"> to the National Immunisation Program in 2018</w:t>
      </w:r>
      <w:r w:rsidR="000A2658">
        <w:rPr>
          <w:sz w:val="20"/>
          <w:szCs w:val="20"/>
        </w:rPr>
        <w:t xml:space="preserve"> </w:t>
      </w:r>
      <w:r w:rsidR="00A739C7" w:rsidRPr="00D92E90">
        <w:rPr>
          <w:sz w:val="20"/>
          <w:szCs w:val="20"/>
        </w:rPr>
        <w:t xml:space="preserve">is expected to </w:t>
      </w:r>
      <w:r w:rsidR="00A739C7">
        <w:rPr>
          <w:sz w:val="20"/>
          <w:szCs w:val="20"/>
        </w:rPr>
        <w:t xml:space="preserve">further </w:t>
      </w:r>
      <w:r w:rsidR="00A739C7" w:rsidRPr="00D92E90">
        <w:rPr>
          <w:sz w:val="20"/>
          <w:szCs w:val="20"/>
        </w:rPr>
        <w:t xml:space="preserve">reduce cervical </w:t>
      </w:r>
      <w:r w:rsidR="00D1216B" w:rsidRPr="00E26C06">
        <w:rPr>
          <w:sz w:val="20"/>
          <w:szCs w:val="20"/>
        </w:rPr>
        <w:t>and other HPV-</w:t>
      </w:r>
      <w:r w:rsidR="00D1216B">
        <w:rPr>
          <w:sz w:val="20"/>
          <w:szCs w:val="20"/>
        </w:rPr>
        <w:t xml:space="preserve">related </w:t>
      </w:r>
      <w:r w:rsidR="00A739C7" w:rsidRPr="00D92E90">
        <w:rPr>
          <w:sz w:val="20"/>
          <w:szCs w:val="20"/>
        </w:rPr>
        <w:t>cancer rates.</w:t>
      </w:r>
      <w:r w:rsidR="00A739C7">
        <w:rPr>
          <w:rStyle w:val="EndnoteReference"/>
          <w:sz w:val="20"/>
          <w:szCs w:val="20"/>
        </w:rPr>
        <w:endnoteReference w:id="70"/>
      </w:r>
      <w:r w:rsidR="00A739C7">
        <w:rPr>
          <w:sz w:val="20"/>
          <w:szCs w:val="20"/>
        </w:rPr>
        <w:t xml:space="preserve"> S</w:t>
      </w:r>
      <w:r w:rsidRPr="00E26C06">
        <w:rPr>
          <w:sz w:val="20"/>
          <w:szCs w:val="20"/>
        </w:rPr>
        <w:t xml:space="preserve">ustained high HPV vaccine coverage rates </w:t>
      </w:r>
      <w:r w:rsidR="00A84748">
        <w:rPr>
          <w:sz w:val="20"/>
          <w:szCs w:val="20"/>
        </w:rPr>
        <w:t>are</w:t>
      </w:r>
      <w:r w:rsidRPr="00E26C06">
        <w:rPr>
          <w:sz w:val="20"/>
          <w:szCs w:val="20"/>
        </w:rPr>
        <w:t xml:space="preserve"> needed to close the gap between </w:t>
      </w:r>
      <w:r w:rsidR="00596304">
        <w:rPr>
          <w:sz w:val="20"/>
          <w:szCs w:val="20"/>
        </w:rPr>
        <w:t xml:space="preserve">Aboriginal and Torres Strait Islander people </w:t>
      </w:r>
      <w:r w:rsidRPr="00E26C06">
        <w:rPr>
          <w:sz w:val="20"/>
          <w:szCs w:val="20"/>
        </w:rPr>
        <w:t>and non-Indigenous</w:t>
      </w:r>
      <w:r w:rsidR="00A739C7">
        <w:rPr>
          <w:sz w:val="20"/>
          <w:szCs w:val="20"/>
        </w:rPr>
        <w:t xml:space="preserve"> </w:t>
      </w:r>
      <w:r w:rsidRPr="00E26C06">
        <w:rPr>
          <w:sz w:val="20"/>
          <w:szCs w:val="20"/>
        </w:rPr>
        <w:t>Australians in the rates of cervical and other HPV-</w:t>
      </w:r>
      <w:r>
        <w:rPr>
          <w:sz w:val="20"/>
          <w:szCs w:val="20"/>
        </w:rPr>
        <w:t>related cancers</w:t>
      </w:r>
      <w:r w:rsidR="00CD2661">
        <w:rPr>
          <w:sz w:val="20"/>
          <w:szCs w:val="20"/>
        </w:rPr>
        <w:t>.</w:t>
      </w:r>
      <w:r w:rsidR="00857ABA">
        <w:rPr>
          <w:rStyle w:val="EndnoteReference"/>
          <w:sz w:val="20"/>
          <w:szCs w:val="20"/>
        </w:rPr>
        <w:endnoteReference w:id="71"/>
      </w:r>
      <w:r w:rsidR="00A84748" w:rsidDel="00A84748">
        <w:rPr>
          <w:sz w:val="20"/>
          <w:szCs w:val="20"/>
        </w:rPr>
        <w:t xml:space="preserve"> </w:t>
      </w:r>
    </w:p>
    <w:p w14:paraId="61E3CF0A" w14:textId="46CE81AC" w:rsidR="00F179A4" w:rsidRDefault="00F179A4" w:rsidP="00F179A4">
      <w:pPr>
        <w:spacing w:before="120" w:after="0"/>
        <w:rPr>
          <w:sz w:val="20"/>
          <w:szCs w:val="20"/>
        </w:rPr>
      </w:pPr>
      <w:r>
        <w:rPr>
          <w:sz w:val="20"/>
          <w:szCs w:val="20"/>
        </w:rPr>
        <w:t xml:space="preserve">Given that the primary delivery method of the national HPV adolescent immunisation program is through secondary schools, greater efforts need to be implemented to support Aboriginal and Torres Strait Islander students and their parents/carers to participate in the program. </w:t>
      </w:r>
      <w:r w:rsidR="009E6290">
        <w:rPr>
          <w:sz w:val="20"/>
          <w:szCs w:val="20"/>
        </w:rPr>
        <w:t>T</w:t>
      </w:r>
      <w:r>
        <w:rPr>
          <w:sz w:val="20"/>
          <w:szCs w:val="20"/>
        </w:rPr>
        <w:t xml:space="preserve">o reach </w:t>
      </w:r>
      <w:r w:rsidR="00B66AD9">
        <w:rPr>
          <w:sz w:val="20"/>
          <w:szCs w:val="20"/>
        </w:rPr>
        <w:t xml:space="preserve">young </w:t>
      </w:r>
      <w:r>
        <w:rPr>
          <w:sz w:val="20"/>
          <w:szCs w:val="20"/>
        </w:rPr>
        <w:t>Aboriginal and Torres Strait Islander people not engaged in the school environment, additional programs must be implemented and supported outside the school setting to increase access and catch</w:t>
      </w:r>
      <w:r w:rsidR="00D41A7F">
        <w:rPr>
          <w:sz w:val="20"/>
          <w:szCs w:val="20"/>
        </w:rPr>
        <w:t xml:space="preserve"> </w:t>
      </w:r>
      <w:r>
        <w:rPr>
          <w:sz w:val="20"/>
          <w:szCs w:val="20"/>
        </w:rPr>
        <w:t>up on missed HPV vaccine doses.</w:t>
      </w:r>
    </w:p>
    <w:p w14:paraId="7B8AAEEF" w14:textId="7B516E69" w:rsidR="00D85D1F" w:rsidRPr="003C7E72" w:rsidRDefault="00D85D1F" w:rsidP="00D85D1F">
      <w:pPr>
        <w:spacing w:before="120" w:after="0"/>
        <w:rPr>
          <w:i/>
          <w:sz w:val="20"/>
          <w:szCs w:val="20"/>
        </w:rPr>
      </w:pPr>
      <w:r w:rsidRPr="003C7E72">
        <w:rPr>
          <w:i/>
          <w:sz w:val="20"/>
          <w:szCs w:val="20"/>
        </w:rPr>
        <w:lastRenderedPageBreak/>
        <w:t xml:space="preserve">Harm </w:t>
      </w:r>
      <w:r w:rsidR="00D41A7F">
        <w:rPr>
          <w:i/>
          <w:sz w:val="20"/>
          <w:szCs w:val="20"/>
        </w:rPr>
        <w:t>r</w:t>
      </w:r>
      <w:r w:rsidRPr="003C7E72">
        <w:rPr>
          <w:i/>
          <w:sz w:val="20"/>
          <w:szCs w:val="20"/>
        </w:rPr>
        <w:t>eduction</w:t>
      </w:r>
    </w:p>
    <w:p w14:paraId="12661424" w14:textId="1F3E6355" w:rsidR="00D85D1F" w:rsidRPr="000A2658" w:rsidRDefault="00D85D1F" w:rsidP="00D85D1F">
      <w:pPr>
        <w:spacing w:before="120" w:after="0"/>
        <w:rPr>
          <w:sz w:val="20"/>
          <w:szCs w:val="20"/>
          <w:lang w:eastAsia="en-AU"/>
        </w:rPr>
      </w:pPr>
      <w:r w:rsidRPr="001F2F28">
        <w:rPr>
          <w:sz w:val="20"/>
          <w:szCs w:val="20"/>
        </w:rPr>
        <w:t>NSPs remain the primary tool to prevent BBV transmission among people who inject drugs and have proven to be highly effective.</w:t>
      </w:r>
      <w:r w:rsidRPr="001F2F28">
        <w:rPr>
          <w:rStyle w:val="EndnoteReference"/>
          <w:sz w:val="20"/>
          <w:szCs w:val="20"/>
        </w:rPr>
        <w:endnoteReference w:id="72"/>
      </w:r>
      <w:r w:rsidRPr="001F2F28">
        <w:rPr>
          <w:sz w:val="20"/>
          <w:szCs w:val="20"/>
        </w:rPr>
        <w:t xml:space="preserve"> Despite their proven efficacy, harm reduction </w:t>
      </w:r>
      <w:r w:rsidR="009E6290">
        <w:rPr>
          <w:sz w:val="20"/>
          <w:szCs w:val="20"/>
        </w:rPr>
        <w:t xml:space="preserve">and </w:t>
      </w:r>
      <w:r w:rsidR="005C5DB6">
        <w:rPr>
          <w:sz w:val="20"/>
          <w:szCs w:val="20"/>
        </w:rPr>
        <w:t>NSPs</w:t>
      </w:r>
      <w:r w:rsidRPr="001F2F28">
        <w:rPr>
          <w:sz w:val="20"/>
          <w:szCs w:val="20"/>
        </w:rPr>
        <w:t xml:space="preserve"> are not widely available</w:t>
      </w:r>
      <w:r w:rsidR="009E6290">
        <w:rPr>
          <w:sz w:val="20"/>
          <w:szCs w:val="20"/>
        </w:rPr>
        <w:t xml:space="preserve"> or </w:t>
      </w:r>
      <w:r w:rsidR="00CA0CAA" w:rsidRPr="001F2F28">
        <w:rPr>
          <w:sz w:val="20"/>
          <w:szCs w:val="20"/>
        </w:rPr>
        <w:t>a</w:t>
      </w:r>
      <w:r w:rsidR="00CA0CAA">
        <w:rPr>
          <w:sz w:val="20"/>
          <w:szCs w:val="20"/>
        </w:rPr>
        <w:t>ccessible</w:t>
      </w:r>
      <w:r w:rsidRPr="001F2F28">
        <w:rPr>
          <w:sz w:val="20"/>
          <w:szCs w:val="20"/>
        </w:rPr>
        <w:t xml:space="preserve"> in many parts of Australia for </w:t>
      </w:r>
      <w:r w:rsidRPr="001F2F28">
        <w:rPr>
          <w:sz w:val="20"/>
          <w:szCs w:val="20"/>
          <w:lang w:eastAsia="en-AU"/>
        </w:rPr>
        <w:t xml:space="preserve">Aboriginal and Torres Strait Islander people </w:t>
      </w:r>
      <w:r w:rsidRPr="001F2F28">
        <w:rPr>
          <w:sz w:val="20"/>
          <w:szCs w:val="20"/>
        </w:rPr>
        <w:t>who use drugs</w:t>
      </w:r>
      <w:r w:rsidRPr="00E83B73">
        <w:rPr>
          <w:sz w:val="20"/>
          <w:szCs w:val="20"/>
        </w:rPr>
        <w:t xml:space="preserve">. </w:t>
      </w:r>
      <w:r w:rsidR="00C4637A">
        <w:rPr>
          <w:sz w:val="20"/>
          <w:szCs w:val="20"/>
          <w:lang w:eastAsia="en-AU"/>
        </w:rPr>
        <w:t>I</w:t>
      </w:r>
      <w:r w:rsidR="008F2941">
        <w:rPr>
          <w:sz w:val="20"/>
          <w:szCs w:val="20"/>
          <w:lang w:eastAsia="en-AU"/>
        </w:rPr>
        <w:t>ncreased receptive syringe sharing</w:t>
      </w:r>
      <w:r>
        <w:rPr>
          <w:sz w:val="20"/>
          <w:szCs w:val="20"/>
          <w:lang w:eastAsia="en-AU"/>
        </w:rPr>
        <w:t>, as well as the over-representation of this population in custodial settings,</w:t>
      </w:r>
      <w:r w:rsidRPr="00E83B73">
        <w:rPr>
          <w:sz w:val="20"/>
          <w:szCs w:val="20"/>
          <w:lang w:eastAsia="en-AU"/>
        </w:rPr>
        <w:t xml:space="preserve"> </w:t>
      </w:r>
      <w:r>
        <w:rPr>
          <w:sz w:val="20"/>
          <w:szCs w:val="20"/>
          <w:lang w:eastAsia="en-AU"/>
        </w:rPr>
        <w:t xml:space="preserve">further increases the risk of BBV transmission. </w:t>
      </w:r>
      <w:r w:rsidR="00C42C2C" w:rsidRPr="000A2658">
        <w:rPr>
          <w:sz w:val="20"/>
          <w:szCs w:val="20"/>
          <w:lang w:eastAsia="en-AU"/>
        </w:rPr>
        <w:t>Ensuring greater focus on t</w:t>
      </w:r>
      <w:r w:rsidR="00057B9D" w:rsidRPr="000A2658">
        <w:rPr>
          <w:sz w:val="20"/>
          <w:szCs w:val="20"/>
          <w:lang w:eastAsia="en-AU"/>
        </w:rPr>
        <w:t xml:space="preserve">reatment as prevention for HIV and hepatitis C, as well as access to evidence-based OTP, are </w:t>
      </w:r>
      <w:r w:rsidR="00C42C2C" w:rsidRPr="000A2658">
        <w:rPr>
          <w:sz w:val="20"/>
          <w:szCs w:val="20"/>
          <w:lang w:eastAsia="en-AU"/>
        </w:rPr>
        <w:t xml:space="preserve">also important factors in minimising BBV transmission across </w:t>
      </w:r>
      <w:r w:rsidR="002A18F4" w:rsidRPr="000A2658">
        <w:rPr>
          <w:sz w:val="20"/>
          <w:szCs w:val="20"/>
          <w:lang w:eastAsia="en-AU"/>
        </w:rPr>
        <w:t xml:space="preserve">priority </w:t>
      </w:r>
      <w:r w:rsidR="00C42C2C" w:rsidRPr="000A2658">
        <w:rPr>
          <w:sz w:val="20"/>
          <w:szCs w:val="20"/>
          <w:lang w:eastAsia="en-AU"/>
        </w:rPr>
        <w:t>settings.</w:t>
      </w:r>
    </w:p>
    <w:p w14:paraId="711F72BB" w14:textId="3986E9E0" w:rsidR="00D85D1F" w:rsidRDefault="00D85D1F" w:rsidP="00D85D1F">
      <w:pPr>
        <w:spacing w:before="120" w:after="0"/>
        <w:rPr>
          <w:sz w:val="20"/>
          <w:szCs w:val="20"/>
          <w:lang w:eastAsia="en-AU"/>
        </w:rPr>
      </w:pPr>
      <w:r w:rsidRPr="000A2658">
        <w:rPr>
          <w:sz w:val="20"/>
          <w:szCs w:val="20"/>
        </w:rPr>
        <w:t xml:space="preserve">There is a need for intensified </w:t>
      </w:r>
      <w:r w:rsidR="00BF030F" w:rsidRPr="000A2658">
        <w:rPr>
          <w:sz w:val="20"/>
          <w:szCs w:val="20"/>
        </w:rPr>
        <w:t xml:space="preserve">evidence-based </w:t>
      </w:r>
      <w:r w:rsidRPr="000A2658">
        <w:rPr>
          <w:sz w:val="20"/>
          <w:szCs w:val="20"/>
        </w:rPr>
        <w:t xml:space="preserve">harm reduction </w:t>
      </w:r>
      <w:r w:rsidR="00BF030F" w:rsidRPr="000A2658">
        <w:rPr>
          <w:sz w:val="20"/>
          <w:szCs w:val="20"/>
        </w:rPr>
        <w:t>effort</w:t>
      </w:r>
      <w:r w:rsidR="005A305C" w:rsidRPr="000A2658">
        <w:rPr>
          <w:sz w:val="20"/>
          <w:szCs w:val="20"/>
        </w:rPr>
        <w:t>s</w:t>
      </w:r>
      <w:r w:rsidR="00645029" w:rsidRPr="000A2658">
        <w:rPr>
          <w:sz w:val="20"/>
          <w:szCs w:val="20"/>
        </w:rPr>
        <w:t>,</w:t>
      </w:r>
      <w:r w:rsidR="00BF030F" w:rsidRPr="000A2658">
        <w:rPr>
          <w:sz w:val="20"/>
          <w:szCs w:val="20"/>
        </w:rPr>
        <w:t xml:space="preserve"> </w:t>
      </w:r>
      <w:r w:rsidR="00645029" w:rsidRPr="000A2658">
        <w:rPr>
          <w:sz w:val="20"/>
          <w:szCs w:val="20"/>
        </w:rPr>
        <w:t xml:space="preserve">coupled with </w:t>
      </w:r>
      <w:r w:rsidR="006F65C9" w:rsidRPr="000A2658">
        <w:rPr>
          <w:sz w:val="20"/>
          <w:szCs w:val="20"/>
        </w:rPr>
        <w:t>culturally</w:t>
      </w:r>
      <w:r w:rsidR="008D3149">
        <w:rPr>
          <w:sz w:val="20"/>
          <w:szCs w:val="20"/>
        </w:rPr>
        <w:t xml:space="preserve"> </w:t>
      </w:r>
      <w:r w:rsidR="00522AB9">
        <w:rPr>
          <w:sz w:val="20"/>
          <w:szCs w:val="20"/>
        </w:rPr>
        <w:t xml:space="preserve">responsive </w:t>
      </w:r>
      <w:r w:rsidR="00645029">
        <w:rPr>
          <w:sz w:val="20"/>
          <w:szCs w:val="20"/>
        </w:rPr>
        <w:t>peer</w:t>
      </w:r>
      <w:r w:rsidR="000A2658">
        <w:rPr>
          <w:sz w:val="20"/>
          <w:szCs w:val="20"/>
        </w:rPr>
        <w:t>-</w:t>
      </w:r>
      <w:r w:rsidR="00645029">
        <w:rPr>
          <w:sz w:val="20"/>
          <w:szCs w:val="20"/>
        </w:rPr>
        <w:t xml:space="preserve">based education, </w:t>
      </w:r>
      <w:r>
        <w:rPr>
          <w:sz w:val="20"/>
          <w:szCs w:val="20"/>
        </w:rPr>
        <w:t>across</w:t>
      </w:r>
      <w:r w:rsidRPr="00E83B73">
        <w:rPr>
          <w:sz w:val="20"/>
          <w:szCs w:val="20"/>
        </w:rPr>
        <w:t xml:space="preserve"> both community and </w:t>
      </w:r>
      <w:r>
        <w:rPr>
          <w:sz w:val="20"/>
          <w:szCs w:val="20"/>
        </w:rPr>
        <w:t>custodial</w:t>
      </w:r>
      <w:r w:rsidRPr="00E83B73">
        <w:rPr>
          <w:sz w:val="20"/>
          <w:szCs w:val="20"/>
          <w:lang w:eastAsia="en-AU"/>
        </w:rPr>
        <w:t xml:space="preserve"> settings</w:t>
      </w:r>
      <w:r>
        <w:rPr>
          <w:sz w:val="20"/>
          <w:szCs w:val="20"/>
          <w:lang w:eastAsia="en-AU"/>
        </w:rPr>
        <w:t xml:space="preserve">. Improving awareness that </w:t>
      </w:r>
      <w:r w:rsidRPr="00E83B73">
        <w:rPr>
          <w:sz w:val="20"/>
          <w:szCs w:val="20"/>
          <w:lang w:eastAsia="en-AU"/>
        </w:rPr>
        <w:t xml:space="preserve">harm reduction is </w:t>
      </w:r>
      <w:r>
        <w:rPr>
          <w:sz w:val="20"/>
          <w:szCs w:val="20"/>
          <w:lang w:eastAsia="en-AU"/>
        </w:rPr>
        <w:t>safe and highly effective is important</w:t>
      </w:r>
      <w:r w:rsidR="008D3149">
        <w:rPr>
          <w:sz w:val="20"/>
          <w:szCs w:val="20"/>
          <w:lang w:eastAsia="en-AU"/>
        </w:rPr>
        <w:t>,</w:t>
      </w:r>
      <w:r>
        <w:rPr>
          <w:sz w:val="20"/>
          <w:szCs w:val="20"/>
          <w:lang w:eastAsia="en-AU"/>
        </w:rPr>
        <w:t xml:space="preserve"> as it </w:t>
      </w:r>
      <w:r w:rsidRPr="00E83B73">
        <w:rPr>
          <w:sz w:val="20"/>
          <w:szCs w:val="20"/>
          <w:lang w:eastAsia="en-AU"/>
        </w:rPr>
        <w:t>remains contentious in some communities due to fear it may encourage drug use.</w:t>
      </w:r>
      <w:r w:rsidRPr="00E83B73">
        <w:rPr>
          <w:rStyle w:val="EndnoteReference"/>
          <w:sz w:val="20"/>
          <w:szCs w:val="20"/>
        </w:rPr>
        <w:endnoteReference w:id="73"/>
      </w:r>
      <w:r w:rsidRPr="00E83B73">
        <w:rPr>
          <w:sz w:val="20"/>
          <w:szCs w:val="20"/>
          <w:lang w:eastAsia="en-AU"/>
        </w:rPr>
        <w:t xml:space="preserve"> </w:t>
      </w:r>
      <w:r w:rsidR="00BB2934">
        <w:rPr>
          <w:sz w:val="20"/>
          <w:szCs w:val="20"/>
          <w:lang w:eastAsia="en-AU"/>
        </w:rPr>
        <w:t xml:space="preserve">Messaging and engagement strategies need to incorporate cultural </w:t>
      </w:r>
      <w:r w:rsidR="00774109">
        <w:rPr>
          <w:sz w:val="20"/>
          <w:szCs w:val="20"/>
          <w:lang w:eastAsia="en-AU"/>
        </w:rPr>
        <w:t xml:space="preserve">respect </w:t>
      </w:r>
      <w:r w:rsidR="00BB2934">
        <w:rPr>
          <w:sz w:val="20"/>
          <w:szCs w:val="20"/>
          <w:lang w:eastAsia="en-AU"/>
        </w:rPr>
        <w:t xml:space="preserve">and involve </w:t>
      </w:r>
      <w:r w:rsidR="00AD6F14">
        <w:rPr>
          <w:sz w:val="20"/>
          <w:szCs w:val="20"/>
          <w:lang w:eastAsia="en-AU"/>
        </w:rPr>
        <w:t xml:space="preserve">strong </w:t>
      </w:r>
      <w:r w:rsidR="000E4F65">
        <w:rPr>
          <w:sz w:val="20"/>
          <w:szCs w:val="20"/>
          <w:lang w:eastAsia="en-AU"/>
        </w:rPr>
        <w:t>engag</w:t>
      </w:r>
      <w:r w:rsidR="00AD6F14">
        <w:rPr>
          <w:sz w:val="20"/>
          <w:szCs w:val="20"/>
          <w:lang w:eastAsia="en-AU"/>
        </w:rPr>
        <w:t xml:space="preserve">ement </w:t>
      </w:r>
      <w:r w:rsidR="000E4F65">
        <w:rPr>
          <w:sz w:val="20"/>
          <w:szCs w:val="20"/>
          <w:lang w:eastAsia="en-AU"/>
        </w:rPr>
        <w:t xml:space="preserve">with </w:t>
      </w:r>
      <w:r w:rsidR="00BB2934">
        <w:rPr>
          <w:sz w:val="20"/>
          <w:szCs w:val="20"/>
          <w:lang w:eastAsia="en-AU"/>
        </w:rPr>
        <w:t>community leadership in order to overcome these barriers</w:t>
      </w:r>
      <w:r w:rsidR="00AD6F14">
        <w:rPr>
          <w:sz w:val="20"/>
          <w:szCs w:val="20"/>
          <w:lang w:eastAsia="en-AU"/>
        </w:rPr>
        <w:t xml:space="preserve"> and foster this change</w:t>
      </w:r>
      <w:r w:rsidR="00BB2934">
        <w:rPr>
          <w:sz w:val="20"/>
          <w:szCs w:val="20"/>
          <w:lang w:eastAsia="en-AU"/>
        </w:rPr>
        <w:t>.</w:t>
      </w:r>
    </w:p>
    <w:p w14:paraId="5E815EFA" w14:textId="7A69E3CA" w:rsidR="00D85D1F" w:rsidRPr="00126FB6" w:rsidRDefault="00D85D1F" w:rsidP="00D85D1F">
      <w:pPr>
        <w:pStyle w:val="Bullet"/>
        <w:spacing w:before="120" w:after="0"/>
        <w:rPr>
          <w:rFonts w:eastAsia="Calibri"/>
          <w:b/>
          <w:bCs/>
          <w:color w:val="00264D"/>
          <w:lang w:eastAsia="en-US"/>
        </w:rPr>
      </w:pPr>
      <w:r w:rsidRPr="00126FB6">
        <w:rPr>
          <w:rFonts w:eastAsia="Calibri"/>
          <w:b/>
          <w:bCs/>
          <w:color w:val="00264D"/>
          <w:lang w:eastAsia="en-US"/>
        </w:rPr>
        <w:t xml:space="preserve">Key </w:t>
      </w:r>
      <w:r w:rsidR="008D3149">
        <w:rPr>
          <w:rFonts w:eastAsia="Calibri"/>
          <w:b/>
          <w:bCs/>
          <w:color w:val="00264D"/>
          <w:lang w:eastAsia="en-US"/>
        </w:rPr>
        <w:t>a</w:t>
      </w:r>
      <w:r w:rsidRPr="00126FB6">
        <w:rPr>
          <w:rFonts w:eastAsia="Calibri"/>
          <w:b/>
          <w:bCs/>
          <w:color w:val="00264D"/>
          <w:lang w:eastAsia="en-US"/>
        </w:rPr>
        <w:t xml:space="preserve">reas for </w:t>
      </w:r>
      <w:r w:rsidR="008D3149">
        <w:rPr>
          <w:rFonts w:eastAsia="Calibri"/>
          <w:b/>
          <w:bCs/>
          <w:color w:val="00264D"/>
          <w:lang w:eastAsia="en-US"/>
        </w:rPr>
        <w:t>a</w:t>
      </w:r>
      <w:r w:rsidRPr="00126FB6">
        <w:rPr>
          <w:rFonts w:eastAsia="Calibri"/>
          <w:b/>
          <w:bCs/>
          <w:color w:val="00264D"/>
          <w:lang w:eastAsia="en-US"/>
        </w:rPr>
        <w:t>ction</w:t>
      </w:r>
    </w:p>
    <w:p w14:paraId="24257E27" w14:textId="77777777" w:rsidR="00D85D1F" w:rsidRPr="00911D9A" w:rsidRDefault="00D85D1F" w:rsidP="00105B0A">
      <w:pPr>
        <w:pStyle w:val="Bullet"/>
        <w:numPr>
          <w:ilvl w:val="0"/>
          <w:numId w:val="8"/>
        </w:numPr>
        <w:spacing w:before="120" w:after="0"/>
        <w:rPr>
          <w:sz w:val="20"/>
          <w:szCs w:val="20"/>
        </w:rPr>
      </w:pPr>
      <w:r w:rsidRPr="00911D9A">
        <w:rPr>
          <w:sz w:val="20"/>
          <w:szCs w:val="20"/>
        </w:rPr>
        <w:t xml:space="preserve">Ensure meaningful engagement with community members </w:t>
      </w:r>
      <w:r w:rsidR="002A18F4">
        <w:rPr>
          <w:sz w:val="20"/>
          <w:szCs w:val="20"/>
        </w:rPr>
        <w:t xml:space="preserve">and organisations that represent priority groups </w:t>
      </w:r>
      <w:r w:rsidRPr="00911D9A">
        <w:rPr>
          <w:sz w:val="20"/>
          <w:szCs w:val="20"/>
        </w:rPr>
        <w:t xml:space="preserve">in the design and delivery of </w:t>
      </w:r>
      <w:r w:rsidR="00834C88">
        <w:rPr>
          <w:sz w:val="20"/>
          <w:szCs w:val="20"/>
        </w:rPr>
        <w:t xml:space="preserve">BBV and STI </w:t>
      </w:r>
      <w:r w:rsidR="00A5260D">
        <w:rPr>
          <w:sz w:val="20"/>
          <w:szCs w:val="20"/>
        </w:rPr>
        <w:t xml:space="preserve">education </w:t>
      </w:r>
      <w:r w:rsidR="00105B0A" w:rsidRPr="00105B0A">
        <w:rPr>
          <w:sz w:val="20"/>
          <w:szCs w:val="20"/>
        </w:rPr>
        <w:t>prevention initiatives and services for their community</w:t>
      </w:r>
    </w:p>
    <w:p w14:paraId="4D657622" w14:textId="09867E44" w:rsidR="00D85D1F" w:rsidRDefault="00E00044" w:rsidP="00D85D1F">
      <w:pPr>
        <w:pStyle w:val="Bullet"/>
        <w:numPr>
          <w:ilvl w:val="0"/>
          <w:numId w:val="8"/>
        </w:numPr>
        <w:spacing w:before="120" w:after="0"/>
        <w:rPr>
          <w:sz w:val="20"/>
          <w:szCs w:val="20"/>
        </w:rPr>
      </w:pPr>
      <w:r>
        <w:rPr>
          <w:sz w:val="20"/>
          <w:szCs w:val="20"/>
        </w:rPr>
        <w:t>Identify and i</w:t>
      </w:r>
      <w:r w:rsidR="00D85D1F" w:rsidRPr="00911D9A">
        <w:rPr>
          <w:sz w:val="20"/>
          <w:szCs w:val="20"/>
        </w:rPr>
        <w:t xml:space="preserve">mplement </w:t>
      </w:r>
      <w:r w:rsidR="00D85D1F">
        <w:rPr>
          <w:sz w:val="20"/>
          <w:szCs w:val="20"/>
        </w:rPr>
        <w:t>culturally</w:t>
      </w:r>
      <w:r w:rsidR="00F4376A">
        <w:rPr>
          <w:sz w:val="20"/>
          <w:szCs w:val="20"/>
        </w:rPr>
        <w:t xml:space="preserve"> </w:t>
      </w:r>
      <w:r w:rsidR="00774109">
        <w:rPr>
          <w:sz w:val="20"/>
          <w:szCs w:val="20"/>
        </w:rPr>
        <w:t>safe</w:t>
      </w:r>
      <w:r w:rsidR="00D85D1F">
        <w:rPr>
          <w:sz w:val="20"/>
          <w:szCs w:val="20"/>
        </w:rPr>
        <w:t xml:space="preserve">, </w:t>
      </w:r>
      <w:r w:rsidR="007216E4">
        <w:rPr>
          <w:sz w:val="20"/>
          <w:szCs w:val="20"/>
        </w:rPr>
        <w:t>innovative, multifaceted</w:t>
      </w:r>
      <w:r w:rsidR="00A8346E">
        <w:rPr>
          <w:sz w:val="20"/>
          <w:szCs w:val="20"/>
        </w:rPr>
        <w:t xml:space="preserve"> </w:t>
      </w:r>
      <w:r w:rsidR="00D85D1F" w:rsidRPr="00911D9A">
        <w:rPr>
          <w:sz w:val="20"/>
          <w:szCs w:val="20"/>
        </w:rPr>
        <w:t xml:space="preserve">education and prevention initiatives, including </w:t>
      </w:r>
      <w:r w:rsidR="005A305C">
        <w:rPr>
          <w:sz w:val="20"/>
          <w:szCs w:val="20"/>
        </w:rPr>
        <w:t>community-</w:t>
      </w:r>
      <w:r w:rsidR="00A30B32">
        <w:rPr>
          <w:sz w:val="20"/>
          <w:szCs w:val="20"/>
        </w:rPr>
        <w:t>led</w:t>
      </w:r>
      <w:r w:rsidR="000A2658">
        <w:rPr>
          <w:sz w:val="20"/>
          <w:szCs w:val="20"/>
        </w:rPr>
        <w:t>,</w:t>
      </w:r>
      <w:r w:rsidR="00A30B32">
        <w:rPr>
          <w:sz w:val="20"/>
          <w:szCs w:val="20"/>
        </w:rPr>
        <w:t xml:space="preserve"> </w:t>
      </w:r>
      <w:r w:rsidR="00D85D1F" w:rsidRPr="00911D9A">
        <w:rPr>
          <w:sz w:val="20"/>
          <w:szCs w:val="20"/>
        </w:rPr>
        <w:t>peer-based approaches</w:t>
      </w:r>
      <w:r w:rsidR="00A30B32">
        <w:rPr>
          <w:sz w:val="20"/>
          <w:szCs w:val="20"/>
        </w:rPr>
        <w:t>,</w:t>
      </w:r>
      <w:r w:rsidR="00820AA8">
        <w:rPr>
          <w:sz w:val="20"/>
          <w:szCs w:val="20"/>
        </w:rPr>
        <w:t xml:space="preserve"> for priority groups</w:t>
      </w:r>
      <w:r w:rsidR="00D85D1F" w:rsidRPr="00911D9A">
        <w:rPr>
          <w:sz w:val="20"/>
          <w:szCs w:val="20"/>
        </w:rPr>
        <w:t xml:space="preserve"> to </w:t>
      </w:r>
      <w:r w:rsidR="00D85D1F">
        <w:rPr>
          <w:sz w:val="20"/>
          <w:szCs w:val="20"/>
        </w:rPr>
        <w:t>improve</w:t>
      </w:r>
      <w:r w:rsidR="00D85D1F" w:rsidRPr="00911D9A">
        <w:rPr>
          <w:sz w:val="20"/>
          <w:szCs w:val="20"/>
        </w:rPr>
        <w:t xml:space="preserve"> knowledge</w:t>
      </w:r>
      <w:r w:rsidR="007216E4">
        <w:rPr>
          <w:sz w:val="20"/>
          <w:szCs w:val="20"/>
        </w:rPr>
        <w:t xml:space="preserve"> and awareness</w:t>
      </w:r>
      <w:r w:rsidR="00D85D1F" w:rsidRPr="00911D9A">
        <w:rPr>
          <w:sz w:val="20"/>
          <w:szCs w:val="20"/>
        </w:rPr>
        <w:t xml:space="preserve">, </w:t>
      </w:r>
      <w:r w:rsidRPr="00911D9A">
        <w:rPr>
          <w:sz w:val="20"/>
          <w:szCs w:val="20"/>
        </w:rPr>
        <w:t>address stigma related to BBV</w:t>
      </w:r>
      <w:r>
        <w:rPr>
          <w:sz w:val="20"/>
          <w:szCs w:val="20"/>
        </w:rPr>
        <w:t xml:space="preserve"> and </w:t>
      </w:r>
      <w:r w:rsidRPr="00911D9A">
        <w:rPr>
          <w:sz w:val="20"/>
          <w:szCs w:val="20"/>
        </w:rPr>
        <w:t>STI</w:t>
      </w:r>
      <w:r>
        <w:rPr>
          <w:sz w:val="20"/>
          <w:szCs w:val="20"/>
        </w:rPr>
        <w:t>,</w:t>
      </w:r>
      <w:r w:rsidRPr="00911D9A">
        <w:rPr>
          <w:sz w:val="20"/>
          <w:szCs w:val="20"/>
        </w:rPr>
        <w:t xml:space="preserve"> </w:t>
      </w:r>
      <w:r w:rsidR="00D85D1F" w:rsidRPr="00911D9A">
        <w:rPr>
          <w:sz w:val="20"/>
          <w:szCs w:val="20"/>
        </w:rPr>
        <w:t xml:space="preserve">reduce risk behaviours and transmission and </w:t>
      </w:r>
      <w:r w:rsidR="00D85D1F">
        <w:rPr>
          <w:sz w:val="20"/>
          <w:szCs w:val="20"/>
        </w:rPr>
        <w:t>facilitate</w:t>
      </w:r>
      <w:r w:rsidR="00D85D1F" w:rsidRPr="00911D9A">
        <w:rPr>
          <w:sz w:val="20"/>
          <w:szCs w:val="20"/>
        </w:rPr>
        <w:t xml:space="preserve"> early testing and treatment</w:t>
      </w:r>
    </w:p>
    <w:p w14:paraId="4871D9A2" w14:textId="1E6E68CF" w:rsidR="007216E4" w:rsidRPr="00911D9A" w:rsidRDefault="007216E4" w:rsidP="00D85D1F">
      <w:pPr>
        <w:pStyle w:val="Bullet"/>
        <w:numPr>
          <w:ilvl w:val="0"/>
          <w:numId w:val="8"/>
        </w:numPr>
        <w:spacing w:before="120" w:after="0"/>
        <w:rPr>
          <w:sz w:val="20"/>
          <w:szCs w:val="20"/>
        </w:rPr>
      </w:pPr>
      <w:r>
        <w:rPr>
          <w:sz w:val="20"/>
          <w:szCs w:val="20"/>
        </w:rPr>
        <w:t xml:space="preserve">Evaluate existing </w:t>
      </w:r>
      <w:r w:rsidR="0021452D">
        <w:rPr>
          <w:sz w:val="20"/>
          <w:szCs w:val="20"/>
        </w:rPr>
        <w:t>education and prevention</w:t>
      </w:r>
      <w:r>
        <w:rPr>
          <w:sz w:val="20"/>
          <w:szCs w:val="20"/>
        </w:rPr>
        <w:t xml:space="preserve"> programs, including those targeting other priority populations, to inform the design and delivery of new programs and identify opportunities for program adaptation and scale</w:t>
      </w:r>
      <w:r w:rsidR="008D3149">
        <w:rPr>
          <w:sz w:val="20"/>
          <w:szCs w:val="20"/>
        </w:rPr>
        <w:t>-</w:t>
      </w:r>
      <w:r>
        <w:rPr>
          <w:sz w:val="20"/>
          <w:szCs w:val="20"/>
        </w:rPr>
        <w:t>up</w:t>
      </w:r>
    </w:p>
    <w:p w14:paraId="52B6E92D" w14:textId="77777777" w:rsidR="00D85D1F" w:rsidRDefault="000E4F65" w:rsidP="00D85D1F">
      <w:pPr>
        <w:pStyle w:val="Bullet"/>
        <w:numPr>
          <w:ilvl w:val="0"/>
          <w:numId w:val="8"/>
        </w:numPr>
        <w:spacing w:before="120" w:after="0"/>
        <w:rPr>
          <w:sz w:val="20"/>
          <w:szCs w:val="20"/>
        </w:rPr>
      </w:pPr>
      <w:r>
        <w:rPr>
          <w:sz w:val="20"/>
          <w:szCs w:val="20"/>
        </w:rPr>
        <w:t>Implement</w:t>
      </w:r>
      <w:r w:rsidRPr="00911D9A">
        <w:rPr>
          <w:sz w:val="20"/>
          <w:szCs w:val="20"/>
        </w:rPr>
        <w:t xml:space="preserve"> </w:t>
      </w:r>
      <w:r w:rsidR="00D85D1F" w:rsidRPr="00911D9A">
        <w:rPr>
          <w:sz w:val="20"/>
          <w:szCs w:val="20"/>
        </w:rPr>
        <w:t>comprehensive relationships and sexuality education in</w:t>
      </w:r>
      <w:r w:rsidR="00C2589B">
        <w:rPr>
          <w:sz w:val="20"/>
          <w:szCs w:val="20"/>
        </w:rPr>
        <w:t xml:space="preserve"> primary and secondary</w:t>
      </w:r>
      <w:r w:rsidR="00D85D1F" w:rsidRPr="00911D9A">
        <w:rPr>
          <w:sz w:val="20"/>
          <w:szCs w:val="20"/>
        </w:rPr>
        <w:t xml:space="preserve"> schools to improve knowledge, attitudes, skills and behaviours which support young </w:t>
      </w:r>
      <w:r w:rsidR="00E00044" w:rsidRPr="00911D9A">
        <w:rPr>
          <w:sz w:val="20"/>
          <w:szCs w:val="20"/>
        </w:rPr>
        <w:t xml:space="preserve">Aboriginal and Torres Strait Islander </w:t>
      </w:r>
      <w:r w:rsidR="00D85D1F" w:rsidRPr="00911D9A">
        <w:rPr>
          <w:sz w:val="20"/>
          <w:szCs w:val="20"/>
        </w:rPr>
        <w:t>people to engage in respectful relationships, reduce risky behaviours and increase he</w:t>
      </w:r>
      <w:r w:rsidR="00D85D1F">
        <w:rPr>
          <w:sz w:val="20"/>
          <w:szCs w:val="20"/>
        </w:rPr>
        <w:t>alth</w:t>
      </w:r>
      <w:r w:rsidR="00D85D1F" w:rsidRPr="00911D9A">
        <w:rPr>
          <w:sz w:val="20"/>
          <w:szCs w:val="20"/>
        </w:rPr>
        <w:t>-seeking behaviour</w:t>
      </w:r>
    </w:p>
    <w:p w14:paraId="4E1C4E92" w14:textId="77777777" w:rsidR="008A6F8B" w:rsidRDefault="008A6F8B" w:rsidP="008A6F8B">
      <w:pPr>
        <w:pStyle w:val="Bullet"/>
        <w:numPr>
          <w:ilvl w:val="0"/>
          <w:numId w:val="8"/>
        </w:numPr>
        <w:spacing w:before="120" w:after="0"/>
        <w:rPr>
          <w:sz w:val="20"/>
          <w:szCs w:val="20"/>
        </w:rPr>
      </w:pPr>
      <w:r>
        <w:rPr>
          <w:sz w:val="20"/>
          <w:szCs w:val="20"/>
        </w:rPr>
        <w:t xml:space="preserve">Implement BBV and STI education and prevention initiatives for </w:t>
      </w:r>
      <w:r w:rsidR="00D1216B">
        <w:rPr>
          <w:sz w:val="20"/>
          <w:szCs w:val="20"/>
        </w:rPr>
        <w:t xml:space="preserve">young </w:t>
      </w:r>
      <w:r>
        <w:rPr>
          <w:sz w:val="20"/>
          <w:szCs w:val="20"/>
        </w:rPr>
        <w:t xml:space="preserve">Aboriginal and Torres Strait Islander people outside the school setting </w:t>
      </w:r>
      <w:r w:rsidRPr="00911D9A">
        <w:rPr>
          <w:sz w:val="20"/>
          <w:szCs w:val="20"/>
        </w:rPr>
        <w:t>to improve knowledge, a</w:t>
      </w:r>
      <w:r>
        <w:rPr>
          <w:sz w:val="20"/>
          <w:szCs w:val="20"/>
        </w:rPr>
        <w:t>t</w:t>
      </w:r>
      <w:r w:rsidR="007216E4">
        <w:rPr>
          <w:sz w:val="20"/>
          <w:szCs w:val="20"/>
        </w:rPr>
        <w:t>titudes, skills and behaviours</w:t>
      </w:r>
    </w:p>
    <w:p w14:paraId="2EFF0E1B" w14:textId="77777777" w:rsidR="00D85D1F" w:rsidRDefault="000E4F65" w:rsidP="00D85D1F">
      <w:pPr>
        <w:pStyle w:val="Bullet"/>
        <w:numPr>
          <w:ilvl w:val="0"/>
          <w:numId w:val="8"/>
        </w:numPr>
        <w:spacing w:before="120" w:after="0"/>
        <w:rPr>
          <w:sz w:val="20"/>
          <w:szCs w:val="20"/>
        </w:rPr>
      </w:pPr>
      <w:r>
        <w:rPr>
          <w:sz w:val="20"/>
          <w:szCs w:val="20"/>
        </w:rPr>
        <w:t>Facilitate the development of</w:t>
      </w:r>
      <w:r w:rsidR="00027CFD">
        <w:rPr>
          <w:sz w:val="20"/>
          <w:szCs w:val="20"/>
        </w:rPr>
        <w:t xml:space="preserve"> partnerships between ACCHS, </w:t>
      </w:r>
      <w:r w:rsidR="0055428A">
        <w:rPr>
          <w:sz w:val="20"/>
          <w:szCs w:val="20"/>
        </w:rPr>
        <w:t>mainstream</w:t>
      </w:r>
      <w:r w:rsidR="0055428A" w:rsidRPr="00911D9A">
        <w:rPr>
          <w:sz w:val="20"/>
          <w:szCs w:val="20"/>
        </w:rPr>
        <w:t xml:space="preserve"> </w:t>
      </w:r>
      <w:r w:rsidR="00D85D1F" w:rsidRPr="00911D9A">
        <w:rPr>
          <w:sz w:val="20"/>
          <w:szCs w:val="20"/>
        </w:rPr>
        <w:t xml:space="preserve">health services, schools, educational institutions and </w:t>
      </w:r>
      <w:r w:rsidR="009C21B2">
        <w:rPr>
          <w:sz w:val="20"/>
          <w:szCs w:val="20"/>
        </w:rPr>
        <w:t>BBV and STI</w:t>
      </w:r>
      <w:r w:rsidR="009C21B2" w:rsidRPr="00911D9A">
        <w:rPr>
          <w:sz w:val="20"/>
          <w:szCs w:val="20"/>
        </w:rPr>
        <w:t xml:space="preserve"> </w:t>
      </w:r>
      <w:r w:rsidR="00D85D1F" w:rsidRPr="00911D9A">
        <w:rPr>
          <w:sz w:val="20"/>
          <w:szCs w:val="20"/>
        </w:rPr>
        <w:t>organisations to improve the delivery, availability and accessibility of sexual health education and services for all young Aboriginal and</w:t>
      </w:r>
      <w:r w:rsidR="007216E4">
        <w:rPr>
          <w:sz w:val="20"/>
          <w:szCs w:val="20"/>
        </w:rPr>
        <w:t xml:space="preserve"> Torres Strait Islander people </w:t>
      </w:r>
      <w:r w:rsidR="00D85D1F" w:rsidRPr="00911D9A">
        <w:rPr>
          <w:sz w:val="20"/>
          <w:szCs w:val="20"/>
        </w:rPr>
        <w:t xml:space="preserve">and strengthen linkages to </w:t>
      </w:r>
      <w:r w:rsidR="00C00B04">
        <w:rPr>
          <w:sz w:val="20"/>
          <w:szCs w:val="20"/>
        </w:rPr>
        <w:t xml:space="preserve">BBV and STI </w:t>
      </w:r>
      <w:r w:rsidR="00D85D1F" w:rsidRPr="00911D9A">
        <w:rPr>
          <w:sz w:val="20"/>
          <w:szCs w:val="20"/>
        </w:rPr>
        <w:t>testing and treatment</w:t>
      </w:r>
    </w:p>
    <w:p w14:paraId="09CCFE33" w14:textId="77777777" w:rsidR="00D85D1F" w:rsidRPr="00911D9A" w:rsidRDefault="000E4F65" w:rsidP="00D85D1F">
      <w:pPr>
        <w:pStyle w:val="Bullet"/>
        <w:numPr>
          <w:ilvl w:val="0"/>
          <w:numId w:val="8"/>
        </w:numPr>
        <w:spacing w:before="120" w:after="0"/>
        <w:rPr>
          <w:sz w:val="20"/>
          <w:szCs w:val="20"/>
        </w:rPr>
      </w:pPr>
      <w:r>
        <w:rPr>
          <w:sz w:val="20"/>
          <w:szCs w:val="20"/>
        </w:rPr>
        <w:t xml:space="preserve">Develop initiatives </w:t>
      </w:r>
      <w:r w:rsidR="00D85D1F" w:rsidRPr="00911D9A">
        <w:rPr>
          <w:sz w:val="20"/>
          <w:szCs w:val="20"/>
        </w:rPr>
        <w:t xml:space="preserve">to support further increases in vaccination coverage for HPV in adolescents, </w:t>
      </w:r>
      <w:r w:rsidR="00F179A4">
        <w:rPr>
          <w:sz w:val="20"/>
          <w:szCs w:val="20"/>
        </w:rPr>
        <w:t xml:space="preserve">in and outside of school settings, </w:t>
      </w:r>
      <w:r w:rsidR="00D85D1F" w:rsidRPr="00992FCB">
        <w:rPr>
          <w:sz w:val="20"/>
          <w:szCs w:val="20"/>
        </w:rPr>
        <w:t xml:space="preserve">in </w:t>
      </w:r>
      <w:r w:rsidR="00D85D1F" w:rsidRPr="00911D9A">
        <w:rPr>
          <w:sz w:val="20"/>
          <w:szCs w:val="20"/>
        </w:rPr>
        <w:t xml:space="preserve">support of the actions of the </w:t>
      </w:r>
      <w:r w:rsidR="00027CFD" w:rsidRPr="000A2658">
        <w:rPr>
          <w:sz w:val="20"/>
          <w:szCs w:val="20"/>
        </w:rPr>
        <w:t>National Immunisation Strategy</w:t>
      </w:r>
    </w:p>
    <w:p w14:paraId="18409C95" w14:textId="0CB798E1" w:rsidR="00D85D1F" w:rsidRDefault="000E4F65" w:rsidP="00D85D1F">
      <w:pPr>
        <w:pStyle w:val="Listnumbered"/>
        <w:numPr>
          <w:ilvl w:val="0"/>
          <w:numId w:val="8"/>
        </w:numPr>
        <w:spacing w:before="120"/>
        <w:rPr>
          <w:noProof/>
          <w:sz w:val="20"/>
          <w:szCs w:val="20"/>
        </w:rPr>
      </w:pPr>
      <w:r>
        <w:rPr>
          <w:noProof/>
          <w:sz w:val="20"/>
          <w:szCs w:val="20"/>
        </w:rPr>
        <w:t>Develop</w:t>
      </w:r>
      <w:r w:rsidR="00D85D1F" w:rsidRPr="00911D9A">
        <w:rPr>
          <w:noProof/>
          <w:sz w:val="20"/>
          <w:szCs w:val="20"/>
        </w:rPr>
        <w:t xml:space="preserve"> options to </w:t>
      </w:r>
      <w:r w:rsidR="00551CD8">
        <w:rPr>
          <w:noProof/>
          <w:sz w:val="20"/>
          <w:szCs w:val="20"/>
        </w:rPr>
        <w:t>improve access to</w:t>
      </w:r>
      <w:r w:rsidR="00D85D1F" w:rsidRPr="00911D9A">
        <w:rPr>
          <w:noProof/>
          <w:sz w:val="20"/>
          <w:szCs w:val="20"/>
        </w:rPr>
        <w:t xml:space="preserve"> </w:t>
      </w:r>
      <w:r w:rsidR="001F2F47">
        <w:rPr>
          <w:noProof/>
          <w:sz w:val="20"/>
          <w:szCs w:val="20"/>
        </w:rPr>
        <w:t xml:space="preserve">hepatitis B </w:t>
      </w:r>
      <w:r w:rsidR="00D85D1F" w:rsidRPr="00911D9A">
        <w:rPr>
          <w:noProof/>
          <w:sz w:val="20"/>
          <w:szCs w:val="20"/>
        </w:rPr>
        <w:t xml:space="preserve">catch-up programs </w:t>
      </w:r>
      <w:r w:rsidR="00D85D1F" w:rsidRPr="000A2658">
        <w:rPr>
          <w:noProof/>
          <w:sz w:val="20"/>
          <w:szCs w:val="20"/>
        </w:rPr>
        <w:t xml:space="preserve">for adolescents </w:t>
      </w:r>
      <w:r w:rsidR="000A2658">
        <w:rPr>
          <w:noProof/>
          <w:sz w:val="20"/>
          <w:szCs w:val="20"/>
        </w:rPr>
        <w:t xml:space="preserve">who were </w:t>
      </w:r>
      <w:r w:rsidR="00D85D1F" w:rsidRPr="000A2658">
        <w:rPr>
          <w:noProof/>
          <w:sz w:val="20"/>
          <w:szCs w:val="20"/>
        </w:rPr>
        <w:t>missed in infant vaccination</w:t>
      </w:r>
      <w:r w:rsidR="00D85D1F" w:rsidRPr="00911D9A">
        <w:rPr>
          <w:noProof/>
          <w:sz w:val="20"/>
          <w:szCs w:val="20"/>
        </w:rPr>
        <w:t xml:space="preserve"> programs</w:t>
      </w:r>
      <w:r w:rsidR="00857ABA">
        <w:rPr>
          <w:noProof/>
          <w:sz w:val="20"/>
          <w:szCs w:val="20"/>
        </w:rPr>
        <w:t xml:space="preserve"> in line with national and state and territory</w:t>
      </w:r>
      <w:r w:rsidR="008D3149">
        <w:rPr>
          <w:noProof/>
          <w:sz w:val="20"/>
          <w:szCs w:val="20"/>
        </w:rPr>
        <w:t xml:space="preserve"> </w:t>
      </w:r>
      <w:r w:rsidR="00857ABA">
        <w:rPr>
          <w:noProof/>
          <w:sz w:val="20"/>
          <w:szCs w:val="20"/>
        </w:rPr>
        <w:t>based immunisation programs</w:t>
      </w:r>
    </w:p>
    <w:p w14:paraId="01C3C07F" w14:textId="77777777" w:rsidR="009E6290" w:rsidRDefault="009E6290" w:rsidP="009E6290">
      <w:pPr>
        <w:pStyle w:val="Listnumbered"/>
        <w:numPr>
          <w:ilvl w:val="0"/>
          <w:numId w:val="8"/>
        </w:numPr>
        <w:spacing w:before="120"/>
        <w:rPr>
          <w:noProof/>
          <w:sz w:val="20"/>
          <w:szCs w:val="20"/>
        </w:rPr>
      </w:pPr>
      <w:r>
        <w:rPr>
          <w:noProof/>
          <w:sz w:val="20"/>
          <w:szCs w:val="20"/>
        </w:rPr>
        <w:t>Promote the consistent and effe</w:t>
      </w:r>
      <w:r w:rsidR="00334984">
        <w:rPr>
          <w:noProof/>
          <w:sz w:val="20"/>
          <w:szCs w:val="20"/>
        </w:rPr>
        <w:t xml:space="preserve">ctive use of condoms and other prevention </w:t>
      </w:r>
      <w:r>
        <w:rPr>
          <w:noProof/>
          <w:sz w:val="20"/>
          <w:szCs w:val="20"/>
        </w:rPr>
        <w:t>methods,</w:t>
      </w:r>
      <w:r w:rsidR="00334984">
        <w:rPr>
          <w:noProof/>
          <w:sz w:val="20"/>
          <w:szCs w:val="20"/>
        </w:rPr>
        <w:t xml:space="preserve"> including PrEP, PEP and TasP</w:t>
      </w:r>
      <w:r w:rsidR="00593BBC">
        <w:rPr>
          <w:noProof/>
          <w:sz w:val="20"/>
          <w:szCs w:val="20"/>
        </w:rPr>
        <w:t xml:space="preserve">, </w:t>
      </w:r>
      <w:r w:rsidR="00F3534E">
        <w:rPr>
          <w:noProof/>
          <w:sz w:val="20"/>
          <w:szCs w:val="20"/>
        </w:rPr>
        <w:t xml:space="preserve">and </w:t>
      </w:r>
      <w:r w:rsidR="00593BBC">
        <w:rPr>
          <w:noProof/>
          <w:sz w:val="20"/>
          <w:szCs w:val="20"/>
        </w:rPr>
        <w:t xml:space="preserve">support widespread access across priority </w:t>
      </w:r>
      <w:r w:rsidR="00F3534E">
        <w:rPr>
          <w:noProof/>
          <w:sz w:val="20"/>
          <w:szCs w:val="20"/>
        </w:rPr>
        <w:t>settings</w:t>
      </w:r>
    </w:p>
    <w:p w14:paraId="4DBC7CBC" w14:textId="77777777" w:rsidR="00593BBC" w:rsidRPr="00F3534E" w:rsidRDefault="00593BBC" w:rsidP="00593BBC">
      <w:pPr>
        <w:numPr>
          <w:ilvl w:val="0"/>
          <w:numId w:val="8"/>
        </w:numPr>
        <w:rPr>
          <w:sz w:val="20"/>
        </w:rPr>
      </w:pPr>
      <w:r w:rsidRPr="00F3534E">
        <w:rPr>
          <w:sz w:val="20"/>
        </w:rPr>
        <w:t xml:space="preserve">Improve knowledge and awareness of the benefits of hepatitis C DAA treatment </w:t>
      </w:r>
      <w:r w:rsidR="00F3534E">
        <w:rPr>
          <w:noProof/>
          <w:sz w:val="20"/>
          <w:szCs w:val="20"/>
        </w:rPr>
        <w:t>and support widespread access across priority settings</w:t>
      </w:r>
    </w:p>
    <w:p w14:paraId="530A25C5" w14:textId="462A1879" w:rsidR="00F3534E" w:rsidRPr="00232B95" w:rsidRDefault="00F3534E" w:rsidP="001F2F47">
      <w:pPr>
        <w:pStyle w:val="Listnumbered"/>
        <w:numPr>
          <w:ilvl w:val="0"/>
          <w:numId w:val="8"/>
        </w:numPr>
        <w:spacing w:before="120"/>
        <w:rPr>
          <w:sz w:val="20"/>
          <w:szCs w:val="20"/>
        </w:rPr>
      </w:pPr>
      <w:r w:rsidRPr="00232B95">
        <w:rPr>
          <w:sz w:val="20"/>
          <w:szCs w:val="20"/>
        </w:rPr>
        <w:t>Promote the importance of evidence-based harm reduction and demand reduction</w:t>
      </w:r>
      <w:r w:rsidR="00982509" w:rsidRPr="00232B95">
        <w:rPr>
          <w:sz w:val="20"/>
          <w:szCs w:val="20"/>
        </w:rPr>
        <w:t xml:space="preserve"> (</w:t>
      </w:r>
      <w:r w:rsidR="008D3149">
        <w:rPr>
          <w:sz w:val="20"/>
          <w:szCs w:val="20"/>
        </w:rPr>
        <w:t xml:space="preserve">for example, </w:t>
      </w:r>
      <w:r w:rsidR="00982509" w:rsidRPr="00232B95">
        <w:rPr>
          <w:sz w:val="20"/>
          <w:szCs w:val="20"/>
        </w:rPr>
        <w:t>NSPs</w:t>
      </w:r>
      <w:r w:rsidR="008D3149">
        <w:rPr>
          <w:sz w:val="20"/>
          <w:szCs w:val="20"/>
        </w:rPr>
        <w:t xml:space="preserve"> and </w:t>
      </w:r>
      <w:r w:rsidR="00982509" w:rsidRPr="00232B95">
        <w:rPr>
          <w:sz w:val="20"/>
          <w:szCs w:val="20"/>
        </w:rPr>
        <w:t xml:space="preserve">OTP) </w:t>
      </w:r>
      <w:r w:rsidRPr="00232B95">
        <w:rPr>
          <w:sz w:val="20"/>
          <w:szCs w:val="20"/>
        </w:rPr>
        <w:t>in preventing the transmission of BBV</w:t>
      </w:r>
      <w:r w:rsidR="00982509" w:rsidRPr="00232B95">
        <w:rPr>
          <w:sz w:val="20"/>
          <w:szCs w:val="20"/>
        </w:rPr>
        <w:t xml:space="preserve"> among people who inject drugs</w:t>
      </w:r>
      <w:r w:rsidRPr="00232B95">
        <w:rPr>
          <w:sz w:val="20"/>
          <w:szCs w:val="20"/>
        </w:rPr>
        <w:t xml:space="preserve">, </w:t>
      </w:r>
      <w:r w:rsidR="00982509" w:rsidRPr="00232B95">
        <w:rPr>
          <w:sz w:val="20"/>
          <w:szCs w:val="20"/>
        </w:rPr>
        <w:t xml:space="preserve">including </w:t>
      </w:r>
      <w:r w:rsidR="00D1216B" w:rsidRPr="00232B95">
        <w:rPr>
          <w:sz w:val="20"/>
          <w:szCs w:val="20"/>
        </w:rPr>
        <w:t>through</w:t>
      </w:r>
      <w:r w:rsidR="00982509" w:rsidRPr="00232B95">
        <w:rPr>
          <w:sz w:val="20"/>
          <w:szCs w:val="20"/>
        </w:rPr>
        <w:t xml:space="preserve"> </w:t>
      </w:r>
      <w:r w:rsidR="00A30B32">
        <w:rPr>
          <w:sz w:val="20"/>
          <w:szCs w:val="20"/>
        </w:rPr>
        <w:t xml:space="preserve">community-led </w:t>
      </w:r>
      <w:r w:rsidR="00982509" w:rsidRPr="00232B95">
        <w:rPr>
          <w:sz w:val="20"/>
          <w:szCs w:val="20"/>
        </w:rPr>
        <w:t>peer education</w:t>
      </w:r>
      <w:r w:rsidR="000A2658">
        <w:rPr>
          <w:sz w:val="20"/>
          <w:szCs w:val="20"/>
        </w:rPr>
        <w:t>;</w:t>
      </w:r>
      <w:r w:rsidR="00982509" w:rsidRPr="00232B95">
        <w:rPr>
          <w:sz w:val="20"/>
          <w:szCs w:val="20"/>
        </w:rPr>
        <w:t xml:space="preserve"> </w:t>
      </w:r>
      <w:r w:rsidRPr="00232B95">
        <w:rPr>
          <w:sz w:val="20"/>
          <w:szCs w:val="20"/>
        </w:rPr>
        <w:t xml:space="preserve">and </w:t>
      </w:r>
      <w:r w:rsidR="00982509" w:rsidRPr="00232B95">
        <w:rPr>
          <w:sz w:val="20"/>
          <w:szCs w:val="20"/>
        </w:rPr>
        <w:t xml:space="preserve">support wide availability and equitable access </w:t>
      </w:r>
      <w:r w:rsidR="00D36A17" w:rsidRPr="00232B95">
        <w:rPr>
          <w:sz w:val="20"/>
          <w:szCs w:val="20"/>
        </w:rPr>
        <w:t xml:space="preserve">to </w:t>
      </w:r>
      <w:r w:rsidR="00982509" w:rsidRPr="00232B95">
        <w:rPr>
          <w:sz w:val="20"/>
          <w:szCs w:val="20"/>
        </w:rPr>
        <w:t>thes</w:t>
      </w:r>
      <w:r w:rsidR="00D1216B" w:rsidRPr="00232B95">
        <w:rPr>
          <w:sz w:val="20"/>
          <w:szCs w:val="20"/>
        </w:rPr>
        <w:t>e prevention measures</w:t>
      </w:r>
      <w:r w:rsidR="00982509" w:rsidRPr="00232B95">
        <w:rPr>
          <w:sz w:val="20"/>
          <w:szCs w:val="20"/>
        </w:rPr>
        <w:t xml:space="preserve"> </w:t>
      </w:r>
      <w:r w:rsidRPr="00232B95">
        <w:rPr>
          <w:sz w:val="20"/>
          <w:szCs w:val="20"/>
        </w:rPr>
        <w:t xml:space="preserve">across priority </w:t>
      </w:r>
      <w:r w:rsidR="00982509" w:rsidRPr="00232B95">
        <w:rPr>
          <w:sz w:val="20"/>
          <w:szCs w:val="20"/>
        </w:rPr>
        <w:t xml:space="preserve">groups, </w:t>
      </w:r>
      <w:r w:rsidRPr="00232B95">
        <w:rPr>
          <w:sz w:val="20"/>
          <w:szCs w:val="20"/>
        </w:rPr>
        <w:t>settings</w:t>
      </w:r>
      <w:r w:rsidR="00982509" w:rsidRPr="00232B95">
        <w:rPr>
          <w:sz w:val="20"/>
          <w:szCs w:val="20"/>
        </w:rPr>
        <w:t xml:space="preserve"> and geographic areas</w:t>
      </w:r>
    </w:p>
    <w:p w14:paraId="4757CF82" w14:textId="57F9B31F" w:rsidR="00D1216B" w:rsidRPr="00232B95" w:rsidRDefault="00D1216B" w:rsidP="00D1216B">
      <w:pPr>
        <w:pStyle w:val="Listnumbered"/>
        <w:numPr>
          <w:ilvl w:val="0"/>
          <w:numId w:val="8"/>
        </w:numPr>
        <w:spacing w:before="120"/>
        <w:rPr>
          <w:noProof/>
          <w:sz w:val="20"/>
          <w:szCs w:val="20"/>
        </w:rPr>
      </w:pPr>
      <w:r w:rsidRPr="00232B95">
        <w:rPr>
          <w:sz w:val="20"/>
          <w:szCs w:val="20"/>
        </w:rPr>
        <w:lastRenderedPageBreak/>
        <w:t xml:space="preserve">Ensure education and prevention services, including NSPs, are linked to BBV and STI testing and treatment services and other relevant services, such as </w:t>
      </w:r>
      <w:r w:rsidR="005C5DB6" w:rsidRPr="00232B95">
        <w:rPr>
          <w:sz w:val="20"/>
          <w:szCs w:val="20"/>
        </w:rPr>
        <w:t>AOD</w:t>
      </w:r>
      <w:r w:rsidRPr="00232B95">
        <w:rPr>
          <w:sz w:val="20"/>
          <w:szCs w:val="20"/>
        </w:rPr>
        <w:t xml:space="preserve"> services, youth services, peer-based services and mental health services</w:t>
      </w:r>
    </w:p>
    <w:p w14:paraId="0EC07902" w14:textId="77777777" w:rsidR="001F2F47" w:rsidRDefault="001F2F47" w:rsidP="001F2F47">
      <w:pPr>
        <w:pStyle w:val="Listnumbered"/>
        <w:numPr>
          <w:ilvl w:val="0"/>
          <w:numId w:val="8"/>
        </w:numPr>
        <w:spacing w:before="120"/>
        <w:rPr>
          <w:sz w:val="20"/>
          <w:szCs w:val="20"/>
        </w:rPr>
      </w:pPr>
      <w:r w:rsidRPr="001F2F47">
        <w:rPr>
          <w:sz w:val="20"/>
          <w:szCs w:val="20"/>
        </w:rPr>
        <w:t xml:space="preserve">Support and foster community leadership </w:t>
      </w:r>
      <w:r w:rsidR="009C21B2">
        <w:rPr>
          <w:sz w:val="20"/>
          <w:szCs w:val="20"/>
        </w:rPr>
        <w:t xml:space="preserve">to reduce the sharing of injecting equipment and </w:t>
      </w:r>
      <w:r w:rsidRPr="001F2F47">
        <w:rPr>
          <w:sz w:val="20"/>
          <w:szCs w:val="20"/>
        </w:rPr>
        <w:t>increas</w:t>
      </w:r>
      <w:r w:rsidR="009C21B2">
        <w:rPr>
          <w:sz w:val="20"/>
          <w:szCs w:val="20"/>
        </w:rPr>
        <w:t>e</w:t>
      </w:r>
      <w:r w:rsidRPr="001F2F47">
        <w:rPr>
          <w:sz w:val="20"/>
          <w:szCs w:val="20"/>
        </w:rPr>
        <w:t xml:space="preserve"> access to NSPs and harm reduction approaches </w:t>
      </w:r>
    </w:p>
    <w:p w14:paraId="08EEFFD9" w14:textId="77777777" w:rsidR="00F062C2" w:rsidRDefault="00F062C2" w:rsidP="00F062C2">
      <w:pPr>
        <w:pStyle w:val="TableNBullet"/>
        <w:numPr>
          <w:ilvl w:val="0"/>
          <w:numId w:val="8"/>
        </w:numPr>
        <w:spacing w:before="120" w:after="80"/>
        <w:rPr>
          <w:noProof/>
          <w:sz w:val="20"/>
          <w:szCs w:val="20"/>
        </w:rPr>
      </w:pPr>
      <w:r w:rsidRPr="001E7CC1">
        <w:rPr>
          <w:noProof/>
          <w:sz w:val="20"/>
          <w:szCs w:val="20"/>
        </w:rPr>
        <w:t>Increase prevention education, evidence-based harm reduction and demand reduction for BBV and STI in c</w:t>
      </w:r>
      <w:r>
        <w:rPr>
          <w:noProof/>
          <w:sz w:val="20"/>
          <w:szCs w:val="20"/>
        </w:rPr>
        <w:t>ustodial</w:t>
      </w:r>
      <w:r w:rsidRPr="001E7CC1">
        <w:rPr>
          <w:noProof/>
          <w:sz w:val="20"/>
          <w:szCs w:val="20"/>
        </w:rPr>
        <w:t xml:space="preserve"> settings</w:t>
      </w:r>
      <w:r>
        <w:rPr>
          <w:noProof/>
          <w:sz w:val="20"/>
          <w:szCs w:val="20"/>
        </w:rPr>
        <w:t>, including youth detention</w:t>
      </w:r>
    </w:p>
    <w:p w14:paraId="53D9CB33" w14:textId="77777777" w:rsidR="00D85D1F" w:rsidRDefault="00D85D1F" w:rsidP="00D85D1F">
      <w:pPr>
        <w:pStyle w:val="TableNBullet"/>
        <w:numPr>
          <w:ilvl w:val="0"/>
          <w:numId w:val="8"/>
        </w:numPr>
        <w:spacing w:before="120" w:after="80"/>
        <w:rPr>
          <w:noProof/>
          <w:sz w:val="20"/>
          <w:szCs w:val="20"/>
        </w:rPr>
      </w:pPr>
      <w:r w:rsidRPr="00C00B04">
        <w:rPr>
          <w:sz w:val="20"/>
          <w:szCs w:val="20"/>
        </w:rPr>
        <w:t xml:space="preserve">Ensure consistent implementation of </w:t>
      </w:r>
      <w:r w:rsidR="00C720CA" w:rsidRPr="00C00B04">
        <w:rPr>
          <w:sz w:val="20"/>
          <w:szCs w:val="20"/>
        </w:rPr>
        <w:t xml:space="preserve">evidence-based </w:t>
      </w:r>
      <w:r w:rsidRPr="00C00B04">
        <w:rPr>
          <w:sz w:val="20"/>
          <w:szCs w:val="20"/>
        </w:rPr>
        <w:t xml:space="preserve">antenatal and neonatal protocols </w:t>
      </w:r>
      <w:r w:rsidR="00A8346E">
        <w:rPr>
          <w:sz w:val="20"/>
          <w:szCs w:val="20"/>
        </w:rPr>
        <w:t xml:space="preserve">for BBV and STI </w:t>
      </w:r>
      <w:r w:rsidR="001F2F47">
        <w:rPr>
          <w:sz w:val="20"/>
          <w:szCs w:val="20"/>
        </w:rPr>
        <w:t>for</w:t>
      </w:r>
      <w:r w:rsidR="00A8346E">
        <w:rPr>
          <w:sz w:val="20"/>
          <w:szCs w:val="20"/>
        </w:rPr>
        <w:t xml:space="preserve"> </w:t>
      </w:r>
      <w:r w:rsidR="001F2F47">
        <w:rPr>
          <w:sz w:val="20"/>
          <w:szCs w:val="20"/>
        </w:rPr>
        <w:t>pregnant women and women considering pregnancy</w:t>
      </w:r>
      <w:r w:rsidR="00A8346E">
        <w:rPr>
          <w:sz w:val="20"/>
          <w:szCs w:val="20"/>
        </w:rPr>
        <w:t xml:space="preserve"> </w:t>
      </w:r>
      <w:r w:rsidRPr="00C00B04">
        <w:rPr>
          <w:sz w:val="20"/>
          <w:szCs w:val="20"/>
        </w:rPr>
        <w:t>to prevent vertical transmission</w:t>
      </w:r>
      <w:r w:rsidR="005D1531" w:rsidRPr="00C00B04">
        <w:rPr>
          <w:sz w:val="20"/>
          <w:szCs w:val="20"/>
        </w:rPr>
        <w:t xml:space="preserve"> </w:t>
      </w:r>
      <w:r w:rsidR="008547F6" w:rsidRPr="00C00B04">
        <w:rPr>
          <w:sz w:val="20"/>
          <w:szCs w:val="20"/>
        </w:rPr>
        <w:t xml:space="preserve">and infant </w:t>
      </w:r>
      <w:r w:rsidR="000C673E" w:rsidRPr="00C00B04">
        <w:rPr>
          <w:sz w:val="20"/>
          <w:szCs w:val="20"/>
        </w:rPr>
        <w:t>mortality</w:t>
      </w:r>
      <w:r w:rsidR="008547F6" w:rsidRPr="00C00B04">
        <w:rPr>
          <w:sz w:val="20"/>
          <w:szCs w:val="20"/>
        </w:rPr>
        <w:t xml:space="preserve"> </w:t>
      </w:r>
    </w:p>
    <w:p w14:paraId="6555332D" w14:textId="77777777" w:rsidR="00D85D1F" w:rsidRDefault="00D85D1F" w:rsidP="00D85D1F">
      <w:pPr>
        <w:spacing w:before="240"/>
        <w:rPr>
          <w:rFonts w:ascii="Segoe UI Semibold" w:hAnsi="Segoe UI Semibold"/>
          <w:color w:val="17365D"/>
          <w:sz w:val="22"/>
        </w:rPr>
      </w:pPr>
      <w:r w:rsidRPr="00D57053">
        <w:rPr>
          <w:rFonts w:ascii="Segoe UI Semibold" w:hAnsi="Segoe UI Semibold"/>
          <w:color w:val="17365D"/>
          <w:sz w:val="22"/>
        </w:rPr>
        <w:t>TESTING</w:t>
      </w:r>
      <w:r>
        <w:rPr>
          <w:rFonts w:ascii="Segoe UI Semibold" w:hAnsi="Segoe UI Semibold"/>
          <w:color w:val="17365D"/>
          <w:sz w:val="22"/>
        </w:rPr>
        <w:t>, TREATMENT AND MANAGEMENT</w:t>
      </w:r>
    </w:p>
    <w:p w14:paraId="10992269" w14:textId="77777777" w:rsidR="00D85D1F" w:rsidRPr="00232B95" w:rsidRDefault="00D85D1F" w:rsidP="009012A9">
      <w:pPr>
        <w:numPr>
          <w:ilvl w:val="0"/>
          <w:numId w:val="12"/>
        </w:numPr>
        <w:rPr>
          <w:i/>
          <w:sz w:val="20"/>
          <w:szCs w:val="20"/>
        </w:rPr>
      </w:pPr>
      <w:r w:rsidRPr="008A6F8B">
        <w:rPr>
          <w:i/>
          <w:sz w:val="20"/>
          <w:szCs w:val="20"/>
        </w:rPr>
        <w:t>Build on successful approaches to improve testing rates and coverage</w:t>
      </w:r>
      <w:r w:rsidR="00B82C75" w:rsidRPr="008A6F8B">
        <w:rPr>
          <w:i/>
          <w:sz w:val="20"/>
          <w:szCs w:val="20"/>
        </w:rPr>
        <w:t xml:space="preserve"> to</w:t>
      </w:r>
      <w:r w:rsidRPr="008A6F8B">
        <w:rPr>
          <w:i/>
          <w:sz w:val="20"/>
          <w:szCs w:val="20"/>
        </w:rPr>
        <w:t xml:space="preserve"> reduce the number of undiagnosed BBV and </w:t>
      </w:r>
      <w:r w:rsidRPr="00232B95">
        <w:rPr>
          <w:i/>
          <w:sz w:val="20"/>
          <w:szCs w:val="20"/>
        </w:rPr>
        <w:t>STI</w:t>
      </w:r>
      <w:r w:rsidR="004B0D0B" w:rsidRPr="00232B95">
        <w:rPr>
          <w:i/>
          <w:sz w:val="20"/>
          <w:szCs w:val="20"/>
        </w:rPr>
        <w:t xml:space="preserve"> and decrease rates of late diagnosis</w:t>
      </w:r>
    </w:p>
    <w:p w14:paraId="5DC9E08C" w14:textId="217EE92F" w:rsidR="00D85D1F" w:rsidRPr="00232B95" w:rsidRDefault="00D85D1F" w:rsidP="009012A9">
      <w:pPr>
        <w:numPr>
          <w:ilvl w:val="0"/>
          <w:numId w:val="12"/>
        </w:numPr>
        <w:rPr>
          <w:i/>
          <w:sz w:val="20"/>
          <w:szCs w:val="20"/>
        </w:rPr>
      </w:pPr>
      <w:r w:rsidRPr="00232B95">
        <w:rPr>
          <w:i/>
          <w:sz w:val="20"/>
          <w:szCs w:val="20"/>
        </w:rPr>
        <w:t xml:space="preserve">Support health </w:t>
      </w:r>
      <w:r w:rsidRPr="007A54B6">
        <w:rPr>
          <w:i/>
          <w:sz w:val="20"/>
          <w:szCs w:val="20"/>
        </w:rPr>
        <w:t>professionals to provide</w:t>
      </w:r>
      <w:r w:rsidR="007A54B6" w:rsidRPr="007A54B6">
        <w:rPr>
          <w:i/>
          <w:sz w:val="20"/>
          <w:szCs w:val="20"/>
        </w:rPr>
        <w:t xml:space="preserve"> culturally </w:t>
      </w:r>
      <w:r w:rsidR="00774109">
        <w:rPr>
          <w:i/>
          <w:sz w:val="20"/>
          <w:szCs w:val="20"/>
        </w:rPr>
        <w:t>responsive</w:t>
      </w:r>
      <w:r w:rsidR="00774109" w:rsidRPr="007A54B6">
        <w:rPr>
          <w:i/>
          <w:sz w:val="20"/>
          <w:szCs w:val="20"/>
        </w:rPr>
        <w:t xml:space="preserve"> </w:t>
      </w:r>
      <w:r w:rsidR="007A54B6" w:rsidRPr="007A54B6">
        <w:rPr>
          <w:i/>
          <w:sz w:val="20"/>
          <w:szCs w:val="20"/>
        </w:rPr>
        <w:t>and safe,</w:t>
      </w:r>
      <w:r w:rsidRPr="007A54B6">
        <w:rPr>
          <w:i/>
          <w:sz w:val="20"/>
          <w:szCs w:val="20"/>
        </w:rPr>
        <w:t xml:space="preserve"> current</w:t>
      </w:r>
      <w:r w:rsidRPr="00232B95">
        <w:rPr>
          <w:i/>
          <w:sz w:val="20"/>
          <w:szCs w:val="20"/>
        </w:rPr>
        <w:t>, innovative and effective BBV and STI testing</w:t>
      </w:r>
      <w:r w:rsidR="001F2F47" w:rsidRPr="00232B95">
        <w:rPr>
          <w:i/>
          <w:sz w:val="20"/>
          <w:szCs w:val="20"/>
        </w:rPr>
        <w:t>, treatment,</w:t>
      </w:r>
      <w:r w:rsidR="0009123F" w:rsidRPr="00232B95">
        <w:rPr>
          <w:i/>
          <w:sz w:val="20"/>
          <w:szCs w:val="20"/>
        </w:rPr>
        <w:t xml:space="preserve"> </w:t>
      </w:r>
      <w:r w:rsidR="001F2F47" w:rsidRPr="00232B95">
        <w:rPr>
          <w:i/>
          <w:sz w:val="20"/>
          <w:szCs w:val="20"/>
        </w:rPr>
        <w:t>monitoring</w:t>
      </w:r>
      <w:r w:rsidRPr="00232B95">
        <w:rPr>
          <w:i/>
          <w:sz w:val="20"/>
          <w:szCs w:val="20"/>
        </w:rPr>
        <w:t xml:space="preserve"> and care</w:t>
      </w:r>
    </w:p>
    <w:p w14:paraId="24B842DD" w14:textId="77777777" w:rsidR="009B21D4" w:rsidRPr="00232B95" w:rsidRDefault="00D85D1F" w:rsidP="009012A9">
      <w:pPr>
        <w:numPr>
          <w:ilvl w:val="0"/>
          <w:numId w:val="12"/>
        </w:numPr>
        <w:rPr>
          <w:i/>
          <w:sz w:val="20"/>
          <w:szCs w:val="20"/>
        </w:rPr>
      </w:pPr>
      <w:r w:rsidRPr="00232B95">
        <w:rPr>
          <w:i/>
          <w:sz w:val="20"/>
          <w:szCs w:val="20"/>
        </w:rPr>
        <w:t xml:space="preserve">Increase early and appropriate treatment of BBV and STI to reduce transmission, improve health outcomes and </w:t>
      </w:r>
      <w:r w:rsidR="00284CF1" w:rsidRPr="00232B95">
        <w:rPr>
          <w:i/>
          <w:sz w:val="20"/>
          <w:szCs w:val="20"/>
        </w:rPr>
        <w:t xml:space="preserve">enhance </w:t>
      </w:r>
      <w:r w:rsidRPr="00232B95">
        <w:rPr>
          <w:i/>
          <w:sz w:val="20"/>
          <w:szCs w:val="20"/>
        </w:rPr>
        <w:t>quality of life</w:t>
      </w:r>
    </w:p>
    <w:p w14:paraId="4BE9D042" w14:textId="77777777" w:rsidR="000B5C4A" w:rsidRPr="00232B95" w:rsidRDefault="000B5C4A" w:rsidP="009012A9">
      <w:pPr>
        <w:pStyle w:val="CommentText"/>
        <w:numPr>
          <w:ilvl w:val="0"/>
          <w:numId w:val="13"/>
        </w:numPr>
        <w:spacing w:after="40"/>
        <w:rPr>
          <w:i/>
        </w:rPr>
      </w:pPr>
      <w:r w:rsidRPr="00232B95">
        <w:rPr>
          <w:i/>
        </w:rPr>
        <w:t>Increase testing and treatment for BBV and STI in c</w:t>
      </w:r>
      <w:r w:rsidR="00CA0CAA" w:rsidRPr="00232B95">
        <w:rPr>
          <w:i/>
        </w:rPr>
        <w:t>ustodial</w:t>
      </w:r>
      <w:r w:rsidRPr="00232B95">
        <w:rPr>
          <w:i/>
        </w:rPr>
        <w:t xml:space="preserve"> </w:t>
      </w:r>
      <w:r w:rsidR="0094165C" w:rsidRPr="00232B95">
        <w:rPr>
          <w:i/>
        </w:rPr>
        <w:t xml:space="preserve">settings, including </w:t>
      </w:r>
      <w:r w:rsidRPr="00232B95">
        <w:rPr>
          <w:i/>
        </w:rPr>
        <w:t>youth detention</w:t>
      </w:r>
      <w:r w:rsidR="0094165C" w:rsidRPr="00232B95">
        <w:rPr>
          <w:i/>
        </w:rPr>
        <w:t>,</w:t>
      </w:r>
      <w:r w:rsidRPr="00232B95">
        <w:rPr>
          <w:i/>
        </w:rPr>
        <w:t xml:space="preserve"> that is respectful of and responsive to the needs of Aboriginal and Torres Strait Islander people</w:t>
      </w:r>
    </w:p>
    <w:p w14:paraId="63E741C0" w14:textId="32E6F4AF" w:rsidR="00747946" w:rsidRDefault="00D85D1F" w:rsidP="00747946">
      <w:pPr>
        <w:spacing w:before="120"/>
        <w:rPr>
          <w:sz w:val="20"/>
          <w:szCs w:val="20"/>
          <w:lang w:eastAsia="en-AU"/>
        </w:rPr>
      </w:pPr>
      <w:r w:rsidRPr="00911D9A">
        <w:rPr>
          <w:sz w:val="20"/>
          <w:szCs w:val="20"/>
          <w:lang w:eastAsia="en-AU"/>
        </w:rPr>
        <w:t>The disproportionate impact of BBV and STI on Aboriginal and Torres Strait Islander people is due in part to high</w:t>
      </w:r>
      <w:r w:rsidR="00F351DE">
        <w:rPr>
          <w:sz w:val="20"/>
          <w:szCs w:val="20"/>
          <w:lang w:eastAsia="en-AU"/>
        </w:rPr>
        <w:t>er</w:t>
      </w:r>
      <w:r w:rsidRPr="00911D9A">
        <w:rPr>
          <w:sz w:val="20"/>
          <w:szCs w:val="20"/>
          <w:lang w:eastAsia="en-AU"/>
        </w:rPr>
        <w:t xml:space="preserve"> rates of late </w:t>
      </w:r>
      <w:r w:rsidRPr="00B000E9">
        <w:rPr>
          <w:sz w:val="20"/>
          <w:szCs w:val="20"/>
          <w:lang w:eastAsia="en-AU"/>
        </w:rPr>
        <w:t>diagnosis</w:t>
      </w:r>
      <w:r w:rsidR="001B2A04">
        <w:rPr>
          <w:sz w:val="20"/>
          <w:szCs w:val="20"/>
          <w:lang w:eastAsia="en-AU"/>
        </w:rPr>
        <w:t>.</w:t>
      </w:r>
      <w:r w:rsidR="004F4A77">
        <w:rPr>
          <w:rStyle w:val="EndnoteReference"/>
          <w:sz w:val="20"/>
          <w:szCs w:val="20"/>
        </w:rPr>
        <w:t>6</w:t>
      </w:r>
      <w:r w:rsidR="00B176AE" w:rsidRPr="00B176AE">
        <w:rPr>
          <w:rStyle w:val="EndnoteReference"/>
          <w:sz w:val="20"/>
          <w:szCs w:val="20"/>
        </w:rPr>
        <w:t>,</w:t>
      </w:r>
      <w:r w:rsidR="00407AAB">
        <w:rPr>
          <w:rStyle w:val="EndnoteReference"/>
          <w:sz w:val="20"/>
          <w:szCs w:val="20"/>
        </w:rPr>
        <w:t>19</w:t>
      </w:r>
      <w:r w:rsidR="00D21EFD">
        <w:rPr>
          <w:rStyle w:val="EndnoteReference"/>
          <w:sz w:val="20"/>
          <w:szCs w:val="20"/>
        </w:rPr>
        <w:t xml:space="preserve"> </w:t>
      </w:r>
      <w:r w:rsidR="00D21EFD">
        <w:rPr>
          <w:sz w:val="20"/>
          <w:szCs w:val="20"/>
        </w:rPr>
        <w:t xml:space="preserve"> </w:t>
      </w:r>
      <w:r w:rsidR="00D21EFD" w:rsidRPr="00647BAE">
        <w:rPr>
          <w:sz w:val="20"/>
          <w:szCs w:val="20"/>
          <w:lang w:eastAsia="en-AU"/>
        </w:rPr>
        <w:t xml:space="preserve">Late diagnosis contributes </w:t>
      </w:r>
      <w:r w:rsidR="00D21EFD" w:rsidRPr="00946476">
        <w:rPr>
          <w:sz w:val="20"/>
          <w:szCs w:val="20"/>
          <w:lang w:eastAsia="en-AU"/>
        </w:rPr>
        <w:t xml:space="preserve">to poorer treatment outcomes </w:t>
      </w:r>
      <w:r w:rsidR="00D21EFD" w:rsidRPr="00CF4342">
        <w:rPr>
          <w:sz w:val="20"/>
          <w:szCs w:val="20"/>
          <w:lang w:eastAsia="en-AU"/>
        </w:rPr>
        <w:t xml:space="preserve">and increases the risk </w:t>
      </w:r>
      <w:r w:rsidR="00D21EFD" w:rsidRPr="00946476">
        <w:rPr>
          <w:sz w:val="20"/>
          <w:szCs w:val="20"/>
          <w:lang w:eastAsia="en-AU"/>
        </w:rPr>
        <w:t xml:space="preserve">of </w:t>
      </w:r>
      <w:r w:rsidR="00D21EFD">
        <w:rPr>
          <w:sz w:val="20"/>
          <w:szCs w:val="20"/>
          <w:lang w:eastAsia="en-AU"/>
        </w:rPr>
        <w:t xml:space="preserve">further </w:t>
      </w:r>
      <w:r w:rsidR="00D21EFD" w:rsidRPr="00946476">
        <w:rPr>
          <w:sz w:val="20"/>
          <w:szCs w:val="20"/>
          <w:lang w:eastAsia="en-AU"/>
        </w:rPr>
        <w:t>transmission and outbreaks occurring.</w:t>
      </w:r>
      <w:r w:rsidR="00D21EFD">
        <w:rPr>
          <w:sz w:val="20"/>
          <w:szCs w:val="20"/>
          <w:lang w:eastAsia="en-AU"/>
        </w:rPr>
        <w:t xml:space="preserve"> I</w:t>
      </w:r>
      <w:r w:rsidRPr="00911D9A">
        <w:rPr>
          <w:sz w:val="20"/>
          <w:szCs w:val="20"/>
          <w:lang w:eastAsia="en-AU"/>
        </w:rPr>
        <w:t xml:space="preserve">nadequate </w:t>
      </w:r>
      <w:r>
        <w:rPr>
          <w:sz w:val="20"/>
          <w:szCs w:val="20"/>
          <w:lang w:eastAsia="en-AU"/>
        </w:rPr>
        <w:t xml:space="preserve">levels of </w:t>
      </w:r>
      <w:r w:rsidRPr="00911D9A">
        <w:rPr>
          <w:sz w:val="20"/>
          <w:szCs w:val="20"/>
          <w:lang w:eastAsia="en-AU"/>
        </w:rPr>
        <w:t>treatment</w:t>
      </w:r>
      <w:r w:rsidR="004E6CD7">
        <w:rPr>
          <w:sz w:val="20"/>
          <w:szCs w:val="20"/>
          <w:lang w:eastAsia="en-AU"/>
        </w:rPr>
        <w:t xml:space="preserve"> and</w:t>
      </w:r>
      <w:r w:rsidRPr="00911D9A">
        <w:rPr>
          <w:sz w:val="20"/>
          <w:szCs w:val="20"/>
          <w:lang w:eastAsia="en-AU"/>
        </w:rPr>
        <w:t xml:space="preserve"> monitoring</w:t>
      </w:r>
      <w:r w:rsidR="004E6CD7">
        <w:rPr>
          <w:sz w:val="20"/>
          <w:szCs w:val="20"/>
          <w:lang w:eastAsia="en-AU"/>
        </w:rPr>
        <w:t xml:space="preserve"> </w:t>
      </w:r>
      <w:r w:rsidR="005126C7">
        <w:rPr>
          <w:sz w:val="20"/>
          <w:szCs w:val="20"/>
          <w:lang w:eastAsia="en-AU"/>
        </w:rPr>
        <w:t>as well as</w:t>
      </w:r>
      <w:r w:rsidR="001B2A04">
        <w:rPr>
          <w:sz w:val="20"/>
          <w:szCs w:val="20"/>
          <w:lang w:eastAsia="en-AU"/>
        </w:rPr>
        <w:t xml:space="preserve"> </w:t>
      </w:r>
      <w:r w:rsidR="004E6CD7">
        <w:rPr>
          <w:sz w:val="20"/>
          <w:szCs w:val="20"/>
          <w:lang w:eastAsia="en-AU"/>
        </w:rPr>
        <w:t>partner notification</w:t>
      </w:r>
      <w:r w:rsidR="0092103D">
        <w:rPr>
          <w:sz w:val="20"/>
          <w:szCs w:val="20"/>
          <w:lang w:eastAsia="en-AU"/>
        </w:rPr>
        <w:t xml:space="preserve"> and partner treatment</w:t>
      </w:r>
      <w:r w:rsidR="00E20CD0">
        <w:rPr>
          <w:sz w:val="20"/>
          <w:szCs w:val="20"/>
          <w:lang w:eastAsia="en-AU"/>
        </w:rPr>
        <w:t xml:space="preserve"> may also contribute</w:t>
      </w:r>
      <w:r w:rsidR="00D21EFD">
        <w:rPr>
          <w:sz w:val="20"/>
          <w:szCs w:val="20"/>
          <w:lang w:eastAsia="en-AU"/>
        </w:rPr>
        <w:t xml:space="preserve"> to this impact</w:t>
      </w:r>
      <w:r w:rsidRPr="00911D9A">
        <w:rPr>
          <w:sz w:val="20"/>
          <w:szCs w:val="20"/>
          <w:lang w:eastAsia="en-AU"/>
        </w:rPr>
        <w:t>.</w:t>
      </w:r>
      <w:r w:rsidR="005126C7">
        <w:rPr>
          <w:rStyle w:val="EndnoteReference"/>
          <w:sz w:val="20"/>
          <w:szCs w:val="20"/>
          <w:lang w:eastAsia="en-AU"/>
        </w:rPr>
        <w:endnoteReference w:id="74"/>
      </w:r>
      <w:r w:rsidRPr="00911D9A">
        <w:rPr>
          <w:sz w:val="20"/>
          <w:szCs w:val="20"/>
          <w:lang w:eastAsia="en-AU"/>
        </w:rPr>
        <w:t xml:space="preserve"> </w:t>
      </w:r>
      <w:r>
        <w:rPr>
          <w:sz w:val="20"/>
          <w:szCs w:val="20"/>
          <w:lang w:eastAsia="en-AU"/>
        </w:rPr>
        <w:t>S</w:t>
      </w:r>
      <w:r w:rsidRPr="00647BAE">
        <w:rPr>
          <w:sz w:val="20"/>
          <w:szCs w:val="20"/>
          <w:lang w:eastAsia="en-AU"/>
        </w:rPr>
        <w:t xml:space="preserve">ustained and intensive </w:t>
      </w:r>
      <w:r>
        <w:rPr>
          <w:sz w:val="20"/>
          <w:szCs w:val="20"/>
          <w:lang w:eastAsia="en-AU"/>
        </w:rPr>
        <w:t>approaches</w:t>
      </w:r>
      <w:r w:rsidRPr="00647BAE">
        <w:rPr>
          <w:sz w:val="20"/>
          <w:szCs w:val="20"/>
          <w:lang w:eastAsia="en-AU"/>
        </w:rPr>
        <w:t xml:space="preserve"> </w:t>
      </w:r>
      <w:r>
        <w:rPr>
          <w:sz w:val="20"/>
          <w:szCs w:val="20"/>
          <w:lang w:eastAsia="en-AU"/>
        </w:rPr>
        <w:t>tailored for the community and</w:t>
      </w:r>
      <w:r w:rsidRPr="00647BAE">
        <w:rPr>
          <w:sz w:val="20"/>
          <w:szCs w:val="20"/>
          <w:lang w:eastAsia="en-AU"/>
        </w:rPr>
        <w:t xml:space="preserve"> </w:t>
      </w:r>
      <w:r w:rsidR="004B0D0B">
        <w:rPr>
          <w:sz w:val="20"/>
          <w:szCs w:val="20"/>
          <w:lang w:eastAsia="en-AU"/>
        </w:rPr>
        <w:t>priority groups</w:t>
      </w:r>
      <w:r w:rsidR="004B0D0B" w:rsidRPr="00647BAE">
        <w:rPr>
          <w:sz w:val="20"/>
          <w:szCs w:val="20"/>
          <w:lang w:eastAsia="en-AU"/>
        </w:rPr>
        <w:t xml:space="preserve"> </w:t>
      </w:r>
      <w:r w:rsidRPr="00647BAE">
        <w:rPr>
          <w:sz w:val="20"/>
          <w:szCs w:val="20"/>
          <w:lang w:eastAsia="en-AU"/>
        </w:rPr>
        <w:t>are essential</w:t>
      </w:r>
      <w:r>
        <w:rPr>
          <w:sz w:val="20"/>
          <w:szCs w:val="20"/>
          <w:lang w:eastAsia="en-AU"/>
        </w:rPr>
        <w:t xml:space="preserve"> </w:t>
      </w:r>
      <w:r w:rsidR="00D36A17">
        <w:rPr>
          <w:sz w:val="20"/>
          <w:szCs w:val="20"/>
          <w:lang w:eastAsia="en-AU"/>
        </w:rPr>
        <w:t xml:space="preserve">to </w:t>
      </w:r>
      <w:r w:rsidR="00D36A17" w:rsidRPr="00647BAE">
        <w:rPr>
          <w:sz w:val="20"/>
          <w:szCs w:val="20"/>
          <w:lang w:eastAsia="en-AU"/>
        </w:rPr>
        <w:t>i</w:t>
      </w:r>
      <w:r w:rsidR="00D36A17">
        <w:rPr>
          <w:sz w:val="20"/>
          <w:szCs w:val="20"/>
          <w:lang w:eastAsia="en-AU"/>
        </w:rPr>
        <w:t xml:space="preserve">mprove </w:t>
      </w:r>
      <w:r>
        <w:rPr>
          <w:sz w:val="20"/>
          <w:szCs w:val="20"/>
          <w:lang w:eastAsia="en-AU"/>
        </w:rPr>
        <w:t>BBV and STI testing rates and treatment uptake and adherence.</w:t>
      </w:r>
      <w:r w:rsidR="00747946">
        <w:rPr>
          <w:sz w:val="20"/>
          <w:szCs w:val="20"/>
          <w:lang w:eastAsia="en-AU"/>
        </w:rPr>
        <w:t xml:space="preserve"> </w:t>
      </w:r>
      <w:r>
        <w:rPr>
          <w:sz w:val="20"/>
          <w:szCs w:val="20"/>
          <w:lang w:eastAsia="en-AU"/>
        </w:rPr>
        <w:t xml:space="preserve">Given the high prevalence of STI among </w:t>
      </w:r>
      <w:r w:rsidR="00D36A17">
        <w:rPr>
          <w:sz w:val="20"/>
          <w:szCs w:val="20"/>
          <w:lang w:eastAsia="en-AU"/>
        </w:rPr>
        <w:t xml:space="preserve">young </w:t>
      </w:r>
      <w:r>
        <w:rPr>
          <w:sz w:val="20"/>
          <w:szCs w:val="20"/>
          <w:lang w:eastAsia="en-AU"/>
        </w:rPr>
        <w:t xml:space="preserve">Aboriginal and Torres Strait Islander people, comprehensive </w:t>
      </w:r>
      <w:r w:rsidR="00766DAA">
        <w:rPr>
          <w:sz w:val="20"/>
          <w:szCs w:val="20"/>
          <w:lang w:eastAsia="en-AU"/>
        </w:rPr>
        <w:t xml:space="preserve">and regular </w:t>
      </w:r>
      <w:r>
        <w:rPr>
          <w:sz w:val="20"/>
          <w:szCs w:val="20"/>
          <w:lang w:eastAsia="en-AU"/>
        </w:rPr>
        <w:t>STI testing is part of best-practice routine health care for all sexually active young people.</w:t>
      </w:r>
      <w:r w:rsidRPr="00B073E8">
        <w:rPr>
          <w:rStyle w:val="EndnoteReference"/>
          <w:sz w:val="20"/>
          <w:szCs w:val="20"/>
        </w:rPr>
        <w:endnoteReference w:id="75"/>
      </w:r>
      <w:r>
        <w:rPr>
          <w:sz w:val="20"/>
          <w:szCs w:val="20"/>
          <w:vertAlign w:val="superscript"/>
        </w:rPr>
        <w:t>,</w:t>
      </w:r>
      <w:r>
        <w:rPr>
          <w:rStyle w:val="EndnoteReference"/>
          <w:sz w:val="20"/>
          <w:szCs w:val="20"/>
        </w:rPr>
        <w:endnoteReference w:id="76"/>
      </w:r>
      <w:r w:rsidRPr="00B073E8">
        <w:rPr>
          <w:sz w:val="20"/>
          <w:szCs w:val="20"/>
        </w:rPr>
        <w:t xml:space="preserve"> </w:t>
      </w:r>
    </w:p>
    <w:p w14:paraId="39D2516B" w14:textId="4A8C95C7" w:rsidR="00D85D1F" w:rsidRDefault="00D85D1F" w:rsidP="00D85D1F">
      <w:pPr>
        <w:spacing w:before="120" w:after="0"/>
        <w:rPr>
          <w:sz w:val="20"/>
          <w:szCs w:val="20"/>
          <w:lang w:eastAsia="en-AU"/>
        </w:rPr>
      </w:pPr>
      <w:r w:rsidRPr="00647BAE">
        <w:rPr>
          <w:sz w:val="20"/>
          <w:szCs w:val="20"/>
        </w:rPr>
        <w:t xml:space="preserve">Integration of comprehensive </w:t>
      </w:r>
      <w:r w:rsidR="0092103D">
        <w:rPr>
          <w:sz w:val="20"/>
          <w:szCs w:val="20"/>
        </w:rPr>
        <w:t xml:space="preserve">BBV and </w:t>
      </w:r>
      <w:r>
        <w:rPr>
          <w:sz w:val="20"/>
          <w:szCs w:val="20"/>
        </w:rPr>
        <w:t xml:space="preserve">STI </w:t>
      </w:r>
      <w:r w:rsidRPr="00647BAE">
        <w:rPr>
          <w:sz w:val="20"/>
          <w:szCs w:val="20"/>
        </w:rPr>
        <w:t>test</w:t>
      </w:r>
      <w:r w:rsidR="0092103D">
        <w:rPr>
          <w:sz w:val="20"/>
          <w:szCs w:val="20"/>
        </w:rPr>
        <w:t>ing</w:t>
      </w:r>
      <w:r w:rsidRPr="00647BAE">
        <w:rPr>
          <w:sz w:val="20"/>
          <w:szCs w:val="20"/>
        </w:rPr>
        <w:t xml:space="preserve"> and trea</w:t>
      </w:r>
      <w:r w:rsidR="00DD4713">
        <w:rPr>
          <w:sz w:val="20"/>
          <w:szCs w:val="20"/>
        </w:rPr>
        <w:t>t</w:t>
      </w:r>
      <w:r w:rsidR="0092103D">
        <w:rPr>
          <w:sz w:val="20"/>
          <w:szCs w:val="20"/>
        </w:rPr>
        <w:t>men</w:t>
      </w:r>
      <w:r w:rsidRPr="00647BAE">
        <w:rPr>
          <w:sz w:val="20"/>
          <w:szCs w:val="20"/>
        </w:rPr>
        <w:t>t programs into primary h</w:t>
      </w:r>
      <w:r>
        <w:rPr>
          <w:sz w:val="20"/>
          <w:szCs w:val="20"/>
        </w:rPr>
        <w:t xml:space="preserve">ealth protocols and guidelines, including </w:t>
      </w:r>
      <w:r w:rsidR="002003A8">
        <w:rPr>
          <w:sz w:val="20"/>
          <w:szCs w:val="20"/>
        </w:rPr>
        <w:t>opportunistic testing</w:t>
      </w:r>
      <w:r w:rsidR="00747946">
        <w:rPr>
          <w:sz w:val="20"/>
          <w:szCs w:val="20"/>
        </w:rPr>
        <w:t xml:space="preserve"> and adult health checks</w:t>
      </w:r>
      <w:r w:rsidR="002003A8">
        <w:rPr>
          <w:sz w:val="20"/>
          <w:szCs w:val="20"/>
        </w:rPr>
        <w:t xml:space="preserve">, </w:t>
      </w:r>
      <w:r w:rsidRPr="00647BAE">
        <w:rPr>
          <w:sz w:val="20"/>
          <w:szCs w:val="20"/>
        </w:rPr>
        <w:t>can improve testing coverage and treatment outcomes.</w:t>
      </w:r>
      <w:r w:rsidRPr="00647BAE">
        <w:rPr>
          <w:sz w:val="20"/>
          <w:szCs w:val="20"/>
          <w:vertAlign w:val="superscript"/>
        </w:rPr>
        <w:endnoteReference w:id="77"/>
      </w:r>
      <w:r w:rsidRPr="00911D9A">
        <w:rPr>
          <w:sz w:val="20"/>
          <w:szCs w:val="20"/>
          <w:vertAlign w:val="superscript"/>
        </w:rPr>
        <w:t>,</w:t>
      </w:r>
      <w:r w:rsidRPr="00647BAE">
        <w:rPr>
          <w:sz w:val="20"/>
          <w:szCs w:val="20"/>
          <w:vertAlign w:val="superscript"/>
        </w:rPr>
        <w:endnoteReference w:id="78"/>
      </w:r>
      <w:r w:rsidRPr="008D3149">
        <w:rPr>
          <w:sz w:val="20"/>
          <w:szCs w:val="20"/>
        </w:rPr>
        <w:t xml:space="preserve"> </w:t>
      </w:r>
      <w:r>
        <w:rPr>
          <w:sz w:val="20"/>
          <w:szCs w:val="20"/>
          <w:lang w:eastAsia="en-AU"/>
        </w:rPr>
        <w:t xml:space="preserve">Additional intensive </w:t>
      </w:r>
      <w:r w:rsidRPr="00E13C6F">
        <w:rPr>
          <w:sz w:val="20"/>
          <w:szCs w:val="20"/>
          <w:lang w:eastAsia="en-AU"/>
        </w:rPr>
        <w:t>clinic</w:t>
      </w:r>
      <w:r>
        <w:rPr>
          <w:sz w:val="20"/>
          <w:szCs w:val="20"/>
          <w:lang w:eastAsia="en-AU"/>
        </w:rPr>
        <w:t>-</w:t>
      </w:r>
      <w:r w:rsidRPr="00E13C6F">
        <w:rPr>
          <w:sz w:val="20"/>
          <w:szCs w:val="20"/>
          <w:lang w:eastAsia="en-AU"/>
        </w:rPr>
        <w:t>based strategies</w:t>
      </w:r>
      <w:r>
        <w:rPr>
          <w:sz w:val="20"/>
          <w:szCs w:val="20"/>
          <w:lang w:eastAsia="en-AU"/>
        </w:rPr>
        <w:t xml:space="preserve"> </w:t>
      </w:r>
      <w:r w:rsidR="002003A8">
        <w:rPr>
          <w:sz w:val="20"/>
          <w:szCs w:val="20"/>
          <w:lang w:eastAsia="en-AU"/>
        </w:rPr>
        <w:t xml:space="preserve">are needed </w:t>
      </w:r>
      <w:r>
        <w:rPr>
          <w:sz w:val="20"/>
          <w:szCs w:val="20"/>
          <w:lang w:eastAsia="en-AU"/>
        </w:rPr>
        <w:t xml:space="preserve">where testing coverage remains low. </w:t>
      </w:r>
      <w:r w:rsidR="004233F4">
        <w:rPr>
          <w:sz w:val="20"/>
          <w:szCs w:val="20"/>
          <w:lang w:eastAsia="en-AU"/>
        </w:rPr>
        <w:t>In certain circumstances, and following local guidance, other approaches</w:t>
      </w:r>
      <w:r w:rsidR="00350352">
        <w:rPr>
          <w:sz w:val="20"/>
          <w:szCs w:val="20"/>
          <w:lang w:eastAsia="en-AU"/>
        </w:rPr>
        <w:t>,</w:t>
      </w:r>
      <w:r w:rsidR="004233F4">
        <w:rPr>
          <w:sz w:val="20"/>
          <w:szCs w:val="20"/>
          <w:lang w:eastAsia="en-AU"/>
        </w:rPr>
        <w:t xml:space="preserve"> such as outreach, targeted engagement of </w:t>
      </w:r>
      <w:r w:rsidR="00D36A17">
        <w:rPr>
          <w:sz w:val="20"/>
          <w:szCs w:val="20"/>
          <w:lang w:eastAsia="en-AU"/>
        </w:rPr>
        <w:t xml:space="preserve">priority </w:t>
      </w:r>
      <w:r w:rsidR="004233F4">
        <w:rPr>
          <w:sz w:val="20"/>
          <w:szCs w:val="20"/>
          <w:lang w:eastAsia="en-AU"/>
        </w:rPr>
        <w:t>groups in non-clinical settings and c</w:t>
      </w:r>
      <w:r>
        <w:rPr>
          <w:sz w:val="20"/>
          <w:szCs w:val="20"/>
          <w:lang w:eastAsia="en-AU"/>
        </w:rPr>
        <w:t xml:space="preserve">ommunity screening to further expand </w:t>
      </w:r>
      <w:r w:rsidRPr="00350352">
        <w:rPr>
          <w:sz w:val="20"/>
          <w:szCs w:val="20"/>
          <w:lang w:eastAsia="en-AU"/>
        </w:rPr>
        <w:t>reach</w:t>
      </w:r>
      <w:r w:rsidR="00350352" w:rsidRPr="00350352">
        <w:rPr>
          <w:sz w:val="20"/>
          <w:szCs w:val="20"/>
          <w:lang w:eastAsia="en-AU"/>
        </w:rPr>
        <w:t>,</w:t>
      </w:r>
      <w:r w:rsidRPr="00350352">
        <w:rPr>
          <w:sz w:val="20"/>
          <w:szCs w:val="20"/>
          <w:lang w:eastAsia="en-AU"/>
        </w:rPr>
        <w:t xml:space="preserve"> may also be needed to supplement routine clinic-based testing. </w:t>
      </w:r>
      <w:r w:rsidR="00766DAA" w:rsidRPr="00350352">
        <w:rPr>
          <w:sz w:val="20"/>
          <w:szCs w:val="20"/>
          <w:lang w:eastAsia="en-AU"/>
        </w:rPr>
        <w:t>It is important that strategies to strengthen partner notification</w:t>
      </w:r>
      <w:r w:rsidR="00350352">
        <w:rPr>
          <w:sz w:val="20"/>
          <w:szCs w:val="20"/>
          <w:lang w:eastAsia="en-AU"/>
        </w:rPr>
        <w:t xml:space="preserve"> </w:t>
      </w:r>
      <w:r w:rsidR="00766DAA" w:rsidRPr="00350352">
        <w:rPr>
          <w:sz w:val="20"/>
          <w:szCs w:val="20"/>
          <w:lang w:eastAsia="en-AU"/>
        </w:rPr>
        <w:t>/</w:t>
      </w:r>
      <w:r w:rsidR="00350352">
        <w:rPr>
          <w:sz w:val="20"/>
          <w:szCs w:val="20"/>
          <w:lang w:eastAsia="en-AU"/>
        </w:rPr>
        <w:t xml:space="preserve"> </w:t>
      </w:r>
      <w:r w:rsidR="00766DAA" w:rsidRPr="00350352">
        <w:rPr>
          <w:sz w:val="20"/>
          <w:szCs w:val="20"/>
          <w:lang w:eastAsia="en-AU"/>
        </w:rPr>
        <w:t xml:space="preserve">contact tracing are also implemented. </w:t>
      </w:r>
      <w:r w:rsidRPr="00350352">
        <w:rPr>
          <w:sz w:val="20"/>
          <w:szCs w:val="20"/>
          <w:lang w:eastAsia="en-AU"/>
        </w:rPr>
        <w:t>A combination approach is most likely to have the greatest success at maximising testing coverage across a region</w:t>
      </w:r>
      <w:r w:rsidR="008D3149" w:rsidRPr="00350352">
        <w:rPr>
          <w:sz w:val="20"/>
          <w:szCs w:val="20"/>
          <w:lang w:eastAsia="en-AU"/>
        </w:rPr>
        <w:t>,</w:t>
      </w:r>
      <w:r w:rsidRPr="00350352">
        <w:rPr>
          <w:rStyle w:val="EndnoteReference"/>
          <w:sz w:val="20"/>
          <w:szCs w:val="20"/>
          <w:lang w:eastAsia="en-AU"/>
        </w:rPr>
        <w:endnoteReference w:id="79"/>
      </w:r>
      <w:r w:rsidRPr="00350352">
        <w:rPr>
          <w:sz w:val="20"/>
          <w:szCs w:val="20"/>
          <w:lang w:eastAsia="en-AU"/>
        </w:rPr>
        <w:t xml:space="preserve"> with widespread community screening being particularly important in responding to emerging or current outbreaks.</w:t>
      </w:r>
      <w:r w:rsidR="00747946" w:rsidRPr="00350352">
        <w:rPr>
          <w:sz w:val="20"/>
          <w:szCs w:val="20"/>
          <w:lang w:eastAsia="en-AU"/>
        </w:rPr>
        <w:t xml:space="preserve"> </w:t>
      </w:r>
      <w:r w:rsidRPr="00350352">
        <w:rPr>
          <w:sz w:val="20"/>
          <w:szCs w:val="20"/>
          <w:lang w:eastAsia="en-AU"/>
        </w:rPr>
        <w:t>Simultaneous testing for other BBV and STI is also an important consideration due to the potential for co-infection. This includes the increased risk of HIV transmission associated with an STI, and HIV and hepatitis B and/or C co-infection.</w:t>
      </w:r>
      <w:r>
        <w:rPr>
          <w:sz w:val="20"/>
          <w:szCs w:val="20"/>
          <w:lang w:eastAsia="en-AU"/>
        </w:rPr>
        <w:t xml:space="preserve"> </w:t>
      </w:r>
    </w:p>
    <w:p w14:paraId="548A5A93" w14:textId="2C335653" w:rsidR="005470A1" w:rsidRDefault="004C6662" w:rsidP="005470A1">
      <w:pPr>
        <w:spacing w:before="120" w:after="0"/>
        <w:rPr>
          <w:sz w:val="20"/>
          <w:szCs w:val="20"/>
          <w:lang w:eastAsia="en-AU"/>
        </w:rPr>
      </w:pPr>
      <w:r>
        <w:rPr>
          <w:sz w:val="20"/>
          <w:szCs w:val="20"/>
          <w:lang w:eastAsia="en-AU"/>
        </w:rPr>
        <w:t>Australia has national t</w:t>
      </w:r>
      <w:r w:rsidR="00D85D1F" w:rsidRPr="00647BAE">
        <w:rPr>
          <w:sz w:val="20"/>
          <w:szCs w:val="20"/>
          <w:lang w:eastAsia="en-AU"/>
        </w:rPr>
        <w:t>esting</w:t>
      </w:r>
      <w:r w:rsidR="006F7EBB">
        <w:rPr>
          <w:sz w:val="20"/>
          <w:szCs w:val="20"/>
          <w:lang w:eastAsia="en-AU"/>
        </w:rPr>
        <w:t xml:space="preserve"> </w:t>
      </w:r>
      <w:r w:rsidR="002B60BA">
        <w:rPr>
          <w:sz w:val="20"/>
          <w:szCs w:val="20"/>
          <w:lang w:eastAsia="en-AU"/>
        </w:rPr>
        <w:t>policies</w:t>
      </w:r>
      <w:r w:rsidR="00454F26">
        <w:rPr>
          <w:rStyle w:val="EndnoteReference"/>
          <w:sz w:val="20"/>
          <w:szCs w:val="20"/>
          <w:lang w:eastAsia="en-AU"/>
        </w:rPr>
        <w:endnoteReference w:id="80"/>
      </w:r>
      <w:r w:rsidR="002B60BA">
        <w:rPr>
          <w:sz w:val="20"/>
          <w:szCs w:val="20"/>
          <w:lang w:eastAsia="en-AU"/>
        </w:rPr>
        <w:t xml:space="preserve"> and </w:t>
      </w:r>
      <w:r w:rsidR="00F414B0" w:rsidRPr="00B000E9">
        <w:rPr>
          <w:sz w:val="20"/>
          <w:szCs w:val="20"/>
          <w:lang w:eastAsia="en-AU"/>
        </w:rPr>
        <w:t>guidelines</w:t>
      </w:r>
      <w:r w:rsidR="00B000E9" w:rsidRPr="00B000E9">
        <w:rPr>
          <w:rStyle w:val="EndnoteReference"/>
        </w:rPr>
        <w:t>75</w:t>
      </w:r>
      <w:r w:rsidR="00D85D1F" w:rsidRPr="00B000E9">
        <w:rPr>
          <w:sz w:val="20"/>
          <w:szCs w:val="20"/>
          <w:lang w:eastAsia="en-AU"/>
        </w:rPr>
        <w:t xml:space="preserve"> </w:t>
      </w:r>
      <w:r w:rsidR="00D85D1F" w:rsidRPr="00647BAE">
        <w:rPr>
          <w:sz w:val="20"/>
          <w:szCs w:val="20"/>
          <w:lang w:eastAsia="en-AU"/>
        </w:rPr>
        <w:t xml:space="preserve">which cover </w:t>
      </w:r>
      <w:r w:rsidR="00D85D1F">
        <w:rPr>
          <w:sz w:val="20"/>
          <w:szCs w:val="20"/>
          <w:lang w:eastAsia="en-AU"/>
        </w:rPr>
        <w:t xml:space="preserve">testing for </w:t>
      </w:r>
      <w:r w:rsidR="00D85D1F" w:rsidRPr="00647BAE">
        <w:rPr>
          <w:sz w:val="20"/>
          <w:szCs w:val="20"/>
          <w:lang w:eastAsia="en-AU"/>
        </w:rPr>
        <w:t>STI, HIV, hepatitis B and hepatitis C. These include details on indications for testing, diagnostic strategies and quality assurance as well as specific guid</w:t>
      </w:r>
      <w:r w:rsidR="00D85D1F">
        <w:rPr>
          <w:sz w:val="20"/>
          <w:szCs w:val="20"/>
          <w:lang w:eastAsia="en-AU"/>
        </w:rPr>
        <w:t>ance</w:t>
      </w:r>
      <w:r w:rsidR="00D85D1F" w:rsidRPr="00647BAE">
        <w:rPr>
          <w:sz w:val="20"/>
          <w:szCs w:val="20"/>
          <w:lang w:eastAsia="en-AU"/>
        </w:rPr>
        <w:t xml:space="preserve"> on offering testing to Aboriginal and Torres Strait Islander people. </w:t>
      </w:r>
      <w:r w:rsidR="00D85D1F">
        <w:rPr>
          <w:sz w:val="20"/>
          <w:szCs w:val="20"/>
          <w:lang w:eastAsia="en-AU"/>
        </w:rPr>
        <w:t>Guidelines provide advice to clinicians on recording sexual history and establishing the presence of known risk factors and behaviours associated with BBV and STI</w:t>
      </w:r>
      <w:r w:rsidR="0092103D">
        <w:rPr>
          <w:sz w:val="20"/>
          <w:szCs w:val="20"/>
          <w:lang w:eastAsia="en-AU"/>
        </w:rPr>
        <w:t xml:space="preserve"> acquisition and transmission</w:t>
      </w:r>
      <w:r w:rsidR="00D85D1F">
        <w:rPr>
          <w:sz w:val="20"/>
          <w:szCs w:val="20"/>
          <w:lang w:eastAsia="en-AU"/>
        </w:rPr>
        <w:t xml:space="preserve">. </w:t>
      </w:r>
      <w:r w:rsidR="00F414B0">
        <w:rPr>
          <w:sz w:val="20"/>
          <w:szCs w:val="20"/>
          <w:lang w:eastAsia="en-AU"/>
        </w:rPr>
        <w:t>Where required, l</w:t>
      </w:r>
      <w:r w:rsidR="00D85D1F">
        <w:rPr>
          <w:sz w:val="20"/>
          <w:szCs w:val="20"/>
          <w:lang w:eastAsia="en-AU"/>
        </w:rPr>
        <w:t xml:space="preserve">ocal guidelines also need to be </w:t>
      </w:r>
      <w:r w:rsidR="000C59C4">
        <w:rPr>
          <w:sz w:val="20"/>
          <w:szCs w:val="20"/>
          <w:lang w:eastAsia="en-AU"/>
        </w:rPr>
        <w:t>developed and/or maintained</w:t>
      </w:r>
      <w:r w:rsidR="00D85D1F">
        <w:rPr>
          <w:sz w:val="20"/>
          <w:szCs w:val="20"/>
          <w:lang w:eastAsia="en-AU"/>
        </w:rPr>
        <w:t xml:space="preserve"> to address the specific needs of the community, ensur</w:t>
      </w:r>
      <w:r w:rsidR="006F7EBB">
        <w:rPr>
          <w:sz w:val="20"/>
          <w:szCs w:val="20"/>
          <w:lang w:eastAsia="en-AU"/>
        </w:rPr>
        <w:t>ing</w:t>
      </w:r>
      <w:r w:rsidR="00D85D1F">
        <w:rPr>
          <w:sz w:val="20"/>
          <w:szCs w:val="20"/>
          <w:lang w:eastAsia="en-AU"/>
        </w:rPr>
        <w:t xml:space="preserve"> cultural</w:t>
      </w:r>
      <w:r w:rsidR="00AF665F">
        <w:rPr>
          <w:sz w:val="20"/>
          <w:szCs w:val="20"/>
          <w:lang w:eastAsia="en-AU"/>
        </w:rPr>
        <w:t xml:space="preserve"> and language</w:t>
      </w:r>
      <w:r w:rsidR="00D85D1F">
        <w:rPr>
          <w:sz w:val="20"/>
          <w:szCs w:val="20"/>
          <w:lang w:eastAsia="en-AU"/>
        </w:rPr>
        <w:t xml:space="preserve"> appropriateness</w:t>
      </w:r>
      <w:r w:rsidR="00F414B0">
        <w:rPr>
          <w:sz w:val="20"/>
          <w:szCs w:val="20"/>
          <w:lang w:eastAsia="en-AU"/>
        </w:rPr>
        <w:t>.</w:t>
      </w:r>
      <w:r w:rsidR="006F7EBB">
        <w:rPr>
          <w:sz w:val="20"/>
          <w:szCs w:val="20"/>
          <w:lang w:eastAsia="en-AU"/>
        </w:rPr>
        <w:t xml:space="preserve"> </w:t>
      </w:r>
    </w:p>
    <w:p w14:paraId="5AC19809" w14:textId="21D60F02" w:rsidR="005470A1" w:rsidRDefault="005470A1" w:rsidP="005470A1">
      <w:pPr>
        <w:spacing w:before="120" w:after="0"/>
        <w:rPr>
          <w:sz w:val="20"/>
          <w:szCs w:val="20"/>
          <w:lang w:eastAsia="en-AU"/>
        </w:rPr>
      </w:pPr>
      <w:r w:rsidRPr="005470A1">
        <w:rPr>
          <w:sz w:val="20"/>
          <w:szCs w:val="20"/>
          <w:lang w:eastAsia="en-AU"/>
        </w:rPr>
        <w:lastRenderedPageBreak/>
        <w:t>Efforts to increase the frequency and coverage of BBV and STI testing must be based on the principles of quality testing in Australia</w:t>
      </w:r>
      <w:r w:rsidR="008D3149">
        <w:rPr>
          <w:sz w:val="20"/>
          <w:szCs w:val="20"/>
          <w:lang w:eastAsia="en-AU"/>
        </w:rPr>
        <w:t>—</w:t>
      </w:r>
      <w:r w:rsidR="008617A0">
        <w:rPr>
          <w:sz w:val="20"/>
          <w:szCs w:val="20"/>
          <w:lang w:eastAsia="en-AU"/>
        </w:rPr>
        <w:t>that</w:t>
      </w:r>
      <w:r w:rsidRPr="005470A1">
        <w:rPr>
          <w:sz w:val="20"/>
          <w:szCs w:val="20"/>
          <w:lang w:eastAsia="en-AU"/>
        </w:rPr>
        <w:t xml:space="preserve"> all testing is voluntary with informed consent (including in custodial settings)</w:t>
      </w:r>
      <w:r w:rsidR="008617A0">
        <w:rPr>
          <w:sz w:val="20"/>
          <w:szCs w:val="20"/>
          <w:lang w:eastAsia="en-AU"/>
        </w:rPr>
        <w:t>,</w:t>
      </w:r>
      <w:r w:rsidRPr="005470A1">
        <w:rPr>
          <w:sz w:val="20"/>
          <w:szCs w:val="20"/>
          <w:lang w:eastAsia="en-AU"/>
        </w:rPr>
        <w:t xml:space="preserve"> accessible</w:t>
      </w:r>
      <w:r w:rsidR="008617A0">
        <w:rPr>
          <w:sz w:val="20"/>
          <w:szCs w:val="20"/>
          <w:lang w:eastAsia="en-AU"/>
        </w:rPr>
        <w:t>,</w:t>
      </w:r>
      <w:r w:rsidRPr="005470A1">
        <w:rPr>
          <w:sz w:val="20"/>
          <w:szCs w:val="20"/>
          <w:lang w:eastAsia="en-AU"/>
        </w:rPr>
        <w:t xml:space="preserve"> non-discriminatory</w:t>
      </w:r>
      <w:r w:rsidR="008617A0">
        <w:rPr>
          <w:sz w:val="20"/>
          <w:szCs w:val="20"/>
          <w:lang w:eastAsia="en-AU"/>
        </w:rPr>
        <w:t>,</w:t>
      </w:r>
      <w:r w:rsidRPr="005470A1">
        <w:rPr>
          <w:sz w:val="20"/>
          <w:szCs w:val="20"/>
          <w:lang w:eastAsia="en-AU"/>
        </w:rPr>
        <w:t xml:space="preserve"> confidential</w:t>
      </w:r>
      <w:r w:rsidR="008617A0">
        <w:rPr>
          <w:sz w:val="20"/>
          <w:szCs w:val="20"/>
          <w:lang w:eastAsia="en-AU"/>
        </w:rPr>
        <w:t xml:space="preserve"> and</w:t>
      </w:r>
      <w:r w:rsidRPr="005470A1">
        <w:rPr>
          <w:sz w:val="20"/>
          <w:szCs w:val="20"/>
          <w:lang w:eastAsia="en-AU"/>
        </w:rPr>
        <w:t xml:space="preserve"> of clear benefit to the patient being tested</w:t>
      </w:r>
      <w:r w:rsidR="008617A0">
        <w:rPr>
          <w:sz w:val="20"/>
          <w:szCs w:val="20"/>
          <w:lang w:eastAsia="en-AU"/>
        </w:rPr>
        <w:t xml:space="preserve">. </w:t>
      </w:r>
    </w:p>
    <w:p w14:paraId="4FF27AEB" w14:textId="2BBB17FB" w:rsidR="00D85D1F" w:rsidRDefault="00D85D1F" w:rsidP="005470A1">
      <w:pPr>
        <w:spacing w:before="120" w:after="0"/>
        <w:rPr>
          <w:sz w:val="20"/>
          <w:szCs w:val="20"/>
          <w:lang w:eastAsia="en-AU"/>
        </w:rPr>
      </w:pPr>
      <w:r>
        <w:rPr>
          <w:sz w:val="20"/>
          <w:szCs w:val="20"/>
          <w:lang w:eastAsia="en-AU"/>
        </w:rPr>
        <w:t>E</w:t>
      </w:r>
      <w:r w:rsidRPr="00647BAE">
        <w:rPr>
          <w:sz w:val="20"/>
          <w:szCs w:val="20"/>
          <w:lang w:eastAsia="en-AU"/>
        </w:rPr>
        <w:t xml:space="preserve">ngagement with </w:t>
      </w:r>
      <w:r w:rsidRPr="007E0585">
        <w:rPr>
          <w:sz w:val="20"/>
          <w:szCs w:val="20"/>
          <w:lang w:eastAsia="en-AU"/>
        </w:rPr>
        <w:t xml:space="preserve">Aboriginal and Torres Strait Islander people may be </w:t>
      </w:r>
      <w:r>
        <w:rPr>
          <w:sz w:val="20"/>
          <w:szCs w:val="20"/>
          <w:lang w:eastAsia="en-AU"/>
        </w:rPr>
        <w:t>improved</w:t>
      </w:r>
      <w:r w:rsidR="0092103D">
        <w:rPr>
          <w:sz w:val="20"/>
          <w:szCs w:val="20"/>
          <w:lang w:eastAsia="en-AU"/>
        </w:rPr>
        <w:t xml:space="preserve"> by</w:t>
      </w:r>
      <w:r w:rsidRPr="007E0585">
        <w:rPr>
          <w:sz w:val="20"/>
          <w:szCs w:val="20"/>
          <w:lang w:eastAsia="en-AU"/>
        </w:rPr>
        <w:t xml:space="preserve"> us</w:t>
      </w:r>
      <w:r w:rsidR="003944A2">
        <w:rPr>
          <w:sz w:val="20"/>
          <w:szCs w:val="20"/>
          <w:lang w:eastAsia="en-AU"/>
        </w:rPr>
        <w:t>ing</w:t>
      </w:r>
      <w:r w:rsidRPr="007E0585">
        <w:rPr>
          <w:sz w:val="20"/>
          <w:szCs w:val="20"/>
          <w:lang w:eastAsia="en-AU"/>
        </w:rPr>
        <w:t xml:space="preserve"> a </w:t>
      </w:r>
      <w:r w:rsidR="0092103D">
        <w:rPr>
          <w:sz w:val="20"/>
          <w:szCs w:val="20"/>
          <w:lang w:eastAsia="en-AU"/>
        </w:rPr>
        <w:t>variety</w:t>
      </w:r>
      <w:r w:rsidRPr="007E0585">
        <w:rPr>
          <w:sz w:val="20"/>
          <w:szCs w:val="20"/>
          <w:lang w:eastAsia="en-AU"/>
        </w:rPr>
        <w:t xml:space="preserve"> of </w:t>
      </w:r>
      <w:r>
        <w:rPr>
          <w:sz w:val="20"/>
          <w:szCs w:val="20"/>
          <w:lang w:eastAsia="en-AU"/>
        </w:rPr>
        <w:t xml:space="preserve">BBV and STI </w:t>
      </w:r>
      <w:r w:rsidRPr="007E0585">
        <w:rPr>
          <w:sz w:val="20"/>
          <w:szCs w:val="20"/>
          <w:lang w:eastAsia="en-AU"/>
        </w:rPr>
        <w:t>testing options, including rapid testing and point</w:t>
      </w:r>
      <w:r w:rsidR="00350352">
        <w:rPr>
          <w:sz w:val="20"/>
          <w:szCs w:val="20"/>
          <w:lang w:eastAsia="en-AU"/>
        </w:rPr>
        <w:t>-</w:t>
      </w:r>
      <w:r w:rsidRPr="007E0585">
        <w:rPr>
          <w:sz w:val="20"/>
          <w:szCs w:val="20"/>
          <w:lang w:eastAsia="en-AU"/>
        </w:rPr>
        <w:t>of</w:t>
      </w:r>
      <w:r w:rsidR="00350352">
        <w:rPr>
          <w:sz w:val="20"/>
          <w:szCs w:val="20"/>
          <w:lang w:eastAsia="en-AU"/>
        </w:rPr>
        <w:t>-</w:t>
      </w:r>
      <w:r w:rsidRPr="007E0585">
        <w:rPr>
          <w:sz w:val="20"/>
          <w:szCs w:val="20"/>
          <w:lang w:eastAsia="en-AU"/>
        </w:rPr>
        <w:t xml:space="preserve">care </w:t>
      </w:r>
      <w:r w:rsidR="003944A2">
        <w:rPr>
          <w:sz w:val="20"/>
          <w:szCs w:val="20"/>
          <w:lang w:eastAsia="en-AU"/>
        </w:rPr>
        <w:t xml:space="preserve">(POC) </w:t>
      </w:r>
      <w:r w:rsidRPr="007E0585">
        <w:rPr>
          <w:sz w:val="20"/>
          <w:szCs w:val="20"/>
          <w:lang w:eastAsia="en-AU"/>
        </w:rPr>
        <w:t xml:space="preserve">testing as these become </w:t>
      </w:r>
      <w:r>
        <w:rPr>
          <w:sz w:val="20"/>
          <w:szCs w:val="20"/>
          <w:lang w:eastAsia="en-AU"/>
        </w:rPr>
        <w:t>increasing</w:t>
      </w:r>
      <w:r w:rsidR="008547F6">
        <w:rPr>
          <w:sz w:val="20"/>
          <w:szCs w:val="20"/>
          <w:lang w:eastAsia="en-AU"/>
        </w:rPr>
        <w:t>ly</w:t>
      </w:r>
      <w:r>
        <w:rPr>
          <w:sz w:val="20"/>
          <w:szCs w:val="20"/>
          <w:lang w:eastAsia="en-AU"/>
        </w:rPr>
        <w:t xml:space="preserve"> </w:t>
      </w:r>
      <w:r w:rsidRPr="007E0585">
        <w:rPr>
          <w:sz w:val="20"/>
          <w:szCs w:val="20"/>
          <w:lang w:eastAsia="en-AU"/>
        </w:rPr>
        <w:t>available.</w:t>
      </w:r>
      <w:r>
        <w:rPr>
          <w:sz w:val="20"/>
          <w:szCs w:val="20"/>
          <w:lang w:eastAsia="en-AU"/>
        </w:rPr>
        <w:t xml:space="preserve"> The second phase of the </w:t>
      </w:r>
      <w:r w:rsidRPr="004E3784">
        <w:rPr>
          <w:sz w:val="20"/>
          <w:szCs w:val="20"/>
          <w:lang w:eastAsia="en-AU"/>
        </w:rPr>
        <w:t>Test, Treat and Go Trial (TTANGO</w:t>
      </w:r>
      <w:r>
        <w:rPr>
          <w:sz w:val="20"/>
          <w:szCs w:val="20"/>
          <w:lang w:eastAsia="en-AU"/>
        </w:rPr>
        <w:t>2</w:t>
      </w:r>
      <w:r w:rsidRPr="004E3784">
        <w:rPr>
          <w:sz w:val="20"/>
          <w:szCs w:val="20"/>
          <w:lang w:eastAsia="en-AU"/>
        </w:rPr>
        <w:t>) i</w:t>
      </w:r>
      <w:r w:rsidRPr="00E10834">
        <w:rPr>
          <w:sz w:val="20"/>
          <w:szCs w:val="20"/>
          <w:lang w:eastAsia="en-AU"/>
        </w:rPr>
        <w:t xml:space="preserve">s </w:t>
      </w:r>
      <w:r>
        <w:rPr>
          <w:sz w:val="20"/>
          <w:szCs w:val="20"/>
          <w:lang w:eastAsia="en-AU"/>
        </w:rPr>
        <w:t>integrating POC testing for gonorrhoea</w:t>
      </w:r>
      <w:r w:rsidR="00624CAB">
        <w:rPr>
          <w:sz w:val="20"/>
          <w:szCs w:val="20"/>
          <w:lang w:eastAsia="en-AU"/>
        </w:rPr>
        <w:t>, chlamydia and trichomonas</w:t>
      </w:r>
      <w:r w:rsidR="00DB100F">
        <w:rPr>
          <w:sz w:val="20"/>
          <w:szCs w:val="20"/>
          <w:lang w:eastAsia="en-AU"/>
        </w:rPr>
        <w:t xml:space="preserve"> </w:t>
      </w:r>
      <w:r>
        <w:rPr>
          <w:sz w:val="20"/>
          <w:szCs w:val="20"/>
          <w:lang w:eastAsia="en-AU"/>
        </w:rPr>
        <w:t>into a routine program and expanding its availability</w:t>
      </w:r>
      <w:r w:rsidR="002003A8">
        <w:rPr>
          <w:sz w:val="20"/>
          <w:szCs w:val="20"/>
          <w:lang w:eastAsia="en-AU"/>
        </w:rPr>
        <w:t xml:space="preserve"> at trial sites</w:t>
      </w:r>
      <w:r>
        <w:rPr>
          <w:sz w:val="20"/>
          <w:szCs w:val="20"/>
          <w:lang w:eastAsia="en-AU"/>
        </w:rPr>
        <w:t xml:space="preserve">. </w:t>
      </w:r>
      <w:r w:rsidR="00986DE3">
        <w:rPr>
          <w:sz w:val="20"/>
          <w:szCs w:val="20"/>
          <w:lang w:eastAsia="en-AU"/>
        </w:rPr>
        <w:t xml:space="preserve">The Enhanced Response to the syphilis outbreak in northern and central Australia is utilising syphilis </w:t>
      </w:r>
      <w:r w:rsidR="003944A2">
        <w:rPr>
          <w:sz w:val="20"/>
          <w:szCs w:val="20"/>
          <w:lang w:eastAsia="en-AU"/>
        </w:rPr>
        <w:t>POC</w:t>
      </w:r>
      <w:r w:rsidR="00986DE3">
        <w:rPr>
          <w:sz w:val="20"/>
          <w:szCs w:val="20"/>
          <w:lang w:eastAsia="en-AU"/>
        </w:rPr>
        <w:t xml:space="preserve"> testing to increase the options available to </w:t>
      </w:r>
      <w:r w:rsidR="004C6662">
        <w:rPr>
          <w:sz w:val="20"/>
          <w:szCs w:val="20"/>
          <w:lang w:eastAsia="en-AU"/>
        </w:rPr>
        <w:t>health professionals</w:t>
      </w:r>
      <w:r w:rsidR="00986DE3">
        <w:rPr>
          <w:sz w:val="20"/>
          <w:szCs w:val="20"/>
          <w:lang w:eastAsia="en-AU"/>
        </w:rPr>
        <w:t xml:space="preserve"> in areas with high numbers of cases. </w:t>
      </w:r>
      <w:r w:rsidRPr="004E3784">
        <w:rPr>
          <w:sz w:val="20"/>
          <w:szCs w:val="20"/>
          <w:lang w:eastAsia="en-AU"/>
        </w:rPr>
        <w:t xml:space="preserve">These </w:t>
      </w:r>
      <w:r>
        <w:rPr>
          <w:sz w:val="20"/>
          <w:szCs w:val="20"/>
          <w:lang w:eastAsia="en-AU"/>
        </w:rPr>
        <w:t xml:space="preserve">tests </w:t>
      </w:r>
      <w:r w:rsidRPr="004E3784">
        <w:rPr>
          <w:sz w:val="20"/>
          <w:szCs w:val="20"/>
          <w:lang w:eastAsia="en-AU"/>
        </w:rPr>
        <w:t xml:space="preserve">can provide clinical services with </w:t>
      </w:r>
      <w:r w:rsidR="00D36A17">
        <w:rPr>
          <w:sz w:val="20"/>
          <w:szCs w:val="20"/>
          <w:lang w:eastAsia="en-AU"/>
        </w:rPr>
        <w:t>a rapid</w:t>
      </w:r>
      <w:r w:rsidRPr="004E3784">
        <w:rPr>
          <w:sz w:val="20"/>
          <w:szCs w:val="20"/>
          <w:lang w:eastAsia="en-AU"/>
        </w:rPr>
        <w:t xml:space="preserve"> laboratory result, allowing</w:t>
      </w:r>
      <w:r w:rsidR="00D36A17">
        <w:rPr>
          <w:sz w:val="20"/>
          <w:szCs w:val="20"/>
          <w:lang w:eastAsia="en-AU"/>
        </w:rPr>
        <w:t>,</w:t>
      </w:r>
      <w:r w:rsidRPr="004E3784">
        <w:rPr>
          <w:sz w:val="20"/>
          <w:szCs w:val="20"/>
          <w:lang w:eastAsia="en-AU"/>
        </w:rPr>
        <w:t xml:space="preserve"> </w:t>
      </w:r>
      <w:r w:rsidR="00D36A17">
        <w:rPr>
          <w:sz w:val="20"/>
          <w:szCs w:val="20"/>
          <w:lang w:eastAsia="en-AU"/>
        </w:rPr>
        <w:t>in many circumstances,</w:t>
      </w:r>
      <w:r w:rsidR="00D36A17" w:rsidRPr="004E3784">
        <w:rPr>
          <w:sz w:val="20"/>
          <w:szCs w:val="20"/>
          <w:lang w:eastAsia="en-AU"/>
        </w:rPr>
        <w:t xml:space="preserve"> </w:t>
      </w:r>
      <w:r w:rsidRPr="004E3784">
        <w:rPr>
          <w:sz w:val="20"/>
          <w:szCs w:val="20"/>
          <w:lang w:eastAsia="en-AU"/>
        </w:rPr>
        <w:t xml:space="preserve">treatment and the partner notification process to begin without delay. </w:t>
      </w:r>
    </w:p>
    <w:p w14:paraId="2462678F" w14:textId="429DC9EC" w:rsidR="00D85D1F" w:rsidRDefault="00D85D1F" w:rsidP="00D85D1F">
      <w:pPr>
        <w:spacing w:before="120"/>
        <w:rPr>
          <w:sz w:val="20"/>
          <w:szCs w:val="20"/>
          <w:lang w:eastAsia="en-AU"/>
        </w:rPr>
      </w:pPr>
      <w:r w:rsidRPr="007E0585">
        <w:rPr>
          <w:iCs/>
          <w:sz w:val="20"/>
          <w:szCs w:val="20"/>
        </w:rPr>
        <w:t>Improving the diagnosis of BBV and STI requires increased access to testing through multiple settings, focusing on those commonly used by Aboriginal and Torres Strait Islander people.</w:t>
      </w:r>
      <w:r>
        <w:rPr>
          <w:iCs/>
          <w:sz w:val="20"/>
          <w:szCs w:val="20"/>
        </w:rPr>
        <w:t xml:space="preserve"> </w:t>
      </w:r>
      <w:r w:rsidRPr="00EF7993">
        <w:rPr>
          <w:sz w:val="20"/>
          <w:szCs w:val="20"/>
        </w:rPr>
        <w:t xml:space="preserve">The design and delivery of BBV and STI </w:t>
      </w:r>
      <w:r>
        <w:rPr>
          <w:sz w:val="20"/>
          <w:szCs w:val="20"/>
        </w:rPr>
        <w:t xml:space="preserve">testing </w:t>
      </w:r>
      <w:r w:rsidRPr="00EF7993">
        <w:rPr>
          <w:sz w:val="20"/>
          <w:szCs w:val="20"/>
        </w:rPr>
        <w:t>services should be informed by available evidence on the predictors</w:t>
      </w:r>
      <w:r>
        <w:rPr>
          <w:sz w:val="20"/>
          <w:szCs w:val="20"/>
        </w:rPr>
        <w:t xml:space="preserve"> </w:t>
      </w:r>
      <w:r w:rsidR="008547F6">
        <w:rPr>
          <w:sz w:val="20"/>
          <w:szCs w:val="20"/>
        </w:rPr>
        <w:t xml:space="preserve">for </w:t>
      </w:r>
      <w:r>
        <w:rPr>
          <w:sz w:val="20"/>
          <w:szCs w:val="20"/>
        </w:rPr>
        <w:t xml:space="preserve">and patterns of testing and patterns of health service access. Research has indicated a greater use of </w:t>
      </w:r>
      <w:r w:rsidRPr="007E0585">
        <w:rPr>
          <w:sz w:val="20"/>
          <w:szCs w:val="20"/>
        </w:rPr>
        <w:t>services by young</w:t>
      </w:r>
      <w:r>
        <w:rPr>
          <w:sz w:val="20"/>
          <w:szCs w:val="20"/>
        </w:rPr>
        <w:t xml:space="preserve"> Aboriginal and Torres Strait Islander </w:t>
      </w:r>
      <w:r w:rsidRPr="007E0585">
        <w:rPr>
          <w:sz w:val="20"/>
          <w:szCs w:val="20"/>
        </w:rPr>
        <w:t xml:space="preserve">women than young </w:t>
      </w:r>
      <w:r>
        <w:rPr>
          <w:sz w:val="20"/>
          <w:szCs w:val="20"/>
        </w:rPr>
        <w:t>Aboriginal and Torres Strait Islander</w:t>
      </w:r>
      <w:r w:rsidRPr="005431EC">
        <w:rPr>
          <w:sz w:val="20"/>
          <w:szCs w:val="20"/>
        </w:rPr>
        <w:t xml:space="preserve"> </w:t>
      </w:r>
      <w:r w:rsidRPr="007E0585">
        <w:rPr>
          <w:sz w:val="20"/>
          <w:szCs w:val="20"/>
        </w:rPr>
        <w:t>men</w:t>
      </w:r>
      <w:r>
        <w:rPr>
          <w:sz w:val="20"/>
          <w:szCs w:val="20"/>
        </w:rPr>
        <w:t>. D</w:t>
      </w:r>
      <w:r w:rsidRPr="007E0585">
        <w:rPr>
          <w:sz w:val="20"/>
          <w:szCs w:val="20"/>
        </w:rPr>
        <w:t>eveloping</w:t>
      </w:r>
      <w:r>
        <w:rPr>
          <w:sz w:val="20"/>
          <w:szCs w:val="20"/>
        </w:rPr>
        <w:t xml:space="preserve"> approaches that effectively engage </w:t>
      </w:r>
      <w:r w:rsidRPr="00537A8D">
        <w:rPr>
          <w:sz w:val="20"/>
          <w:szCs w:val="20"/>
        </w:rPr>
        <w:t>young men</w:t>
      </w:r>
      <w:r>
        <w:rPr>
          <w:sz w:val="20"/>
          <w:szCs w:val="20"/>
        </w:rPr>
        <w:t xml:space="preserve"> in health services </w:t>
      </w:r>
      <w:r w:rsidR="008547F6">
        <w:rPr>
          <w:sz w:val="20"/>
          <w:szCs w:val="20"/>
        </w:rPr>
        <w:t xml:space="preserve">is </w:t>
      </w:r>
      <w:r w:rsidRPr="00350352">
        <w:rPr>
          <w:sz w:val="20"/>
          <w:szCs w:val="20"/>
        </w:rPr>
        <w:t xml:space="preserve">important, as well as </w:t>
      </w:r>
      <w:r w:rsidR="008547F6" w:rsidRPr="00350352">
        <w:rPr>
          <w:sz w:val="20"/>
          <w:szCs w:val="20"/>
        </w:rPr>
        <w:t>delivering</w:t>
      </w:r>
      <w:r>
        <w:rPr>
          <w:sz w:val="20"/>
          <w:szCs w:val="20"/>
        </w:rPr>
        <w:t xml:space="preserve"> innovative outreach testing and education services in </w:t>
      </w:r>
      <w:r w:rsidRPr="00C73C12">
        <w:rPr>
          <w:sz w:val="20"/>
          <w:szCs w:val="20"/>
        </w:rPr>
        <w:t>the community.</w:t>
      </w:r>
      <w:r w:rsidR="00C73C12" w:rsidRPr="00C73C12">
        <w:rPr>
          <w:rStyle w:val="EndnoteReference"/>
        </w:rPr>
        <w:t>23,</w:t>
      </w:r>
      <w:r w:rsidR="00F31C7A" w:rsidRPr="00C73C12">
        <w:rPr>
          <w:rStyle w:val="EndnoteReference"/>
        </w:rPr>
        <w:t>24</w:t>
      </w:r>
      <w:r w:rsidRPr="00C73C12">
        <w:rPr>
          <w:sz w:val="20"/>
          <w:szCs w:val="20"/>
        </w:rPr>
        <w:t xml:space="preserve"> Testing services that </w:t>
      </w:r>
      <w:r w:rsidR="008A6680" w:rsidRPr="00C73C12">
        <w:rPr>
          <w:sz w:val="20"/>
          <w:szCs w:val="20"/>
        </w:rPr>
        <w:t xml:space="preserve">are </w:t>
      </w:r>
      <w:r w:rsidRPr="00C73C12">
        <w:rPr>
          <w:sz w:val="20"/>
          <w:szCs w:val="20"/>
        </w:rPr>
        <w:t xml:space="preserve">tailored to the needs of communities </w:t>
      </w:r>
      <w:r w:rsidR="00AC02EA" w:rsidRPr="00C73C12">
        <w:rPr>
          <w:sz w:val="20"/>
          <w:szCs w:val="20"/>
        </w:rPr>
        <w:t xml:space="preserve">and utilise </w:t>
      </w:r>
      <w:r w:rsidR="004C70BC" w:rsidRPr="00C73C12">
        <w:rPr>
          <w:sz w:val="20"/>
          <w:szCs w:val="20"/>
        </w:rPr>
        <w:t>well-supported</w:t>
      </w:r>
      <w:r w:rsidR="00CE36FD" w:rsidRPr="00C73C12">
        <w:rPr>
          <w:sz w:val="20"/>
          <w:szCs w:val="20"/>
        </w:rPr>
        <w:t xml:space="preserve"> </w:t>
      </w:r>
      <w:r w:rsidR="00AC02EA" w:rsidRPr="00C73C12">
        <w:rPr>
          <w:sz w:val="20"/>
          <w:szCs w:val="20"/>
        </w:rPr>
        <w:t>peer</w:t>
      </w:r>
      <w:r w:rsidR="00A30B32" w:rsidRPr="00C73C12">
        <w:rPr>
          <w:sz w:val="20"/>
          <w:szCs w:val="20"/>
        </w:rPr>
        <w:t xml:space="preserve"> educators</w:t>
      </w:r>
      <w:r w:rsidR="00AC02EA" w:rsidRPr="00C73C12">
        <w:rPr>
          <w:sz w:val="20"/>
          <w:szCs w:val="20"/>
        </w:rPr>
        <w:t xml:space="preserve"> </w:t>
      </w:r>
      <w:r w:rsidRPr="00C73C12">
        <w:rPr>
          <w:sz w:val="20"/>
          <w:szCs w:val="20"/>
        </w:rPr>
        <w:t>in a non</w:t>
      </w:r>
      <w:r w:rsidRPr="00C73C12">
        <w:rPr>
          <w:sz w:val="20"/>
          <w:szCs w:val="20"/>
        </w:rPr>
        <w:noBreakHyphen/>
        <w:t>stigmatising and non-discriminatory</w:t>
      </w:r>
      <w:r w:rsidRPr="00FF0349">
        <w:rPr>
          <w:sz w:val="20"/>
          <w:szCs w:val="20"/>
        </w:rPr>
        <w:t xml:space="preserve"> environment are more likely to be utilised.</w:t>
      </w:r>
      <w:r>
        <w:rPr>
          <w:sz w:val="20"/>
          <w:szCs w:val="20"/>
        </w:rPr>
        <w:t xml:space="preserve"> </w:t>
      </w:r>
      <w:r>
        <w:rPr>
          <w:sz w:val="20"/>
          <w:szCs w:val="20"/>
          <w:lang w:eastAsia="en-AU"/>
        </w:rPr>
        <w:t>Incentives, including financial</w:t>
      </w:r>
      <w:r w:rsidR="00413D5A">
        <w:rPr>
          <w:sz w:val="20"/>
          <w:szCs w:val="20"/>
          <w:lang w:eastAsia="en-AU"/>
        </w:rPr>
        <w:t xml:space="preserve"> and non-financial</w:t>
      </w:r>
      <w:r>
        <w:rPr>
          <w:sz w:val="20"/>
          <w:szCs w:val="20"/>
          <w:lang w:eastAsia="en-AU"/>
        </w:rPr>
        <w:t xml:space="preserve">, have been shown to achieve a sustained increase </w:t>
      </w:r>
      <w:r w:rsidR="004C6662">
        <w:rPr>
          <w:sz w:val="20"/>
          <w:szCs w:val="20"/>
          <w:lang w:eastAsia="en-AU"/>
        </w:rPr>
        <w:t xml:space="preserve">in </w:t>
      </w:r>
      <w:r>
        <w:rPr>
          <w:sz w:val="20"/>
          <w:szCs w:val="20"/>
          <w:lang w:eastAsia="en-AU"/>
        </w:rPr>
        <w:t>STI testing rates in some Aboriginal and Torres Strait Islander communities.</w:t>
      </w:r>
      <w:r w:rsidRPr="00AE703E">
        <w:rPr>
          <w:rStyle w:val="EndnoteReference"/>
          <w:sz w:val="20"/>
          <w:szCs w:val="20"/>
          <w:lang w:eastAsia="en-AU"/>
        </w:rPr>
        <w:endnoteReference w:id="81"/>
      </w:r>
      <w:r w:rsidRPr="00AE703E">
        <w:rPr>
          <w:sz w:val="20"/>
          <w:szCs w:val="20"/>
          <w:vertAlign w:val="superscript"/>
          <w:lang w:eastAsia="en-AU"/>
        </w:rPr>
        <w:t>,</w:t>
      </w:r>
      <w:r w:rsidRPr="00AE703E">
        <w:rPr>
          <w:rStyle w:val="EndnoteReference"/>
          <w:sz w:val="20"/>
          <w:szCs w:val="20"/>
          <w:lang w:eastAsia="en-AU"/>
        </w:rPr>
        <w:endnoteReference w:id="82"/>
      </w:r>
      <w:r w:rsidRPr="00AE703E">
        <w:rPr>
          <w:sz w:val="20"/>
          <w:szCs w:val="20"/>
          <w:vertAlign w:val="superscript"/>
          <w:lang w:eastAsia="en-AU"/>
        </w:rPr>
        <w:t>,</w:t>
      </w:r>
      <w:r w:rsidRPr="00AE703E">
        <w:rPr>
          <w:rStyle w:val="EndnoteReference"/>
          <w:sz w:val="20"/>
          <w:szCs w:val="20"/>
          <w:lang w:eastAsia="en-AU"/>
        </w:rPr>
        <w:endnoteReference w:id="83"/>
      </w:r>
      <w:r w:rsidRPr="00AE703E">
        <w:rPr>
          <w:sz w:val="20"/>
          <w:szCs w:val="20"/>
          <w:vertAlign w:val="superscript"/>
          <w:lang w:eastAsia="en-AU"/>
        </w:rPr>
        <w:t>,</w:t>
      </w:r>
      <w:r w:rsidRPr="00AE703E">
        <w:rPr>
          <w:rStyle w:val="EndnoteReference"/>
          <w:sz w:val="20"/>
          <w:szCs w:val="20"/>
          <w:lang w:eastAsia="en-AU"/>
        </w:rPr>
        <w:endnoteReference w:id="84"/>
      </w:r>
      <w:r w:rsidRPr="00AE703E">
        <w:rPr>
          <w:sz w:val="20"/>
          <w:szCs w:val="20"/>
          <w:vertAlign w:val="superscript"/>
          <w:lang w:eastAsia="en-AU"/>
        </w:rPr>
        <w:t xml:space="preserve"> </w:t>
      </w:r>
    </w:p>
    <w:p w14:paraId="6E2B98C9" w14:textId="0E2B61CA" w:rsidR="00D85D1F" w:rsidRDefault="00D85D1F" w:rsidP="00D85D1F">
      <w:pPr>
        <w:spacing w:before="80"/>
        <w:rPr>
          <w:sz w:val="20"/>
          <w:szCs w:val="20"/>
          <w:lang w:eastAsia="en-AU"/>
        </w:rPr>
      </w:pPr>
      <w:r w:rsidRPr="007E0585">
        <w:rPr>
          <w:iCs/>
          <w:sz w:val="20"/>
          <w:szCs w:val="20"/>
        </w:rPr>
        <w:t xml:space="preserve">Improvements in contact-tracing activities need to be built on, with a particular focus on </w:t>
      </w:r>
      <w:r w:rsidR="003944A2">
        <w:rPr>
          <w:iCs/>
          <w:sz w:val="20"/>
          <w:szCs w:val="20"/>
        </w:rPr>
        <w:t xml:space="preserve">innovative </w:t>
      </w:r>
      <w:r w:rsidRPr="007E0585">
        <w:rPr>
          <w:iCs/>
          <w:sz w:val="20"/>
          <w:szCs w:val="20"/>
        </w:rPr>
        <w:t>partner not</w:t>
      </w:r>
      <w:r>
        <w:rPr>
          <w:iCs/>
          <w:sz w:val="20"/>
          <w:szCs w:val="20"/>
        </w:rPr>
        <w:t xml:space="preserve">ification and treatment systems. </w:t>
      </w:r>
      <w:r w:rsidRPr="007E0585">
        <w:rPr>
          <w:iCs/>
          <w:sz w:val="20"/>
          <w:szCs w:val="20"/>
        </w:rPr>
        <w:t xml:space="preserve">Effective partner notification has the potential to reduce </w:t>
      </w:r>
      <w:r w:rsidRPr="00350352">
        <w:rPr>
          <w:iCs/>
          <w:sz w:val="20"/>
          <w:szCs w:val="20"/>
        </w:rPr>
        <w:t>reinfection</w:t>
      </w:r>
      <w:r w:rsidRPr="007E0585">
        <w:rPr>
          <w:iCs/>
          <w:sz w:val="20"/>
          <w:szCs w:val="20"/>
        </w:rPr>
        <w:t xml:space="preserve"> rates and allow diagnosis and treatment in people who may not realise </w:t>
      </w:r>
      <w:r>
        <w:rPr>
          <w:iCs/>
          <w:sz w:val="20"/>
          <w:szCs w:val="20"/>
        </w:rPr>
        <w:t>they have been exposed</w:t>
      </w:r>
      <w:r w:rsidRPr="007E0585">
        <w:rPr>
          <w:iCs/>
          <w:sz w:val="20"/>
          <w:szCs w:val="20"/>
        </w:rPr>
        <w:t xml:space="preserve">. </w:t>
      </w:r>
      <w:r>
        <w:rPr>
          <w:iCs/>
          <w:sz w:val="20"/>
          <w:szCs w:val="20"/>
        </w:rPr>
        <w:t>Th</w:t>
      </w:r>
      <w:r w:rsidR="006077EA">
        <w:rPr>
          <w:iCs/>
          <w:sz w:val="20"/>
          <w:szCs w:val="20"/>
        </w:rPr>
        <w:t xml:space="preserve">ere are </w:t>
      </w:r>
      <w:r>
        <w:rPr>
          <w:iCs/>
          <w:sz w:val="20"/>
          <w:szCs w:val="20"/>
        </w:rPr>
        <w:t>particular challenge</w:t>
      </w:r>
      <w:r w:rsidR="006077EA">
        <w:rPr>
          <w:iCs/>
          <w:sz w:val="20"/>
          <w:szCs w:val="20"/>
        </w:rPr>
        <w:t>s associated with this depending on location, including</w:t>
      </w:r>
      <w:r>
        <w:rPr>
          <w:iCs/>
          <w:sz w:val="20"/>
          <w:szCs w:val="20"/>
        </w:rPr>
        <w:t xml:space="preserve"> in </w:t>
      </w:r>
      <w:r w:rsidRPr="007E0585">
        <w:rPr>
          <w:iCs/>
          <w:sz w:val="20"/>
          <w:szCs w:val="20"/>
        </w:rPr>
        <w:t xml:space="preserve">remote and very remote </w:t>
      </w:r>
      <w:r w:rsidR="006077EA">
        <w:rPr>
          <w:iCs/>
          <w:sz w:val="20"/>
          <w:szCs w:val="20"/>
        </w:rPr>
        <w:t>areas</w:t>
      </w:r>
      <w:r w:rsidR="00FE45AE">
        <w:rPr>
          <w:iCs/>
          <w:sz w:val="20"/>
          <w:szCs w:val="20"/>
        </w:rPr>
        <w:t>, and</w:t>
      </w:r>
      <w:r w:rsidR="006077EA">
        <w:rPr>
          <w:iCs/>
          <w:sz w:val="20"/>
          <w:szCs w:val="20"/>
        </w:rPr>
        <w:t xml:space="preserve"> </w:t>
      </w:r>
      <w:r>
        <w:rPr>
          <w:iCs/>
          <w:sz w:val="20"/>
          <w:szCs w:val="20"/>
        </w:rPr>
        <w:t>where communities are more</w:t>
      </w:r>
      <w:r w:rsidRPr="007E0585">
        <w:rPr>
          <w:iCs/>
          <w:sz w:val="20"/>
          <w:szCs w:val="20"/>
        </w:rPr>
        <w:t xml:space="preserve"> mobile. </w:t>
      </w:r>
      <w:r>
        <w:rPr>
          <w:sz w:val="20"/>
          <w:szCs w:val="20"/>
          <w:lang w:eastAsia="en-AU"/>
        </w:rPr>
        <w:t xml:space="preserve">Testing for hepatitis B is critical in confirming hepatitis B status and establishing the need for vaccination in </w:t>
      </w:r>
      <w:r w:rsidRPr="00350352">
        <w:rPr>
          <w:sz w:val="20"/>
          <w:szCs w:val="20"/>
          <w:lang w:eastAsia="en-AU"/>
        </w:rPr>
        <w:t>individuals</w:t>
      </w:r>
      <w:r w:rsidR="0092103D" w:rsidRPr="00350352">
        <w:rPr>
          <w:sz w:val="20"/>
          <w:szCs w:val="20"/>
          <w:lang w:eastAsia="en-AU"/>
        </w:rPr>
        <w:t>,</w:t>
      </w:r>
      <w:r w:rsidRPr="00350352">
        <w:rPr>
          <w:sz w:val="20"/>
          <w:szCs w:val="20"/>
          <w:lang w:eastAsia="en-AU"/>
        </w:rPr>
        <w:t xml:space="preserve"> </w:t>
      </w:r>
      <w:r w:rsidR="00FE45AE" w:rsidRPr="00350352">
        <w:rPr>
          <w:sz w:val="20"/>
          <w:szCs w:val="20"/>
          <w:lang w:eastAsia="en-AU"/>
        </w:rPr>
        <w:t xml:space="preserve">and </w:t>
      </w:r>
      <w:r w:rsidRPr="00350352">
        <w:rPr>
          <w:sz w:val="20"/>
          <w:szCs w:val="20"/>
          <w:lang w:eastAsia="en-AU"/>
        </w:rPr>
        <w:t>household</w:t>
      </w:r>
      <w:r w:rsidR="00FE45AE" w:rsidRPr="00350352">
        <w:rPr>
          <w:sz w:val="20"/>
          <w:szCs w:val="20"/>
          <w:lang w:eastAsia="en-AU"/>
        </w:rPr>
        <w:t>/</w:t>
      </w:r>
      <w:r w:rsidRPr="00350352">
        <w:rPr>
          <w:sz w:val="20"/>
          <w:szCs w:val="20"/>
          <w:lang w:eastAsia="en-AU"/>
        </w:rPr>
        <w:t xml:space="preserve"> sexual contacts, as well as treatment and care for </w:t>
      </w:r>
      <w:r w:rsidR="008547F6" w:rsidRPr="00350352">
        <w:rPr>
          <w:sz w:val="20"/>
          <w:szCs w:val="20"/>
          <w:lang w:eastAsia="en-AU"/>
        </w:rPr>
        <w:t xml:space="preserve">people </w:t>
      </w:r>
      <w:r w:rsidRPr="00350352">
        <w:rPr>
          <w:sz w:val="20"/>
          <w:szCs w:val="20"/>
          <w:lang w:eastAsia="en-AU"/>
        </w:rPr>
        <w:t>with hepatitis B.</w:t>
      </w:r>
    </w:p>
    <w:p w14:paraId="19914DEF" w14:textId="31533BA1" w:rsidR="00CF7AD9" w:rsidRDefault="00D85D1F" w:rsidP="00D85D1F">
      <w:pPr>
        <w:spacing w:before="120"/>
        <w:rPr>
          <w:sz w:val="20"/>
          <w:szCs w:val="20"/>
        </w:rPr>
      </w:pPr>
      <w:r w:rsidRPr="007E0585">
        <w:rPr>
          <w:sz w:val="20"/>
          <w:szCs w:val="20"/>
        </w:rPr>
        <w:t xml:space="preserve">Testing options </w:t>
      </w:r>
      <w:r w:rsidRPr="00F6000D">
        <w:rPr>
          <w:sz w:val="20"/>
          <w:szCs w:val="20"/>
        </w:rPr>
        <w:t xml:space="preserve">that support early diagnosis </w:t>
      </w:r>
      <w:r w:rsidR="00003B0B" w:rsidRPr="00F6000D">
        <w:rPr>
          <w:sz w:val="20"/>
          <w:szCs w:val="20"/>
        </w:rPr>
        <w:t>of STI and BBV</w:t>
      </w:r>
      <w:r w:rsidRPr="00F6000D">
        <w:rPr>
          <w:sz w:val="20"/>
          <w:szCs w:val="20"/>
        </w:rPr>
        <w:t xml:space="preserve"> need to be linked with the provision of early treatment and care, including </w:t>
      </w:r>
      <w:r w:rsidR="00F414B0" w:rsidRPr="00F6000D">
        <w:rPr>
          <w:sz w:val="20"/>
          <w:szCs w:val="20"/>
        </w:rPr>
        <w:t xml:space="preserve">in the </w:t>
      </w:r>
      <w:r w:rsidRPr="00F6000D">
        <w:rPr>
          <w:sz w:val="20"/>
          <w:szCs w:val="20"/>
        </w:rPr>
        <w:t xml:space="preserve">antenatal </w:t>
      </w:r>
      <w:r w:rsidR="00F414B0" w:rsidRPr="00F6000D">
        <w:rPr>
          <w:sz w:val="20"/>
          <w:szCs w:val="20"/>
        </w:rPr>
        <w:t>period</w:t>
      </w:r>
      <w:r w:rsidR="00F6000D">
        <w:rPr>
          <w:sz w:val="20"/>
          <w:szCs w:val="20"/>
        </w:rPr>
        <w:t>,</w:t>
      </w:r>
      <w:r w:rsidR="007A54B6" w:rsidRPr="00F6000D">
        <w:rPr>
          <w:sz w:val="20"/>
          <w:szCs w:val="20"/>
        </w:rPr>
        <w:t xml:space="preserve"> and</w:t>
      </w:r>
      <w:r w:rsidR="007A54B6">
        <w:rPr>
          <w:sz w:val="20"/>
          <w:szCs w:val="20"/>
        </w:rPr>
        <w:t xml:space="preserve"> </w:t>
      </w:r>
      <w:r w:rsidR="00F6000D">
        <w:rPr>
          <w:sz w:val="20"/>
          <w:szCs w:val="20"/>
        </w:rPr>
        <w:t xml:space="preserve">treatment </w:t>
      </w:r>
      <w:r w:rsidR="007A54B6">
        <w:rPr>
          <w:sz w:val="20"/>
          <w:szCs w:val="20"/>
        </w:rPr>
        <w:t xml:space="preserve">which is </w:t>
      </w:r>
      <w:r w:rsidR="007A54B6" w:rsidRPr="007A54B6">
        <w:rPr>
          <w:sz w:val="20"/>
          <w:szCs w:val="20"/>
        </w:rPr>
        <w:t xml:space="preserve">culturally </w:t>
      </w:r>
      <w:r w:rsidR="008A6680">
        <w:rPr>
          <w:sz w:val="20"/>
          <w:szCs w:val="20"/>
        </w:rPr>
        <w:t>responsive</w:t>
      </w:r>
      <w:r w:rsidR="008A6680" w:rsidRPr="007A54B6">
        <w:rPr>
          <w:sz w:val="20"/>
          <w:szCs w:val="20"/>
        </w:rPr>
        <w:t xml:space="preserve"> </w:t>
      </w:r>
      <w:r w:rsidR="007A54B6" w:rsidRPr="007A54B6">
        <w:rPr>
          <w:sz w:val="20"/>
          <w:szCs w:val="20"/>
        </w:rPr>
        <w:t>and safe</w:t>
      </w:r>
      <w:r w:rsidRPr="007E0585">
        <w:rPr>
          <w:sz w:val="20"/>
          <w:szCs w:val="20"/>
        </w:rPr>
        <w:t xml:space="preserve">. </w:t>
      </w:r>
      <w:r>
        <w:rPr>
          <w:sz w:val="20"/>
          <w:szCs w:val="20"/>
        </w:rPr>
        <w:t>Rapid</w:t>
      </w:r>
      <w:r w:rsidRPr="007E0585">
        <w:rPr>
          <w:sz w:val="20"/>
          <w:szCs w:val="20"/>
        </w:rPr>
        <w:t xml:space="preserve"> patient follow-up is needed to minimise the time between diagnosis and </w:t>
      </w:r>
      <w:r w:rsidR="00F6000D">
        <w:rPr>
          <w:sz w:val="20"/>
          <w:szCs w:val="20"/>
        </w:rPr>
        <w:t xml:space="preserve">commencement of </w:t>
      </w:r>
      <w:r w:rsidRPr="00F6000D">
        <w:rPr>
          <w:sz w:val="20"/>
          <w:szCs w:val="20"/>
        </w:rPr>
        <w:t>treatment,</w:t>
      </w:r>
      <w:r w:rsidRPr="007E0585">
        <w:rPr>
          <w:sz w:val="20"/>
          <w:szCs w:val="20"/>
        </w:rPr>
        <w:t xml:space="preserve"> </w:t>
      </w:r>
      <w:r w:rsidR="008547F6">
        <w:rPr>
          <w:sz w:val="20"/>
          <w:szCs w:val="20"/>
        </w:rPr>
        <w:t xml:space="preserve">with </w:t>
      </w:r>
      <w:r>
        <w:rPr>
          <w:sz w:val="20"/>
          <w:szCs w:val="20"/>
        </w:rPr>
        <w:t xml:space="preserve">active patient management to </w:t>
      </w:r>
      <w:r w:rsidRPr="007E0585">
        <w:rPr>
          <w:sz w:val="20"/>
          <w:szCs w:val="20"/>
        </w:rPr>
        <w:t>support adherence to treatment</w:t>
      </w:r>
      <w:r w:rsidR="00942A9A">
        <w:rPr>
          <w:sz w:val="20"/>
          <w:szCs w:val="20"/>
        </w:rPr>
        <w:t xml:space="preserve"> and</w:t>
      </w:r>
      <w:r w:rsidR="003F3DAE">
        <w:rPr>
          <w:sz w:val="20"/>
          <w:szCs w:val="20"/>
        </w:rPr>
        <w:t>,</w:t>
      </w:r>
      <w:r w:rsidR="00942A9A">
        <w:rPr>
          <w:sz w:val="20"/>
          <w:szCs w:val="20"/>
        </w:rPr>
        <w:t xml:space="preserve"> </w:t>
      </w:r>
      <w:r w:rsidR="003F3DAE">
        <w:rPr>
          <w:sz w:val="20"/>
          <w:szCs w:val="20"/>
        </w:rPr>
        <w:t xml:space="preserve">where applicable, </w:t>
      </w:r>
      <w:r w:rsidR="00942A9A">
        <w:rPr>
          <w:sz w:val="20"/>
          <w:szCs w:val="20"/>
        </w:rPr>
        <w:t>confirmation of cure</w:t>
      </w:r>
      <w:r w:rsidR="00DB100F">
        <w:rPr>
          <w:sz w:val="20"/>
          <w:szCs w:val="20"/>
        </w:rPr>
        <w:t xml:space="preserve">. </w:t>
      </w:r>
    </w:p>
    <w:p w14:paraId="7667877D" w14:textId="27CF92B9" w:rsidR="00CF7AD9" w:rsidRDefault="00CF7AD9" w:rsidP="00CF7AD9">
      <w:pPr>
        <w:spacing w:before="120"/>
        <w:rPr>
          <w:sz w:val="20"/>
          <w:szCs w:val="20"/>
        </w:rPr>
      </w:pPr>
      <w:r w:rsidRPr="0081152F">
        <w:rPr>
          <w:sz w:val="20"/>
          <w:szCs w:val="20"/>
          <w:lang w:eastAsia="en-AU"/>
        </w:rPr>
        <w:t xml:space="preserve">For </w:t>
      </w:r>
      <w:r>
        <w:rPr>
          <w:sz w:val="20"/>
          <w:szCs w:val="20"/>
        </w:rPr>
        <w:t xml:space="preserve">Aboriginal and Torres Strait Islander </w:t>
      </w:r>
      <w:r w:rsidRPr="0081152F">
        <w:rPr>
          <w:sz w:val="20"/>
          <w:szCs w:val="20"/>
          <w:lang w:eastAsia="en-AU"/>
        </w:rPr>
        <w:t xml:space="preserve">people who are diagnosed with HIV, early uptake of treatment and ongoing treatment adherence </w:t>
      </w:r>
      <w:r w:rsidR="00F6000D">
        <w:rPr>
          <w:sz w:val="20"/>
          <w:szCs w:val="20"/>
          <w:lang w:eastAsia="en-AU"/>
        </w:rPr>
        <w:t xml:space="preserve">are </w:t>
      </w:r>
      <w:r>
        <w:rPr>
          <w:sz w:val="20"/>
          <w:szCs w:val="20"/>
          <w:lang w:eastAsia="en-AU"/>
        </w:rPr>
        <w:t xml:space="preserve">critical. </w:t>
      </w:r>
      <w:r w:rsidRPr="0081152F">
        <w:rPr>
          <w:sz w:val="20"/>
          <w:szCs w:val="20"/>
          <w:lang w:eastAsia="en-AU"/>
        </w:rPr>
        <w:t>This requires rapid patient follow</w:t>
      </w:r>
      <w:r w:rsidR="000F3395">
        <w:rPr>
          <w:sz w:val="20"/>
          <w:szCs w:val="20"/>
          <w:lang w:eastAsia="en-AU"/>
        </w:rPr>
        <w:t>-</w:t>
      </w:r>
      <w:r w:rsidRPr="0081152F">
        <w:rPr>
          <w:sz w:val="20"/>
          <w:szCs w:val="20"/>
          <w:lang w:eastAsia="en-AU"/>
        </w:rPr>
        <w:t>up, strong coordination of care and active case management of people who are at risk of ‘loss to follow</w:t>
      </w:r>
      <w:r w:rsidR="000F3395">
        <w:rPr>
          <w:sz w:val="20"/>
          <w:szCs w:val="20"/>
          <w:lang w:eastAsia="en-AU"/>
        </w:rPr>
        <w:t>-</w:t>
      </w:r>
      <w:r w:rsidRPr="0081152F">
        <w:rPr>
          <w:sz w:val="20"/>
          <w:szCs w:val="20"/>
          <w:lang w:eastAsia="en-AU"/>
        </w:rPr>
        <w:t>up’</w:t>
      </w:r>
      <w:r w:rsidR="000F3395">
        <w:rPr>
          <w:sz w:val="20"/>
          <w:szCs w:val="20"/>
          <w:lang w:eastAsia="en-AU"/>
        </w:rPr>
        <w:t>.</w:t>
      </w:r>
      <w:r w:rsidRPr="0081152F">
        <w:rPr>
          <w:sz w:val="20"/>
          <w:szCs w:val="20"/>
          <w:lang w:eastAsia="en-AU"/>
        </w:rPr>
        <w:t xml:space="preserve"> </w:t>
      </w:r>
      <w:r>
        <w:rPr>
          <w:sz w:val="20"/>
          <w:szCs w:val="20"/>
        </w:rPr>
        <w:t xml:space="preserve">Aboriginal and Torres Strait Islander </w:t>
      </w:r>
      <w:r w:rsidRPr="0081152F">
        <w:rPr>
          <w:sz w:val="20"/>
          <w:szCs w:val="20"/>
          <w:lang w:eastAsia="en-AU"/>
        </w:rPr>
        <w:t xml:space="preserve">people </w:t>
      </w:r>
      <w:r>
        <w:rPr>
          <w:sz w:val="20"/>
          <w:szCs w:val="20"/>
        </w:rPr>
        <w:t xml:space="preserve">with HIV need to </w:t>
      </w:r>
      <w:r w:rsidR="00ED7815">
        <w:rPr>
          <w:sz w:val="20"/>
          <w:szCs w:val="20"/>
        </w:rPr>
        <w:t>be supported</w:t>
      </w:r>
      <w:r>
        <w:rPr>
          <w:sz w:val="20"/>
          <w:szCs w:val="20"/>
        </w:rPr>
        <w:t xml:space="preserve"> and empowered to </w:t>
      </w:r>
      <w:r w:rsidRPr="007E0585">
        <w:rPr>
          <w:sz w:val="20"/>
          <w:szCs w:val="20"/>
        </w:rPr>
        <w:t>achieve and maint</w:t>
      </w:r>
      <w:r>
        <w:rPr>
          <w:sz w:val="20"/>
          <w:szCs w:val="20"/>
        </w:rPr>
        <w:t>ain</w:t>
      </w:r>
      <w:r w:rsidRPr="007E0585">
        <w:rPr>
          <w:sz w:val="20"/>
          <w:szCs w:val="20"/>
        </w:rPr>
        <w:t xml:space="preserve"> sustained viral suppression</w:t>
      </w:r>
      <w:r>
        <w:rPr>
          <w:sz w:val="20"/>
          <w:szCs w:val="20"/>
        </w:rPr>
        <w:t xml:space="preserve"> to both improve individual health outcomes and for effective TasP. </w:t>
      </w:r>
    </w:p>
    <w:p w14:paraId="7CC5B30E" w14:textId="0D384A2B" w:rsidR="00CF7AD9" w:rsidRDefault="00CF7AD9" w:rsidP="00D85D1F">
      <w:pPr>
        <w:spacing w:before="120"/>
        <w:rPr>
          <w:sz w:val="20"/>
          <w:szCs w:val="20"/>
        </w:rPr>
      </w:pPr>
      <w:r>
        <w:rPr>
          <w:sz w:val="20"/>
          <w:szCs w:val="20"/>
          <w:lang w:eastAsia="en-AU"/>
        </w:rPr>
        <w:t xml:space="preserve">In relation to hepatitis B, routine </w:t>
      </w:r>
      <w:r w:rsidR="004C6662">
        <w:rPr>
          <w:sz w:val="20"/>
          <w:szCs w:val="20"/>
        </w:rPr>
        <w:t>monitoring</w:t>
      </w:r>
      <w:r w:rsidRPr="00C04E01">
        <w:rPr>
          <w:sz w:val="20"/>
          <w:szCs w:val="20"/>
        </w:rPr>
        <w:t xml:space="preserve"> </w:t>
      </w:r>
      <w:r w:rsidR="004C6662">
        <w:rPr>
          <w:sz w:val="20"/>
          <w:szCs w:val="20"/>
        </w:rPr>
        <w:t>(</w:t>
      </w:r>
      <w:r w:rsidRPr="00C04E01">
        <w:rPr>
          <w:sz w:val="20"/>
          <w:szCs w:val="20"/>
        </w:rPr>
        <w:t>including biannual blood tests</w:t>
      </w:r>
      <w:r w:rsidR="004C6662">
        <w:rPr>
          <w:sz w:val="20"/>
          <w:szCs w:val="20"/>
        </w:rPr>
        <w:t>) is</w:t>
      </w:r>
      <w:r w:rsidRPr="00C04E01">
        <w:rPr>
          <w:sz w:val="20"/>
          <w:szCs w:val="20"/>
        </w:rPr>
        <w:t xml:space="preserve"> the cornerstone </w:t>
      </w:r>
      <w:r w:rsidR="004C6662">
        <w:rPr>
          <w:sz w:val="20"/>
          <w:szCs w:val="20"/>
        </w:rPr>
        <w:t>of appropriate hepatitis B care and</w:t>
      </w:r>
      <w:r w:rsidRPr="00C04E01">
        <w:rPr>
          <w:sz w:val="20"/>
          <w:szCs w:val="20"/>
        </w:rPr>
        <w:t xml:space="preserve"> </w:t>
      </w:r>
      <w:r w:rsidR="004C6662">
        <w:rPr>
          <w:sz w:val="20"/>
          <w:szCs w:val="20"/>
        </w:rPr>
        <w:t>is</w:t>
      </w:r>
      <w:r w:rsidRPr="00C04E01">
        <w:rPr>
          <w:sz w:val="20"/>
          <w:szCs w:val="20"/>
        </w:rPr>
        <w:t xml:space="preserve"> critical to prevent </w:t>
      </w:r>
      <w:r w:rsidR="004C6662">
        <w:rPr>
          <w:sz w:val="20"/>
          <w:szCs w:val="20"/>
        </w:rPr>
        <w:t xml:space="preserve">associated </w:t>
      </w:r>
      <w:r w:rsidRPr="00C04E01">
        <w:rPr>
          <w:sz w:val="20"/>
          <w:szCs w:val="20"/>
        </w:rPr>
        <w:t>morbidity and mortality.</w:t>
      </w:r>
      <w:r>
        <w:rPr>
          <w:sz w:val="20"/>
          <w:szCs w:val="20"/>
        </w:rPr>
        <w:t xml:space="preserve"> Access to appropriate hepatitis B monitoring services (including liver ultrasonography) remains a challenge in remote communities. Innovative flexible solutions are required to address service gaps. An example is the Far North Queensland Liver Health Champions project</w:t>
      </w:r>
      <w:r w:rsidR="000F3395">
        <w:rPr>
          <w:sz w:val="20"/>
          <w:szCs w:val="20"/>
        </w:rPr>
        <w:t>,</w:t>
      </w:r>
      <w:r>
        <w:rPr>
          <w:sz w:val="20"/>
          <w:szCs w:val="20"/>
        </w:rPr>
        <w:t xml:space="preserve"> which is training and mentoring </w:t>
      </w:r>
      <w:r w:rsidR="006B0DEE">
        <w:rPr>
          <w:sz w:val="20"/>
          <w:szCs w:val="20"/>
        </w:rPr>
        <w:t xml:space="preserve">AHWs </w:t>
      </w:r>
      <w:r>
        <w:rPr>
          <w:sz w:val="20"/>
          <w:szCs w:val="20"/>
        </w:rPr>
        <w:t xml:space="preserve">and </w:t>
      </w:r>
      <w:r w:rsidR="000F3395">
        <w:rPr>
          <w:sz w:val="20"/>
          <w:szCs w:val="20"/>
        </w:rPr>
        <w:t>p</w:t>
      </w:r>
      <w:r>
        <w:rPr>
          <w:sz w:val="20"/>
          <w:szCs w:val="20"/>
        </w:rPr>
        <w:t xml:space="preserve">ractitioners </w:t>
      </w:r>
      <w:r w:rsidR="007807BD">
        <w:rPr>
          <w:sz w:val="20"/>
          <w:szCs w:val="20"/>
        </w:rPr>
        <w:t xml:space="preserve">in </w:t>
      </w:r>
      <w:r w:rsidR="006F65C9">
        <w:rPr>
          <w:sz w:val="20"/>
          <w:szCs w:val="20"/>
        </w:rPr>
        <w:t>providing</w:t>
      </w:r>
      <w:r w:rsidR="007807BD">
        <w:rPr>
          <w:sz w:val="20"/>
          <w:szCs w:val="20"/>
        </w:rPr>
        <w:t xml:space="preserve"> liver </w:t>
      </w:r>
      <w:r w:rsidR="006F65C9">
        <w:rPr>
          <w:sz w:val="20"/>
          <w:szCs w:val="20"/>
        </w:rPr>
        <w:t xml:space="preserve">health monitoring within </w:t>
      </w:r>
      <w:r w:rsidR="006F65C9" w:rsidRPr="00A00C90">
        <w:rPr>
          <w:sz w:val="20"/>
          <w:szCs w:val="20"/>
        </w:rPr>
        <w:t xml:space="preserve">communities </w:t>
      </w:r>
      <w:r w:rsidR="0060433F">
        <w:rPr>
          <w:sz w:val="20"/>
          <w:szCs w:val="20"/>
        </w:rPr>
        <w:t xml:space="preserve">and in </w:t>
      </w:r>
      <w:r w:rsidR="006F65C9" w:rsidRPr="00A00C90">
        <w:rPr>
          <w:sz w:val="20"/>
          <w:szCs w:val="20"/>
        </w:rPr>
        <w:t>is</w:t>
      </w:r>
      <w:r w:rsidR="006F65C9">
        <w:rPr>
          <w:sz w:val="20"/>
          <w:szCs w:val="20"/>
        </w:rPr>
        <w:t xml:space="preserve"> </w:t>
      </w:r>
      <w:r>
        <w:rPr>
          <w:sz w:val="20"/>
          <w:szCs w:val="20"/>
        </w:rPr>
        <w:t xml:space="preserve">creating </w:t>
      </w:r>
      <w:r w:rsidR="006F65C9">
        <w:rPr>
          <w:sz w:val="20"/>
          <w:szCs w:val="20"/>
        </w:rPr>
        <w:t>‘Liver Health Champions’ at the local level</w:t>
      </w:r>
      <w:r>
        <w:rPr>
          <w:sz w:val="20"/>
          <w:szCs w:val="20"/>
        </w:rPr>
        <w:t>.</w:t>
      </w:r>
      <w:r w:rsidR="006C698F">
        <w:rPr>
          <w:rStyle w:val="EndnoteReference"/>
          <w:sz w:val="20"/>
          <w:szCs w:val="20"/>
        </w:rPr>
        <w:endnoteReference w:id="85"/>
      </w:r>
      <w:r>
        <w:rPr>
          <w:sz w:val="20"/>
          <w:szCs w:val="20"/>
        </w:rPr>
        <w:t xml:space="preserve"> </w:t>
      </w:r>
    </w:p>
    <w:p w14:paraId="4773089C" w14:textId="075E1703" w:rsidR="00877582" w:rsidRDefault="00877582" w:rsidP="00877582">
      <w:pPr>
        <w:spacing w:before="120"/>
        <w:rPr>
          <w:sz w:val="20"/>
          <w:szCs w:val="20"/>
        </w:rPr>
      </w:pPr>
      <w:r w:rsidRPr="00402B5F">
        <w:rPr>
          <w:sz w:val="20"/>
          <w:szCs w:val="20"/>
        </w:rPr>
        <w:t xml:space="preserve">Regular </w:t>
      </w:r>
      <w:r w:rsidR="0092103D">
        <w:rPr>
          <w:sz w:val="20"/>
          <w:szCs w:val="20"/>
        </w:rPr>
        <w:t xml:space="preserve">hepatitis C </w:t>
      </w:r>
      <w:r w:rsidRPr="00402B5F">
        <w:rPr>
          <w:sz w:val="20"/>
          <w:szCs w:val="20"/>
        </w:rPr>
        <w:t>testing among priority populations and in priority settings enables not only early diagnosis but also access to curative treatment and education to prevent transmission</w:t>
      </w:r>
      <w:r>
        <w:rPr>
          <w:sz w:val="20"/>
          <w:szCs w:val="20"/>
        </w:rPr>
        <w:t xml:space="preserve">. </w:t>
      </w:r>
      <w:r w:rsidR="00BA0DF1">
        <w:rPr>
          <w:sz w:val="20"/>
          <w:szCs w:val="20"/>
        </w:rPr>
        <w:t xml:space="preserve">Hepatitis C </w:t>
      </w:r>
      <w:r w:rsidRPr="001F189A">
        <w:rPr>
          <w:sz w:val="20"/>
          <w:szCs w:val="20"/>
        </w:rPr>
        <w:t xml:space="preserve">DAA treatments </w:t>
      </w:r>
      <w:r>
        <w:rPr>
          <w:sz w:val="20"/>
          <w:szCs w:val="20"/>
        </w:rPr>
        <w:t>are well tolerated</w:t>
      </w:r>
      <w:r w:rsidR="0092103D">
        <w:rPr>
          <w:sz w:val="20"/>
          <w:szCs w:val="20"/>
        </w:rPr>
        <w:t>, are of</w:t>
      </w:r>
      <w:r>
        <w:rPr>
          <w:sz w:val="20"/>
          <w:szCs w:val="20"/>
        </w:rPr>
        <w:t xml:space="preserve"> short duration, and </w:t>
      </w:r>
      <w:r w:rsidRPr="001F189A">
        <w:rPr>
          <w:sz w:val="20"/>
          <w:szCs w:val="20"/>
        </w:rPr>
        <w:t>provide a cure for well over 90 per cent of people treated.</w:t>
      </w:r>
      <w:r>
        <w:rPr>
          <w:sz w:val="20"/>
          <w:szCs w:val="20"/>
        </w:rPr>
        <w:t xml:space="preserve"> </w:t>
      </w:r>
      <w:r w:rsidRPr="00F0569C">
        <w:rPr>
          <w:sz w:val="20"/>
          <w:szCs w:val="20"/>
        </w:rPr>
        <w:t xml:space="preserve">The </w:t>
      </w:r>
      <w:r w:rsidRPr="00F0569C">
        <w:rPr>
          <w:sz w:val="20"/>
          <w:szCs w:val="20"/>
        </w:rPr>
        <w:lastRenderedPageBreak/>
        <w:t xml:space="preserve">prescribing arrangements for the new DAAs are expanded beyond specialists to </w:t>
      </w:r>
      <w:r w:rsidRPr="009F113E">
        <w:rPr>
          <w:sz w:val="20"/>
          <w:szCs w:val="20"/>
        </w:rPr>
        <w:t>include general practitioners (GPs) and authorised</w:t>
      </w:r>
      <w:r w:rsidRPr="00F0569C">
        <w:rPr>
          <w:sz w:val="20"/>
          <w:szCs w:val="20"/>
        </w:rPr>
        <w:t xml:space="preserve"> nurse practitioners</w:t>
      </w:r>
      <w:r w:rsidR="00061151">
        <w:rPr>
          <w:sz w:val="20"/>
          <w:szCs w:val="20"/>
        </w:rPr>
        <w:t xml:space="preserve">, providing the opportunity to greatly </w:t>
      </w:r>
      <w:r w:rsidR="00CD2E01">
        <w:rPr>
          <w:sz w:val="20"/>
          <w:szCs w:val="20"/>
        </w:rPr>
        <w:t xml:space="preserve">increase </w:t>
      </w:r>
      <w:r w:rsidR="00061151">
        <w:rPr>
          <w:sz w:val="20"/>
          <w:szCs w:val="20"/>
        </w:rPr>
        <w:t>treatment coverage</w:t>
      </w:r>
      <w:r w:rsidR="00CD2661">
        <w:rPr>
          <w:sz w:val="20"/>
          <w:szCs w:val="20"/>
        </w:rPr>
        <w:t>.</w:t>
      </w:r>
      <w:r w:rsidR="0004379F" w:rsidRPr="0004379F">
        <w:rPr>
          <w:highlight w:val="cyan"/>
        </w:rPr>
        <w:t xml:space="preserve"> </w:t>
      </w:r>
    </w:p>
    <w:p w14:paraId="231E3180" w14:textId="2975D436" w:rsidR="00D85D1F" w:rsidRDefault="00D85D1F" w:rsidP="00C251C4">
      <w:pPr>
        <w:pStyle w:val="CommentText"/>
      </w:pPr>
      <w:r>
        <w:t xml:space="preserve">Ensuring adequate importance is placed on the effective management of BBV </w:t>
      </w:r>
      <w:r w:rsidR="002003A8">
        <w:t xml:space="preserve">and STI </w:t>
      </w:r>
      <w:r>
        <w:t xml:space="preserve">can be challenging if what are considered more </w:t>
      </w:r>
      <w:r>
        <w:rPr>
          <w:lang w:eastAsia="en-AU"/>
        </w:rPr>
        <w:t>urgent health priorities exist</w:t>
      </w:r>
      <w:r w:rsidR="008979B8">
        <w:rPr>
          <w:lang w:eastAsia="en-AU"/>
        </w:rPr>
        <w:t xml:space="preserve"> or where high rates of STI </w:t>
      </w:r>
      <w:r w:rsidR="00A21EAE">
        <w:rPr>
          <w:lang w:eastAsia="en-AU"/>
        </w:rPr>
        <w:t>have become</w:t>
      </w:r>
      <w:r w:rsidR="008979B8">
        <w:rPr>
          <w:lang w:eastAsia="en-AU"/>
        </w:rPr>
        <w:t xml:space="preserve"> normalised</w:t>
      </w:r>
      <w:r>
        <w:rPr>
          <w:lang w:eastAsia="en-AU"/>
        </w:rPr>
        <w:t xml:space="preserve">. </w:t>
      </w:r>
      <w:r w:rsidR="00877582">
        <w:t>HIV and hepatitis B are increasingly being recognised as chronic diseases and</w:t>
      </w:r>
      <w:r w:rsidR="00F761C2">
        <w:t>,</w:t>
      </w:r>
      <w:r w:rsidR="00877582">
        <w:t xml:space="preserve"> as such</w:t>
      </w:r>
      <w:r w:rsidR="00F761C2">
        <w:t>,</w:t>
      </w:r>
      <w:r w:rsidR="00877582">
        <w:t xml:space="preserve"> HIV and chronic hepatitis B should be considered alongside other chronic diseases in Aboriginal and Torres Strait Islander chronic disease management programs. </w:t>
      </w:r>
      <w:r w:rsidR="00061151">
        <w:t xml:space="preserve">Accordingly, the management emphasis is shifting from specialist-based hospital services to community-based and primary healthcare services. </w:t>
      </w:r>
      <w:r>
        <w:t xml:space="preserve">Agreed care pathways and shared care models between primary and specialist services are </w:t>
      </w:r>
      <w:r w:rsidR="00061151">
        <w:t xml:space="preserve">therefore </w:t>
      </w:r>
      <w:r>
        <w:t>important</w:t>
      </w:r>
      <w:r w:rsidR="00F761C2">
        <w:t>.</w:t>
      </w:r>
      <w:r w:rsidR="00061151">
        <w:t xml:space="preserve"> </w:t>
      </w:r>
      <w:r w:rsidR="00F761C2">
        <w:t>H</w:t>
      </w:r>
      <w:r w:rsidR="00061151">
        <w:t>owever</w:t>
      </w:r>
      <w:r w:rsidR="00CD2E01">
        <w:t>,</w:t>
      </w:r>
      <w:r w:rsidR="00061151">
        <w:t xml:space="preserve"> </w:t>
      </w:r>
      <w:r w:rsidR="00F761C2">
        <w:t xml:space="preserve">they </w:t>
      </w:r>
      <w:r>
        <w:t xml:space="preserve">have been identified as being deficient in some settings. </w:t>
      </w:r>
      <w:r w:rsidR="00221FFA">
        <w:t>P</w:t>
      </w:r>
      <w:r w:rsidR="00C251C4" w:rsidRPr="00C251C4">
        <w:t xml:space="preserve">atient information management </w:t>
      </w:r>
      <w:r w:rsidR="00221FFA">
        <w:t>systems provide</w:t>
      </w:r>
      <w:r w:rsidR="00C251C4" w:rsidRPr="00C251C4">
        <w:t xml:space="preserve"> opportunities to enhance data quality on </w:t>
      </w:r>
      <w:r w:rsidR="00221FFA">
        <w:t xml:space="preserve">patient </w:t>
      </w:r>
      <w:r w:rsidR="00C251C4" w:rsidRPr="00C251C4">
        <w:t>immunity</w:t>
      </w:r>
      <w:r w:rsidR="00221FFA">
        <w:t xml:space="preserve"> and </w:t>
      </w:r>
      <w:r w:rsidR="00C251C4" w:rsidRPr="00C251C4">
        <w:t xml:space="preserve">test </w:t>
      </w:r>
      <w:r w:rsidR="00221FFA">
        <w:t xml:space="preserve">results </w:t>
      </w:r>
      <w:r w:rsidR="00C251C4" w:rsidRPr="00C251C4">
        <w:t>a</w:t>
      </w:r>
      <w:r w:rsidR="00221FFA">
        <w:t xml:space="preserve">s well as support </w:t>
      </w:r>
      <w:r w:rsidR="00C251C4" w:rsidRPr="00C251C4">
        <w:t xml:space="preserve">the provision of </w:t>
      </w:r>
      <w:r w:rsidR="00C9239A">
        <w:t xml:space="preserve">treatment and </w:t>
      </w:r>
      <w:r w:rsidR="00C251C4" w:rsidRPr="00C251C4">
        <w:t>care for Aboriginal and Torres Strait Islander peopl</w:t>
      </w:r>
      <w:r w:rsidR="00C251C4">
        <w:t>e living with or at risk of BBV or STI</w:t>
      </w:r>
      <w:r w:rsidR="00221FFA">
        <w:t>. Recall and reminder systems are important to support consistent, guideline</w:t>
      </w:r>
      <w:r w:rsidR="00F761C2">
        <w:t>-</w:t>
      </w:r>
      <w:r w:rsidR="00221FFA">
        <w:t xml:space="preserve">based </w:t>
      </w:r>
      <w:r w:rsidR="00C251C4" w:rsidRPr="00C251C4">
        <w:t>care f</w:t>
      </w:r>
      <w:r w:rsidR="00C251C4">
        <w:t>or</w:t>
      </w:r>
      <w:r w:rsidR="00221FFA">
        <w:t xml:space="preserve"> </w:t>
      </w:r>
      <w:r w:rsidR="00C251C4">
        <w:t xml:space="preserve">patients post-diagnosis. </w:t>
      </w:r>
      <w:r w:rsidR="006F65C9">
        <w:t>P</w:t>
      </w:r>
      <w:r>
        <w:t>eer</w:t>
      </w:r>
      <w:r w:rsidR="00061151">
        <w:t xml:space="preserve">-based </w:t>
      </w:r>
      <w:r>
        <w:t>models</w:t>
      </w:r>
      <w:r w:rsidR="00061151">
        <w:t xml:space="preserve"> which</w:t>
      </w:r>
      <w:r>
        <w:t xml:space="preserve"> </w:t>
      </w:r>
      <w:r w:rsidR="006F65C9">
        <w:t>include Aboriginal and Torres Strait Islander people with lived experience providing</w:t>
      </w:r>
      <w:r w:rsidR="00061151">
        <w:t xml:space="preserve"> advice and </w:t>
      </w:r>
      <w:r>
        <w:t>support for individuals post diagnosis</w:t>
      </w:r>
      <w:r w:rsidR="00061151">
        <w:t xml:space="preserve"> </w:t>
      </w:r>
      <w:r w:rsidR="00221FFA">
        <w:t xml:space="preserve">also </w:t>
      </w:r>
      <w:r w:rsidR="00061151">
        <w:t xml:space="preserve">play an important role in </w:t>
      </w:r>
      <w:r w:rsidR="0092103D">
        <w:t xml:space="preserve">linking people </w:t>
      </w:r>
      <w:r w:rsidR="00C9239A">
        <w:t xml:space="preserve">with </w:t>
      </w:r>
      <w:r w:rsidR="00061151">
        <w:t xml:space="preserve">ongoing </w:t>
      </w:r>
      <w:r w:rsidR="003B31A7">
        <w:t xml:space="preserve">treatment and </w:t>
      </w:r>
      <w:r w:rsidR="00061151">
        <w:t>care</w:t>
      </w:r>
      <w:r>
        <w:t>.</w:t>
      </w:r>
      <w:r w:rsidR="003B31A7">
        <w:rPr>
          <w:rStyle w:val="EndnoteReference"/>
        </w:rPr>
        <w:endnoteReference w:id="86"/>
      </w:r>
    </w:p>
    <w:p w14:paraId="585DB365" w14:textId="416B1F00" w:rsidR="00D85D1F" w:rsidRDefault="00F414B0" w:rsidP="00D85D1F">
      <w:pPr>
        <w:spacing w:before="120"/>
        <w:rPr>
          <w:sz w:val="20"/>
          <w:szCs w:val="20"/>
        </w:rPr>
      </w:pPr>
      <w:r>
        <w:rPr>
          <w:sz w:val="20"/>
          <w:szCs w:val="20"/>
          <w:lang w:eastAsia="en-AU"/>
        </w:rPr>
        <w:t>T</w:t>
      </w:r>
      <w:r w:rsidR="00D85D1F">
        <w:rPr>
          <w:sz w:val="20"/>
          <w:szCs w:val="20"/>
          <w:lang w:eastAsia="en-AU"/>
        </w:rPr>
        <w:t>he provision of medical services in custodial settings</w:t>
      </w:r>
      <w:r>
        <w:rPr>
          <w:sz w:val="20"/>
          <w:szCs w:val="20"/>
          <w:lang w:eastAsia="en-AU"/>
        </w:rPr>
        <w:t xml:space="preserve"> is an opportunity for improved BBV</w:t>
      </w:r>
      <w:r w:rsidR="008A15AC">
        <w:rPr>
          <w:sz w:val="20"/>
          <w:szCs w:val="20"/>
          <w:lang w:eastAsia="en-AU"/>
        </w:rPr>
        <w:t xml:space="preserve"> and STI</w:t>
      </w:r>
      <w:r>
        <w:rPr>
          <w:sz w:val="20"/>
          <w:szCs w:val="20"/>
          <w:lang w:eastAsia="en-AU"/>
        </w:rPr>
        <w:t xml:space="preserve"> testing and management. These services are </w:t>
      </w:r>
      <w:r w:rsidR="00D85D1F">
        <w:rPr>
          <w:sz w:val="20"/>
          <w:szCs w:val="20"/>
          <w:lang w:eastAsia="en-AU"/>
        </w:rPr>
        <w:t xml:space="preserve">generally the responsibility of state and territory governments, </w:t>
      </w:r>
      <w:r>
        <w:rPr>
          <w:sz w:val="20"/>
          <w:szCs w:val="20"/>
          <w:lang w:eastAsia="en-AU"/>
        </w:rPr>
        <w:t xml:space="preserve">although </w:t>
      </w:r>
      <w:r w:rsidR="00C9239A">
        <w:rPr>
          <w:sz w:val="20"/>
          <w:szCs w:val="20"/>
          <w:lang w:eastAsia="en-AU"/>
        </w:rPr>
        <w:t xml:space="preserve">some </w:t>
      </w:r>
      <w:r w:rsidR="00D85D1F">
        <w:rPr>
          <w:sz w:val="20"/>
          <w:szCs w:val="20"/>
          <w:lang w:eastAsia="en-AU"/>
        </w:rPr>
        <w:t>medicines</w:t>
      </w:r>
      <w:r w:rsidR="00C9239A">
        <w:rPr>
          <w:sz w:val="20"/>
          <w:szCs w:val="20"/>
          <w:lang w:eastAsia="en-AU"/>
        </w:rPr>
        <w:t>, including HIV</w:t>
      </w:r>
      <w:r w:rsidR="00F9394F">
        <w:rPr>
          <w:sz w:val="20"/>
          <w:szCs w:val="20"/>
          <w:lang w:eastAsia="en-AU"/>
        </w:rPr>
        <w:t xml:space="preserve">, </w:t>
      </w:r>
      <w:r w:rsidR="00481DAB">
        <w:rPr>
          <w:sz w:val="20"/>
          <w:szCs w:val="20"/>
          <w:lang w:eastAsia="en-AU"/>
        </w:rPr>
        <w:t xml:space="preserve">hepatitis B and hepatitis </w:t>
      </w:r>
      <w:r w:rsidR="00C9239A">
        <w:rPr>
          <w:sz w:val="20"/>
          <w:szCs w:val="20"/>
          <w:lang w:eastAsia="en-AU"/>
        </w:rPr>
        <w:t>C</w:t>
      </w:r>
      <w:r w:rsidR="00481DAB">
        <w:rPr>
          <w:sz w:val="20"/>
          <w:szCs w:val="20"/>
          <w:lang w:eastAsia="en-AU"/>
        </w:rPr>
        <w:t xml:space="preserve"> </w:t>
      </w:r>
      <w:r w:rsidR="00C9239A">
        <w:rPr>
          <w:sz w:val="20"/>
          <w:szCs w:val="20"/>
          <w:lang w:eastAsia="en-AU"/>
        </w:rPr>
        <w:t xml:space="preserve">treatments, </w:t>
      </w:r>
      <w:r w:rsidR="00D85D1F">
        <w:rPr>
          <w:sz w:val="20"/>
          <w:szCs w:val="20"/>
          <w:lang w:eastAsia="en-AU"/>
        </w:rPr>
        <w:t xml:space="preserve">are also available </w:t>
      </w:r>
      <w:r w:rsidR="003F3DAE">
        <w:rPr>
          <w:sz w:val="20"/>
          <w:szCs w:val="20"/>
          <w:lang w:eastAsia="en-AU"/>
        </w:rPr>
        <w:t xml:space="preserve">to people in prison </w:t>
      </w:r>
      <w:r w:rsidR="00D85D1F">
        <w:rPr>
          <w:sz w:val="20"/>
          <w:szCs w:val="20"/>
          <w:lang w:eastAsia="en-AU"/>
        </w:rPr>
        <w:t xml:space="preserve">under the Highly Specialised Drugs Program </w:t>
      </w:r>
      <w:r w:rsidR="003F3DAE">
        <w:rPr>
          <w:sz w:val="20"/>
          <w:szCs w:val="20"/>
          <w:lang w:eastAsia="en-AU"/>
        </w:rPr>
        <w:t>for</w:t>
      </w:r>
      <w:r w:rsidR="00D85D1F">
        <w:rPr>
          <w:sz w:val="20"/>
          <w:szCs w:val="20"/>
          <w:lang w:eastAsia="en-AU"/>
        </w:rPr>
        <w:t xml:space="preserve"> patients who meet eligibility criteria. </w:t>
      </w:r>
      <w:r w:rsidR="00D85D1F" w:rsidRPr="00911D9A">
        <w:rPr>
          <w:sz w:val="20"/>
          <w:szCs w:val="20"/>
          <w:lang w:eastAsia="en-AU"/>
        </w:rPr>
        <w:t>Nurse-led programs ha</w:t>
      </w:r>
      <w:r>
        <w:rPr>
          <w:sz w:val="20"/>
          <w:szCs w:val="20"/>
          <w:lang w:eastAsia="en-AU"/>
        </w:rPr>
        <w:t>ve</w:t>
      </w:r>
      <w:r w:rsidR="00D85D1F" w:rsidRPr="00911D9A">
        <w:rPr>
          <w:sz w:val="20"/>
          <w:szCs w:val="20"/>
          <w:lang w:eastAsia="en-AU"/>
        </w:rPr>
        <w:t xml:space="preserve"> been successful in custodial settings in </w:t>
      </w:r>
      <w:r w:rsidR="00061151">
        <w:rPr>
          <w:sz w:val="20"/>
          <w:szCs w:val="20"/>
          <w:lang w:eastAsia="en-AU"/>
        </w:rPr>
        <w:t xml:space="preserve">supporting the </w:t>
      </w:r>
      <w:r w:rsidR="00D85D1F" w:rsidRPr="00911D9A">
        <w:rPr>
          <w:sz w:val="20"/>
          <w:szCs w:val="20"/>
          <w:lang w:eastAsia="en-AU"/>
        </w:rPr>
        <w:t xml:space="preserve">scaling-up </w:t>
      </w:r>
      <w:r w:rsidR="00061151">
        <w:rPr>
          <w:sz w:val="20"/>
          <w:szCs w:val="20"/>
          <w:lang w:eastAsia="en-AU"/>
        </w:rPr>
        <w:t xml:space="preserve">of </w:t>
      </w:r>
      <w:r w:rsidR="00D85D1F" w:rsidRPr="00911D9A">
        <w:rPr>
          <w:sz w:val="20"/>
          <w:szCs w:val="20"/>
          <w:lang w:eastAsia="en-AU"/>
        </w:rPr>
        <w:t>treatment and reducing hepatitis C prevalence.</w:t>
      </w:r>
      <w:r w:rsidR="00D85D1F" w:rsidRPr="00EA1123">
        <w:rPr>
          <w:rStyle w:val="EndnoteReference"/>
          <w:sz w:val="20"/>
          <w:szCs w:val="20"/>
        </w:rPr>
        <w:endnoteReference w:id="87"/>
      </w:r>
      <w:r w:rsidR="00D85D1F" w:rsidRPr="00911D9A">
        <w:rPr>
          <w:sz w:val="20"/>
          <w:szCs w:val="20"/>
          <w:lang w:eastAsia="en-AU"/>
        </w:rPr>
        <w:t xml:space="preserve"> These programs are currently implemented in specific prisons in some jurisdictions</w:t>
      </w:r>
      <w:r w:rsidR="00D85D1F" w:rsidRPr="00C9239A">
        <w:rPr>
          <w:rStyle w:val="EndnoteReference"/>
          <w:sz w:val="20"/>
          <w:szCs w:val="20"/>
          <w:lang w:eastAsia="en-AU"/>
        </w:rPr>
        <w:endnoteReference w:id="88"/>
      </w:r>
      <w:r w:rsidR="00946607" w:rsidRPr="00C9239A">
        <w:rPr>
          <w:sz w:val="20"/>
          <w:szCs w:val="20"/>
          <w:vertAlign w:val="superscript"/>
          <w:lang w:eastAsia="en-AU"/>
        </w:rPr>
        <w:t>,</w:t>
      </w:r>
      <w:r w:rsidR="00D85D1F" w:rsidRPr="00C9239A">
        <w:rPr>
          <w:rStyle w:val="EndnoteReference"/>
          <w:sz w:val="20"/>
          <w:szCs w:val="20"/>
          <w:lang w:eastAsia="en-AU"/>
        </w:rPr>
        <w:endnoteReference w:id="89"/>
      </w:r>
      <w:r w:rsidR="001B2A04">
        <w:rPr>
          <w:sz w:val="20"/>
          <w:szCs w:val="20"/>
          <w:vertAlign w:val="superscript"/>
          <w:lang w:eastAsia="en-AU"/>
        </w:rPr>
        <w:t xml:space="preserve"> </w:t>
      </w:r>
      <w:r w:rsidR="00D85D1F" w:rsidRPr="00911D9A">
        <w:rPr>
          <w:sz w:val="20"/>
          <w:szCs w:val="20"/>
          <w:lang w:eastAsia="en-AU"/>
        </w:rPr>
        <w:t xml:space="preserve">and </w:t>
      </w:r>
      <w:r w:rsidR="00A82D65">
        <w:rPr>
          <w:sz w:val="20"/>
          <w:szCs w:val="20"/>
          <w:lang w:eastAsia="en-AU"/>
        </w:rPr>
        <w:t xml:space="preserve">should </w:t>
      </w:r>
      <w:r w:rsidR="00D85D1F">
        <w:rPr>
          <w:sz w:val="20"/>
          <w:szCs w:val="20"/>
          <w:lang w:eastAsia="en-AU"/>
        </w:rPr>
        <w:t>be considered in other areas</w:t>
      </w:r>
      <w:r w:rsidR="00D85D1F" w:rsidRPr="00911D9A">
        <w:rPr>
          <w:sz w:val="20"/>
          <w:szCs w:val="20"/>
          <w:lang w:eastAsia="en-AU"/>
        </w:rPr>
        <w:t xml:space="preserve">. Post-release transition programs are also critical </w:t>
      </w:r>
      <w:r w:rsidR="00061151">
        <w:rPr>
          <w:sz w:val="20"/>
          <w:szCs w:val="20"/>
          <w:lang w:eastAsia="en-AU"/>
        </w:rPr>
        <w:t>in</w:t>
      </w:r>
      <w:r w:rsidR="00D85D1F" w:rsidRPr="00911D9A">
        <w:rPr>
          <w:sz w:val="20"/>
          <w:szCs w:val="20"/>
          <w:lang w:eastAsia="en-AU"/>
        </w:rPr>
        <w:t xml:space="preserve"> supporting</w:t>
      </w:r>
      <w:r w:rsidR="00F67474">
        <w:rPr>
          <w:sz w:val="20"/>
          <w:szCs w:val="20"/>
          <w:lang w:eastAsia="en-AU"/>
        </w:rPr>
        <w:t xml:space="preserve"> </w:t>
      </w:r>
      <w:r w:rsidR="00061151">
        <w:rPr>
          <w:sz w:val="20"/>
          <w:szCs w:val="20"/>
          <w:lang w:eastAsia="en-AU"/>
        </w:rPr>
        <w:t xml:space="preserve">the </w:t>
      </w:r>
      <w:r w:rsidR="00F67474">
        <w:rPr>
          <w:sz w:val="20"/>
          <w:szCs w:val="20"/>
          <w:lang w:eastAsia="en-AU"/>
        </w:rPr>
        <w:t>seamless continuation of</w:t>
      </w:r>
      <w:r w:rsidR="00D85D1F" w:rsidRPr="00911D9A">
        <w:rPr>
          <w:sz w:val="20"/>
          <w:szCs w:val="20"/>
          <w:lang w:eastAsia="en-AU"/>
        </w:rPr>
        <w:t xml:space="preserve"> treatment</w:t>
      </w:r>
      <w:r w:rsidR="00F761C2">
        <w:rPr>
          <w:sz w:val="20"/>
          <w:szCs w:val="20"/>
          <w:lang w:eastAsia="en-AU"/>
        </w:rPr>
        <w:t xml:space="preserve"> and</w:t>
      </w:r>
      <w:r w:rsidR="00D85D1F" w:rsidRPr="00911D9A">
        <w:rPr>
          <w:sz w:val="20"/>
          <w:szCs w:val="20"/>
          <w:lang w:eastAsia="en-AU"/>
        </w:rPr>
        <w:t xml:space="preserve"> follow-up testing and </w:t>
      </w:r>
      <w:r w:rsidR="00F761C2">
        <w:rPr>
          <w:sz w:val="20"/>
          <w:szCs w:val="20"/>
          <w:lang w:eastAsia="en-AU"/>
        </w:rPr>
        <w:t xml:space="preserve">in </w:t>
      </w:r>
      <w:r w:rsidR="00D85D1F" w:rsidRPr="00911D9A">
        <w:rPr>
          <w:sz w:val="20"/>
          <w:szCs w:val="20"/>
          <w:lang w:eastAsia="en-AU"/>
        </w:rPr>
        <w:t>preven</w:t>
      </w:r>
      <w:r w:rsidR="00D85D1F">
        <w:rPr>
          <w:sz w:val="20"/>
          <w:szCs w:val="20"/>
          <w:lang w:eastAsia="en-AU"/>
        </w:rPr>
        <w:t xml:space="preserve">ting </w:t>
      </w:r>
      <w:r w:rsidR="00D85D1F" w:rsidRPr="00E5091B">
        <w:rPr>
          <w:sz w:val="20"/>
          <w:szCs w:val="20"/>
          <w:lang w:eastAsia="en-AU"/>
        </w:rPr>
        <w:t>reinfection</w:t>
      </w:r>
      <w:r w:rsidR="00D85D1F">
        <w:rPr>
          <w:sz w:val="20"/>
          <w:szCs w:val="20"/>
          <w:lang w:eastAsia="en-AU"/>
        </w:rPr>
        <w:t xml:space="preserve">. </w:t>
      </w:r>
      <w:r w:rsidR="00D85D1F" w:rsidRPr="004E3784">
        <w:rPr>
          <w:sz w:val="20"/>
          <w:szCs w:val="20"/>
        </w:rPr>
        <w:t xml:space="preserve">Given many </w:t>
      </w:r>
      <w:r w:rsidR="00BC2925">
        <w:rPr>
          <w:sz w:val="20"/>
          <w:szCs w:val="20"/>
        </w:rPr>
        <w:t>people in prison</w:t>
      </w:r>
      <w:r w:rsidR="00BC2925" w:rsidRPr="004E3784">
        <w:rPr>
          <w:sz w:val="20"/>
          <w:szCs w:val="20"/>
        </w:rPr>
        <w:t xml:space="preserve"> </w:t>
      </w:r>
      <w:r w:rsidR="00D85D1F" w:rsidRPr="004E3784">
        <w:rPr>
          <w:sz w:val="20"/>
          <w:szCs w:val="20"/>
        </w:rPr>
        <w:t>are on remand or incarcerated for short peri</w:t>
      </w:r>
      <w:r w:rsidR="00D85D1F">
        <w:rPr>
          <w:sz w:val="20"/>
          <w:szCs w:val="20"/>
        </w:rPr>
        <w:t xml:space="preserve">ods of time, timely testing and </w:t>
      </w:r>
      <w:r w:rsidR="00D85D1F" w:rsidRPr="004E3784">
        <w:rPr>
          <w:sz w:val="20"/>
          <w:szCs w:val="20"/>
        </w:rPr>
        <w:t>treatment</w:t>
      </w:r>
      <w:r w:rsidR="00D85D1F">
        <w:rPr>
          <w:sz w:val="20"/>
          <w:szCs w:val="20"/>
        </w:rPr>
        <w:t>, along with post-release transition programs, are</w:t>
      </w:r>
      <w:r w:rsidR="00D85D1F" w:rsidRPr="004E3784">
        <w:rPr>
          <w:sz w:val="20"/>
          <w:szCs w:val="20"/>
        </w:rPr>
        <w:t xml:space="preserve"> essential to ensure people are </w:t>
      </w:r>
      <w:r w:rsidR="00D85D1F">
        <w:rPr>
          <w:sz w:val="20"/>
          <w:szCs w:val="20"/>
        </w:rPr>
        <w:t xml:space="preserve">effectively </w:t>
      </w:r>
      <w:r w:rsidR="00D85D1F" w:rsidRPr="004E3784">
        <w:rPr>
          <w:sz w:val="20"/>
          <w:szCs w:val="20"/>
        </w:rPr>
        <w:t xml:space="preserve">treated before or soon after release. </w:t>
      </w:r>
    </w:p>
    <w:p w14:paraId="1DB816DD" w14:textId="77777777" w:rsidR="00D85D1F" w:rsidRPr="00113B60" w:rsidRDefault="00D85D1F" w:rsidP="00BE1257">
      <w:pPr>
        <w:pStyle w:val="Bullet"/>
        <w:spacing w:before="120"/>
        <w:rPr>
          <w:rFonts w:eastAsia="Calibri"/>
          <w:b/>
          <w:bCs/>
          <w:color w:val="00264D"/>
          <w:lang w:eastAsia="en-US"/>
        </w:rPr>
      </w:pPr>
      <w:r w:rsidRPr="00113B60">
        <w:rPr>
          <w:rFonts w:eastAsia="Calibri"/>
          <w:b/>
          <w:bCs/>
          <w:color w:val="00264D"/>
          <w:lang w:eastAsia="en-US"/>
        </w:rPr>
        <w:t>Key areas for action</w:t>
      </w:r>
    </w:p>
    <w:p w14:paraId="3A51E8B6" w14:textId="77777777" w:rsidR="00D85D1F" w:rsidRDefault="00D85D1F" w:rsidP="00BE1257">
      <w:pPr>
        <w:numPr>
          <w:ilvl w:val="0"/>
          <w:numId w:val="8"/>
        </w:numPr>
        <w:spacing w:before="40" w:after="80"/>
        <w:rPr>
          <w:sz w:val="20"/>
          <w:szCs w:val="20"/>
        </w:rPr>
      </w:pPr>
      <w:r>
        <w:rPr>
          <w:sz w:val="20"/>
          <w:szCs w:val="20"/>
        </w:rPr>
        <w:t>Identify areas of need for improved BBV and STI testing and treatment coverage and target efforts accordingly</w:t>
      </w:r>
    </w:p>
    <w:p w14:paraId="73597272" w14:textId="77777777" w:rsidR="00221FFA" w:rsidRDefault="00540AFC" w:rsidP="00221FFA">
      <w:pPr>
        <w:pStyle w:val="Bullet"/>
        <w:numPr>
          <w:ilvl w:val="0"/>
          <w:numId w:val="8"/>
        </w:numPr>
        <w:spacing w:before="40" w:after="80"/>
        <w:rPr>
          <w:sz w:val="20"/>
          <w:szCs w:val="20"/>
        </w:rPr>
      </w:pPr>
      <w:r>
        <w:rPr>
          <w:sz w:val="20"/>
          <w:szCs w:val="20"/>
        </w:rPr>
        <w:t>Explore the d</w:t>
      </w:r>
      <w:r w:rsidR="00221FFA" w:rsidRPr="00221FFA">
        <w:rPr>
          <w:sz w:val="20"/>
          <w:szCs w:val="20"/>
        </w:rPr>
        <w:t>evelop</w:t>
      </w:r>
      <w:r>
        <w:rPr>
          <w:sz w:val="20"/>
          <w:szCs w:val="20"/>
        </w:rPr>
        <w:t>ment of</w:t>
      </w:r>
      <w:r w:rsidR="00221FFA" w:rsidRPr="00221FFA">
        <w:rPr>
          <w:sz w:val="20"/>
          <w:szCs w:val="20"/>
        </w:rPr>
        <w:t xml:space="preserve"> key performance indicators for </w:t>
      </w:r>
      <w:r w:rsidR="00413D5A">
        <w:rPr>
          <w:sz w:val="20"/>
          <w:szCs w:val="20"/>
        </w:rPr>
        <w:t xml:space="preserve">organisations providing </w:t>
      </w:r>
      <w:r w:rsidR="00221FFA" w:rsidRPr="00221FFA">
        <w:rPr>
          <w:sz w:val="20"/>
          <w:szCs w:val="20"/>
        </w:rPr>
        <w:t xml:space="preserve">health services </w:t>
      </w:r>
      <w:r w:rsidR="00413D5A">
        <w:rPr>
          <w:sz w:val="20"/>
          <w:szCs w:val="20"/>
        </w:rPr>
        <w:t>to</w:t>
      </w:r>
      <w:r w:rsidR="00413D5A" w:rsidRPr="00221FFA">
        <w:rPr>
          <w:sz w:val="20"/>
          <w:szCs w:val="20"/>
        </w:rPr>
        <w:t xml:space="preserve"> </w:t>
      </w:r>
      <w:r w:rsidR="00221FFA">
        <w:rPr>
          <w:sz w:val="20"/>
          <w:szCs w:val="20"/>
        </w:rPr>
        <w:t xml:space="preserve">Aboriginal and Torres </w:t>
      </w:r>
      <w:r>
        <w:rPr>
          <w:sz w:val="20"/>
          <w:szCs w:val="20"/>
        </w:rPr>
        <w:t>Strait Islander peoples</w:t>
      </w:r>
      <w:r w:rsidR="00221FFA" w:rsidRPr="00221FFA">
        <w:rPr>
          <w:sz w:val="20"/>
          <w:szCs w:val="20"/>
        </w:rPr>
        <w:t xml:space="preserve"> </w:t>
      </w:r>
      <w:r>
        <w:rPr>
          <w:sz w:val="20"/>
          <w:szCs w:val="20"/>
        </w:rPr>
        <w:t>in relation to BBV and STI</w:t>
      </w:r>
      <w:r w:rsidR="00221FFA" w:rsidRPr="00221FFA">
        <w:rPr>
          <w:sz w:val="20"/>
          <w:szCs w:val="20"/>
        </w:rPr>
        <w:t xml:space="preserve"> testing</w:t>
      </w:r>
      <w:r w:rsidR="004F40F6">
        <w:rPr>
          <w:sz w:val="20"/>
          <w:szCs w:val="20"/>
        </w:rPr>
        <w:t>, treatment and care</w:t>
      </w:r>
      <w:r w:rsidR="00221FFA" w:rsidRPr="00221FFA">
        <w:rPr>
          <w:sz w:val="20"/>
          <w:szCs w:val="20"/>
        </w:rPr>
        <w:t xml:space="preserve"> to inform continuous quality improvement cycles</w:t>
      </w:r>
    </w:p>
    <w:p w14:paraId="49886192" w14:textId="2717F4D2" w:rsidR="00A51B42" w:rsidRDefault="00A51B42" w:rsidP="00A51B42">
      <w:pPr>
        <w:numPr>
          <w:ilvl w:val="0"/>
          <w:numId w:val="8"/>
        </w:numPr>
        <w:spacing w:before="40" w:after="80"/>
        <w:rPr>
          <w:sz w:val="20"/>
          <w:szCs w:val="20"/>
        </w:rPr>
      </w:pPr>
      <w:r w:rsidRPr="00502C5C">
        <w:rPr>
          <w:sz w:val="20"/>
          <w:szCs w:val="20"/>
        </w:rPr>
        <w:t xml:space="preserve">Develop and integrate peer support models </w:t>
      </w:r>
      <w:r w:rsidR="00A30B32">
        <w:rPr>
          <w:sz w:val="20"/>
          <w:szCs w:val="20"/>
        </w:rPr>
        <w:t>where</w:t>
      </w:r>
      <w:r w:rsidRPr="00502C5C">
        <w:rPr>
          <w:sz w:val="20"/>
          <w:szCs w:val="20"/>
        </w:rPr>
        <w:t xml:space="preserve"> Aboriginal and Torres Strait Islander people with lived experience of BBV and STI </w:t>
      </w:r>
      <w:r w:rsidR="00A30B32">
        <w:rPr>
          <w:sz w:val="20"/>
          <w:szCs w:val="20"/>
        </w:rPr>
        <w:t>are</w:t>
      </w:r>
      <w:r w:rsidR="00A30B32" w:rsidRPr="00502C5C">
        <w:rPr>
          <w:sz w:val="20"/>
          <w:szCs w:val="20"/>
        </w:rPr>
        <w:t xml:space="preserve"> </w:t>
      </w:r>
      <w:r w:rsidRPr="00502C5C">
        <w:rPr>
          <w:sz w:val="20"/>
          <w:szCs w:val="20"/>
        </w:rPr>
        <w:t>peer navigators in diagnosis, treatment and care</w:t>
      </w:r>
    </w:p>
    <w:p w14:paraId="1013F615" w14:textId="7B66DE7C" w:rsidR="00BE1257" w:rsidRPr="00215566" w:rsidRDefault="00BE1257" w:rsidP="00BE1257">
      <w:pPr>
        <w:numPr>
          <w:ilvl w:val="0"/>
          <w:numId w:val="8"/>
        </w:numPr>
        <w:spacing w:before="40" w:after="80"/>
        <w:rPr>
          <w:sz w:val="20"/>
          <w:szCs w:val="20"/>
        </w:rPr>
      </w:pPr>
      <w:r w:rsidRPr="00215566">
        <w:rPr>
          <w:sz w:val="20"/>
          <w:szCs w:val="20"/>
        </w:rPr>
        <w:t xml:space="preserve">Improve the knowledge and awareness of </w:t>
      </w:r>
      <w:r w:rsidR="0092103D" w:rsidRPr="00215566">
        <w:rPr>
          <w:sz w:val="20"/>
          <w:szCs w:val="20"/>
        </w:rPr>
        <w:t>Aboriginal</w:t>
      </w:r>
      <w:r w:rsidR="00215566" w:rsidRPr="00215566">
        <w:rPr>
          <w:sz w:val="20"/>
          <w:szCs w:val="20"/>
        </w:rPr>
        <w:t xml:space="preserve"> and Torres Strait Islander</w:t>
      </w:r>
      <w:r w:rsidR="0092103D" w:rsidRPr="00215566">
        <w:rPr>
          <w:sz w:val="20"/>
          <w:szCs w:val="20"/>
        </w:rPr>
        <w:t xml:space="preserve"> Health Workers, other </w:t>
      </w:r>
      <w:r w:rsidRPr="00215566">
        <w:rPr>
          <w:sz w:val="20"/>
          <w:szCs w:val="20"/>
        </w:rPr>
        <w:t>health professionals</w:t>
      </w:r>
      <w:r w:rsidR="007C29BE" w:rsidRPr="00215566">
        <w:rPr>
          <w:sz w:val="20"/>
          <w:szCs w:val="20"/>
        </w:rPr>
        <w:t>,</w:t>
      </w:r>
      <w:r w:rsidRPr="00215566">
        <w:rPr>
          <w:sz w:val="20"/>
          <w:szCs w:val="20"/>
        </w:rPr>
        <w:t xml:space="preserve"> and community-based health workers of risk factors </w:t>
      </w:r>
      <w:r w:rsidR="007C29BE" w:rsidRPr="00215566">
        <w:rPr>
          <w:sz w:val="20"/>
          <w:szCs w:val="20"/>
        </w:rPr>
        <w:t xml:space="preserve">and indications </w:t>
      </w:r>
      <w:r w:rsidRPr="00215566">
        <w:rPr>
          <w:sz w:val="20"/>
          <w:szCs w:val="20"/>
        </w:rPr>
        <w:t>for BBV and STI testing</w:t>
      </w:r>
    </w:p>
    <w:p w14:paraId="68D44783" w14:textId="45911306" w:rsidR="00D85D1F" w:rsidRDefault="00D85D1F" w:rsidP="00BE1257">
      <w:pPr>
        <w:numPr>
          <w:ilvl w:val="0"/>
          <w:numId w:val="8"/>
        </w:numPr>
        <w:spacing w:before="40" w:after="80"/>
        <w:rPr>
          <w:sz w:val="20"/>
          <w:szCs w:val="20"/>
        </w:rPr>
      </w:pPr>
      <w:r w:rsidRPr="00EC7C2D">
        <w:rPr>
          <w:sz w:val="20"/>
          <w:szCs w:val="20"/>
        </w:rPr>
        <w:t>I</w:t>
      </w:r>
      <w:r w:rsidR="00025426">
        <w:rPr>
          <w:sz w:val="20"/>
          <w:szCs w:val="20"/>
        </w:rPr>
        <w:t xml:space="preserve">nclude a greater emphasis on </w:t>
      </w:r>
      <w:r w:rsidR="00BE1257">
        <w:rPr>
          <w:sz w:val="20"/>
          <w:szCs w:val="20"/>
        </w:rPr>
        <w:t xml:space="preserve">sexual health and </w:t>
      </w:r>
      <w:r w:rsidR="00A82D65">
        <w:rPr>
          <w:sz w:val="20"/>
          <w:szCs w:val="20"/>
        </w:rPr>
        <w:t>BBV</w:t>
      </w:r>
      <w:r w:rsidR="002613DC">
        <w:rPr>
          <w:sz w:val="20"/>
          <w:szCs w:val="20"/>
        </w:rPr>
        <w:t>/</w:t>
      </w:r>
      <w:r w:rsidR="00025426">
        <w:rPr>
          <w:sz w:val="20"/>
          <w:szCs w:val="20"/>
        </w:rPr>
        <w:t xml:space="preserve">STI </w:t>
      </w:r>
      <w:r w:rsidRPr="00EC7C2D">
        <w:rPr>
          <w:sz w:val="20"/>
          <w:szCs w:val="20"/>
        </w:rPr>
        <w:t>testing</w:t>
      </w:r>
      <w:r w:rsidR="00BE1257">
        <w:rPr>
          <w:sz w:val="20"/>
          <w:szCs w:val="20"/>
        </w:rPr>
        <w:t xml:space="preserve"> </w:t>
      </w:r>
      <w:r>
        <w:rPr>
          <w:sz w:val="20"/>
          <w:szCs w:val="20"/>
        </w:rPr>
        <w:t>in routine</w:t>
      </w:r>
      <w:r w:rsidRPr="00EC7C2D">
        <w:rPr>
          <w:sz w:val="20"/>
          <w:szCs w:val="20"/>
        </w:rPr>
        <w:t xml:space="preserve"> primary health protocols</w:t>
      </w:r>
      <w:r>
        <w:rPr>
          <w:sz w:val="20"/>
          <w:szCs w:val="20"/>
        </w:rPr>
        <w:t xml:space="preserve"> and guidelines</w:t>
      </w:r>
      <w:r w:rsidR="00405413">
        <w:rPr>
          <w:sz w:val="20"/>
          <w:szCs w:val="20"/>
        </w:rPr>
        <w:t xml:space="preserve"> where appropriate</w:t>
      </w:r>
      <w:r w:rsidRPr="00EC7C2D">
        <w:rPr>
          <w:sz w:val="20"/>
          <w:szCs w:val="20"/>
        </w:rPr>
        <w:t>, including in antenatal care</w:t>
      </w:r>
      <w:r w:rsidR="00A659A7">
        <w:rPr>
          <w:sz w:val="20"/>
          <w:szCs w:val="20"/>
        </w:rPr>
        <w:t xml:space="preserve"> and </w:t>
      </w:r>
      <w:r w:rsidR="00025426">
        <w:rPr>
          <w:sz w:val="20"/>
          <w:szCs w:val="20"/>
        </w:rPr>
        <w:t>adult health checks</w:t>
      </w:r>
    </w:p>
    <w:p w14:paraId="32C85C29" w14:textId="77777777" w:rsidR="00D85D1F" w:rsidRDefault="00D85D1F" w:rsidP="00BE1257">
      <w:pPr>
        <w:numPr>
          <w:ilvl w:val="0"/>
          <w:numId w:val="8"/>
        </w:numPr>
        <w:spacing w:before="40" w:after="80"/>
        <w:rPr>
          <w:sz w:val="20"/>
          <w:szCs w:val="20"/>
        </w:rPr>
      </w:pPr>
      <w:r w:rsidRPr="00A1774C">
        <w:rPr>
          <w:sz w:val="20"/>
          <w:szCs w:val="20"/>
        </w:rPr>
        <w:t xml:space="preserve">Further develop and implement innovative evidence-based testing approaches </w:t>
      </w:r>
      <w:r>
        <w:rPr>
          <w:sz w:val="20"/>
          <w:szCs w:val="20"/>
        </w:rPr>
        <w:t xml:space="preserve">across </w:t>
      </w:r>
      <w:r w:rsidR="00146287">
        <w:rPr>
          <w:sz w:val="20"/>
          <w:szCs w:val="20"/>
        </w:rPr>
        <w:t xml:space="preserve">priority </w:t>
      </w:r>
      <w:r>
        <w:rPr>
          <w:sz w:val="20"/>
          <w:szCs w:val="20"/>
        </w:rPr>
        <w:t>settings</w:t>
      </w:r>
      <w:r w:rsidRPr="00A1774C">
        <w:rPr>
          <w:sz w:val="20"/>
          <w:szCs w:val="20"/>
        </w:rPr>
        <w:t xml:space="preserve"> </w:t>
      </w:r>
      <w:r>
        <w:rPr>
          <w:sz w:val="20"/>
          <w:szCs w:val="20"/>
        </w:rPr>
        <w:t xml:space="preserve">and geographic areas </w:t>
      </w:r>
      <w:r w:rsidRPr="00A1774C">
        <w:rPr>
          <w:sz w:val="20"/>
          <w:szCs w:val="20"/>
        </w:rPr>
        <w:t xml:space="preserve">which address barriers to access </w:t>
      </w:r>
      <w:r>
        <w:rPr>
          <w:sz w:val="20"/>
          <w:szCs w:val="20"/>
        </w:rPr>
        <w:t>and include</w:t>
      </w:r>
      <w:r w:rsidRPr="00A1774C">
        <w:rPr>
          <w:sz w:val="20"/>
          <w:szCs w:val="20"/>
        </w:rPr>
        <w:t xml:space="preserve"> strong linkages to</w:t>
      </w:r>
      <w:r>
        <w:rPr>
          <w:sz w:val="20"/>
          <w:szCs w:val="20"/>
        </w:rPr>
        <w:t xml:space="preserve"> well-coordinated</w:t>
      </w:r>
      <w:r w:rsidRPr="00A1774C">
        <w:rPr>
          <w:sz w:val="20"/>
          <w:szCs w:val="20"/>
        </w:rPr>
        <w:t xml:space="preserve"> treatment</w:t>
      </w:r>
      <w:r>
        <w:rPr>
          <w:sz w:val="20"/>
          <w:szCs w:val="20"/>
        </w:rPr>
        <w:t>, monitoring</w:t>
      </w:r>
      <w:r w:rsidRPr="00A1774C">
        <w:rPr>
          <w:sz w:val="20"/>
          <w:szCs w:val="20"/>
        </w:rPr>
        <w:t xml:space="preserve"> and care</w:t>
      </w:r>
    </w:p>
    <w:p w14:paraId="4B845621" w14:textId="77777777" w:rsidR="00005F36" w:rsidRPr="00B65409" w:rsidRDefault="00005F36" w:rsidP="00005F36">
      <w:pPr>
        <w:numPr>
          <w:ilvl w:val="0"/>
          <w:numId w:val="8"/>
        </w:numPr>
        <w:spacing w:before="40" w:after="80"/>
        <w:rPr>
          <w:sz w:val="20"/>
          <w:szCs w:val="20"/>
        </w:rPr>
      </w:pPr>
      <w:r>
        <w:rPr>
          <w:sz w:val="20"/>
          <w:szCs w:val="20"/>
        </w:rPr>
        <w:t>Explore the use of rapid testing and point of care technologies</w:t>
      </w:r>
      <w:r w:rsidR="00E654E8">
        <w:rPr>
          <w:sz w:val="20"/>
          <w:szCs w:val="20"/>
        </w:rPr>
        <w:t>,</w:t>
      </w:r>
      <w:r>
        <w:rPr>
          <w:sz w:val="20"/>
          <w:szCs w:val="20"/>
        </w:rPr>
        <w:t xml:space="preserve"> where appropriate</w:t>
      </w:r>
      <w:r w:rsidR="00540AFC">
        <w:rPr>
          <w:sz w:val="20"/>
          <w:szCs w:val="20"/>
        </w:rPr>
        <w:t>,</w:t>
      </w:r>
      <w:r>
        <w:rPr>
          <w:sz w:val="20"/>
          <w:szCs w:val="20"/>
        </w:rPr>
        <w:t xml:space="preserve"> to improve access to testing</w:t>
      </w:r>
      <w:r w:rsidR="00540AFC">
        <w:rPr>
          <w:sz w:val="20"/>
          <w:szCs w:val="20"/>
        </w:rPr>
        <w:t xml:space="preserve"> </w:t>
      </w:r>
      <w:r>
        <w:rPr>
          <w:sz w:val="20"/>
          <w:szCs w:val="20"/>
        </w:rPr>
        <w:t xml:space="preserve">and treatment </w:t>
      </w:r>
    </w:p>
    <w:p w14:paraId="3F28483F" w14:textId="39B2B93D" w:rsidR="008C779E" w:rsidRPr="00B65409" w:rsidRDefault="008C779E" w:rsidP="008C779E">
      <w:pPr>
        <w:pStyle w:val="Bullet"/>
        <w:numPr>
          <w:ilvl w:val="0"/>
          <w:numId w:val="8"/>
        </w:numPr>
        <w:spacing w:before="40" w:after="80"/>
        <w:rPr>
          <w:sz w:val="20"/>
          <w:szCs w:val="20"/>
        </w:rPr>
      </w:pPr>
      <w:r>
        <w:rPr>
          <w:sz w:val="20"/>
          <w:szCs w:val="20"/>
        </w:rPr>
        <w:t>Increase</w:t>
      </w:r>
      <w:r w:rsidR="00AE5BED">
        <w:rPr>
          <w:sz w:val="20"/>
          <w:szCs w:val="20"/>
        </w:rPr>
        <w:t xml:space="preserve"> the</w:t>
      </w:r>
      <w:r w:rsidR="00A16990" w:rsidRPr="004E3784">
        <w:rPr>
          <w:sz w:val="20"/>
          <w:szCs w:val="20"/>
        </w:rPr>
        <w:t xml:space="preserve"> capacity </w:t>
      </w:r>
      <w:r w:rsidR="00AE5BED">
        <w:rPr>
          <w:sz w:val="20"/>
          <w:szCs w:val="20"/>
        </w:rPr>
        <w:t>of</w:t>
      </w:r>
      <w:r w:rsidR="00AE5BED" w:rsidRPr="004E3784">
        <w:rPr>
          <w:sz w:val="20"/>
          <w:szCs w:val="20"/>
        </w:rPr>
        <w:t xml:space="preserve"> </w:t>
      </w:r>
      <w:r w:rsidR="00A16990" w:rsidRPr="004E3784">
        <w:rPr>
          <w:sz w:val="20"/>
          <w:szCs w:val="20"/>
        </w:rPr>
        <w:t xml:space="preserve">health professionals </w:t>
      </w:r>
      <w:r>
        <w:rPr>
          <w:sz w:val="20"/>
          <w:szCs w:val="20"/>
        </w:rPr>
        <w:t>to undertake</w:t>
      </w:r>
      <w:r w:rsidRPr="004E3784">
        <w:rPr>
          <w:sz w:val="20"/>
          <w:szCs w:val="20"/>
        </w:rPr>
        <w:t xml:space="preserve"> </w:t>
      </w:r>
      <w:r w:rsidR="00A16990">
        <w:rPr>
          <w:sz w:val="20"/>
          <w:szCs w:val="20"/>
        </w:rPr>
        <w:t>culturally</w:t>
      </w:r>
      <w:r w:rsidR="001A732E">
        <w:rPr>
          <w:sz w:val="20"/>
          <w:szCs w:val="20"/>
        </w:rPr>
        <w:t xml:space="preserve"> </w:t>
      </w:r>
      <w:r w:rsidR="008A6680">
        <w:rPr>
          <w:sz w:val="20"/>
          <w:szCs w:val="20"/>
        </w:rPr>
        <w:t>safe</w:t>
      </w:r>
      <w:r w:rsidR="00EA7756">
        <w:rPr>
          <w:sz w:val="20"/>
          <w:szCs w:val="20"/>
        </w:rPr>
        <w:t>,</w:t>
      </w:r>
      <w:r w:rsidR="008A6680">
        <w:rPr>
          <w:sz w:val="20"/>
          <w:szCs w:val="20"/>
        </w:rPr>
        <w:t xml:space="preserve"> </w:t>
      </w:r>
      <w:r w:rsidR="00A16990" w:rsidRPr="004E3784">
        <w:rPr>
          <w:sz w:val="20"/>
          <w:szCs w:val="20"/>
        </w:rPr>
        <w:t>rapid contact tracing</w:t>
      </w:r>
      <w:r w:rsidR="00A16990">
        <w:rPr>
          <w:sz w:val="20"/>
          <w:szCs w:val="20"/>
        </w:rPr>
        <w:t xml:space="preserve"> and partner treatment which build</w:t>
      </w:r>
      <w:r>
        <w:rPr>
          <w:sz w:val="20"/>
          <w:szCs w:val="20"/>
        </w:rPr>
        <w:t>s</w:t>
      </w:r>
      <w:r w:rsidR="00A16990">
        <w:rPr>
          <w:sz w:val="20"/>
          <w:szCs w:val="20"/>
        </w:rPr>
        <w:t xml:space="preserve"> on established</w:t>
      </w:r>
      <w:r w:rsidR="00AE5BED">
        <w:rPr>
          <w:sz w:val="20"/>
          <w:szCs w:val="20"/>
        </w:rPr>
        <w:t xml:space="preserve"> networks</w:t>
      </w:r>
      <w:r w:rsidR="00A16990">
        <w:rPr>
          <w:sz w:val="20"/>
          <w:szCs w:val="20"/>
        </w:rPr>
        <w:t xml:space="preserve"> </w:t>
      </w:r>
      <w:r>
        <w:rPr>
          <w:sz w:val="20"/>
          <w:szCs w:val="20"/>
        </w:rPr>
        <w:t xml:space="preserve">and </w:t>
      </w:r>
      <w:r w:rsidR="00A16990">
        <w:rPr>
          <w:sz w:val="20"/>
          <w:szCs w:val="20"/>
        </w:rPr>
        <w:t>local partnerships</w:t>
      </w:r>
      <w:r w:rsidR="001A732E">
        <w:rPr>
          <w:sz w:val="20"/>
          <w:szCs w:val="20"/>
        </w:rPr>
        <w:t>;</w:t>
      </w:r>
      <w:r w:rsidR="00AE5BED">
        <w:rPr>
          <w:sz w:val="20"/>
          <w:szCs w:val="20"/>
        </w:rPr>
        <w:t xml:space="preserve"> and </w:t>
      </w:r>
      <w:r>
        <w:rPr>
          <w:sz w:val="20"/>
          <w:szCs w:val="20"/>
        </w:rPr>
        <w:t xml:space="preserve">explore </w:t>
      </w:r>
      <w:r w:rsidR="00AE5BED">
        <w:rPr>
          <w:sz w:val="20"/>
          <w:szCs w:val="20"/>
        </w:rPr>
        <w:t>the use of incentive</w:t>
      </w:r>
      <w:r>
        <w:rPr>
          <w:sz w:val="20"/>
          <w:szCs w:val="20"/>
        </w:rPr>
        <w:t xml:space="preserve">s </w:t>
      </w:r>
      <w:r w:rsidRPr="004E3784">
        <w:rPr>
          <w:sz w:val="20"/>
          <w:szCs w:val="20"/>
        </w:rPr>
        <w:t>for individuals at risk of ‘loss to follow</w:t>
      </w:r>
      <w:r w:rsidR="00F761C2">
        <w:rPr>
          <w:sz w:val="20"/>
          <w:szCs w:val="20"/>
        </w:rPr>
        <w:t>-</w:t>
      </w:r>
      <w:r w:rsidRPr="004E3784">
        <w:rPr>
          <w:sz w:val="20"/>
          <w:szCs w:val="20"/>
        </w:rPr>
        <w:t>up’</w:t>
      </w:r>
    </w:p>
    <w:p w14:paraId="01200984" w14:textId="187925E4" w:rsidR="00D85D1F" w:rsidRPr="008C779E" w:rsidRDefault="00D85D1F" w:rsidP="00506B62">
      <w:pPr>
        <w:pStyle w:val="TableNBullet"/>
        <w:numPr>
          <w:ilvl w:val="0"/>
          <w:numId w:val="8"/>
        </w:numPr>
        <w:spacing w:after="80"/>
        <w:rPr>
          <w:sz w:val="20"/>
          <w:szCs w:val="20"/>
        </w:rPr>
      </w:pPr>
      <w:r w:rsidRPr="008C779E">
        <w:rPr>
          <w:sz w:val="20"/>
          <w:szCs w:val="20"/>
        </w:rPr>
        <w:lastRenderedPageBreak/>
        <w:t>Regularly update, maintain and promote the use of evidence-based clinical guidelines and resources for health professionals to guide high-quality testing, treatment, monitoring and care</w:t>
      </w:r>
      <w:r w:rsidR="001A732E">
        <w:rPr>
          <w:sz w:val="20"/>
          <w:szCs w:val="20"/>
        </w:rPr>
        <w:t>;</w:t>
      </w:r>
      <w:r w:rsidR="008F113F" w:rsidRPr="008C779E">
        <w:rPr>
          <w:sz w:val="20"/>
          <w:szCs w:val="20"/>
        </w:rPr>
        <w:t xml:space="preserve"> and identify opportunities to better integrate these guidelines into routine clinical practice</w:t>
      </w:r>
    </w:p>
    <w:p w14:paraId="4519BBB5" w14:textId="32823502" w:rsidR="00BE1257" w:rsidRDefault="00BE1257" w:rsidP="00BE1257">
      <w:pPr>
        <w:pStyle w:val="Bullet"/>
        <w:numPr>
          <w:ilvl w:val="0"/>
          <w:numId w:val="8"/>
        </w:numPr>
        <w:spacing w:before="40" w:after="80"/>
        <w:rPr>
          <w:sz w:val="20"/>
        </w:rPr>
      </w:pPr>
      <w:r>
        <w:rPr>
          <w:sz w:val="20"/>
        </w:rPr>
        <w:t xml:space="preserve">Develop systems to ensure </w:t>
      </w:r>
      <w:r w:rsidRPr="00260A3D">
        <w:rPr>
          <w:sz w:val="20"/>
        </w:rPr>
        <w:t>active patient management</w:t>
      </w:r>
      <w:r>
        <w:rPr>
          <w:sz w:val="20"/>
        </w:rPr>
        <w:t xml:space="preserve"> and strong coordination of care</w:t>
      </w:r>
      <w:r w:rsidRPr="00260A3D">
        <w:rPr>
          <w:sz w:val="20"/>
        </w:rPr>
        <w:t xml:space="preserve"> to support adherence to treatment</w:t>
      </w:r>
      <w:r>
        <w:rPr>
          <w:sz w:val="20"/>
        </w:rPr>
        <w:t xml:space="preserve"> and reduce ‘loss to follow</w:t>
      </w:r>
      <w:r w:rsidR="00F761C2">
        <w:rPr>
          <w:sz w:val="20"/>
        </w:rPr>
        <w:t>-</w:t>
      </w:r>
      <w:r>
        <w:rPr>
          <w:sz w:val="20"/>
        </w:rPr>
        <w:t>up’</w:t>
      </w:r>
      <w:r w:rsidRPr="00260A3D">
        <w:rPr>
          <w:sz w:val="20"/>
        </w:rPr>
        <w:t xml:space="preserve"> </w:t>
      </w:r>
      <w:r w:rsidR="00F32851">
        <w:rPr>
          <w:sz w:val="20"/>
        </w:rPr>
        <w:t xml:space="preserve">to ensure hepatitis C cure </w:t>
      </w:r>
      <w:r w:rsidRPr="00260A3D">
        <w:rPr>
          <w:sz w:val="20"/>
        </w:rPr>
        <w:t>and</w:t>
      </w:r>
      <w:r w:rsidR="00F761C2">
        <w:rPr>
          <w:sz w:val="20"/>
        </w:rPr>
        <w:t>,</w:t>
      </w:r>
      <w:r w:rsidRPr="00260A3D">
        <w:rPr>
          <w:sz w:val="20"/>
        </w:rPr>
        <w:t xml:space="preserve"> in the case of </w:t>
      </w:r>
      <w:r w:rsidR="00BA0DF1">
        <w:rPr>
          <w:sz w:val="20"/>
        </w:rPr>
        <w:t xml:space="preserve">hepatitis B and </w:t>
      </w:r>
      <w:r w:rsidRPr="00260A3D">
        <w:rPr>
          <w:sz w:val="20"/>
        </w:rPr>
        <w:t>HIV, support the achievement and maintenance of sustained viral suppression</w:t>
      </w:r>
    </w:p>
    <w:p w14:paraId="0742F5C9" w14:textId="3FB0FD34" w:rsidR="00D85D1F" w:rsidRDefault="00D85D1F" w:rsidP="00BE1257">
      <w:pPr>
        <w:pStyle w:val="Bullet"/>
        <w:numPr>
          <w:ilvl w:val="0"/>
          <w:numId w:val="8"/>
        </w:numPr>
        <w:spacing w:before="40" w:after="80"/>
        <w:rPr>
          <w:sz w:val="20"/>
          <w:szCs w:val="20"/>
        </w:rPr>
      </w:pPr>
      <w:r w:rsidRPr="004E3784">
        <w:rPr>
          <w:sz w:val="20"/>
          <w:szCs w:val="20"/>
        </w:rPr>
        <w:t>Support community</w:t>
      </w:r>
      <w:r w:rsidR="00F32851">
        <w:rPr>
          <w:sz w:val="20"/>
          <w:szCs w:val="20"/>
        </w:rPr>
        <w:t>-</w:t>
      </w:r>
      <w:r w:rsidRPr="004E3784">
        <w:rPr>
          <w:sz w:val="20"/>
          <w:szCs w:val="20"/>
        </w:rPr>
        <w:t xml:space="preserve"> </w:t>
      </w:r>
      <w:r w:rsidR="006E0BB6">
        <w:rPr>
          <w:sz w:val="20"/>
          <w:szCs w:val="20"/>
        </w:rPr>
        <w:t>and peer</w:t>
      </w:r>
      <w:r w:rsidR="00F32851">
        <w:rPr>
          <w:sz w:val="20"/>
          <w:szCs w:val="20"/>
        </w:rPr>
        <w:t>-</w:t>
      </w:r>
      <w:r w:rsidR="006E0BB6">
        <w:rPr>
          <w:sz w:val="20"/>
          <w:szCs w:val="20"/>
        </w:rPr>
        <w:t xml:space="preserve">based </w:t>
      </w:r>
      <w:r w:rsidRPr="004E3784">
        <w:rPr>
          <w:sz w:val="20"/>
          <w:szCs w:val="20"/>
        </w:rPr>
        <w:t xml:space="preserve">organisations and primary health services to develop the capacity of </w:t>
      </w:r>
      <w:r w:rsidR="00A30B32">
        <w:rPr>
          <w:sz w:val="20"/>
          <w:szCs w:val="20"/>
        </w:rPr>
        <w:t>Aboriginal and Torre</w:t>
      </w:r>
      <w:r w:rsidR="006809CE">
        <w:rPr>
          <w:sz w:val="20"/>
          <w:szCs w:val="20"/>
        </w:rPr>
        <w:t>s</w:t>
      </w:r>
      <w:r w:rsidR="00A30B32">
        <w:rPr>
          <w:sz w:val="20"/>
          <w:szCs w:val="20"/>
        </w:rPr>
        <w:t xml:space="preserve"> Strait Islander </w:t>
      </w:r>
      <w:r w:rsidRPr="004E3784">
        <w:rPr>
          <w:sz w:val="20"/>
          <w:szCs w:val="20"/>
        </w:rPr>
        <w:t>people living with chronic BBV to eff</w:t>
      </w:r>
      <w:r>
        <w:rPr>
          <w:sz w:val="20"/>
          <w:szCs w:val="20"/>
        </w:rPr>
        <w:t>ectively manage their condition</w:t>
      </w:r>
    </w:p>
    <w:p w14:paraId="2EDBD598" w14:textId="77777777" w:rsidR="00D85D1F" w:rsidRDefault="00D85D1F" w:rsidP="004E4634">
      <w:pPr>
        <w:pStyle w:val="Bullet"/>
        <w:numPr>
          <w:ilvl w:val="0"/>
          <w:numId w:val="8"/>
        </w:numPr>
        <w:spacing w:before="40" w:after="80"/>
        <w:rPr>
          <w:sz w:val="20"/>
          <w:szCs w:val="20"/>
        </w:rPr>
      </w:pPr>
      <w:r w:rsidRPr="002453FA">
        <w:rPr>
          <w:sz w:val="20"/>
          <w:szCs w:val="20"/>
        </w:rPr>
        <w:t xml:space="preserve">Identify and trial opportunities to increase access to prevention, testing and treatment </w:t>
      </w:r>
      <w:r w:rsidR="00BA0DF1">
        <w:rPr>
          <w:sz w:val="20"/>
          <w:szCs w:val="20"/>
        </w:rPr>
        <w:t xml:space="preserve">of BBV and STI </w:t>
      </w:r>
      <w:r w:rsidR="0099464B">
        <w:rPr>
          <w:sz w:val="20"/>
          <w:szCs w:val="20"/>
        </w:rPr>
        <w:t xml:space="preserve">for people </w:t>
      </w:r>
      <w:r w:rsidRPr="002453FA">
        <w:rPr>
          <w:sz w:val="20"/>
          <w:szCs w:val="20"/>
        </w:rPr>
        <w:t xml:space="preserve">in custodial </w:t>
      </w:r>
      <w:r w:rsidR="00BA0DF1">
        <w:rPr>
          <w:sz w:val="20"/>
          <w:szCs w:val="20"/>
        </w:rPr>
        <w:t xml:space="preserve">and youth detention </w:t>
      </w:r>
      <w:r w:rsidRPr="002453FA">
        <w:rPr>
          <w:sz w:val="20"/>
          <w:szCs w:val="20"/>
        </w:rPr>
        <w:t>settings, including nurse-led and other treatment programs</w:t>
      </w:r>
      <w:r w:rsidR="0099464B">
        <w:rPr>
          <w:sz w:val="20"/>
          <w:szCs w:val="20"/>
        </w:rPr>
        <w:t>/approaches</w:t>
      </w:r>
      <w:r w:rsidR="00BE1257">
        <w:rPr>
          <w:sz w:val="20"/>
          <w:szCs w:val="20"/>
        </w:rPr>
        <w:t>,</w:t>
      </w:r>
      <w:r w:rsidRPr="002453FA">
        <w:rPr>
          <w:sz w:val="20"/>
          <w:szCs w:val="20"/>
        </w:rPr>
        <w:t xml:space="preserve"> a</w:t>
      </w:r>
      <w:r w:rsidR="0099464B">
        <w:rPr>
          <w:sz w:val="20"/>
          <w:szCs w:val="20"/>
        </w:rPr>
        <w:t>s well as strengthened</w:t>
      </w:r>
      <w:r w:rsidRPr="002453FA">
        <w:rPr>
          <w:sz w:val="20"/>
          <w:szCs w:val="20"/>
        </w:rPr>
        <w:t xml:space="preserve"> systems for </w:t>
      </w:r>
      <w:r w:rsidR="0099464B">
        <w:rPr>
          <w:sz w:val="20"/>
          <w:szCs w:val="20"/>
        </w:rPr>
        <w:t>improving</w:t>
      </w:r>
      <w:r w:rsidRPr="002453FA">
        <w:rPr>
          <w:sz w:val="20"/>
          <w:szCs w:val="20"/>
        </w:rPr>
        <w:t xml:space="preserve"> </w:t>
      </w:r>
      <w:r w:rsidR="0099464B">
        <w:rPr>
          <w:sz w:val="20"/>
          <w:szCs w:val="20"/>
        </w:rPr>
        <w:t xml:space="preserve">continuity of treatment and care for </w:t>
      </w:r>
      <w:r w:rsidR="00BC2925">
        <w:rPr>
          <w:sz w:val="20"/>
          <w:szCs w:val="20"/>
        </w:rPr>
        <w:t xml:space="preserve">people </w:t>
      </w:r>
      <w:r w:rsidRPr="002453FA">
        <w:rPr>
          <w:sz w:val="20"/>
          <w:szCs w:val="20"/>
        </w:rPr>
        <w:t>upon re-entry into the community</w:t>
      </w:r>
    </w:p>
    <w:p w14:paraId="429DFD30" w14:textId="77777777" w:rsidR="00075261" w:rsidRPr="0099464B" w:rsidRDefault="00075261" w:rsidP="00C27BF5">
      <w:pPr>
        <w:pStyle w:val="Bullet"/>
        <w:spacing w:before="240" w:after="80"/>
        <w:rPr>
          <w:rFonts w:ascii="Segoe UI Semibold" w:hAnsi="Segoe UI Semibold"/>
          <w:color w:val="17365D"/>
          <w:sz w:val="22"/>
        </w:rPr>
      </w:pPr>
      <w:r w:rsidRPr="0099464B">
        <w:rPr>
          <w:rFonts w:ascii="Segoe UI Semibold" w:hAnsi="Segoe UI Semibold"/>
          <w:color w:val="17365D"/>
          <w:sz w:val="22"/>
        </w:rPr>
        <w:t>ADDRESSING STIGMA AND CREATING AN ENABLING ENVIRONMENT</w:t>
      </w:r>
    </w:p>
    <w:p w14:paraId="4206F387" w14:textId="29FBBD0D" w:rsidR="00075261" w:rsidRPr="005B0987" w:rsidRDefault="00075261" w:rsidP="009012A9">
      <w:pPr>
        <w:numPr>
          <w:ilvl w:val="0"/>
          <w:numId w:val="12"/>
        </w:numPr>
        <w:rPr>
          <w:i/>
          <w:sz w:val="20"/>
          <w:szCs w:val="20"/>
        </w:rPr>
      </w:pPr>
      <w:r w:rsidRPr="005B0987">
        <w:rPr>
          <w:i/>
          <w:sz w:val="20"/>
          <w:szCs w:val="20"/>
        </w:rPr>
        <w:t>Implement a range of initiatives</w:t>
      </w:r>
      <w:r w:rsidR="008D6BAC">
        <w:rPr>
          <w:i/>
          <w:sz w:val="20"/>
          <w:szCs w:val="20"/>
        </w:rPr>
        <w:t xml:space="preserve"> </w:t>
      </w:r>
      <w:r w:rsidRPr="005B0987">
        <w:rPr>
          <w:i/>
          <w:sz w:val="20"/>
          <w:szCs w:val="20"/>
        </w:rPr>
        <w:t xml:space="preserve">to address stigma and discrimination and minimise their impact on the health of Aboriginal and Torres Strait Islander people at risk </w:t>
      </w:r>
      <w:r>
        <w:rPr>
          <w:i/>
          <w:sz w:val="20"/>
          <w:szCs w:val="20"/>
        </w:rPr>
        <w:t>of or</w:t>
      </w:r>
      <w:r w:rsidRPr="005B0987">
        <w:rPr>
          <w:i/>
          <w:sz w:val="20"/>
          <w:szCs w:val="20"/>
        </w:rPr>
        <w:t xml:space="preserve"> living with BBV and/or STI</w:t>
      </w:r>
    </w:p>
    <w:p w14:paraId="1FB95AC3" w14:textId="4838671E" w:rsidR="00075261" w:rsidRDefault="00075261" w:rsidP="009012A9">
      <w:pPr>
        <w:numPr>
          <w:ilvl w:val="0"/>
          <w:numId w:val="12"/>
        </w:numPr>
        <w:rPr>
          <w:i/>
          <w:sz w:val="20"/>
          <w:szCs w:val="20"/>
        </w:rPr>
      </w:pPr>
      <w:r w:rsidRPr="005B0987">
        <w:rPr>
          <w:i/>
          <w:sz w:val="20"/>
          <w:szCs w:val="20"/>
        </w:rPr>
        <w:t xml:space="preserve">Continue to work towards addressing the legal, regulatory and policy barriers which affect Aboriginal and Torres Strait Islander priority </w:t>
      </w:r>
      <w:r w:rsidR="00FF651D">
        <w:rPr>
          <w:i/>
          <w:sz w:val="20"/>
          <w:szCs w:val="20"/>
        </w:rPr>
        <w:t>groups</w:t>
      </w:r>
      <w:r w:rsidR="00FF651D" w:rsidRPr="005B0987">
        <w:rPr>
          <w:i/>
          <w:sz w:val="20"/>
          <w:szCs w:val="20"/>
        </w:rPr>
        <w:t xml:space="preserve"> </w:t>
      </w:r>
      <w:r w:rsidRPr="005B0987">
        <w:rPr>
          <w:i/>
          <w:sz w:val="20"/>
          <w:szCs w:val="20"/>
        </w:rPr>
        <w:t>and influence their health</w:t>
      </w:r>
      <w:r w:rsidR="00F761C2">
        <w:rPr>
          <w:i/>
          <w:sz w:val="20"/>
          <w:szCs w:val="20"/>
        </w:rPr>
        <w:t>-</w:t>
      </w:r>
      <w:r w:rsidRPr="005B0987">
        <w:rPr>
          <w:i/>
          <w:sz w:val="20"/>
          <w:szCs w:val="20"/>
        </w:rPr>
        <w:t>seeking behaviours</w:t>
      </w:r>
    </w:p>
    <w:p w14:paraId="24DBA0B7" w14:textId="331C6F61" w:rsidR="00A2107B" w:rsidRPr="005B0987" w:rsidRDefault="00A2107B" w:rsidP="009012A9">
      <w:pPr>
        <w:numPr>
          <w:ilvl w:val="0"/>
          <w:numId w:val="12"/>
        </w:numPr>
        <w:rPr>
          <w:i/>
          <w:sz w:val="20"/>
          <w:szCs w:val="20"/>
        </w:rPr>
      </w:pPr>
      <w:r>
        <w:rPr>
          <w:i/>
          <w:sz w:val="20"/>
          <w:szCs w:val="20"/>
        </w:rPr>
        <w:t xml:space="preserve">Continue to work towards addressing negative and culturally unsafe experiences of individuals and communities with the healthcare system and other institutions which </w:t>
      </w:r>
      <w:r w:rsidRPr="005B0987">
        <w:rPr>
          <w:i/>
          <w:sz w:val="20"/>
          <w:szCs w:val="20"/>
        </w:rPr>
        <w:t>influence health</w:t>
      </w:r>
      <w:r w:rsidR="00F761C2">
        <w:rPr>
          <w:i/>
          <w:sz w:val="20"/>
          <w:szCs w:val="20"/>
        </w:rPr>
        <w:t>-</w:t>
      </w:r>
      <w:r w:rsidRPr="005B0987">
        <w:rPr>
          <w:i/>
          <w:sz w:val="20"/>
          <w:szCs w:val="20"/>
        </w:rPr>
        <w:t>seeking behaviours</w:t>
      </w:r>
    </w:p>
    <w:p w14:paraId="18B156F6" w14:textId="0553747C" w:rsidR="00272FB3" w:rsidRPr="00272FB3" w:rsidRDefault="00272FB3" w:rsidP="00272FB3">
      <w:pPr>
        <w:spacing w:before="120" w:after="0"/>
        <w:rPr>
          <w:iCs/>
          <w:sz w:val="20"/>
          <w:szCs w:val="20"/>
        </w:rPr>
      </w:pPr>
      <w:r w:rsidRPr="00693F8E">
        <w:rPr>
          <w:iCs/>
          <w:sz w:val="20"/>
          <w:szCs w:val="20"/>
        </w:rPr>
        <w:t>The health and wellbeing of Aboriginal and Torres Strait Islander people continues to be challenged by experiences of stigma</w:t>
      </w:r>
      <w:r>
        <w:rPr>
          <w:iCs/>
          <w:sz w:val="20"/>
          <w:szCs w:val="20"/>
        </w:rPr>
        <w:t>, racism</w:t>
      </w:r>
      <w:r w:rsidRPr="00693F8E">
        <w:rPr>
          <w:iCs/>
          <w:sz w:val="20"/>
          <w:szCs w:val="20"/>
        </w:rPr>
        <w:t xml:space="preserve"> and discrimination not only </w:t>
      </w:r>
      <w:r w:rsidR="00F761C2">
        <w:rPr>
          <w:iCs/>
          <w:sz w:val="20"/>
          <w:szCs w:val="20"/>
        </w:rPr>
        <w:t xml:space="preserve">in </w:t>
      </w:r>
      <w:r w:rsidRPr="00693F8E">
        <w:rPr>
          <w:iCs/>
          <w:sz w:val="20"/>
          <w:szCs w:val="20"/>
        </w:rPr>
        <w:t>health but also in community and other settings.</w:t>
      </w:r>
      <w:r w:rsidRPr="00693F8E">
        <w:rPr>
          <w:rStyle w:val="EndnoteReference"/>
          <w:iCs/>
          <w:sz w:val="20"/>
          <w:szCs w:val="20"/>
        </w:rPr>
        <w:endnoteReference w:id="90"/>
      </w:r>
      <w:r w:rsidRPr="00693F8E">
        <w:rPr>
          <w:iCs/>
          <w:sz w:val="20"/>
          <w:szCs w:val="20"/>
        </w:rPr>
        <w:t xml:space="preserve"> </w:t>
      </w:r>
      <w:r w:rsidRPr="00272FB3">
        <w:rPr>
          <w:iCs/>
          <w:sz w:val="20"/>
          <w:szCs w:val="20"/>
        </w:rPr>
        <w:t xml:space="preserve">Stigma </w:t>
      </w:r>
      <w:r>
        <w:rPr>
          <w:iCs/>
          <w:sz w:val="20"/>
          <w:szCs w:val="20"/>
        </w:rPr>
        <w:t xml:space="preserve">specifically </w:t>
      </w:r>
      <w:r w:rsidRPr="00272FB3">
        <w:rPr>
          <w:iCs/>
          <w:sz w:val="20"/>
          <w:szCs w:val="20"/>
        </w:rPr>
        <w:t>associated with BBV and STI remains a major barrier to uptake of testing and treatment services</w:t>
      </w:r>
      <w:r w:rsidR="0019104A">
        <w:rPr>
          <w:iCs/>
          <w:sz w:val="20"/>
          <w:szCs w:val="20"/>
        </w:rPr>
        <w:t>.</w:t>
      </w:r>
      <w:r w:rsidRPr="00272FB3">
        <w:rPr>
          <w:iCs/>
          <w:sz w:val="20"/>
          <w:szCs w:val="20"/>
        </w:rPr>
        <w:t xml:space="preserve"> </w:t>
      </w:r>
      <w:r w:rsidR="0019104A">
        <w:rPr>
          <w:iCs/>
          <w:sz w:val="20"/>
          <w:szCs w:val="20"/>
        </w:rPr>
        <w:t xml:space="preserve">This </w:t>
      </w:r>
      <w:r w:rsidRPr="00272FB3">
        <w:rPr>
          <w:iCs/>
          <w:sz w:val="20"/>
          <w:szCs w:val="20"/>
        </w:rPr>
        <w:t>can be exacerbated in regional and remote areas due to distance</w:t>
      </w:r>
      <w:r w:rsidR="006E0BB6">
        <w:rPr>
          <w:iCs/>
          <w:sz w:val="20"/>
          <w:szCs w:val="20"/>
        </w:rPr>
        <w:t>, confidentiality concerns</w:t>
      </w:r>
      <w:r w:rsidRPr="00272FB3">
        <w:rPr>
          <w:iCs/>
          <w:sz w:val="20"/>
          <w:szCs w:val="20"/>
        </w:rPr>
        <w:t xml:space="preserve"> and sparse service availability in some localities. </w:t>
      </w:r>
    </w:p>
    <w:p w14:paraId="6661E3F8" w14:textId="77777777" w:rsidR="00272FB3" w:rsidRDefault="00272FB3" w:rsidP="00272FB3">
      <w:pPr>
        <w:spacing w:before="120" w:after="0"/>
        <w:rPr>
          <w:iCs/>
          <w:sz w:val="20"/>
          <w:szCs w:val="20"/>
        </w:rPr>
      </w:pPr>
      <w:r w:rsidRPr="00693F8E">
        <w:rPr>
          <w:iCs/>
          <w:sz w:val="20"/>
          <w:szCs w:val="20"/>
        </w:rPr>
        <w:t xml:space="preserve">A strong enabling and culturally </w:t>
      </w:r>
      <w:r>
        <w:rPr>
          <w:iCs/>
          <w:sz w:val="20"/>
          <w:szCs w:val="20"/>
        </w:rPr>
        <w:t>safe</w:t>
      </w:r>
      <w:r w:rsidRPr="00693F8E">
        <w:rPr>
          <w:iCs/>
          <w:sz w:val="20"/>
          <w:szCs w:val="20"/>
        </w:rPr>
        <w:t xml:space="preserve"> environment is required to </w:t>
      </w:r>
      <w:r>
        <w:rPr>
          <w:iCs/>
          <w:sz w:val="20"/>
          <w:szCs w:val="20"/>
        </w:rPr>
        <w:t>support</w:t>
      </w:r>
      <w:r w:rsidRPr="00693F8E">
        <w:rPr>
          <w:iCs/>
          <w:sz w:val="20"/>
          <w:szCs w:val="20"/>
        </w:rPr>
        <w:t xml:space="preserve"> increased access to </w:t>
      </w:r>
      <w:r>
        <w:rPr>
          <w:iCs/>
          <w:sz w:val="20"/>
          <w:szCs w:val="20"/>
        </w:rPr>
        <w:t xml:space="preserve">BBV and STI </w:t>
      </w:r>
      <w:r w:rsidRPr="00693F8E">
        <w:rPr>
          <w:iCs/>
          <w:sz w:val="20"/>
          <w:szCs w:val="20"/>
        </w:rPr>
        <w:t>prevention, testing and treatment, reduc</w:t>
      </w:r>
      <w:r>
        <w:rPr>
          <w:iCs/>
          <w:sz w:val="20"/>
          <w:szCs w:val="20"/>
        </w:rPr>
        <w:t>e</w:t>
      </w:r>
      <w:r w:rsidRPr="00693F8E">
        <w:rPr>
          <w:iCs/>
          <w:sz w:val="20"/>
          <w:szCs w:val="20"/>
        </w:rPr>
        <w:t xml:space="preserve"> risk-taking behaviours</w:t>
      </w:r>
      <w:r>
        <w:rPr>
          <w:iCs/>
          <w:sz w:val="20"/>
          <w:szCs w:val="20"/>
        </w:rPr>
        <w:t>, empower priority populations,</w:t>
      </w:r>
      <w:r w:rsidRPr="00693F8E">
        <w:rPr>
          <w:iCs/>
          <w:sz w:val="20"/>
          <w:szCs w:val="20"/>
        </w:rPr>
        <w:t xml:space="preserve"> and improve overall health outcomes for Aboriginal and</w:t>
      </w:r>
      <w:r>
        <w:rPr>
          <w:iCs/>
          <w:sz w:val="20"/>
          <w:szCs w:val="20"/>
        </w:rPr>
        <w:t xml:space="preserve"> Torres Strait Islander people. </w:t>
      </w:r>
    </w:p>
    <w:p w14:paraId="5473A1AB" w14:textId="6DA85DC2" w:rsidR="00A16990" w:rsidRDefault="00A16990" w:rsidP="00A16990">
      <w:pPr>
        <w:spacing w:before="120" w:after="0"/>
        <w:rPr>
          <w:sz w:val="20"/>
          <w:szCs w:val="20"/>
          <w:lang w:eastAsia="en-AU"/>
        </w:rPr>
      </w:pPr>
      <w:r w:rsidRPr="00963EF0">
        <w:rPr>
          <w:sz w:val="20"/>
          <w:szCs w:val="20"/>
          <w:lang w:eastAsia="en-AU"/>
        </w:rPr>
        <w:t xml:space="preserve">Acknowledging the profound impact of </w:t>
      </w:r>
      <w:r>
        <w:rPr>
          <w:sz w:val="20"/>
          <w:szCs w:val="20"/>
          <w:lang w:eastAsia="en-AU"/>
        </w:rPr>
        <w:t xml:space="preserve">the </w:t>
      </w:r>
      <w:r w:rsidRPr="00963EF0">
        <w:rPr>
          <w:sz w:val="20"/>
          <w:szCs w:val="20"/>
          <w:lang w:eastAsia="en-AU"/>
        </w:rPr>
        <w:t xml:space="preserve">social determinants of health is fundamental in the design of any </w:t>
      </w:r>
      <w:r>
        <w:rPr>
          <w:sz w:val="20"/>
          <w:szCs w:val="20"/>
          <w:lang w:eastAsia="en-AU"/>
        </w:rPr>
        <w:t>program</w:t>
      </w:r>
      <w:r w:rsidRPr="00963EF0">
        <w:rPr>
          <w:sz w:val="20"/>
          <w:szCs w:val="20"/>
          <w:lang w:eastAsia="en-AU"/>
        </w:rPr>
        <w:t xml:space="preserve"> or health service </w:t>
      </w:r>
      <w:r>
        <w:rPr>
          <w:sz w:val="20"/>
          <w:szCs w:val="20"/>
          <w:lang w:eastAsia="en-AU"/>
        </w:rPr>
        <w:t xml:space="preserve">initiative. </w:t>
      </w:r>
      <w:r w:rsidRPr="00963EF0">
        <w:rPr>
          <w:sz w:val="20"/>
          <w:szCs w:val="20"/>
          <w:lang w:eastAsia="en-AU"/>
        </w:rPr>
        <w:t>This is particularly evident where there is socio-economic disadvantage, food insecurity, poor housing and low health literacy.</w:t>
      </w:r>
    </w:p>
    <w:p w14:paraId="730E11A2" w14:textId="6F21DBD4" w:rsidR="00FF651D" w:rsidRDefault="001A49CD" w:rsidP="00075261">
      <w:pPr>
        <w:spacing w:before="120" w:after="0"/>
        <w:rPr>
          <w:iCs/>
          <w:sz w:val="20"/>
          <w:szCs w:val="20"/>
        </w:rPr>
      </w:pPr>
      <w:r w:rsidRPr="001A49CD">
        <w:rPr>
          <w:iCs/>
          <w:sz w:val="20"/>
          <w:szCs w:val="20"/>
        </w:rPr>
        <w:t xml:space="preserve">Programs for Aboriginal and Torres Strait Islander populations that aim to address the burden of BBV and STI are currently delivered in communities in a range of forms </w:t>
      </w:r>
      <w:r w:rsidR="0019104A">
        <w:rPr>
          <w:iCs/>
          <w:sz w:val="20"/>
          <w:szCs w:val="20"/>
        </w:rPr>
        <w:t xml:space="preserve">and </w:t>
      </w:r>
      <w:r w:rsidRPr="001A49CD">
        <w:rPr>
          <w:iCs/>
          <w:sz w:val="20"/>
          <w:szCs w:val="20"/>
        </w:rPr>
        <w:t>through a network of services. However</w:t>
      </w:r>
      <w:r w:rsidR="0019104A">
        <w:rPr>
          <w:iCs/>
          <w:sz w:val="20"/>
          <w:szCs w:val="20"/>
        </w:rPr>
        <w:t>,</w:t>
      </w:r>
      <w:r w:rsidRPr="001A49CD">
        <w:rPr>
          <w:iCs/>
          <w:sz w:val="20"/>
          <w:szCs w:val="20"/>
        </w:rPr>
        <w:t xml:space="preserve"> multiple and overlapping sources of stigma </w:t>
      </w:r>
      <w:r w:rsidR="006E0BB6">
        <w:rPr>
          <w:iCs/>
          <w:sz w:val="20"/>
          <w:szCs w:val="20"/>
        </w:rPr>
        <w:t>experienced by Aboriginal and Torres Strait Islander priority groups</w:t>
      </w:r>
      <w:r w:rsidR="006E0BB6" w:rsidRPr="001A49CD">
        <w:rPr>
          <w:iCs/>
          <w:sz w:val="20"/>
          <w:szCs w:val="20"/>
        </w:rPr>
        <w:t xml:space="preserve"> </w:t>
      </w:r>
      <w:r w:rsidRPr="001A49CD">
        <w:rPr>
          <w:iCs/>
          <w:sz w:val="20"/>
          <w:szCs w:val="20"/>
        </w:rPr>
        <w:t>present barriers to the effectiveness of these</w:t>
      </w:r>
      <w:r w:rsidR="0019104A">
        <w:rPr>
          <w:iCs/>
          <w:sz w:val="20"/>
          <w:szCs w:val="20"/>
        </w:rPr>
        <w:t>,</w:t>
      </w:r>
      <w:r w:rsidRPr="001A49CD">
        <w:rPr>
          <w:iCs/>
          <w:sz w:val="20"/>
          <w:szCs w:val="20"/>
        </w:rPr>
        <w:t xml:space="preserve"> and more work needs to be done.</w:t>
      </w:r>
      <w:r w:rsidR="00FF651D">
        <w:rPr>
          <w:iCs/>
          <w:sz w:val="20"/>
          <w:szCs w:val="20"/>
        </w:rPr>
        <w:t xml:space="preserve"> </w:t>
      </w:r>
    </w:p>
    <w:p w14:paraId="7DC75EFF" w14:textId="4FBFB12E" w:rsidR="00934919" w:rsidRDefault="001A49CD" w:rsidP="00075261">
      <w:pPr>
        <w:spacing w:before="120" w:after="0"/>
        <w:rPr>
          <w:iCs/>
          <w:sz w:val="20"/>
          <w:szCs w:val="20"/>
        </w:rPr>
      </w:pPr>
      <w:r w:rsidRPr="00972966">
        <w:rPr>
          <w:iCs/>
          <w:sz w:val="20"/>
          <w:szCs w:val="20"/>
        </w:rPr>
        <w:t>Racism is a key social determinant of health for Aboriginal and Torres Strait Islander people. It can deter people from achieving their full capabilities by damaging self-confidence and self-worth</w:t>
      </w:r>
      <w:r w:rsidR="00396A87">
        <w:rPr>
          <w:iCs/>
          <w:sz w:val="20"/>
          <w:szCs w:val="20"/>
        </w:rPr>
        <w:t>. It can</w:t>
      </w:r>
      <w:r w:rsidRPr="00972966">
        <w:rPr>
          <w:iCs/>
          <w:sz w:val="20"/>
          <w:szCs w:val="20"/>
        </w:rPr>
        <w:t xml:space="preserve"> result in poorer mental health</w:t>
      </w:r>
      <w:r w:rsidRPr="00972966" w:rsidDel="00083331">
        <w:rPr>
          <w:iCs/>
          <w:sz w:val="20"/>
          <w:szCs w:val="20"/>
        </w:rPr>
        <w:t xml:space="preserve"> </w:t>
      </w:r>
      <w:r w:rsidRPr="00972966">
        <w:rPr>
          <w:iCs/>
          <w:sz w:val="20"/>
          <w:szCs w:val="20"/>
        </w:rPr>
        <w:t>and lead to reduced health</w:t>
      </w:r>
      <w:r w:rsidR="0019104A">
        <w:rPr>
          <w:iCs/>
          <w:sz w:val="20"/>
          <w:szCs w:val="20"/>
        </w:rPr>
        <w:t>-</w:t>
      </w:r>
      <w:r w:rsidRPr="00972966">
        <w:rPr>
          <w:iCs/>
          <w:sz w:val="20"/>
          <w:szCs w:val="20"/>
        </w:rPr>
        <w:t xml:space="preserve">seeking behaviours. </w:t>
      </w:r>
      <w:r w:rsidR="00B476FE" w:rsidRPr="00972966">
        <w:rPr>
          <w:iCs/>
          <w:sz w:val="20"/>
          <w:szCs w:val="20"/>
        </w:rPr>
        <w:t>Evidence demonstrates that racism experienced in the delivery of health services is associated with increased psychological distress and contributes to lower levels of health service access by Aboriginal and Torres Strait Islander people.</w:t>
      </w:r>
      <w:r w:rsidR="00B476FE" w:rsidRPr="00972966">
        <w:rPr>
          <w:rStyle w:val="EndnoteReference"/>
          <w:iCs/>
          <w:sz w:val="20"/>
          <w:szCs w:val="20"/>
        </w:rPr>
        <w:endnoteReference w:id="91"/>
      </w:r>
      <w:r w:rsidR="000E051C">
        <w:rPr>
          <w:iCs/>
          <w:sz w:val="20"/>
          <w:szCs w:val="20"/>
        </w:rPr>
        <w:t xml:space="preserve"> </w:t>
      </w:r>
      <w:r w:rsidR="006E0BB6">
        <w:rPr>
          <w:iCs/>
          <w:sz w:val="20"/>
          <w:szCs w:val="20"/>
        </w:rPr>
        <w:t xml:space="preserve">Conscious efforts </w:t>
      </w:r>
      <w:r w:rsidR="006C1308">
        <w:rPr>
          <w:iCs/>
          <w:sz w:val="20"/>
          <w:szCs w:val="20"/>
        </w:rPr>
        <w:t xml:space="preserve">must be made </w:t>
      </w:r>
      <w:r w:rsidR="006E0BB6">
        <w:rPr>
          <w:iCs/>
          <w:sz w:val="20"/>
          <w:szCs w:val="20"/>
        </w:rPr>
        <w:t xml:space="preserve">to counter racism in the design and delivery of health services, through inclusive health promotion messaging, employment practices and </w:t>
      </w:r>
      <w:r w:rsidR="00904BD0">
        <w:rPr>
          <w:iCs/>
          <w:sz w:val="20"/>
          <w:szCs w:val="20"/>
        </w:rPr>
        <w:t>cultural awareness</w:t>
      </w:r>
      <w:r w:rsidR="006E0BB6">
        <w:rPr>
          <w:iCs/>
          <w:sz w:val="20"/>
          <w:szCs w:val="20"/>
        </w:rPr>
        <w:t xml:space="preserve"> training for service providers. </w:t>
      </w:r>
    </w:p>
    <w:p w14:paraId="6494533F" w14:textId="271F7074" w:rsidR="00B476FE" w:rsidRPr="00972966" w:rsidRDefault="00904BD0" w:rsidP="00B476FE">
      <w:pPr>
        <w:spacing w:before="120" w:after="0"/>
        <w:rPr>
          <w:iCs/>
          <w:sz w:val="20"/>
          <w:szCs w:val="20"/>
        </w:rPr>
      </w:pPr>
      <w:r>
        <w:rPr>
          <w:iCs/>
          <w:sz w:val="20"/>
          <w:szCs w:val="20"/>
        </w:rPr>
        <w:t>S</w:t>
      </w:r>
      <w:r w:rsidR="000E051C" w:rsidRPr="00972966">
        <w:rPr>
          <w:iCs/>
          <w:sz w:val="20"/>
          <w:szCs w:val="20"/>
        </w:rPr>
        <w:t>tigma and discrimination experienced by Aboriginal and Torres Strait Islander people may be influenced by intersecting characteristics. This includes sexual orientation, gender and gender identity, disability, a history of substance abuse or injecting drug use</w:t>
      </w:r>
      <w:r w:rsidR="005A7A35">
        <w:rPr>
          <w:iCs/>
          <w:sz w:val="20"/>
          <w:szCs w:val="20"/>
        </w:rPr>
        <w:t>,</w:t>
      </w:r>
      <w:r w:rsidR="00396A87">
        <w:rPr>
          <w:iCs/>
          <w:sz w:val="20"/>
          <w:szCs w:val="20"/>
        </w:rPr>
        <w:t xml:space="preserve"> or</w:t>
      </w:r>
      <w:r w:rsidR="000E051C" w:rsidRPr="00972966">
        <w:rPr>
          <w:iCs/>
          <w:sz w:val="20"/>
          <w:szCs w:val="20"/>
        </w:rPr>
        <w:t xml:space="preserve"> being a sex worker or a person in a custodial setting. </w:t>
      </w:r>
      <w:r w:rsidR="00B476FE" w:rsidRPr="00972966">
        <w:rPr>
          <w:iCs/>
          <w:sz w:val="20"/>
          <w:szCs w:val="20"/>
        </w:rPr>
        <w:t>It is</w:t>
      </w:r>
      <w:r w:rsidR="00302752" w:rsidRPr="00972966">
        <w:rPr>
          <w:iCs/>
          <w:sz w:val="20"/>
          <w:szCs w:val="20"/>
        </w:rPr>
        <w:t xml:space="preserve"> </w:t>
      </w:r>
      <w:r w:rsidR="00B476FE" w:rsidRPr="00972966">
        <w:rPr>
          <w:iCs/>
          <w:sz w:val="20"/>
          <w:szCs w:val="20"/>
        </w:rPr>
        <w:t xml:space="preserve">important to recognise that stigma and discrimination </w:t>
      </w:r>
      <w:r w:rsidR="00302752" w:rsidRPr="00972966">
        <w:rPr>
          <w:iCs/>
          <w:sz w:val="20"/>
          <w:szCs w:val="20"/>
        </w:rPr>
        <w:t xml:space="preserve">also </w:t>
      </w:r>
      <w:r w:rsidR="00E71BD3" w:rsidRPr="00972966">
        <w:rPr>
          <w:iCs/>
          <w:sz w:val="20"/>
          <w:szCs w:val="20"/>
        </w:rPr>
        <w:t xml:space="preserve">occurs </w:t>
      </w:r>
      <w:r w:rsidR="00B476FE" w:rsidRPr="00972966">
        <w:rPr>
          <w:iCs/>
          <w:sz w:val="20"/>
          <w:szCs w:val="20"/>
        </w:rPr>
        <w:t>within Aboriginal and To</w:t>
      </w:r>
      <w:r w:rsidR="00205458">
        <w:rPr>
          <w:iCs/>
          <w:sz w:val="20"/>
          <w:szCs w:val="20"/>
        </w:rPr>
        <w:t>rres Strait Islander communities. Trans</w:t>
      </w:r>
      <w:r w:rsidR="000E051C">
        <w:rPr>
          <w:iCs/>
          <w:sz w:val="20"/>
          <w:szCs w:val="20"/>
        </w:rPr>
        <w:t xml:space="preserve">phobia towards </w:t>
      </w:r>
      <w:r w:rsidR="006C1308" w:rsidRPr="006C1308">
        <w:rPr>
          <w:iCs/>
          <w:sz w:val="20"/>
          <w:szCs w:val="20"/>
        </w:rPr>
        <w:t>Sistagirls/Sistergirls</w:t>
      </w:r>
      <w:r w:rsidR="006C1308" w:rsidRPr="006C1308" w:rsidDel="006C1308">
        <w:rPr>
          <w:iCs/>
          <w:sz w:val="20"/>
          <w:szCs w:val="20"/>
        </w:rPr>
        <w:t xml:space="preserve"> </w:t>
      </w:r>
      <w:r w:rsidR="000E051C">
        <w:rPr>
          <w:iCs/>
          <w:sz w:val="20"/>
          <w:szCs w:val="20"/>
        </w:rPr>
        <w:t>and B</w:t>
      </w:r>
      <w:r w:rsidR="00B476FE" w:rsidRPr="00972966">
        <w:rPr>
          <w:iCs/>
          <w:sz w:val="20"/>
          <w:szCs w:val="20"/>
        </w:rPr>
        <w:t>rotherboys</w:t>
      </w:r>
      <w:r w:rsidR="00205458">
        <w:rPr>
          <w:iCs/>
          <w:sz w:val="20"/>
          <w:szCs w:val="20"/>
        </w:rPr>
        <w:t xml:space="preserve"> </w:t>
      </w:r>
      <w:r w:rsidR="00D524DE" w:rsidRPr="00972966">
        <w:rPr>
          <w:iCs/>
          <w:sz w:val="20"/>
          <w:szCs w:val="20"/>
        </w:rPr>
        <w:t>has been well</w:t>
      </w:r>
      <w:r w:rsidR="003F78B3">
        <w:rPr>
          <w:iCs/>
          <w:sz w:val="20"/>
          <w:szCs w:val="20"/>
        </w:rPr>
        <w:t xml:space="preserve"> </w:t>
      </w:r>
      <w:r w:rsidR="00D524DE" w:rsidRPr="00972966">
        <w:rPr>
          <w:iCs/>
          <w:sz w:val="20"/>
          <w:szCs w:val="20"/>
        </w:rPr>
        <w:t>documented</w:t>
      </w:r>
      <w:r w:rsidR="00205458">
        <w:rPr>
          <w:iCs/>
          <w:sz w:val="20"/>
          <w:szCs w:val="20"/>
        </w:rPr>
        <w:t xml:space="preserve"> and has</w:t>
      </w:r>
      <w:r w:rsidR="00316394">
        <w:rPr>
          <w:iCs/>
          <w:sz w:val="20"/>
          <w:szCs w:val="20"/>
        </w:rPr>
        <w:t xml:space="preserve"> </w:t>
      </w:r>
      <w:r w:rsidR="00316394">
        <w:rPr>
          <w:iCs/>
          <w:sz w:val="20"/>
          <w:szCs w:val="20"/>
        </w:rPr>
        <w:lastRenderedPageBreak/>
        <w:t>been</w:t>
      </w:r>
      <w:r w:rsidR="000E051C" w:rsidRPr="00972966">
        <w:rPr>
          <w:iCs/>
          <w:sz w:val="20"/>
          <w:szCs w:val="20"/>
        </w:rPr>
        <w:t xml:space="preserve"> </w:t>
      </w:r>
      <w:r w:rsidR="000E051C">
        <w:rPr>
          <w:iCs/>
          <w:sz w:val="20"/>
          <w:szCs w:val="20"/>
        </w:rPr>
        <w:t>associated with</w:t>
      </w:r>
      <w:r w:rsidR="000E051C" w:rsidRPr="00972966">
        <w:rPr>
          <w:iCs/>
          <w:sz w:val="20"/>
          <w:szCs w:val="20"/>
        </w:rPr>
        <w:t xml:space="preserve"> serious physical and mental health impacts</w:t>
      </w:r>
      <w:r w:rsidR="00396A87">
        <w:rPr>
          <w:iCs/>
          <w:sz w:val="20"/>
          <w:szCs w:val="20"/>
        </w:rPr>
        <w:t>. These may relate to</w:t>
      </w:r>
      <w:r w:rsidR="00580DBE">
        <w:rPr>
          <w:iCs/>
          <w:sz w:val="20"/>
          <w:szCs w:val="20"/>
        </w:rPr>
        <w:t xml:space="preserve"> </w:t>
      </w:r>
      <w:r w:rsidR="000E051C">
        <w:rPr>
          <w:iCs/>
          <w:sz w:val="20"/>
          <w:szCs w:val="20"/>
        </w:rPr>
        <w:t>ostracism</w:t>
      </w:r>
      <w:r w:rsidR="00302752" w:rsidRPr="00972966">
        <w:rPr>
          <w:iCs/>
          <w:sz w:val="20"/>
          <w:szCs w:val="20"/>
        </w:rPr>
        <w:t xml:space="preserve"> </w:t>
      </w:r>
      <w:r w:rsidR="00404502" w:rsidRPr="00972966">
        <w:rPr>
          <w:iCs/>
          <w:sz w:val="20"/>
          <w:szCs w:val="20"/>
        </w:rPr>
        <w:t>from community</w:t>
      </w:r>
      <w:r w:rsidR="00580DBE">
        <w:rPr>
          <w:iCs/>
          <w:sz w:val="20"/>
          <w:szCs w:val="20"/>
        </w:rPr>
        <w:t>,</w:t>
      </w:r>
      <w:r w:rsidR="000E051C">
        <w:rPr>
          <w:iCs/>
          <w:sz w:val="20"/>
          <w:szCs w:val="20"/>
        </w:rPr>
        <w:t xml:space="preserve"> </w:t>
      </w:r>
      <w:r w:rsidR="00F63200">
        <w:rPr>
          <w:iCs/>
          <w:sz w:val="20"/>
          <w:szCs w:val="20"/>
        </w:rPr>
        <w:t xml:space="preserve">relocation, </w:t>
      </w:r>
      <w:r w:rsidR="00302752" w:rsidRPr="00972966">
        <w:rPr>
          <w:iCs/>
          <w:sz w:val="20"/>
          <w:szCs w:val="20"/>
        </w:rPr>
        <w:t>and loss of identity</w:t>
      </w:r>
      <w:r w:rsidR="006C1308">
        <w:rPr>
          <w:iCs/>
          <w:sz w:val="20"/>
          <w:szCs w:val="20"/>
        </w:rPr>
        <w:t>.</w:t>
      </w:r>
      <w:r w:rsidR="00205458">
        <w:rPr>
          <w:iCs/>
          <w:sz w:val="20"/>
          <w:szCs w:val="20"/>
        </w:rPr>
        <w:t xml:space="preserve"> </w:t>
      </w:r>
      <w:r w:rsidR="006C1308">
        <w:rPr>
          <w:iCs/>
          <w:sz w:val="20"/>
          <w:szCs w:val="20"/>
        </w:rPr>
        <w:t xml:space="preserve">These impacts are amplified </w:t>
      </w:r>
      <w:r w:rsidR="00205458" w:rsidRPr="006C1308">
        <w:rPr>
          <w:iCs/>
          <w:sz w:val="20"/>
          <w:szCs w:val="20"/>
        </w:rPr>
        <w:t>because</w:t>
      </w:r>
      <w:r w:rsidR="00E71BD3" w:rsidRPr="006C1308">
        <w:rPr>
          <w:iCs/>
          <w:sz w:val="20"/>
          <w:szCs w:val="20"/>
        </w:rPr>
        <w:t xml:space="preserve"> </w:t>
      </w:r>
      <w:r w:rsidR="00302752" w:rsidRPr="006C1308">
        <w:rPr>
          <w:iCs/>
          <w:sz w:val="20"/>
          <w:szCs w:val="20"/>
        </w:rPr>
        <w:t xml:space="preserve">community and country are </w:t>
      </w:r>
      <w:r w:rsidR="00316394" w:rsidRPr="006C1308">
        <w:rPr>
          <w:iCs/>
          <w:sz w:val="20"/>
          <w:szCs w:val="20"/>
        </w:rPr>
        <w:t xml:space="preserve">such </w:t>
      </w:r>
      <w:r w:rsidR="00302752" w:rsidRPr="006C1308">
        <w:rPr>
          <w:iCs/>
          <w:sz w:val="20"/>
          <w:szCs w:val="20"/>
        </w:rPr>
        <w:t xml:space="preserve">essential aspects of Aboriginal and Torres Strait Islander people’s sense of self, wellbeing, and </w:t>
      </w:r>
      <w:r w:rsidR="00302752" w:rsidRPr="00020C3F">
        <w:rPr>
          <w:iCs/>
          <w:sz w:val="20"/>
          <w:szCs w:val="20"/>
        </w:rPr>
        <w:t>spirituality</w:t>
      </w:r>
      <w:r w:rsidR="00302752" w:rsidRPr="006C1308">
        <w:rPr>
          <w:iCs/>
          <w:sz w:val="20"/>
          <w:szCs w:val="20"/>
        </w:rPr>
        <w:t>.</w:t>
      </w:r>
      <w:r w:rsidR="00C73111" w:rsidRPr="00C73111">
        <w:rPr>
          <w:rStyle w:val="EndnoteReference"/>
        </w:rPr>
        <w:t>32,33</w:t>
      </w:r>
      <w:r w:rsidR="00302752" w:rsidRPr="00972966">
        <w:rPr>
          <w:iCs/>
          <w:sz w:val="20"/>
          <w:szCs w:val="20"/>
        </w:rPr>
        <w:t xml:space="preserve"> </w:t>
      </w:r>
    </w:p>
    <w:p w14:paraId="294A8668" w14:textId="6EAC14E1" w:rsidR="001C015C" w:rsidRDefault="00B476FE" w:rsidP="00143F0B">
      <w:pPr>
        <w:spacing w:before="120" w:after="0"/>
        <w:rPr>
          <w:iCs/>
          <w:sz w:val="20"/>
          <w:szCs w:val="20"/>
        </w:rPr>
      </w:pPr>
      <w:r w:rsidRPr="00972966">
        <w:rPr>
          <w:iCs/>
          <w:sz w:val="20"/>
          <w:szCs w:val="20"/>
        </w:rPr>
        <w:t xml:space="preserve">Programs such as local champions or mentor programs can provide visibility for </w:t>
      </w:r>
      <w:r w:rsidRPr="001331EF">
        <w:rPr>
          <w:iCs/>
          <w:sz w:val="20"/>
          <w:szCs w:val="20"/>
        </w:rPr>
        <w:t>young LGBTI community</w:t>
      </w:r>
      <w:r w:rsidRPr="00972966">
        <w:rPr>
          <w:iCs/>
          <w:sz w:val="20"/>
          <w:szCs w:val="20"/>
        </w:rPr>
        <w:t xml:space="preserve"> members and Aboriginal and Torres Strait Islander people living with a BBV or STI. The identification of these strong people in local communities assist</w:t>
      </w:r>
      <w:r w:rsidR="00433353">
        <w:rPr>
          <w:iCs/>
          <w:sz w:val="20"/>
          <w:szCs w:val="20"/>
        </w:rPr>
        <w:t>s the</w:t>
      </w:r>
      <w:r w:rsidRPr="00972966">
        <w:rPr>
          <w:iCs/>
          <w:sz w:val="20"/>
          <w:szCs w:val="20"/>
        </w:rPr>
        <w:t xml:space="preserve"> breakdown </w:t>
      </w:r>
      <w:r w:rsidR="00433353">
        <w:rPr>
          <w:iCs/>
          <w:sz w:val="20"/>
          <w:szCs w:val="20"/>
        </w:rPr>
        <w:t xml:space="preserve">of </w:t>
      </w:r>
      <w:r w:rsidRPr="00972966">
        <w:rPr>
          <w:iCs/>
          <w:sz w:val="20"/>
          <w:szCs w:val="20"/>
        </w:rPr>
        <w:t>shame and isolation that can be associated with being a member of a priority gro</w:t>
      </w:r>
      <w:r w:rsidR="000E051C">
        <w:rPr>
          <w:iCs/>
          <w:sz w:val="20"/>
          <w:szCs w:val="20"/>
        </w:rPr>
        <w:t xml:space="preserve">up identified in this </w:t>
      </w:r>
      <w:r w:rsidR="006C1308">
        <w:rPr>
          <w:iCs/>
          <w:sz w:val="20"/>
          <w:szCs w:val="20"/>
        </w:rPr>
        <w:t>s</w:t>
      </w:r>
      <w:r w:rsidR="000E051C">
        <w:rPr>
          <w:iCs/>
          <w:sz w:val="20"/>
          <w:szCs w:val="20"/>
        </w:rPr>
        <w:t>trategy.</w:t>
      </w:r>
      <w:r w:rsidR="00075261" w:rsidRPr="00693F8E">
        <w:rPr>
          <w:iCs/>
          <w:sz w:val="20"/>
          <w:szCs w:val="20"/>
        </w:rPr>
        <w:t xml:space="preserve"> </w:t>
      </w:r>
      <w:r w:rsidR="006E0BB6">
        <w:rPr>
          <w:iCs/>
          <w:sz w:val="20"/>
          <w:szCs w:val="20"/>
        </w:rPr>
        <w:t>The use of</w:t>
      </w:r>
      <w:r w:rsidR="0097287B">
        <w:rPr>
          <w:iCs/>
          <w:sz w:val="20"/>
          <w:szCs w:val="20"/>
        </w:rPr>
        <w:t xml:space="preserve"> </w:t>
      </w:r>
      <w:r w:rsidR="004C70BC">
        <w:rPr>
          <w:iCs/>
          <w:sz w:val="20"/>
          <w:szCs w:val="20"/>
        </w:rPr>
        <w:t>well-supported</w:t>
      </w:r>
      <w:r w:rsidR="006E0BB6">
        <w:rPr>
          <w:iCs/>
          <w:sz w:val="20"/>
          <w:szCs w:val="20"/>
        </w:rPr>
        <w:t xml:space="preserve"> peer educators from priority groups </w:t>
      </w:r>
      <w:r w:rsidR="005A7A35">
        <w:rPr>
          <w:iCs/>
          <w:sz w:val="20"/>
          <w:szCs w:val="20"/>
        </w:rPr>
        <w:t>can also assist</w:t>
      </w:r>
      <w:r w:rsidR="006E0BB6">
        <w:rPr>
          <w:iCs/>
          <w:sz w:val="20"/>
          <w:szCs w:val="20"/>
        </w:rPr>
        <w:t xml:space="preserve"> in breaking down stigma and discrimination, empowering individuals, strengthening communities and engendering better health outcomes. </w:t>
      </w:r>
    </w:p>
    <w:p w14:paraId="2B131A8D" w14:textId="2F0E2870" w:rsidR="00075261" w:rsidRDefault="00075261" w:rsidP="00075261">
      <w:pPr>
        <w:spacing w:before="120" w:after="0"/>
        <w:rPr>
          <w:iCs/>
          <w:sz w:val="20"/>
          <w:szCs w:val="20"/>
        </w:rPr>
      </w:pPr>
      <w:r w:rsidRPr="00693F8E">
        <w:rPr>
          <w:iCs/>
          <w:sz w:val="20"/>
          <w:szCs w:val="20"/>
        </w:rPr>
        <w:t xml:space="preserve">Aboriginal and Torres Strait Islander </w:t>
      </w:r>
      <w:r w:rsidR="001F23E3">
        <w:rPr>
          <w:iCs/>
          <w:sz w:val="20"/>
          <w:szCs w:val="20"/>
        </w:rPr>
        <w:t xml:space="preserve">peoples and </w:t>
      </w:r>
      <w:r>
        <w:rPr>
          <w:iCs/>
          <w:sz w:val="20"/>
          <w:szCs w:val="20"/>
        </w:rPr>
        <w:t xml:space="preserve">organisations </w:t>
      </w:r>
      <w:r w:rsidR="001F23E3">
        <w:rPr>
          <w:iCs/>
          <w:sz w:val="20"/>
          <w:szCs w:val="20"/>
        </w:rPr>
        <w:t>have</w:t>
      </w:r>
      <w:r w:rsidRPr="00693F8E">
        <w:rPr>
          <w:iCs/>
          <w:sz w:val="20"/>
          <w:szCs w:val="20"/>
        </w:rPr>
        <w:t xml:space="preserve"> a holistic view of health that focuses on the physical, cultural, emotional and social wellbeing of the individual, family and community. Actions to address B</w:t>
      </w:r>
      <w:r>
        <w:rPr>
          <w:iCs/>
          <w:sz w:val="20"/>
          <w:szCs w:val="20"/>
        </w:rPr>
        <w:t>BV and STI must be responded to</w:t>
      </w:r>
      <w:r w:rsidRPr="00693F8E">
        <w:rPr>
          <w:iCs/>
          <w:sz w:val="20"/>
          <w:szCs w:val="20"/>
        </w:rPr>
        <w:t xml:space="preserve"> within this context. Approaches need to respect the cultural rights, values, belief</w:t>
      </w:r>
      <w:r>
        <w:rPr>
          <w:iCs/>
          <w:sz w:val="20"/>
          <w:szCs w:val="20"/>
        </w:rPr>
        <w:t>s, knowledge</w:t>
      </w:r>
      <w:r w:rsidR="00A2107B">
        <w:rPr>
          <w:iCs/>
          <w:sz w:val="20"/>
          <w:szCs w:val="20"/>
        </w:rPr>
        <w:t>, aspirations</w:t>
      </w:r>
      <w:r w:rsidRPr="00693F8E">
        <w:rPr>
          <w:iCs/>
          <w:sz w:val="20"/>
          <w:szCs w:val="20"/>
        </w:rPr>
        <w:t xml:space="preserve"> and expectation</w:t>
      </w:r>
      <w:r w:rsidR="00A2107B">
        <w:rPr>
          <w:iCs/>
          <w:sz w:val="20"/>
          <w:szCs w:val="20"/>
        </w:rPr>
        <w:t>s</w:t>
      </w:r>
      <w:r w:rsidRPr="00693F8E">
        <w:rPr>
          <w:iCs/>
          <w:sz w:val="20"/>
          <w:szCs w:val="20"/>
        </w:rPr>
        <w:t xml:space="preserve"> of Aboriginal and Torres Strait Islander people. </w:t>
      </w:r>
    </w:p>
    <w:p w14:paraId="500F3C32" w14:textId="46505116" w:rsidR="00507B20" w:rsidRDefault="00075261" w:rsidP="00075261">
      <w:pPr>
        <w:spacing w:before="120" w:after="0"/>
        <w:rPr>
          <w:sz w:val="20"/>
          <w:szCs w:val="20"/>
          <w:lang w:eastAsia="en-AU"/>
        </w:rPr>
      </w:pPr>
      <w:r w:rsidRPr="00693F8E">
        <w:rPr>
          <w:sz w:val="20"/>
          <w:szCs w:val="20"/>
          <w:lang w:eastAsia="en-AU"/>
        </w:rPr>
        <w:t>Specific barriers</w:t>
      </w:r>
      <w:r>
        <w:rPr>
          <w:sz w:val="20"/>
          <w:szCs w:val="20"/>
          <w:lang w:eastAsia="en-AU"/>
        </w:rPr>
        <w:t xml:space="preserve">, including </w:t>
      </w:r>
      <w:r w:rsidRPr="00693F8E">
        <w:rPr>
          <w:sz w:val="20"/>
          <w:szCs w:val="20"/>
          <w:lang w:eastAsia="en-AU"/>
        </w:rPr>
        <w:t xml:space="preserve">the lack of access to culturally </w:t>
      </w:r>
      <w:r w:rsidR="008A6680">
        <w:rPr>
          <w:sz w:val="20"/>
          <w:szCs w:val="20"/>
          <w:lang w:eastAsia="en-AU"/>
        </w:rPr>
        <w:t>responsive</w:t>
      </w:r>
      <w:r w:rsidR="008A6680" w:rsidRPr="00693F8E">
        <w:rPr>
          <w:sz w:val="20"/>
          <w:szCs w:val="20"/>
          <w:lang w:eastAsia="en-AU"/>
        </w:rPr>
        <w:t xml:space="preserve"> </w:t>
      </w:r>
      <w:r w:rsidRPr="00693F8E">
        <w:rPr>
          <w:sz w:val="20"/>
          <w:szCs w:val="20"/>
          <w:lang w:eastAsia="en-AU"/>
        </w:rPr>
        <w:t>health services and concerns over confidentiality in accessing these services</w:t>
      </w:r>
      <w:r w:rsidR="006C1308">
        <w:rPr>
          <w:sz w:val="20"/>
          <w:szCs w:val="20"/>
          <w:lang w:eastAsia="en-AU"/>
        </w:rPr>
        <w:t xml:space="preserve">, </w:t>
      </w:r>
      <w:r w:rsidR="006C1308" w:rsidRPr="00693F8E">
        <w:rPr>
          <w:sz w:val="20"/>
          <w:szCs w:val="20"/>
          <w:lang w:eastAsia="en-AU"/>
        </w:rPr>
        <w:t>need to be addressed</w:t>
      </w:r>
      <w:r>
        <w:rPr>
          <w:sz w:val="20"/>
          <w:szCs w:val="20"/>
          <w:lang w:eastAsia="en-AU"/>
        </w:rPr>
        <w:t xml:space="preserve">. Confidentiality concerns are </w:t>
      </w:r>
      <w:r w:rsidRPr="00693F8E">
        <w:rPr>
          <w:sz w:val="20"/>
          <w:szCs w:val="20"/>
          <w:lang w:eastAsia="en-AU"/>
        </w:rPr>
        <w:t>particularly relevant in small communities where a member of the close or extended family may work in the local health service. Other barriers include a lack of male health workers for male patients</w:t>
      </w:r>
      <w:r w:rsidR="00684B3D">
        <w:rPr>
          <w:sz w:val="20"/>
          <w:szCs w:val="20"/>
          <w:lang w:eastAsia="en-AU"/>
        </w:rPr>
        <w:t>;</w:t>
      </w:r>
      <w:r w:rsidRPr="00693F8E">
        <w:rPr>
          <w:sz w:val="20"/>
          <w:szCs w:val="20"/>
          <w:lang w:eastAsia="en-AU"/>
        </w:rPr>
        <w:t xml:space="preserve"> cost barriers in seeking advice or treatment</w:t>
      </w:r>
      <w:r w:rsidR="00684B3D">
        <w:rPr>
          <w:sz w:val="20"/>
          <w:szCs w:val="20"/>
          <w:lang w:eastAsia="en-AU"/>
        </w:rPr>
        <w:t>;</w:t>
      </w:r>
      <w:r w:rsidRPr="00693F8E">
        <w:rPr>
          <w:sz w:val="20"/>
          <w:szCs w:val="20"/>
          <w:lang w:eastAsia="en-AU"/>
        </w:rPr>
        <w:t xml:space="preserve"> and transport, especially in rural and remote locations. These barriers are also underpinned by issues of cultural dislocation, personal </w:t>
      </w:r>
      <w:r w:rsidR="00A2107B">
        <w:rPr>
          <w:sz w:val="20"/>
          <w:szCs w:val="20"/>
          <w:lang w:eastAsia="en-AU"/>
        </w:rPr>
        <w:t xml:space="preserve">and intergenerational </w:t>
      </w:r>
      <w:r w:rsidRPr="00693F8E">
        <w:rPr>
          <w:sz w:val="20"/>
          <w:szCs w:val="20"/>
          <w:lang w:eastAsia="en-AU"/>
        </w:rPr>
        <w:t>trauma and ongoing stresses associated with disadvantage</w:t>
      </w:r>
      <w:r>
        <w:rPr>
          <w:sz w:val="20"/>
          <w:szCs w:val="20"/>
          <w:lang w:eastAsia="en-AU"/>
        </w:rPr>
        <w:t xml:space="preserve">. </w:t>
      </w:r>
    </w:p>
    <w:p w14:paraId="73852F64" w14:textId="26B2D9AB" w:rsidR="00075261" w:rsidRDefault="00075261" w:rsidP="00075261">
      <w:pPr>
        <w:spacing w:before="120" w:after="0"/>
        <w:rPr>
          <w:sz w:val="20"/>
          <w:szCs w:val="20"/>
          <w:lang w:eastAsia="en-AU"/>
        </w:rPr>
      </w:pPr>
      <w:r>
        <w:rPr>
          <w:sz w:val="20"/>
          <w:szCs w:val="20"/>
          <w:lang w:eastAsia="en-AU"/>
        </w:rPr>
        <w:t>This</w:t>
      </w:r>
      <w:r w:rsidRPr="00693F8E">
        <w:rPr>
          <w:sz w:val="20"/>
          <w:szCs w:val="20"/>
          <w:lang w:eastAsia="en-AU"/>
        </w:rPr>
        <w:t xml:space="preserve"> highlights the importance of </w:t>
      </w:r>
      <w:r w:rsidR="001531E7">
        <w:rPr>
          <w:sz w:val="20"/>
          <w:szCs w:val="20"/>
          <w:lang w:eastAsia="en-AU"/>
        </w:rPr>
        <w:t xml:space="preserve">strong community involvement and sustainable leadership from community Elders and new and emerging leaders </w:t>
      </w:r>
      <w:r>
        <w:rPr>
          <w:sz w:val="20"/>
          <w:szCs w:val="20"/>
          <w:lang w:eastAsia="en-AU"/>
        </w:rPr>
        <w:t xml:space="preserve">in the </w:t>
      </w:r>
      <w:r w:rsidRPr="0082631A">
        <w:rPr>
          <w:sz w:val="20"/>
          <w:szCs w:val="20"/>
          <w:lang w:eastAsia="en-AU"/>
        </w:rPr>
        <w:t>planning, design and</w:t>
      </w:r>
      <w:r>
        <w:rPr>
          <w:sz w:val="20"/>
          <w:szCs w:val="20"/>
          <w:lang w:eastAsia="en-AU"/>
        </w:rPr>
        <w:t xml:space="preserve"> </w:t>
      </w:r>
      <w:r w:rsidRPr="0082631A">
        <w:rPr>
          <w:sz w:val="20"/>
          <w:szCs w:val="20"/>
          <w:lang w:eastAsia="en-AU"/>
        </w:rPr>
        <w:t xml:space="preserve">implementation of </w:t>
      </w:r>
      <w:r>
        <w:rPr>
          <w:sz w:val="20"/>
          <w:szCs w:val="20"/>
          <w:lang w:eastAsia="en-AU"/>
        </w:rPr>
        <w:t>services and programs</w:t>
      </w:r>
      <w:r w:rsidR="00396A87">
        <w:rPr>
          <w:sz w:val="20"/>
          <w:szCs w:val="20"/>
          <w:lang w:eastAsia="en-AU"/>
        </w:rPr>
        <w:t>. This</w:t>
      </w:r>
      <w:r>
        <w:rPr>
          <w:sz w:val="20"/>
          <w:szCs w:val="20"/>
          <w:lang w:eastAsia="en-AU"/>
        </w:rPr>
        <w:t xml:space="preserve"> ensure</w:t>
      </w:r>
      <w:r w:rsidR="00396A87">
        <w:rPr>
          <w:sz w:val="20"/>
          <w:szCs w:val="20"/>
          <w:lang w:eastAsia="en-AU"/>
        </w:rPr>
        <w:t>s</w:t>
      </w:r>
      <w:r>
        <w:rPr>
          <w:sz w:val="20"/>
          <w:szCs w:val="20"/>
          <w:lang w:eastAsia="en-AU"/>
        </w:rPr>
        <w:t xml:space="preserve"> effective </w:t>
      </w:r>
      <w:r w:rsidR="001531E7">
        <w:rPr>
          <w:sz w:val="20"/>
          <w:szCs w:val="20"/>
          <w:lang w:eastAsia="en-AU"/>
        </w:rPr>
        <w:t>engage</w:t>
      </w:r>
      <w:r w:rsidR="00396A87">
        <w:rPr>
          <w:sz w:val="20"/>
          <w:szCs w:val="20"/>
          <w:lang w:eastAsia="en-AU"/>
        </w:rPr>
        <w:t>ment with</w:t>
      </w:r>
      <w:r w:rsidR="001531E7">
        <w:rPr>
          <w:sz w:val="20"/>
          <w:szCs w:val="20"/>
          <w:lang w:eastAsia="en-AU"/>
        </w:rPr>
        <w:t xml:space="preserve"> priority groups and </w:t>
      </w:r>
      <w:r>
        <w:rPr>
          <w:sz w:val="20"/>
          <w:szCs w:val="20"/>
          <w:lang w:eastAsia="en-AU"/>
        </w:rPr>
        <w:t>support</w:t>
      </w:r>
      <w:r w:rsidR="00396A87">
        <w:rPr>
          <w:sz w:val="20"/>
          <w:szCs w:val="20"/>
          <w:lang w:eastAsia="en-AU"/>
        </w:rPr>
        <w:t>s</w:t>
      </w:r>
      <w:r>
        <w:rPr>
          <w:sz w:val="20"/>
          <w:szCs w:val="20"/>
          <w:lang w:eastAsia="en-AU"/>
        </w:rPr>
        <w:t xml:space="preserve"> their health and wellbeing</w:t>
      </w:r>
      <w:r w:rsidRPr="0082631A">
        <w:rPr>
          <w:sz w:val="20"/>
          <w:szCs w:val="20"/>
          <w:lang w:eastAsia="en-AU"/>
        </w:rPr>
        <w:t>.</w:t>
      </w:r>
      <w:r w:rsidR="00FB20D1">
        <w:rPr>
          <w:sz w:val="20"/>
          <w:szCs w:val="20"/>
          <w:lang w:eastAsia="en-AU"/>
        </w:rPr>
        <w:t xml:space="preserve"> </w:t>
      </w:r>
    </w:p>
    <w:p w14:paraId="016527D1" w14:textId="692CF199" w:rsidR="00C21001" w:rsidRDefault="00C21001" w:rsidP="00C21001">
      <w:pPr>
        <w:spacing w:before="120" w:after="0"/>
        <w:rPr>
          <w:iCs/>
          <w:sz w:val="20"/>
          <w:szCs w:val="20"/>
        </w:rPr>
      </w:pPr>
      <w:r>
        <w:rPr>
          <w:iCs/>
          <w:sz w:val="20"/>
          <w:szCs w:val="20"/>
        </w:rPr>
        <w:t>Studies</w:t>
      </w:r>
      <w:r w:rsidRPr="00693F8E">
        <w:rPr>
          <w:iCs/>
          <w:sz w:val="20"/>
          <w:szCs w:val="20"/>
        </w:rPr>
        <w:t xml:space="preserve"> have found that removing legislative and non-legislative barriers</w:t>
      </w:r>
      <w:r>
        <w:rPr>
          <w:iCs/>
          <w:sz w:val="20"/>
          <w:szCs w:val="20"/>
        </w:rPr>
        <w:t>,</w:t>
      </w:r>
      <w:r w:rsidRPr="00693F8E">
        <w:rPr>
          <w:iCs/>
          <w:sz w:val="20"/>
          <w:szCs w:val="20"/>
        </w:rPr>
        <w:t xml:space="preserve"> and reducing stigma and discrimination</w:t>
      </w:r>
      <w:r>
        <w:rPr>
          <w:iCs/>
          <w:sz w:val="20"/>
          <w:szCs w:val="20"/>
        </w:rPr>
        <w:t>,</w:t>
      </w:r>
      <w:r w:rsidRPr="00693F8E">
        <w:rPr>
          <w:iCs/>
          <w:sz w:val="20"/>
          <w:szCs w:val="20"/>
        </w:rPr>
        <w:t xml:space="preserve"> increase</w:t>
      </w:r>
      <w:r>
        <w:rPr>
          <w:iCs/>
          <w:sz w:val="20"/>
          <w:szCs w:val="20"/>
        </w:rPr>
        <w:t xml:space="preserve">d the rates of </w:t>
      </w:r>
      <w:r w:rsidRPr="00693F8E">
        <w:rPr>
          <w:iCs/>
          <w:sz w:val="20"/>
          <w:szCs w:val="20"/>
        </w:rPr>
        <w:t>testing and treatment and contribute</w:t>
      </w:r>
      <w:r>
        <w:rPr>
          <w:iCs/>
          <w:sz w:val="20"/>
          <w:szCs w:val="20"/>
        </w:rPr>
        <w:t>d</w:t>
      </w:r>
      <w:r w:rsidRPr="00693F8E">
        <w:rPr>
          <w:iCs/>
          <w:sz w:val="20"/>
          <w:szCs w:val="20"/>
        </w:rPr>
        <w:t xml:space="preserve"> to a decrease in incidence and prevalence of various BBV </w:t>
      </w:r>
      <w:r w:rsidRPr="00020C3F">
        <w:rPr>
          <w:iCs/>
          <w:sz w:val="20"/>
          <w:szCs w:val="20"/>
        </w:rPr>
        <w:t>and STI.</w:t>
      </w:r>
      <w:r w:rsidR="00020C3F" w:rsidRPr="00020C3F">
        <w:rPr>
          <w:iCs/>
          <w:sz w:val="20"/>
          <w:szCs w:val="20"/>
          <w:vertAlign w:val="superscript"/>
        </w:rPr>
        <w:t>47,</w:t>
      </w:r>
      <w:r w:rsidRPr="00020C3F">
        <w:rPr>
          <w:rStyle w:val="EndnoteReference"/>
          <w:iCs/>
          <w:sz w:val="20"/>
          <w:szCs w:val="20"/>
        </w:rPr>
        <w:endnoteReference w:id="92"/>
      </w:r>
      <w:r w:rsidRPr="00020C3F">
        <w:rPr>
          <w:iCs/>
          <w:sz w:val="20"/>
          <w:szCs w:val="20"/>
        </w:rPr>
        <w:t xml:space="preserve"> The</w:t>
      </w:r>
      <w:r>
        <w:rPr>
          <w:iCs/>
          <w:sz w:val="20"/>
          <w:szCs w:val="20"/>
        </w:rPr>
        <w:t xml:space="preserve"> removal of these barriers would offer a proportionally beneficial impact on health outcomes for Aboriginal and Torres Strait Islander people</w:t>
      </w:r>
      <w:r w:rsidR="00684B3D">
        <w:rPr>
          <w:iCs/>
          <w:sz w:val="20"/>
          <w:szCs w:val="20"/>
        </w:rPr>
        <w:t>,</w:t>
      </w:r>
      <w:r>
        <w:rPr>
          <w:iCs/>
          <w:sz w:val="20"/>
          <w:szCs w:val="20"/>
        </w:rPr>
        <w:t xml:space="preserve"> who are subject to higher levels of criminalisation and incarceration than the non-Indigenous population. </w:t>
      </w:r>
    </w:p>
    <w:p w14:paraId="30806E31" w14:textId="77777777" w:rsidR="00075261" w:rsidRPr="00693F8E" w:rsidRDefault="00075261" w:rsidP="00075261">
      <w:pPr>
        <w:pStyle w:val="Bullet"/>
        <w:spacing w:before="120" w:after="0"/>
        <w:rPr>
          <w:rFonts w:eastAsia="Calibri"/>
          <w:b/>
          <w:bCs/>
          <w:color w:val="00264D"/>
          <w:sz w:val="20"/>
          <w:szCs w:val="20"/>
          <w:lang w:eastAsia="en-US"/>
        </w:rPr>
      </w:pPr>
      <w:r w:rsidRPr="00693F8E">
        <w:rPr>
          <w:rFonts w:eastAsia="Calibri"/>
          <w:b/>
          <w:bCs/>
          <w:color w:val="00264D"/>
          <w:sz w:val="20"/>
          <w:szCs w:val="20"/>
          <w:lang w:eastAsia="en-US"/>
        </w:rPr>
        <w:t>Key areas for action</w:t>
      </w:r>
    </w:p>
    <w:p w14:paraId="4A10162E" w14:textId="5117C496" w:rsidR="00192C9D" w:rsidRDefault="00192C9D" w:rsidP="002E3230">
      <w:pPr>
        <w:pStyle w:val="Bullet"/>
        <w:numPr>
          <w:ilvl w:val="0"/>
          <w:numId w:val="8"/>
        </w:numPr>
        <w:spacing w:before="120"/>
        <w:ind w:left="426" w:hanging="426"/>
        <w:rPr>
          <w:sz w:val="20"/>
          <w:szCs w:val="20"/>
        </w:rPr>
      </w:pPr>
      <w:r>
        <w:rPr>
          <w:sz w:val="20"/>
          <w:szCs w:val="20"/>
        </w:rPr>
        <w:t>Incorporate messaging to counteract stigma</w:t>
      </w:r>
      <w:r w:rsidR="00736C33">
        <w:rPr>
          <w:sz w:val="20"/>
          <w:szCs w:val="20"/>
        </w:rPr>
        <w:t>, racism</w:t>
      </w:r>
      <w:r>
        <w:rPr>
          <w:sz w:val="20"/>
          <w:szCs w:val="20"/>
        </w:rPr>
        <w:t xml:space="preserve"> and discrimination into prevention education programs and initiatives</w:t>
      </w:r>
    </w:p>
    <w:p w14:paraId="022B32B7" w14:textId="12439EF9" w:rsidR="00CB52DA" w:rsidRPr="00CB52DA" w:rsidRDefault="00CB52DA" w:rsidP="00CB52DA">
      <w:pPr>
        <w:pStyle w:val="Bullet"/>
        <w:numPr>
          <w:ilvl w:val="0"/>
          <w:numId w:val="8"/>
        </w:numPr>
        <w:spacing w:before="120"/>
        <w:ind w:left="426" w:hanging="426"/>
        <w:rPr>
          <w:sz w:val="20"/>
          <w:szCs w:val="20"/>
        </w:rPr>
      </w:pPr>
      <w:r w:rsidRPr="00CB52DA">
        <w:rPr>
          <w:sz w:val="20"/>
          <w:szCs w:val="20"/>
        </w:rPr>
        <w:t xml:space="preserve">Work to eliminate stigma, racism and discrimination, including prejudice against Aboriginal and Torres Strait Islander people and priority groups, </w:t>
      </w:r>
      <w:r w:rsidR="00D363B5" w:rsidRPr="00CB52DA">
        <w:rPr>
          <w:sz w:val="20"/>
          <w:szCs w:val="20"/>
        </w:rPr>
        <w:t xml:space="preserve">in the health workforce and wider community </w:t>
      </w:r>
      <w:r w:rsidRPr="00CB52DA">
        <w:rPr>
          <w:sz w:val="20"/>
          <w:szCs w:val="20"/>
        </w:rPr>
        <w:t xml:space="preserve">through </w:t>
      </w:r>
      <w:r w:rsidR="0003720E">
        <w:rPr>
          <w:sz w:val="20"/>
          <w:szCs w:val="20"/>
        </w:rPr>
        <w:t>evidence-based</w:t>
      </w:r>
      <w:r w:rsidRPr="00CB52DA">
        <w:rPr>
          <w:sz w:val="20"/>
          <w:szCs w:val="20"/>
        </w:rPr>
        <w:t xml:space="preserve"> education and training programs</w:t>
      </w:r>
    </w:p>
    <w:p w14:paraId="2C3CA3D7" w14:textId="11D4EFB5" w:rsidR="00736C33" w:rsidRPr="00693F8E" w:rsidRDefault="00736C33" w:rsidP="00736C33">
      <w:pPr>
        <w:pStyle w:val="Bullet"/>
        <w:numPr>
          <w:ilvl w:val="0"/>
          <w:numId w:val="8"/>
        </w:numPr>
        <w:spacing w:before="120"/>
        <w:ind w:left="426" w:hanging="426"/>
        <w:rPr>
          <w:sz w:val="20"/>
          <w:szCs w:val="20"/>
        </w:rPr>
      </w:pPr>
      <w:r>
        <w:rPr>
          <w:sz w:val="20"/>
          <w:szCs w:val="20"/>
        </w:rPr>
        <w:t xml:space="preserve">Provide culturally </w:t>
      </w:r>
      <w:r w:rsidR="008A6680">
        <w:rPr>
          <w:sz w:val="20"/>
          <w:szCs w:val="20"/>
        </w:rPr>
        <w:t xml:space="preserve">safe </w:t>
      </w:r>
      <w:r>
        <w:rPr>
          <w:sz w:val="20"/>
          <w:szCs w:val="20"/>
        </w:rPr>
        <w:t xml:space="preserve">services which support the elimination of </w:t>
      </w:r>
      <w:r w:rsidRPr="00693F8E">
        <w:rPr>
          <w:sz w:val="20"/>
          <w:szCs w:val="20"/>
        </w:rPr>
        <w:t xml:space="preserve">stigma and discrimination in </w:t>
      </w:r>
      <w:r>
        <w:rPr>
          <w:sz w:val="20"/>
          <w:szCs w:val="20"/>
        </w:rPr>
        <w:t>Aboriginal and Torres Strait Islander</w:t>
      </w:r>
      <w:r w:rsidRPr="00693F8E">
        <w:rPr>
          <w:sz w:val="20"/>
          <w:szCs w:val="20"/>
        </w:rPr>
        <w:t xml:space="preserve"> communities and healthcare settings</w:t>
      </w:r>
    </w:p>
    <w:p w14:paraId="7BD232A1" w14:textId="77777777" w:rsidR="00075261" w:rsidRPr="00740C52" w:rsidRDefault="00075261" w:rsidP="00075261">
      <w:pPr>
        <w:pStyle w:val="Bullet"/>
        <w:numPr>
          <w:ilvl w:val="0"/>
          <w:numId w:val="8"/>
        </w:numPr>
        <w:spacing w:before="120"/>
        <w:ind w:left="426" w:hanging="426"/>
        <w:rPr>
          <w:sz w:val="20"/>
          <w:szCs w:val="20"/>
        </w:rPr>
      </w:pPr>
      <w:r w:rsidRPr="00F20899">
        <w:rPr>
          <w:sz w:val="20"/>
          <w:szCs w:val="20"/>
        </w:rPr>
        <w:t xml:space="preserve">Encourage partnerships and joint action between Aboriginal and Torres Strait Islander organisations, community organisations representing priority </w:t>
      </w:r>
      <w:r w:rsidR="00BE09CF">
        <w:rPr>
          <w:sz w:val="20"/>
          <w:szCs w:val="20"/>
        </w:rPr>
        <w:t>groups</w:t>
      </w:r>
      <w:r w:rsidRPr="00F20899">
        <w:rPr>
          <w:sz w:val="20"/>
          <w:szCs w:val="20"/>
        </w:rPr>
        <w:t xml:space="preserve">, health services and other services providers to reduce the </w:t>
      </w:r>
      <w:r>
        <w:rPr>
          <w:sz w:val="20"/>
          <w:szCs w:val="20"/>
        </w:rPr>
        <w:t xml:space="preserve">experience </w:t>
      </w:r>
      <w:r w:rsidRPr="00F20899">
        <w:rPr>
          <w:sz w:val="20"/>
          <w:szCs w:val="20"/>
        </w:rPr>
        <w:t xml:space="preserve">of stigma and discrimination </w:t>
      </w:r>
      <w:r>
        <w:rPr>
          <w:sz w:val="20"/>
          <w:szCs w:val="20"/>
        </w:rPr>
        <w:t>for</w:t>
      </w:r>
      <w:r w:rsidRPr="00F20899">
        <w:rPr>
          <w:sz w:val="20"/>
          <w:szCs w:val="20"/>
        </w:rPr>
        <w:t xml:space="preserve"> individuals and communities</w:t>
      </w:r>
    </w:p>
    <w:p w14:paraId="49ED4346" w14:textId="4952E912" w:rsidR="00075261" w:rsidRDefault="00075261" w:rsidP="00075261">
      <w:pPr>
        <w:pStyle w:val="Bullet"/>
        <w:numPr>
          <w:ilvl w:val="0"/>
          <w:numId w:val="8"/>
        </w:numPr>
        <w:spacing w:before="120"/>
        <w:ind w:left="426" w:hanging="426"/>
        <w:rPr>
          <w:sz w:val="20"/>
        </w:rPr>
      </w:pPr>
      <w:r w:rsidRPr="00740C52">
        <w:rPr>
          <w:sz w:val="20"/>
        </w:rPr>
        <w:t xml:space="preserve">Commit to strengthen </w:t>
      </w:r>
      <w:r w:rsidR="002C439E">
        <w:rPr>
          <w:sz w:val="20"/>
        </w:rPr>
        <w:t xml:space="preserve">the </w:t>
      </w:r>
      <w:r w:rsidRPr="00740C52">
        <w:rPr>
          <w:sz w:val="20"/>
        </w:rPr>
        <w:t xml:space="preserve">coordination </w:t>
      </w:r>
      <w:r w:rsidRPr="009F113E">
        <w:rPr>
          <w:sz w:val="20"/>
        </w:rPr>
        <w:t>efforts across government</w:t>
      </w:r>
      <w:r w:rsidR="002C439E" w:rsidRPr="009F113E">
        <w:rPr>
          <w:sz w:val="20"/>
        </w:rPr>
        <w:t>s, Aboriginal and Torres Strait</w:t>
      </w:r>
      <w:r w:rsidRPr="009F113E">
        <w:rPr>
          <w:sz w:val="20"/>
        </w:rPr>
        <w:t xml:space="preserve"> Islander Community Controlled Health Services and the non</w:t>
      </w:r>
      <w:r w:rsidRPr="00246A31">
        <w:rPr>
          <w:sz w:val="20"/>
        </w:rPr>
        <w:t>-government sector through a shared responsibility for reducing stigma and discrimination</w:t>
      </w:r>
    </w:p>
    <w:p w14:paraId="2E3AA6C7" w14:textId="3EFD44AA" w:rsidR="00075261" w:rsidRPr="00C87A7E" w:rsidRDefault="002C439E" w:rsidP="00075261">
      <w:pPr>
        <w:pStyle w:val="ListParagraph"/>
        <w:numPr>
          <w:ilvl w:val="0"/>
          <w:numId w:val="8"/>
        </w:numPr>
        <w:ind w:left="426" w:hanging="426"/>
        <w:rPr>
          <w:rFonts w:eastAsia="Times New Roman"/>
          <w:sz w:val="20"/>
          <w:lang w:eastAsia="en-AU"/>
        </w:rPr>
      </w:pPr>
      <w:r>
        <w:rPr>
          <w:rFonts w:eastAsia="Times New Roman"/>
          <w:sz w:val="20"/>
          <w:lang w:eastAsia="en-AU"/>
        </w:rPr>
        <w:t>Further develop partnerships between g</w:t>
      </w:r>
      <w:r w:rsidR="00075261" w:rsidRPr="00693F8E">
        <w:rPr>
          <w:rFonts w:eastAsia="Times New Roman"/>
          <w:sz w:val="20"/>
          <w:lang w:eastAsia="en-AU"/>
        </w:rPr>
        <w:t>overnments, Aboriginal and Torres Strait Islander Community Controlled Health Services</w:t>
      </w:r>
      <w:r>
        <w:rPr>
          <w:rFonts w:eastAsia="Times New Roman"/>
          <w:sz w:val="20"/>
          <w:lang w:eastAsia="en-AU"/>
        </w:rPr>
        <w:t xml:space="preserve">, </w:t>
      </w:r>
      <w:r w:rsidR="00280411">
        <w:rPr>
          <w:sz w:val="20"/>
        </w:rPr>
        <w:t>BBV and STI organisations, and</w:t>
      </w:r>
      <w:r w:rsidR="003130CF">
        <w:rPr>
          <w:rFonts w:eastAsia="Times New Roman"/>
          <w:sz w:val="20"/>
          <w:lang w:eastAsia="en-AU"/>
        </w:rPr>
        <w:t xml:space="preserve"> other key partners in the response, </w:t>
      </w:r>
      <w:r w:rsidR="00075261" w:rsidRPr="00693F8E">
        <w:rPr>
          <w:rFonts w:eastAsia="Times New Roman"/>
          <w:sz w:val="20"/>
          <w:lang w:eastAsia="en-AU"/>
        </w:rPr>
        <w:t xml:space="preserve">to </w:t>
      </w:r>
      <w:r w:rsidR="00075261">
        <w:rPr>
          <w:rFonts w:eastAsia="Times New Roman"/>
          <w:sz w:val="20"/>
          <w:lang w:eastAsia="en-AU"/>
        </w:rPr>
        <w:t xml:space="preserve">identify opportunities to reduce </w:t>
      </w:r>
      <w:r w:rsidR="00F4376A">
        <w:rPr>
          <w:rFonts w:eastAsia="Times New Roman"/>
          <w:sz w:val="20"/>
          <w:lang w:eastAsia="en-AU"/>
        </w:rPr>
        <w:t xml:space="preserve">the </w:t>
      </w:r>
      <w:r w:rsidR="00075261">
        <w:rPr>
          <w:rFonts w:eastAsia="Times New Roman"/>
          <w:sz w:val="20"/>
          <w:lang w:eastAsia="en-AU"/>
        </w:rPr>
        <w:t>barriers</w:t>
      </w:r>
      <w:r w:rsidR="00075261" w:rsidRPr="00693F8E">
        <w:rPr>
          <w:rFonts w:eastAsia="Times New Roman"/>
          <w:sz w:val="20"/>
          <w:lang w:eastAsia="en-AU"/>
        </w:rPr>
        <w:t xml:space="preserve"> </w:t>
      </w:r>
      <w:r w:rsidR="00075261">
        <w:rPr>
          <w:rFonts w:eastAsia="Times New Roman"/>
          <w:sz w:val="20"/>
          <w:lang w:eastAsia="en-AU"/>
        </w:rPr>
        <w:t>(</w:t>
      </w:r>
      <w:r w:rsidR="00075261" w:rsidRPr="00693F8E">
        <w:rPr>
          <w:rFonts w:eastAsia="Times New Roman"/>
          <w:sz w:val="20"/>
          <w:lang w:eastAsia="en-AU"/>
        </w:rPr>
        <w:t>institutional, regulatory, systems and legal</w:t>
      </w:r>
      <w:r w:rsidR="00075261">
        <w:rPr>
          <w:rFonts w:eastAsia="Times New Roman"/>
          <w:sz w:val="20"/>
          <w:lang w:eastAsia="en-AU"/>
        </w:rPr>
        <w:t>)</w:t>
      </w:r>
      <w:r w:rsidR="00075261" w:rsidRPr="00693F8E">
        <w:rPr>
          <w:rFonts w:eastAsia="Times New Roman"/>
          <w:sz w:val="20"/>
          <w:lang w:eastAsia="en-AU"/>
        </w:rPr>
        <w:t xml:space="preserve"> to </w:t>
      </w:r>
      <w:r w:rsidR="00075261">
        <w:rPr>
          <w:rFonts w:eastAsia="Times New Roman"/>
          <w:sz w:val="20"/>
          <w:lang w:eastAsia="en-AU"/>
        </w:rPr>
        <w:t>access</w:t>
      </w:r>
      <w:r w:rsidR="00BE09CF">
        <w:rPr>
          <w:rFonts w:eastAsia="Times New Roman"/>
          <w:sz w:val="20"/>
          <w:lang w:eastAsia="en-AU"/>
        </w:rPr>
        <w:t>ing</w:t>
      </w:r>
      <w:r w:rsidR="00075261" w:rsidRPr="00693F8E">
        <w:rPr>
          <w:rFonts w:eastAsia="Times New Roman"/>
          <w:sz w:val="20"/>
          <w:lang w:eastAsia="en-AU"/>
        </w:rPr>
        <w:t xml:space="preserve"> </w:t>
      </w:r>
      <w:r w:rsidR="00075261">
        <w:rPr>
          <w:iCs/>
          <w:sz w:val="20"/>
        </w:rPr>
        <w:t xml:space="preserve">BBV and STI </w:t>
      </w:r>
      <w:r w:rsidR="00075261" w:rsidRPr="00693F8E">
        <w:rPr>
          <w:iCs/>
          <w:sz w:val="20"/>
        </w:rPr>
        <w:t>testing</w:t>
      </w:r>
      <w:r w:rsidR="00272FB3">
        <w:rPr>
          <w:iCs/>
          <w:sz w:val="20"/>
        </w:rPr>
        <w:t xml:space="preserve"> and treatment</w:t>
      </w:r>
    </w:p>
    <w:p w14:paraId="1B1CEBAC" w14:textId="77777777" w:rsidR="00075261" w:rsidRDefault="00075261" w:rsidP="00075261">
      <w:pPr>
        <w:pStyle w:val="ListParagraph"/>
        <w:rPr>
          <w:rFonts w:eastAsia="Times New Roman"/>
          <w:szCs w:val="19"/>
          <w:lang w:eastAsia="en-AU"/>
        </w:rPr>
      </w:pPr>
    </w:p>
    <w:p w14:paraId="3F89F4FC" w14:textId="0C1595E7" w:rsidR="00075261" w:rsidRPr="00D57053" w:rsidRDefault="002C439E" w:rsidP="00075261">
      <w:pPr>
        <w:spacing w:before="240"/>
        <w:rPr>
          <w:rFonts w:ascii="Segoe UI Semibold" w:hAnsi="Segoe UI Semibold"/>
          <w:color w:val="17365D"/>
          <w:sz w:val="22"/>
        </w:rPr>
      </w:pPr>
      <w:r>
        <w:rPr>
          <w:rFonts w:ascii="Segoe UI Semibold" w:hAnsi="Segoe UI Semibold"/>
          <w:color w:val="17365D"/>
          <w:sz w:val="22"/>
        </w:rPr>
        <w:t>C</w:t>
      </w:r>
      <w:r w:rsidR="00075261">
        <w:rPr>
          <w:rFonts w:ascii="Segoe UI Semibold" w:hAnsi="Segoe UI Semibold"/>
          <w:color w:val="17365D"/>
          <w:sz w:val="22"/>
        </w:rPr>
        <w:t xml:space="preserve">ULTURALLY </w:t>
      </w:r>
      <w:r w:rsidR="008A6680">
        <w:rPr>
          <w:rFonts w:ascii="Segoe UI Semibold" w:hAnsi="Segoe UI Semibold"/>
          <w:color w:val="17365D"/>
          <w:sz w:val="22"/>
        </w:rPr>
        <w:t>RESPONSIVE</w:t>
      </w:r>
      <w:r w:rsidR="00075261">
        <w:rPr>
          <w:rFonts w:ascii="Segoe UI Semibold" w:hAnsi="Segoe UI Semibold"/>
          <w:color w:val="17365D"/>
          <w:sz w:val="22"/>
        </w:rPr>
        <w:t>, COORDINATED AND ACCESSIBLE SERVICES</w:t>
      </w:r>
    </w:p>
    <w:p w14:paraId="2A8836AC" w14:textId="77777777" w:rsidR="00075261" w:rsidRDefault="00075261" w:rsidP="009012A9">
      <w:pPr>
        <w:numPr>
          <w:ilvl w:val="0"/>
          <w:numId w:val="12"/>
        </w:numPr>
        <w:rPr>
          <w:i/>
          <w:sz w:val="20"/>
          <w:szCs w:val="20"/>
        </w:rPr>
      </w:pPr>
      <w:r w:rsidRPr="00C85C30">
        <w:rPr>
          <w:i/>
          <w:sz w:val="20"/>
          <w:szCs w:val="20"/>
          <w:lang w:eastAsia="en-AU"/>
        </w:rPr>
        <w:t>Ide</w:t>
      </w:r>
      <w:r>
        <w:rPr>
          <w:i/>
          <w:sz w:val="20"/>
          <w:szCs w:val="20"/>
          <w:lang w:eastAsia="en-AU"/>
        </w:rPr>
        <w:t>ntify</w:t>
      </w:r>
      <w:r w:rsidRPr="00C85C30">
        <w:rPr>
          <w:i/>
          <w:sz w:val="20"/>
          <w:szCs w:val="20"/>
          <w:lang w:eastAsia="en-AU"/>
        </w:rPr>
        <w:t xml:space="preserve"> and implement novel multidisciplinary</w:t>
      </w:r>
      <w:r>
        <w:rPr>
          <w:i/>
          <w:sz w:val="20"/>
          <w:szCs w:val="20"/>
          <w:lang w:eastAsia="en-AU"/>
        </w:rPr>
        <w:t xml:space="preserve">, </w:t>
      </w:r>
      <w:r w:rsidR="000243D9">
        <w:rPr>
          <w:i/>
          <w:sz w:val="20"/>
          <w:szCs w:val="20"/>
          <w:lang w:eastAsia="en-AU"/>
        </w:rPr>
        <w:t xml:space="preserve">culturally safe and inclusive </w:t>
      </w:r>
      <w:r>
        <w:rPr>
          <w:i/>
          <w:sz w:val="20"/>
          <w:szCs w:val="20"/>
          <w:lang w:eastAsia="en-AU"/>
        </w:rPr>
        <w:t>coordinated</w:t>
      </w:r>
      <w:r w:rsidRPr="00C85C30">
        <w:rPr>
          <w:i/>
          <w:sz w:val="20"/>
          <w:szCs w:val="20"/>
          <w:lang w:eastAsia="en-AU"/>
        </w:rPr>
        <w:t xml:space="preserve"> </w:t>
      </w:r>
      <w:r w:rsidR="003B523D">
        <w:rPr>
          <w:i/>
          <w:sz w:val="20"/>
          <w:szCs w:val="20"/>
          <w:lang w:eastAsia="en-AU"/>
        </w:rPr>
        <w:t xml:space="preserve">and sustainable </w:t>
      </w:r>
      <w:r>
        <w:rPr>
          <w:i/>
          <w:sz w:val="20"/>
          <w:szCs w:val="20"/>
          <w:lang w:eastAsia="en-AU"/>
        </w:rPr>
        <w:t>programs</w:t>
      </w:r>
      <w:r w:rsidR="00A256DB">
        <w:rPr>
          <w:i/>
          <w:sz w:val="20"/>
          <w:szCs w:val="20"/>
          <w:lang w:eastAsia="en-AU"/>
        </w:rPr>
        <w:t xml:space="preserve"> which successfully </w:t>
      </w:r>
      <w:r w:rsidRPr="00C85C30">
        <w:rPr>
          <w:i/>
          <w:sz w:val="20"/>
          <w:szCs w:val="20"/>
          <w:lang w:eastAsia="en-AU"/>
        </w:rPr>
        <w:t xml:space="preserve">address the barriers experienced by communities and </w:t>
      </w:r>
      <w:r>
        <w:rPr>
          <w:i/>
          <w:sz w:val="20"/>
          <w:szCs w:val="20"/>
          <w:lang w:eastAsia="en-AU"/>
        </w:rPr>
        <w:t xml:space="preserve">significantly </w:t>
      </w:r>
      <w:r w:rsidRPr="00C85C30">
        <w:rPr>
          <w:i/>
          <w:sz w:val="20"/>
          <w:szCs w:val="20"/>
          <w:lang w:eastAsia="en-AU"/>
        </w:rPr>
        <w:t xml:space="preserve">increase </w:t>
      </w:r>
      <w:r>
        <w:rPr>
          <w:i/>
          <w:sz w:val="20"/>
          <w:szCs w:val="20"/>
          <w:lang w:eastAsia="en-AU"/>
        </w:rPr>
        <w:t xml:space="preserve">the uptake of </w:t>
      </w:r>
      <w:r w:rsidRPr="00C85C30">
        <w:rPr>
          <w:i/>
          <w:sz w:val="20"/>
          <w:szCs w:val="20"/>
          <w:lang w:eastAsia="en-AU"/>
        </w:rPr>
        <w:t xml:space="preserve">BBV and STI </w:t>
      </w:r>
      <w:r>
        <w:rPr>
          <w:i/>
          <w:sz w:val="20"/>
          <w:szCs w:val="20"/>
          <w:lang w:eastAsia="en-AU"/>
        </w:rPr>
        <w:t>services</w:t>
      </w:r>
    </w:p>
    <w:p w14:paraId="46A63721" w14:textId="43840812" w:rsidR="00261EA6" w:rsidRDefault="00075261" w:rsidP="00261EA6">
      <w:pPr>
        <w:spacing w:before="120"/>
        <w:rPr>
          <w:sz w:val="20"/>
          <w:szCs w:val="20"/>
          <w:lang w:eastAsia="en-AU"/>
        </w:rPr>
      </w:pPr>
      <w:r>
        <w:rPr>
          <w:sz w:val="20"/>
          <w:szCs w:val="20"/>
          <w:lang w:eastAsia="en-AU"/>
        </w:rPr>
        <w:t xml:space="preserve">Accessible, </w:t>
      </w:r>
      <w:r w:rsidR="00F4376A">
        <w:rPr>
          <w:sz w:val="20"/>
          <w:szCs w:val="20"/>
          <w:lang w:eastAsia="en-AU"/>
        </w:rPr>
        <w:t>high-</w:t>
      </w:r>
      <w:r>
        <w:rPr>
          <w:sz w:val="20"/>
          <w:szCs w:val="20"/>
          <w:lang w:eastAsia="en-AU"/>
        </w:rPr>
        <w:t xml:space="preserve">quality, culturally </w:t>
      </w:r>
      <w:r w:rsidR="008A6680">
        <w:rPr>
          <w:sz w:val="20"/>
          <w:szCs w:val="20"/>
          <w:lang w:eastAsia="en-AU"/>
        </w:rPr>
        <w:t xml:space="preserve">responsive </w:t>
      </w:r>
      <w:r>
        <w:rPr>
          <w:sz w:val="20"/>
          <w:szCs w:val="20"/>
          <w:lang w:eastAsia="en-AU"/>
        </w:rPr>
        <w:t>and regionally based services are essential to reducing the prevalence</w:t>
      </w:r>
      <w:r w:rsidR="00396A87">
        <w:rPr>
          <w:sz w:val="20"/>
          <w:szCs w:val="20"/>
          <w:lang w:eastAsia="en-AU"/>
        </w:rPr>
        <w:t xml:space="preserve"> and impact</w:t>
      </w:r>
      <w:r>
        <w:rPr>
          <w:sz w:val="20"/>
          <w:szCs w:val="20"/>
          <w:lang w:eastAsia="en-AU"/>
        </w:rPr>
        <w:t xml:space="preserve"> of BBV and STI on Aboriginal and Torres Strait Islander people. </w:t>
      </w:r>
      <w:r w:rsidRPr="0081152F">
        <w:rPr>
          <w:sz w:val="20"/>
          <w:szCs w:val="20"/>
          <w:lang w:eastAsia="en-AU"/>
        </w:rPr>
        <w:t>Evidence has repeatedly shown that Aboriginal and Torres Strait Islander p</w:t>
      </w:r>
      <w:r w:rsidR="00DD1C26">
        <w:rPr>
          <w:sz w:val="20"/>
          <w:szCs w:val="20"/>
          <w:lang w:eastAsia="en-AU"/>
        </w:rPr>
        <w:t>eople</w:t>
      </w:r>
      <w:r w:rsidRPr="0081152F">
        <w:rPr>
          <w:sz w:val="20"/>
          <w:szCs w:val="20"/>
          <w:lang w:eastAsia="en-AU"/>
        </w:rPr>
        <w:t xml:space="preserve"> are more likely to access health services where service providers communicate respectfully, have </w:t>
      </w:r>
      <w:r>
        <w:rPr>
          <w:sz w:val="20"/>
          <w:szCs w:val="20"/>
          <w:lang w:eastAsia="en-AU"/>
        </w:rPr>
        <w:t>an</w:t>
      </w:r>
      <w:r w:rsidRPr="0081152F">
        <w:rPr>
          <w:sz w:val="20"/>
          <w:szCs w:val="20"/>
          <w:lang w:eastAsia="en-AU"/>
        </w:rPr>
        <w:t xml:space="preserve"> understanding of culture</w:t>
      </w:r>
      <w:r w:rsidR="00C83BF6">
        <w:rPr>
          <w:sz w:val="20"/>
          <w:szCs w:val="20"/>
          <w:lang w:eastAsia="en-AU"/>
        </w:rPr>
        <w:t xml:space="preserve"> and </w:t>
      </w:r>
      <w:r w:rsidRPr="0081152F">
        <w:rPr>
          <w:sz w:val="20"/>
          <w:szCs w:val="20"/>
          <w:lang w:eastAsia="en-AU"/>
        </w:rPr>
        <w:t>build good relationships with Aboriginal and Torres Strait Islander p</w:t>
      </w:r>
      <w:r>
        <w:rPr>
          <w:sz w:val="20"/>
          <w:szCs w:val="20"/>
          <w:lang w:eastAsia="en-AU"/>
        </w:rPr>
        <w:t>eople</w:t>
      </w:r>
      <w:r w:rsidR="001F6D82">
        <w:rPr>
          <w:sz w:val="20"/>
          <w:szCs w:val="20"/>
          <w:lang w:eastAsia="en-AU"/>
        </w:rPr>
        <w:t>;</w:t>
      </w:r>
      <w:r w:rsidRPr="0081152F">
        <w:rPr>
          <w:sz w:val="20"/>
          <w:szCs w:val="20"/>
          <w:lang w:eastAsia="en-AU"/>
        </w:rPr>
        <w:t xml:space="preserve"> and where Aboriginal or Torres Strait Islander </w:t>
      </w:r>
      <w:r>
        <w:rPr>
          <w:sz w:val="20"/>
          <w:szCs w:val="20"/>
          <w:lang w:eastAsia="en-AU"/>
        </w:rPr>
        <w:t>staff</w:t>
      </w:r>
      <w:r w:rsidRPr="0081152F">
        <w:rPr>
          <w:sz w:val="20"/>
          <w:szCs w:val="20"/>
          <w:lang w:eastAsia="en-AU"/>
        </w:rPr>
        <w:t xml:space="preserve"> are part of the healthcare team.</w:t>
      </w:r>
      <w:r>
        <w:rPr>
          <w:rStyle w:val="EndnoteReference"/>
          <w:sz w:val="20"/>
          <w:szCs w:val="20"/>
          <w:lang w:eastAsia="en-AU"/>
        </w:rPr>
        <w:endnoteReference w:id="93"/>
      </w:r>
      <w:r>
        <w:rPr>
          <w:rFonts w:ascii="ProximaNova-Light" w:hAnsi="ProximaNova-Light" w:cs="ProximaNova-Light"/>
          <w:color w:val="000000"/>
          <w:sz w:val="21"/>
          <w:szCs w:val="21"/>
          <w:lang w:eastAsia="en-AU"/>
        </w:rPr>
        <w:t xml:space="preserve"> </w:t>
      </w:r>
      <w:r w:rsidRPr="0081152F">
        <w:rPr>
          <w:sz w:val="20"/>
          <w:szCs w:val="20"/>
          <w:lang w:eastAsia="en-AU"/>
        </w:rPr>
        <w:t xml:space="preserve">Research has highlighted how readily Aboriginal and Torres Strait Islander people attend services where they do not feel negatively judged </w:t>
      </w:r>
      <w:r w:rsidR="005D3F9D">
        <w:rPr>
          <w:sz w:val="20"/>
          <w:szCs w:val="20"/>
          <w:lang w:eastAsia="en-AU"/>
        </w:rPr>
        <w:t xml:space="preserve">and </w:t>
      </w:r>
      <w:r w:rsidR="00396A87">
        <w:rPr>
          <w:sz w:val="20"/>
          <w:szCs w:val="20"/>
          <w:lang w:eastAsia="en-AU"/>
        </w:rPr>
        <w:t xml:space="preserve">that </w:t>
      </w:r>
      <w:r w:rsidRPr="0081152F">
        <w:rPr>
          <w:sz w:val="20"/>
          <w:szCs w:val="20"/>
          <w:lang w:eastAsia="en-AU"/>
        </w:rPr>
        <w:t xml:space="preserve">stigma </w:t>
      </w:r>
      <w:r w:rsidR="00396A87">
        <w:rPr>
          <w:sz w:val="20"/>
          <w:szCs w:val="20"/>
          <w:lang w:eastAsia="en-AU"/>
        </w:rPr>
        <w:t>decreases</w:t>
      </w:r>
      <w:r w:rsidRPr="0081152F">
        <w:rPr>
          <w:sz w:val="20"/>
          <w:szCs w:val="20"/>
          <w:lang w:eastAsia="en-AU"/>
        </w:rPr>
        <w:t xml:space="preserve"> people’s access to healthcare services.</w:t>
      </w:r>
      <w:r>
        <w:rPr>
          <w:rStyle w:val="EndnoteReference"/>
          <w:sz w:val="20"/>
          <w:szCs w:val="20"/>
          <w:lang w:eastAsia="en-AU"/>
        </w:rPr>
        <w:endnoteReference w:id="94"/>
      </w:r>
      <w:r>
        <w:rPr>
          <w:sz w:val="20"/>
          <w:szCs w:val="20"/>
          <w:lang w:eastAsia="en-AU"/>
        </w:rPr>
        <w:t xml:space="preserve"> Delivery of services</w:t>
      </w:r>
      <w:r w:rsidRPr="003E2FF8">
        <w:rPr>
          <w:sz w:val="20"/>
          <w:szCs w:val="20"/>
          <w:lang w:eastAsia="en-AU"/>
        </w:rPr>
        <w:t xml:space="preserve"> in a </w:t>
      </w:r>
      <w:r w:rsidRPr="0081152F">
        <w:rPr>
          <w:sz w:val="20"/>
          <w:szCs w:val="20"/>
          <w:lang w:eastAsia="en-AU"/>
        </w:rPr>
        <w:t xml:space="preserve">friendly, culturally </w:t>
      </w:r>
      <w:r w:rsidR="008A6680">
        <w:rPr>
          <w:sz w:val="20"/>
          <w:szCs w:val="20"/>
          <w:lang w:eastAsia="en-AU"/>
        </w:rPr>
        <w:t>respectful</w:t>
      </w:r>
      <w:r w:rsidRPr="0081152F">
        <w:rPr>
          <w:sz w:val="20"/>
          <w:szCs w:val="20"/>
          <w:lang w:eastAsia="en-AU"/>
        </w:rPr>
        <w:t xml:space="preserve">, non-judgmental environment </w:t>
      </w:r>
      <w:r>
        <w:rPr>
          <w:sz w:val="20"/>
          <w:szCs w:val="20"/>
          <w:lang w:eastAsia="en-AU"/>
        </w:rPr>
        <w:t xml:space="preserve">that </w:t>
      </w:r>
      <w:r w:rsidRPr="0081152F">
        <w:rPr>
          <w:sz w:val="20"/>
          <w:szCs w:val="20"/>
          <w:lang w:eastAsia="en-AU"/>
        </w:rPr>
        <w:t>make</w:t>
      </w:r>
      <w:r>
        <w:rPr>
          <w:sz w:val="20"/>
          <w:szCs w:val="20"/>
          <w:lang w:eastAsia="en-AU"/>
        </w:rPr>
        <w:t>s</w:t>
      </w:r>
      <w:r w:rsidRPr="0081152F">
        <w:rPr>
          <w:sz w:val="20"/>
          <w:szCs w:val="20"/>
          <w:lang w:eastAsia="en-AU"/>
        </w:rPr>
        <w:t xml:space="preserve"> clients feel comfortable </w:t>
      </w:r>
      <w:r>
        <w:rPr>
          <w:sz w:val="20"/>
          <w:szCs w:val="20"/>
          <w:lang w:eastAsia="en-AU"/>
        </w:rPr>
        <w:t>increases</w:t>
      </w:r>
      <w:r w:rsidRPr="0081152F">
        <w:rPr>
          <w:sz w:val="20"/>
          <w:szCs w:val="20"/>
          <w:lang w:eastAsia="en-AU"/>
        </w:rPr>
        <w:t xml:space="preserve"> the likelihood they will return to the service at a later date.</w:t>
      </w:r>
      <w:r w:rsidR="00261EA6">
        <w:rPr>
          <w:sz w:val="20"/>
          <w:szCs w:val="20"/>
          <w:lang w:eastAsia="en-AU"/>
        </w:rPr>
        <w:t xml:space="preserve"> </w:t>
      </w:r>
    </w:p>
    <w:p w14:paraId="719DD43D" w14:textId="4549E3B2" w:rsidR="00075261" w:rsidRDefault="00075261" w:rsidP="00075261">
      <w:pPr>
        <w:spacing w:before="120"/>
        <w:rPr>
          <w:sz w:val="20"/>
          <w:szCs w:val="20"/>
          <w:lang w:eastAsia="en-AU"/>
        </w:rPr>
      </w:pPr>
      <w:r>
        <w:rPr>
          <w:sz w:val="20"/>
          <w:szCs w:val="20"/>
          <w:lang w:eastAsia="en-AU"/>
        </w:rPr>
        <w:t>Barriers to a</w:t>
      </w:r>
      <w:r w:rsidRPr="00FF0349">
        <w:rPr>
          <w:sz w:val="20"/>
          <w:szCs w:val="20"/>
          <w:lang w:eastAsia="en-AU"/>
        </w:rPr>
        <w:t>ccess</w:t>
      </w:r>
      <w:r>
        <w:rPr>
          <w:sz w:val="20"/>
          <w:szCs w:val="20"/>
          <w:lang w:eastAsia="en-AU"/>
        </w:rPr>
        <w:t>ing</w:t>
      </w:r>
      <w:r w:rsidRPr="00FF0349">
        <w:rPr>
          <w:sz w:val="20"/>
          <w:szCs w:val="20"/>
          <w:lang w:eastAsia="en-AU"/>
        </w:rPr>
        <w:t xml:space="preserve"> </w:t>
      </w:r>
      <w:r>
        <w:rPr>
          <w:sz w:val="20"/>
          <w:szCs w:val="20"/>
          <w:lang w:eastAsia="en-AU"/>
        </w:rPr>
        <w:t xml:space="preserve">BBV and STI </w:t>
      </w:r>
      <w:r w:rsidRPr="00FF0349">
        <w:rPr>
          <w:sz w:val="20"/>
          <w:szCs w:val="20"/>
          <w:lang w:eastAsia="en-AU"/>
        </w:rPr>
        <w:t>services</w:t>
      </w:r>
      <w:r>
        <w:rPr>
          <w:sz w:val="20"/>
          <w:szCs w:val="20"/>
          <w:lang w:eastAsia="en-AU"/>
        </w:rPr>
        <w:t xml:space="preserve"> include</w:t>
      </w:r>
      <w:r w:rsidRPr="00FF0349">
        <w:rPr>
          <w:sz w:val="20"/>
          <w:szCs w:val="20"/>
          <w:lang w:eastAsia="en-AU"/>
        </w:rPr>
        <w:t xml:space="preserve"> </w:t>
      </w:r>
      <w:r w:rsidR="00A2107B">
        <w:rPr>
          <w:sz w:val="20"/>
          <w:szCs w:val="20"/>
          <w:lang w:eastAsia="en-AU"/>
        </w:rPr>
        <w:t>remoteness of many communities,</w:t>
      </w:r>
      <w:r>
        <w:rPr>
          <w:sz w:val="20"/>
          <w:szCs w:val="20"/>
          <w:lang w:eastAsia="en-AU"/>
        </w:rPr>
        <w:t xml:space="preserve"> financial barriers</w:t>
      </w:r>
      <w:r w:rsidRPr="00FF0349">
        <w:rPr>
          <w:sz w:val="20"/>
          <w:szCs w:val="20"/>
          <w:lang w:eastAsia="en-AU"/>
        </w:rPr>
        <w:t>, shame and stigma. Other barriers include</w:t>
      </w:r>
      <w:r>
        <w:rPr>
          <w:sz w:val="20"/>
          <w:szCs w:val="20"/>
          <w:lang w:eastAsia="en-AU"/>
        </w:rPr>
        <w:t xml:space="preserve"> </w:t>
      </w:r>
      <w:r w:rsidRPr="00FF0349">
        <w:rPr>
          <w:sz w:val="20"/>
          <w:szCs w:val="20"/>
          <w:lang w:eastAsia="en-AU"/>
        </w:rPr>
        <w:t>misunderstandings</w:t>
      </w:r>
      <w:r>
        <w:rPr>
          <w:sz w:val="20"/>
          <w:szCs w:val="20"/>
          <w:lang w:eastAsia="en-AU"/>
        </w:rPr>
        <w:t xml:space="preserve"> </w:t>
      </w:r>
      <w:r w:rsidRPr="00FF0349">
        <w:rPr>
          <w:sz w:val="20"/>
          <w:szCs w:val="20"/>
          <w:lang w:eastAsia="en-AU"/>
        </w:rPr>
        <w:t>among non-</w:t>
      </w:r>
      <w:r>
        <w:rPr>
          <w:sz w:val="20"/>
          <w:szCs w:val="20"/>
          <w:lang w:eastAsia="en-AU"/>
        </w:rPr>
        <w:t>Indigenous</w:t>
      </w:r>
      <w:r w:rsidRPr="00FF0349">
        <w:rPr>
          <w:sz w:val="20"/>
          <w:szCs w:val="20"/>
          <w:lang w:eastAsia="en-AU"/>
        </w:rPr>
        <w:t xml:space="preserve"> staff of how health is</w:t>
      </w:r>
      <w:r>
        <w:rPr>
          <w:sz w:val="20"/>
          <w:szCs w:val="20"/>
          <w:lang w:eastAsia="en-AU"/>
        </w:rPr>
        <w:t xml:space="preserve"> holistically</w:t>
      </w:r>
      <w:r w:rsidRPr="00FF0349">
        <w:rPr>
          <w:sz w:val="20"/>
          <w:szCs w:val="20"/>
          <w:lang w:eastAsia="en-AU"/>
        </w:rPr>
        <w:t xml:space="preserve"> perceived in</w:t>
      </w:r>
      <w:r>
        <w:rPr>
          <w:sz w:val="20"/>
          <w:szCs w:val="20"/>
          <w:lang w:eastAsia="en-AU"/>
        </w:rPr>
        <w:t xml:space="preserve"> </w:t>
      </w:r>
      <w:r w:rsidRPr="00FF0349">
        <w:rPr>
          <w:sz w:val="20"/>
          <w:szCs w:val="20"/>
          <w:lang w:eastAsia="en-AU"/>
        </w:rPr>
        <w:t>Aboriginal</w:t>
      </w:r>
      <w:r>
        <w:rPr>
          <w:sz w:val="20"/>
          <w:szCs w:val="20"/>
          <w:lang w:eastAsia="en-AU"/>
        </w:rPr>
        <w:t xml:space="preserve"> and Torres Strait Islander</w:t>
      </w:r>
      <w:r w:rsidRPr="00FF0349">
        <w:rPr>
          <w:sz w:val="20"/>
          <w:szCs w:val="20"/>
          <w:lang w:eastAsia="en-AU"/>
        </w:rPr>
        <w:t xml:space="preserve"> cultures</w:t>
      </w:r>
      <w:r>
        <w:rPr>
          <w:sz w:val="20"/>
          <w:szCs w:val="20"/>
          <w:lang w:eastAsia="en-AU"/>
        </w:rPr>
        <w:t xml:space="preserve">; </w:t>
      </w:r>
      <w:r w:rsidR="00272FB3">
        <w:rPr>
          <w:sz w:val="20"/>
          <w:szCs w:val="20"/>
          <w:lang w:eastAsia="en-AU"/>
        </w:rPr>
        <w:t>acute health issues taking precedence over non-acute health</w:t>
      </w:r>
      <w:r w:rsidR="00C83BF6">
        <w:rPr>
          <w:sz w:val="20"/>
          <w:szCs w:val="20"/>
          <w:lang w:eastAsia="en-AU"/>
        </w:rPr>
        <w:t xml:space="preserve"> </w:t>
      </w:r>
      <w:r w:rsidR="00272FB3">
        <w:rPr>
          <w:sz w:val="20"/>
          <w:szCs w:val="20"/>
          <w:lang w:eastAsia="en-AU"/>
        </w:rPr>
        <w:t xml:space="preserve">care; </w:t>
      </w:r>
      <w:r>
        <w:rPr>
          <w:sz w:val="20"/>
          <w:szCs w:val="20"/>
          <w:lang w:eastAsia="en-AU"/>
        </w:rPr>
        <w:t xml:space="preserve">the </w:t>
      </w:r>
      <w:r w:rsidRPr="00FF0349">
        <w:rPr>
          <w:sz w:val="20"/>
          <w:szCs w:val="20"/>
          <w:lang w:eastAsia="en-AU"/>
        </w:rPr>
        <w:t>adequacy and effectiveness of</w:t>
      </w:r>
      <w:r>
        <w:rPr>
          <w:sz w:val="20"/>
          <w:szCs w:val="20"/>
          <w:lang w:eastAsia="en-AU"/>
        </w:rPr>
        <w:t xml:space="preserve"> services, including in maintaining client conﬁdentiality</w:t>
      </w:r>
      <w:r w:rsidR="00261EA6">
        <w:rPr>
          <w:sz w:val="20"/>
          <w:szCs w:val="20"/>
          <w:lang w:eastAsia="en-AU"/>
        </w:rPr>
        <w:t>;</w:t>
      </w:r>
      <w:r>
        <w:rPr>
          <w:sz w:val="20"/>
          <w:szCs w:val="20"/>
          <w:lang w:eastAsia="en-AU"/>
        </w:rPr>
        <w:t xml:space="preserve"> and staff capacity to offer testing </w:t>
      </w:r>
      <w:r w:rsidRPr="001331EF">
        <w:rPr>
          <w:sz w:val="20"/>
          <w:szCs w:val="20"/>
          <w:lang w:eastAsia="en-AU"/>
        </w:rPr>
        <w:t>(impacted by staff</w:t>
      </w:r>
      <w:r w:rsidR="00272FB3" w:rsidRPr="001331EF">
        <w:rPr>
          <w:sz w:val="20"/>
          <w:szCs w:val="20"/>
          <w:lang w:eastAsia="en-AU"/>
        </w:rPr>
        <w:t>ing</w:t>
      </w:r>
      <w:r>
        <w:rPr>
          <w:sz w:val="20"/>
          <w:szCs w:val="20"/>
          <w:lang w:eastAsia="en-AU"/>
        </w:rPr>
        <w:t xml:space="preserve"> turnover</w:t>
      </w:r>
      <w:r w:rsidR="00272FB3">
        <w:rPr>
          <w:sz w:val="20"/>
          <w:szCs w:val="20"/>
          <w:lang w:eastAsia="en-AU"/>
        </w:rPr>
        <w:t>, constraints with workload</w:t>
      </w:r>
      <w:r>
        <w:rPr>
          <w:sz w:val="20"/>
          <w:szCs w:val="20"/>
          <w:lang w:eastAsia="en-AU"/>
        </w:rPr>
        <w:t xml:space="preserve"> and</w:t>
      </w:r>
      <w:r w:rsidRPr="00911D9A">
        <w:rPr>
          <w:sz w:val="20"/>
          <w:szCs w:val="20"/>
          <w:lang w:eastAsia="en-AU"/>
        </w:rPr>
        <w:t xml:space="preserve"> concerns </w:t>
      </w:r>
      <w:r>
        <w:rPr>
          <w:sz w:val="20"/>
          <w:szCs w:val="20"/>
          <w:lang w:eastAsia="en-AU"/>
        </w:rPr>
        <w:t>about</w:t>
      </w:r>
      <w:r w:rsidRPr="00911D9A">
        <w:rPr>
          <w:sz w:val="20"/>
          <w:szCs w:val="20"/>
          <w:lang w:eastAsia="en-AU"/>
        </w:rPr>
        <w:t xml:space="preserve"> managing positive results</w:t>
      </w:r>
      <w:r>
        <w:rPr>
          <w:sz w:val="20"/>
          <w:szCs w:val="20"/>
          <w:lang w:eastAsia="en-AU"/>
        </w:rPr>
        <w:t>).</w:t>
      </w:r>
      <w:r>
        <w:rPr>
          <w:rStyle w:val="EndnoteReference"/>
          <w:sz w:val="20"/>
          <w:szCs w:val="20"/>
          <w:lang w:eastAsia="en-AU"/>
        </w:rPr>
        <w:endnoteReference w:id="95"/>
      </w:r>
      <w:r>
        <w:rPr>
          <w:sz w:val="20"/>
          <w:szCs w:val="20"/>
          <w:lang w:eastAsia="en-AU"/>
        </w:rPr>
        <w:t xml:space="preserve"> The complexity of issues emphasises the importance of </w:t>
      </w:r>
      <w:r w:rsidRPr="00FF0349">
        <w:rPr>
          <w:sz w:val="20"/>
          <w:szCs w:val="20"/>
          <w:lang w:eastAsia="en-AU"/>
        </w:rPr>
        <w:t>local community control and</w:t>
      </w:r>
      <w:r>
        <w:rPr>
          <w:sz w:val="20"/>
          <w:szCs w:val="20"/>
          <w:lang w:eastAsia="en-AU"/>
        </w:rPr>
        <w:t xml:space="preserve"> </w:t>
      </w:r>
      <w:r w:rsidRPr="003E2FF8">
        <w:rPr>
          <w:sz w:val="20"/>
          <w:szCs w:val="20"/>
          <w:lang w:eastAsia="en-AU"/>
        </w:rPr>
        <w:t>participation in the development and delivery of programs</w:t>
      </w:r>
      <w:r>
        <w:rPr>
          <w:sz w:val="20"/>
          <w:szCs w:val="20"/>
          <w:lang w:eastAsia="en-AU"/>
        </w:rPr>
        <w:t xml:space="preserve"> and the critical role of </w:t>
      </w:r>
      <w:r w:rsidRPr="00FF0349">
        <w:rPr>
          <w:sz w:val="20"/>
          <w:szCs w:val="20"/>
          <w:lang w:eastAsia="en-AU"/>
        </w:rPr>
        <w:t xml:space="preserve">Aboriginal </w:t>
      </w:r>
      <w:r>
        <w:rPr>
          <w:sz w:val="20"/>
          <w:szCs w:val="20"/>
          <w:lang w:eastAsia="en-AU"/>
        </w:rPr>
        <w:t xml:space="preserve">and Torres Strait Islander </w:t>
      </w:r>
      <w:r w:rsidRPr="00FF0349">
        <w:rPr>
          <w:sz w:val="20"/>
          <w:szCs w:val="20"/>
          <w:lang w:eastAsia="en-AU"/>
        </w:rPr>
        <w:t>staff</w:t>
      </w:r>
      <w:r>
        <w:rPr>
          <w:sz w:val="20"/>
          <w:szCs w:val="20"/>
          <w:lang w:eastAsia="en-AU"/>
        </w:rPr>
        <w:t xml:space="preserve"> within </w:t>
      </w:r>
      <w:r w:rsidR="007D6F39">
        <w:rPr>
          <w:sz w:val="20"/>
          <w:szCs w:val="20"/>
          <w:lang w:eastAsia="en-AU"/>
        </w:rPr>
        <w:t>both community</w:t>
      </w:r>
      <w:r w:rsidR="00A14436">
        <w:rPr>
          <w:sz w:val="20"/>
          <w:szCs w:val="20"/>
          <w:lang w:eastAsia="en-AU"/>
        </w:rPr>
        <w:t xml:space="preserve"> </w:t>
      </w:r>
      <w:r w:rsidR="007D6F39">
        <w:rPr>
          <w:sz w:val="20"/>
          <w:szCs w:val="20"/>
          <w:lang w:eastAsia="en-AU"/>
        </w:rPr>
        <w:t xml:space="preserve">controlled and mainstream </w:t>
      </w:r>
      <w:r>
        <w:rPr>
          <w:sz w:val="20"/>
          <w:szCs w:val="20"/>
          <w:lang w:eastAsia="en-AU"/>
        </w:rPr>
        <w:t xml:space="preserve">services. </w:t>
      </w:r>
      <w:r w:rsidR="00396A87">
        <w:rPr>
          <w:sz w:val="20"/>
          <w:szCs w:val="20"/>
          <w:lang w:eastAsia="en-AU"/>
        </w:rPr>
        <w:t xml:space="preserve">It </w:t>
      </w:r>
      <w:r>
        <w:rPr>
          <w:sz w:val="20"/>
          <w:szCs w:val="20"/>
          <w:lang w:eastAsia="en-AU"/>
        </w:rPr>
        <w:t xml:space="preserve">is also important to ensure that health care is provided in a cultural context and issues such as kinship, gender and appropriate health service layout are all recognised and considered. </w:t>
      </w:r>
    </w:p>
    <w:p w14:paraId="4EE40D8A" w14:textId="5E80ABC2" w:rsidR="00075261" w:rsidRDefault="00075261" w:rsidP="00075261">
      <w:pPr>
        <w:rPr>
          <w:sz w:val="20"/>
          <w:szCs w:val="20"/>
        </w:rPr>
      </w:pPr>
      <w:r w:rsidRPr="004E3784">
        <w:rPr>
          <w:sz w:val="20"/>
          <w:szCs w:val="20"/>
          <w:lang w:eastAsia="en-AU"/>
        </w:rPr>
        <w:t xml:space="preserve">The </w:t>
      </w:r>
      <w:r>
        <w:rPr>
          <w:sz w:val="20"/>
          <w:szCs w:val="20"/>
          <w:lang w:eastAsia="en-AU"/>
        </w:rPr>
        <w:t>primary health</w:t>
      </w:r>
      <w:r w:rsidR="00433353">
        <w:rPr>
          <w:sz w:val="20"/>
          <w:szCs w:val="20"/>
          <w:lang w:eastAsia="en-AU"/>
        </w:rPr>
        <w:t xml:space="preserve">care </w:t>
      </w:r>
      <w:r w:rsidRPr="004E3784">
        <w:rPr>
          <w:sz w:val="20"/>
          <w:szCs w:val="20"/>
          <w:lang w:eastAsia="en-AU"/>
        </w:rPr>
        <w:t xml:space="preserve">STI and BBV services available to Aboriginal </w:t>
      </w:r>
      <w:r>
        <w:rPr>
          <w:sz w:val="20"/>
          <w:szCs w:val="20"/>
          <w:lang w:eastAsia="en-AU"/>
        </w:rPr>
        <w:t xml:space="preserve">and Torres Strait Islander </w:t>
      </w:r>
      <w:r w:rsidRPr="004E3784">
        <w:rPr>
          <w:sz w:val="20"/>
          <w:szCs w:val="20"/>
          <w:lang w:eastAsia="en-AU"/>
        </w:rPr>
        <w:t xml:space="preserve">people include </w:t>
      </w:r>
      <w:r>
        <w:rPr>
          <w:sz w:val="20"/>
          <w:szCs w:val="20"/>
          <w:lang w:eastAsia="en-AU"/>
        </w:rPr>
        <w:t xml:space="preserve">ACCHS and </w:t>
      </w:r>
      <w:r w:rsidRPr="004E3784">
        <w:rPr>
          <w:sz w:val="20"/>
          <w:szCs w:val="20"/>
          <w:lang w:eastAsia="en-AU"/>
        </w:rPr>
        <w:t xml:space="preserve">mainstream general practice </w:t>
      </w:r>
      <w:r w:rsidRPr="006F65E3">
        <w:rPr>
          <w:sz w:val="20"/>
          <w:szCs w:val="20"/>
          <w:lang w:eastAsia="en-AU"/>
        </w:rPr>
        <w:t>clinics</w:t>
      </w:r>
      <w:r>
        <w:rPr>
          <w:sz w:val="20"/>
          <w:szCs w:val="20"/>
          <w:lang w:eastAsia="en-AU"/>
        </w:rPr>
        <w:t xml:space="preserve">. </w:t>
      </w:r>
      <w:r w:rsidR="00A14436">
        <w:rPr>
          <w:sz w:val="20"/>
          <w:szCs w:val="20"/>
          <w:lang w:eastAsia="en-AU"/>
        </w:rPr>
        <w:t xml:space="preserve">They </w:t>
      </w:r>
      <w:r>
        <w:rPr>
          <w:sz w:val="20"/>
          <w:szCs w:val="20"/>
          <w:lang w:eastAsia="en-AU"/>
        </w:rPr>
        <w:t xml:space="preserve">are also provided </w:t>
      </w:r>
      <w:r w:rsidRPr="00A14436">
        <w:rPr>
          <w:sz w:val="20"/>
          <w:szCs w:val="20"/>
          <w:lang w:eastAsia="en-AU"/>
        </w:rPr>
        <w:t xml:space="preserve">through specialised sexual health and family planning </w:t>
      </w:r>
      <w:r w:rsidRPr="00A14436">
        <w:rPr>
          <w:sz w:val="20"/>
          <w:szCs w:val="20"/>
        </w:rPr>
        <w:t>clinics</w:t>
      </w:r>
      <w:r w:rsidR="00FB2DC0" w:rsidRPr="00A14436">
        <w:rPr>
          <w:sz w:val="20"/>
          <w:szCs w:val="20"/>
        </w:rPr>
        <w:t xml:space="preserve"> as well as public hospitals in regional and remote areas </w:t>
      </w:r>
      <w:r w:rsidR="007D6F39" w:rsidRPr="00A14436">
        <w:rPr>
          <w:sz w:val="20"/>
          <w:szCs w:val="20"/>
        </w:rPr>
        <w:t>and peer-based services</w:t>
      </w:r>
      <w:r w:rsidRPr="00A14436">
        <w:rPr>
          <w:sz w:val="20"/>
          <w:szCs w:val="20"/>
        </w:rPr>
        <w:t>.</w:t>
      </w:r>
      <w:r w:rsidRPr="004E3784">
        <w:rPr>
          <w:sz w:val="20"/>
          <w:szCs w:val="20"/>
        </w:rPr>
        <w:t xml:space="preserve"> </w:t>
      </w:r>
    </w:p>
    <w:p w14:paraId="1DE837D5" w14:textId="7059E9A1" w:rsidR="001816FC" w:rsidRDefault="00D07A8B" w:rsidP="001816FC">
      <w:pPr>
        <w:spacing w:before="120"/>
        <w:rPr>
          <w:sz w:val="20"/>
          <w:szCs w:val="20"/>
          <w:lang w:eastAsia="en-AU"/>
        </w:rPr>
      </w:pPr>
      <w:r w:rsidRPr="00465BBB">
        <w:rPr>
          <w:rFonts w:cs="Segoe UI"/>
          <w:sz w:val="20"/>
          <w:szCs w:val="20"/>
        </w:rPr>
        <w:t>Efforts to build the organisational capacity of primary health</w:t>
      </w:r>
      <w:r w:rsidR="00433353" w:rsidRPr="00465BBB">
        <w:rPr>
          <w:rFonts w:cs="Segoe UI"/>
          <w:sz w:val="20"/>
          <w:szCs w:val="20"/>
        </w:rPr>
        <w:t xml:space="preserve">care </w:t>
      </w:r>
      <w:r w:rsidRPr="00465BBB">
        <w:rPr>
          <w:rFonts w:cs="Segoe UI"/>
          <w:sz w:val="20"/>
          <w:szCs w:val="20"/>
        </w:rPr>
        <w:t>services, including ACCHS and mainstream services, have improve</w:t>
      </w:r>
      <w:r w:rsidR="004D293E" w:rsidRPr="00465BBB">
        <w:rPr>
          <w:rFonts w:cs="Segoe UI"/>
          <w:sz w:val="20"/>
          <w:szCs w:val="20"/>
        </w:rPr>
        <w:t>d</w:t>
      </w:r>
      <w:r w:rsidRPr="00465BBB">
        <w:rPr>
          <w:rFonts w:cs="Segoe UI"/>
          <w:sz w:val="20"/>
          <w:szCs w:val="20"/>
        </w:rPr>
        <w:t xml:space="preserve"> BBV and STI screening, testing and treatment rates in several health services.</w:t>
      </w:r>
      <w:r w:rsidRPr="00465BBB">
        <w:rPr>
          <w:rFonts w:cs="Segoe UI"/>
          <w:sz w:val="20"/>
          <w:szCs w:val="20"/>
          <w:vertAlign w:val="superscript"/>
        </w:rPr>
        <w:endnoteReference w:id="96"/>
      </w:r>
      <w:r w:rsidRPr="00465BBB">
        <w:rPr>
          <w:rFonts w:cs="Segoe UI"/>
          <w:sz w:val="20"/>
          <w:szCs w:val="20"/>
        </w:rPr>
        <w:t xml:space="preserve"> </w:t>
      </w:r>
      <w:r w:rsidR="001816FC" w:rsidRPr="00465BBB">
        <w:rPr>
          <w:rFonts w:cs="Segoe UI"/>
          <w:sz w:val="20"/>
          <w:szCs w:val="20"/>
          <w:lang w:eastAsia="en-AU"/>
        </w:rPr>
        <w:t xml:space="preserve">Studies have shown that ACCHS are the </w:t>
      </w:r>
      <w:r w:rsidR="001816FC" w:rsidRPr="00465BBB">
        <w:rPr>
          <w:rFonts w:cs="Segoe UI"/>
          <w:color w:val="333333"/>
          <w:sz w:val="20"/>
          <w:szCs w:val="20"/>
          <w:lang w:val="en-US"/>
        </w:rPr>
        <w:t xml:space="preserve">preferred health service for the majority of </w:t>
      </w:r>
      <w:r w:rsidR="001816FC" w:rsidRPr="00465BBB">
        <w:rPr>
          <w:rFonts w:cs="Segoe UI"/>
          <w:sz w:val="20"/>
          <w:szCs w:val="20"/>
          <w:lang w:eastAsia="en-AU"/>
        </w:rPr>
        <w:t xml:space="preserve">young Aboriginal and Torres Strait Islander people and </w:t>
      </w:r>
      <w:r w:rsidR="00396A87" w:rsidRPr="00465BBB">
        <w:rPr>
          <w:rFonts w:cs="Segoe UI"/>
          <w:sz w:val="20"/>
          <w:szCs w:val="20"/>
          <w:lang w:eastAsia="en-AU"/>
        </w:rPr>
        <w:t xml:space="preserve">are </w:t>
      </w:r>
      <w:r w:rsidR="001816FC" w:rsidRPr="00465BBB">
        <w:rPr>
          <w:rFonts w:cs="Segoe UI"/>
          <w:sz w:val="20"/>
          <w:szCs w:val="20"/>
          <w:lang w:eastAsia="en-AU"/>
        </w:rPr>
        <w:t>where most STI testing and diagnosis occur</w:t>
      </w:r>
      <w:r w:rsidR="00274034" w:rsidRPr="00465BBB">
        <w:rPr>
          <w:rFonts w:cs="Segoe UI"/>
          <w:sz w:val="20"/>
          <w:szCs w:val="20"/>
          <w:lang w:eastAsia="en-AU"/>
        </w:rPr>
        <w:t>.</w:t>
      </w:r>
      <w:r w:rsidR="00465BBB" w:rsidRPr="00465BBB">
        <w:rPr>
          <w:rStyle w:val="EndnoteReference"/>
        </w:rPr>
        <w:t>23,29</w:t>
      </w:r>
      <w:r w:rsidR="001816FC" w:rsidRPr="00465BBB">
        <w:rPr>
          <w:rFonts w:cs="Segoe UI"/>
          <w:iCs/>
          <w:sz w:val="20"/>
          <w:szCs w:val="20"/>
        </w:rPr>
        <w:t xml:space="preserve"> </w:t>
      </w:r>
      <w:r w:rsidR="001816FC" w:rsidRPr="00465BBB">
        <w:rPr>
          <w:rFonts w:cs="Segoe UI"/>
          <w:sz w:val="20"/>
          <w:szCs w:val="20"/>
          <w:lang w:eastAsia="en-AU"/>
        </w:rPr>
        <w:t xml:space="preserve">ACCHS are also viewed as playing an important role in providing advice on alcohol and other drug </w:t>
      </w:r>
      <w:r w:rsidR="001816FC" w:rsidRPr="00465BBB">
        <w:rPr>
          <w:rFonts w:cs="Segoe UI"/>
          <w:iCs/>
          <w:sz w:val="20"/>
          <w:szCs w:val="20"/>
        </w:rPr>
        <w:t>use.</w:t>
      </w:r>
      <w:r w:rsidR="00465BBB" w:rsidRPr="00465BBB">
        <w:rPr>
          <w:rStyle w:val="EndnoteReference"/>
        </w:rPr>
        <w:t>23</w:t>
      </w:r>
      <w:r w:rsidR="001816FC" w:rsidRPr="00465BBB">
        <w:rPr>
          <w:rStyle w:val="EndnoteReference"/>
        </w:rPr>
        <w:t xml:space="preserve"> </w:t>
      </w:r>
      <w:r w:rsidRPr="00465BBB">
        <w:rPr>
          <w:sz w:val="20"/>
          <w:szCs w:val="20"/>
          <w:lang w:eastAsia="en-AU"/>
        </w:rPr>
        <w:t xml:space="preserve">Continuing to build capacity in services that are frequently utilised by Aboriginal and Torres Strait Islander people is critical. Mainstream services also play an essential role in the delivery of BBV and STI services to Aboriginal and Torres Strait Islander people, providing choice </w:t>
      </w:r>
      <w:r w:rsidR="00272FB3" w:rsidRPr="00465BBB">
        <w:rPr>
          <w:sz w:val="20"/>
          <w:szCs w:val="20"/>
          <w:lang w:eastAsia="en-AU"/>
        </w:rPr>
        <w:t xml:space="preserve">and reach </w:t>
      </w:r>
      <w:r w:rsidRPr="00465BBB">
        <w:rPr>
          <w:sz w:val="20"/>
          <w:szCs w:val="20"/>
          <w:lang w:eastAsia="en-AU"/>
        </w:rPr>
        <w:t xml:space="preserve">so </w:t>
      </w:r>
      <w:r w:rsidR="0043661B" w:rsidRPr="00465BBB">
        <w:rPr>
          <w:sz w:val="20"/>
          <w:szCs w:val="20"/>
          <w:lang w:eastAsia="en-AU"/>
        </w:rPr>
        <w:t xml:space="preserve">that </w:t>
      </w:r>
      <w:r w:rsidR="00272FB3" w:rsidRPr="00465BBB">
        <w:rPr>
          <w:sz w:val="20"/>
          <w:szCs w:val="20"/>
          <w:lang w:eastAsia="en-AU"/>
        </w:rPr>
        <w:t xml:space="preserve">Aboriginal and Torres Strait Islander people </w:t>
      </w:r>
      <w:r w:rsidRPr="00465BBB">
        <w:rPr>
          <w:sz w:val="20"/>
          <w:szCs w:val="20"/>
          <w:lang w:eastAsia="en-AU"/>
        </w:rPr>
        <w:t>can access services that best suit their individual needs and situation</w:t>
      </w:r>
      <w:r w:rsidR="0043661B" w:rsidRPr="00465BBB">
        <w:rPr>
          <w:sz w:val="20"/>
          <w:szCs w:val="20"/>
          <w:lang w:eastAsia="en-AU"/>
        </w:rPr>
        <w:t>s</w:t>
      </w:r>
      <w:r w:rsidRPr="00465BBB">
        <w:rPr>
          <w:sz w:val="20"/>
          <w:szCs w:val="20"/>
          <w:lang w:eastAsia="en-AU"/>
        </w:rPr>
        <w:t>.</w:t>
      </w:r>
    </w:p>
    <w:p w14:paraId="70B2B1E7" w14:textId="5EF25BCF" w:rsidR="001816FC" w:rsidRDefault="00075261" w:rsidP="001816FC">
      <w:pPr>
        <w:rPr>
          <w:sz w:val="20"/>
          <w:szCs w:val="20"/>
          <w:lang w:eastAsia="en-AU"/>
        </w:rPr>
      </w:pPr>
      <w:r>
        <w:rPr>
          <w:sz w:val="20"/>
          <w:szCs w:val="20"/>
          <w:lang w:eastAsia="en-AU"/>
        </w:rPr>
        <w:t xml:space="preserve">The success </w:t>
      </w:r>
      <w:r w:rsidR="00396A87">
        <w:rPr>
          <w:sz w:val="20"/>
          <w:szCs w:val="20"/>
          <w:lang w:eastAsia="en-AU"/>
        </w:rPr>
        <w:t xml:space="preserve">that </w:t>
      </w:r>
      <w:r>
        <w:rPr>
          <w:sz w:val="20"/>
          <w:szCs w:val="20"/>
          <w:lang w:eastAsia="en-AU"/>
        </w:rPr>
        <w:t>many organisations and programs have had in providing high</w:t>
      </w:r>
      <w:r w:rsidR="0043661B">
        <w:rPr>
          <w:sz w:val="20"/>
          <w:szCs w:val="20"/>
          <w:lang w:eastAsia="en-AU"/>
        </w:rPr>
        <w:t>-</w:t>
      </w:r>
      <w:r>
        <w:rPr>
          <w:sz w:val="20"/>
          <w:szCs w:val="20"/>
          <w:lang w:eastAsia="en-AU"/>
        </w:rPr>
        <w:t xml:space="preserve">quality, consistent primary </w:t>
      </w:r>
      <w:r w:rsidR="00433353">
        <w:rPr>
          <w:sz w:val="20"/>
          <w:szCs w:val="20"/>
          <w:lang w:eastAsia="en-AU"/>
        </w:rPr>
        <w:t>health</w:t>
      </w:r>
      <w:r>
        <w:rPr>
          <w:sz w:val="20"/>
          <w:szCs w:val="20"/>
          <w:lang w:eastAsia="en-AU"/>
        </w:rPr>
        <w:t>care and sexual health services has been a result of dedicated capacity to maintain the provision of BBV and STI services amid a wide range of other complex and challenging health priorities.</w:t>
      </w:r>
      <w:r w:rsidR="001816FC">
        <w:rPr>
          <w:sz w:val="20"/>
          <w:szCs w:val="20"/>
          <w:lang w:eastAsia="en-AU"/>
        </w:rPr>
        <w:t xml:space="preserve"> </w:t>
      </w:r>
    </w:p>
    <w:p w14:paraId="125FEEB8" w14:textId="3FE6C456" w:rsidR="001816FC" w:rsidRDefault="001816FC" w:rsidP="001816FC">
      <w:pPr>
        <w:spacing w:before="120"/>
        <w:rPr>
          <w:sz w:val="20"/>
          <w:szCs w:val="20"/>
          <w:vertAlign w:val="superscript"/>
          <w:lang w:eastAsia="en-AU"/>
        </w:rPr>
      </w:pPr>
      <w:r w:rsidRPr="002C1C60">
        <w:rPr>
          <w:sz w:val="20"/>
          <w:szCs w:val="20"/>
          <w:lang w:eastAsia="en-AU"/>
        </w:rPr>
        <w:t xml:space="preserve">The </w:t>
      </w:r>
      <w:r w:rsidRPr="00341758">
        <w:rPr>
          <w:sz w:val="20"/>
          <w:szCs w:val="20"/>
          <w:lang w:eastAsia="en-AU"/>
        </w:rPr>
        <w:t>experience of health services in the Anangu Pitjantjatjara</w:t>
      </w:r>
      <w:r>
        <w:rPr>
          <w:sz w:val="20"/>
          <w:szCs w:val="20"/>
          <w:lang w:eastAsia="en-AU"/>
        </w:rPr>
        <w:t xml:space="preserve"> Yankunytjatjara</w:t>
      </w:r>
      <w:r w:rsidRPr="00341758">
        <w:rPr>
          <w:sz w:val="20"/>
          <w:szCs w:val="20"/>
          <w:lang w:eastAsia="en-AU"/>
        </w:rPr>
        <w:t xml:space="preserve"> Lands, Ngaanyatara Lands and Tiwi Islands provides important lessons for delivery of STI control programs in primary health</w:t>
      </w:r>
      <w:r w:rsidR="00433353">
        <w:rPr>
          <w:sz w:val="20"/>
          <w:szCs w:val="20"/>
          <w:lang w:eastAsia="en-AU"/>
        </w:rPr>
        <w:t xml:space="preserve">care </w:t>
      </w:r>
      <w:r w:rsidRPr="00341758">
        <w:rPr>
          <w:sz w:val="20"/>
          <w:szCs w:val="20"/>
          <w:lang w:eastAsia="en-AU"/>
        </w:rPr>
        <w:t>services. While STI prevalence among Indigenous people in remote areas is very high overall, these regionally</w:t>
      </w:r>
      <w:r w:rsidR="0043661B">
        <w:rPr>
          <w:sz w:val="20"/>
          <w:szCs w:val="20"/>
          <w:lang w:eastAsia="en-AU"/>
        </w:rPr>
        <w:t xml:space="preserve"> </w:t>
      </w:r>
      <w:r w:rsidRPr="00341758">
        <w:rPr>
          <w:sz w:val="20"/>
          <w:szCs w:val="20"/>
          <w:lang w:eastAsia="en-AU"/>
        </w:rPr>
        <w:t xml:space="preserve">coordinated health services have maintained </w:t>
      </w:r>
      <w:r>
        <w:rPr>
          <w:sz w:val="20"/>
          <w:szCs w:val="20"/>
          <w:lang w:eastAsia="en-AU"/>
        </w:rPr>
        <w:t>comparatively</w:t>
      </w:r>
      <w:r w:rsidRPr="00341758">
        <w:rPr>
          <w:sz w:val="20"/>
          <w:szCs w:val="20"/>
          <w:lang w:eastAsia="en-AU"/>
        </w:rPr>
        <w:t xml:space="preserve"> low STI p</w:t>
      </w:r>
      <w:r>
        <w:rPr>
          <w:sz w:val="20"/>
          <w:szCs w:val="20"/>
          <w:lang w:eastAsia="en-AU"/>
        </w:rPr>
        <w:t xml:space="preserve">revalence in their communities. </w:t>
      </w:r>
      <w:r w:rsidRPr="00341758">
        <w:rPr>
          <w:sz w:val="20"/>
          <w:szCs w:val="20"/>
          <w:lang w:eastAsia="en-AU"/>
        </w:rPr>
        <w:t xml:space="preserve">This indicates that regional </w:t>
      </w:r>
      <w:r w:rsidRPr="0024154D">
        <w:rPr>
          <w:sz w:val="20"/>
          <w:szCs w:val="20"/>
          <w:lang w:eastAsia="en-AU"/>
        </w:rPr>
        <w:t xml:space="preserve">coordination of STI control programs in remote communities, with support from jurisdictions and laboratories, is an </w:t>
      </w:r>
      <w:r w:rsidRPr="004E3784">
        <w:rPr>
          <w:sz w:val="20"/>
          <w:szCs w:val="20"/>
          <w:lang w:eastAsia="en-AU"/>
        </w:rPr>
        <w:t xml:space="preserve">effective model. </w:t>
      </w:r>
      <w:r w:rsidR="00A83BF2">
        <w:rPr>
          <w:sz w:val="20"/>
          <w:szCs w:val="20"/>
          <w:lang w:eastAsia="en-AU"/>
        </w:rPr>
        <w:t>E</w:t>
      </w:r>
      <w:r w:rsidRPr="004E3784">
        <w:rPr>
          <w:sz w:val="20"/>
          <w:szCs w:val="20"/>
          <w:lang w:eastAsia="en-AU"/>
        </w:rPr>
        <w:t xml:space="preserve">ffective STI control programs in these health services </w:t>
      </w:r>
      <w:r w:rsidR="00B37BB7">
        <w:rPr>
          <w:sz w:val="20"/>
          <w:szCs w:val="20"/>
          <w:lang w:eastAsia="en-AU"/>
        </w:rPr>
        <w:t>feature</w:t>
      </w:r>
      <w:r w:rsidRPr="004E3784">
        <w:rPr>
          <w:sz w:val="20"/>
          <w:szCs w:val="20"/>
          <w:lang w:eastAsia="en-AU"/>
        </w:rPr>
        <w:t xml:space="preserve"> strong leadership,</w:t>
      </w:r>
      <w:r w:rsidR="00A83BF2">
        <w:rPr>
          <w:sz w:val="20"/>
          <w:szCs w:val="20"/>
          <w:lang w:eastAsia="en-AU"/>
        </w:rPr>
        <w:t xml:space="preserve"> high levels of engagement </w:t>
      </w:r>
      <w:r w:rsidR="00A83BF2" w:rsidRPr="004E3784">
        <w:rPr>
          <w:sz w:val="20"/>
          <w:szCs w:val="20"/>
          <w:lang w:eastAsia="en-AU"/>
        </w:rPr>
        <w:t>with local communities</w:t>
      </w:r>
      <w:r w:rsidR="00B37BB7">
        <w:rPr>
          <w:sz w:val="20"/>
          <w:szCs w:val="20"/>
          <w:lang w:eastAsia="en-AU"/>
        </w:rPr>
        <w:t xml:space="preserve">, monitoring of testing and treatment data, </w:t>
      </w:r>
      <w:r w:rsidR="00A83BF2">
        <w:rPr>
          <w:sz w:val="20"/>
          <w:szCs w:val="20"/>
          <w:lang w:eastAsia="en-AU"/>
        </w:rPr>
        <w:t xml:space="preserve">and </w:t>
      </w:r>
      <w:r w:rsidRPr="004E3784">
        <w:rPr>
          <w:sz w:val="20"/>
          <w:szCs w:val="20"/>
          <w:lang w:eastAsia="en-AU"/>
        </w:rPr>
        <w:t>use of sexual health coordinators</w:t>
      </w:r>
      <w:r w:rsidR="00A83BF2">
        <w:rPr>
          <w:sz w:val="20"/>
          <w:szCs w:val="20"/>
          <w:lang w:eastAsia="en-AU"/>
        </w:rPr>
        <w:t>. R</w:t>
      </w:r>
      <w:r w:rsidRPr="004E3784">
        <w:rPr>
          <w:sz w:val="20"/>
          <w:szCs w:val="20"/>
          <w:lang w:eastAsia="en-AU"/>
        </w:rPr>
        <w:t>obust clinical systems,</w:t>
      </w:r>
      <w:r w:rsidR="00B37BB7">
        <w:rPr>
          <w:sz w:val="20"/>
          <w:szCs w:val="20"/>
          <w:lang w:eastAsia="en-AU"/>
        </w:rPr>
        <w:t xml:space="preserve"> </w:t>
      </w:r>
      <w:r w:rsidRPr="004E3784">
        <w:rPr>
          <w:sz w:val="20"/>
          <w:szCs w:val="20"/>
          <w:lang w:eastAsia="en-AU"/>
        </w:rPr>
        <w:t xml:space="preserve">integration of comprehensive </w:t>
      </w:r>
      <w:r w:rsidRPr="004E3784">
        <w:rPr>
          <w:sz w:val="20"/>
          <w:szCs w:val="20"/>
          <w:lang w:eastAsia="en-AU"/>
        </w:rPr>
        <w:lastRenderedPageBreak/>
        <w:t>BBV and STI programs into primary</w:t>
      </w:r>
      <w:r w:rsidR="00B37BB7">
        <w:rPr>
          <w:sz w:val="20"/>
          <w:szCs w:val="20"/>
          <w:lang w:eastAsia="en-AU"/>
        </w:rPr>
        <w:t xml:space="preserve"> health protocols and services </w:t>
      </w:r>
      <w:r w:rsidR="00A83BF2">
        <w:rPr>
          <w:sz w:val="20"/>
          <w:szCs w:val="20"/>
          <w:lang w:eastAsia="en-AU"/>
        </w:rPr>
        <w:t xml:space="preserve">and </w:t>
      </w:r>
      <w:r w:rsidRPr="004E3784">
        <w:rPr>
          <w:sz w:val="20"/>
          <w:szCs w:val="20"/>
          <w:lang w:eastAsia="en-AU"/>
        </w:rPr>
        <w:t>rapid ac</w:t>
      </w:r>
      <w:r w:rsidR="00A83BF2">
        <w:rPr>
          <w:sz w:val="20"/>
          <w:szCs w:val="20"/>
          <w:lang w:eastAsia="en-AU"/>
        </w:rPr>
        <w:t>cess to diagnosis and treatment are also important elements.</w:t>
      </w:r>
      <w:r w:rsidRPr="004E3784">
        <w:rPr>
          <w:sz w:val="20"/>
          <w:szCs w:val="20"/>
          <w:vertAlign w:val="superscript"/>
          <w:lang w:eastAsia="en-AU"/>
        </w:rPr>
        <w:endnoteReference w:id="97"/>
      </w:r>
      <w:r w:rsidRPr="0024154D">
        <w:rPr>
          <w:sz w:val="20"/>
          <w:szCs w:val="20"/>
          <w:vertAlign w:val="superscript"/>
          <w:lang w:eastAsia="en-AU"/>
        </w:rPr>
        <w:t>,</w:t>
      </w:r>
      <w:r w:rsidRPr="0024154D">
        <w:rPr>
          <w:sz w:val="20"/>
          <w:szCs w:val="20"/>
          <w:vertAlign w:val="superscript"/>
          <w:lang w:eastAsia="en-AU"/>
        </w:rPr>
        <w:endnoteReference w:id="98"/>
      </w:r>
    </w:p>
    <w:p w14:paraId="0555CFCE" w14:textId="2859C847" w:rsidR="00D07A8B" w:rsidRDefault="0060433F" w:rsidP="00D07A8B">
      <w:pPr>
        <w:rPr>
          <w:sz w:val="20"/>
          <w:szCs w:val="20"/>
          <w:lang w:eastAsia="en-AU"/>
        </w:rPr>
      </w:pPr>
      <w:r>
        <w:rPr>
          <w:sz w:val="20"/>
          <w:szCs w:val="20"/>
          <w:lang w:eastAsia="en-AU"/>
        </w:rPr>
        <w:t>It is important to identify</w:t>
      </w:r>
      <w:r w:rsidR="00D07A8B">
        <w:rPr>
          <w:sz w:val="20"/>
          <w:szCs w:val="20"/>
          <w:lang w:eastAsia="en-AU"/>
        </w:rPr>
        <w:t xml:space="preserve"> novel multidisciplinary</w:t>
      </w:r>
      <w:r w:rsidR="00D07A8B" w:rsidRPr="003E2FF8">
        <w:rPr>
          <w:sz w:val="20"/>
          <w:szCs w:val="20"/>
          <w:lang w:eastAsia="en-AU"/>
        </w:rPr>
        <w:t xml:space="preserve"> approaches </w:t>
      </w:r>
      <w:r w:rsidR="00D07A8B">
        <w:rPr>
          <w:sz w:val="20"/>
          <w:szCs w:val="20"/>
          <w:lang w:eastAsia="en-AU"/>
        </w:rPr>
        <w:t xml:space="preserve">which </w:t>
      </w:r>
      <w:r w:rsidR="00D07A8B" w:rsidRPr="003E2FF8">
        <w:rPr>
          <w:sz w:val="20"/>
          <w:szCs w:val="20"/>
          <w:lang w:eastAsia="en-AU"/>
        </w:rPr>
        <w:t>address the specific barriers experienced by communities</w:t>
      </w:r>
      <w:r w:rsidR="00D07A8B">
        <w:rPr>
          <w:sz w:val="20"/>
          <w:szCs w:val="20"/>
          <w:lang w:eastAsia="en-AU"/>
        </w:rPr>
        <w:t xml:space="preserve"> and increase their engagement with BBV and STI services </w:t>
      </w:r>
      <w:r w:rsidR="00D07A8B" w:rsidRPr="00DD49AA">
        <w:rPr>
          <w:sz w:val="20"/>
          <w:szCs w:val="20"/>
          <w:lang w:eastAsia="en-AU"/>
        </w:rPr>
        <w:t>is important.</w:t>
      </w:r>
      <w:r w:rsidR="00D07A8B">
        <w:rPr>
          <w:sz w:val="20"/>
          <w:szCs w:val="20"/>
          <w:lang w:eastAsia="en-AU"/>
        </w:rPr>
        <w:t xml:space="preserve"> This includes learning from trials and studies and scaling up successful approaches, ensuring they are adapted to the local context</w:t>
      </w:r>
      <w:r w:rsidR="00A2107B">
        <w:rPr>
          <w:sz w:val="20"/>
          <w:szCs w:val="20"/>
          <w:lang w:eastAsia="en-AU"/>
        </w:rPr>
        <w:t xml:space="preserve"> by, or in collaboration with, communities</w:t>
      </w:r>
      <w:r w:rsidR="00D07A8B">
        <w:rPr>
          <w:sz w:val="20"/>
          <w:szCs w:val="20"/>
          <w:lang w:eastAsia="en-AU"/>
        </w:rPr>
        <w:t xml:space="preserve">. </w:t>
      </w:r>
    </w:p>
    <w:p w14:paraId="4811C5D6" w14:textId="3F113651" w:rsidR="002966AD" w:rsidRDefault="002966AD" w:rsidP="002966AD">
      <w:pPr>
        <w:rPr>
          <w:sz w:val="20"/>
          <w:szCs w:val="20"/>
          <w:lang w:eastAsia="en-AU"/>
        </w:rPr>
      </w:pPr>
      <w:r w:rsidRPr="00C04E01">
        <w:rPr>
          <w:sz w:val="20"/>
          <w:szCs w:val="20"/>
          <w:lang w:eastAsia="en-AU"/>
        </w:rPr>
        <w:t xml:space="preserve">Locating programs </w:t>
      </w:r>
      <w:r w:rsidR="00DD1C26">
        <w:rPr>
          <w:sz w:val="20"/>
          <w:szCs w:val="20"/>
          <w:lang w:eastAsia="en-AU"/>
        </w:rPr>
        <w:t xml:space="preserve">and services </w:t>
      </w:r>
      <w:r w:rsidRPr="00C04E01">
        <w:rPr>
          <w:sz w:val="20"/>
          <w:szCs w:val="20"/>
          <w:lang w:eastAsia="en-AU"/>
        </w:rPr>
        <w:t xml:space="preserve">close to where Aboriginal and Torres Strait Islander people meet has been found to be useful </w:t>
      </w:r>
      <w:r>
        <w:rPr>
          <w:sz w:val="20"/>
          <w:szCs w:val="20"/>
          <w:lang w:eastAsia="en-AU"/>
        </w:rPr>
        <w:t>in making</w:t>
      </w:r>
      <w:r w:rsidRPr="00C04E01">
        <w:rPr>
          <w:sz w:val="20"/>
          <w:szCs w:val="20"/>
          <w:lang w:eastAsia="en-AU"/>
        </w:rPr>
        <w:t xml:space="preserve"> attendance easier and allow</w:t>
      </w:r>
      <w:r w:rsidR="00F77793">
        <w:rPr>
          <w:sz w:val="20"/>
          <w:szCs w:val="20"/>
          <w:lang w:eastAsia="en-AU"/>
        </w:rPr>
        <w:t>s</w:t>
      </w:r>
      <w:r w:rsidRPr="00C04E01">
        <w:rPr>
          <w:sz w:val="20"/>
          <w:szCs w:val="20"/>
          <w:lang w:eastAsia="en-AU"/>
        </w:rPr>
        <w:t xml:space="preserve"> staff to build relationships with the </w:t>
      </w:r>
      <w:r w:rsidRPr="00E705D7">
        <w:rPr>
          <w:sz w:val="20"/>
          <w:szCs w:val="20"/>
          <w:lang w:eastAsia="en-AU"/>
        </w:rPr>
        <w:t>community</w:t>
      </w:r>
      <w:r w:rsidRPr="00C04E01">
        <w:rPr>
          <w:sz w:val="20"/>
          <w:szCs w:val="20"/>
          <w:lang w:eastAsia="en-AU"/>
        </w:rPr>
        <w:t>.</w:t>
      </w:r>
      <w:r w:rsidR="00E705D7" w:rsidRPr="00E705D7">
        <w:rPr>
          <w:sz w:val="20"/>
          <w:szCs w:val="20"/>
          <w:vertAlign w:val="superscript"/>
          <w:lang w:eastAsia="en-AU"/>
        </w:rPr>
        <w:t>93</w:t>
      </w:r>
      <w:r w:rsidRPr="00E705D7">
        <w:rPr>
          <w:sz w:val="20"/>
          <w:szCs w:val="20"/>
          <w:vertAlign w:val="superscript"/>
          <w:lang w:eastAsia="en-AU"/>
        </w:rPr>
        <w:t xml:space="preserve"> </w:t>
      </w:r>
      <w:r>
        <w:rPr>
          <w:sz w:val="20"/>
          <w:szCs w:val="20"/>
          <w:lang w:eastAsia="en-AU"/>
        </w:rPr>
        <w:t>The benefits of a</w:t>
      </w:r>
      <w:r w:rsidRPr="007E0585">
        <w:rPr>
          <w:sz w:val="20"/>
          <w:szCs w:val="20"/>
          <w:lang w:eastAsia="en-AU"/>
        </w:rPr>
        <w:t xml:space="preserve"> walk-in, one-stop shop model of care</w:t>
      </w:r>
      <w:r>
        <w:rPr>
          <w:sz w:val="20"/>
          <w:szCs w:val="20"/>
          <w:lang w:eastAsia="en-AU"/>
        </w:rPr>
        <w:t xml:space="preserve"> for BBV and STI have been described as </w:t>
      </w:r>
      <w:r w:rsidRPr="007E0585">
        <w:rPr>
          <w:sz w:val="20"/>
          <w:szCs w:val="20"/>
          <w:lang w:eastAsia="en-AU"/>
        </w:rPr>
        <w:t xml:space="preserve">increasing </w:t>
      </w:r>
      <w:r>
        <w:rPr>
          <w:sz w:val="20"/>
          <w:szCs w:val="20"/>
          <w:lang w:eastAsia="en-AU"/>
        </w:rPr>
        <w:t xml:space="preserve">ease of access, </w:t>
      </w:r>
      <w:r w:rsidRPr="007E0585">
        <w:rPr>
          <w:sz w:val="20"/>
          <w:szCs w:val="20"/>
          <w:lang w:eastAsia="en-AU"/>
        </w:rPr>
        <w:t>community adoption</w:t>
      </w:r>
      <w:r>
        <w:rPr>
          <w:sz w:val="20"/>
          <w:szCs w:val="20"/>
          <w:lang w:eastAsia="en-AU"/>
        </w:rPr>
        <w:t xml:space="preserve"> and</w:t>
      </w:r>
      <w:r w:rsidRPr="007E0585">
        <w:rPr>
          <w:sz w:val="20"/>
          <w:szCs w:val="20"/>
          <w:lang w:eastAsia="en-AU"/>
        </w:rPr>
        <w:t xml:space="preserve"> </w:t>
      </w:r>
      <w:r>
        <w:rPr>
          <w:sz w:val="20"/>
          <w:szCs w:val="20"/>
          <w:lang w:eastAsia="en-AU"/>
        </w:rPr>
        <w:t>program</w:t>
      </w:r>
      <w:r w:rsidRPr="007E0585">
        <w:rPr>
          <w:sz w:val="20"/>
          <w:szCs w:val="20"/>
          <w:lang w:eastAsia="en-AU"/>
        </w:rPr>
        <w:t xml:space="preserve"> reach</w:t>
      </w:r>
      <w:r>
        <w:rPr>
          <w:sz w:val="20"/>
          <w:szCs w:val="20"/>
          <w:lang w:eastAsia="en-AU"/>
        </w:rPr>
        <w:t xml:space="preserve">; providing a gateway to sexual health awareness and BBV and STI screening; promotion of harm reduction in relation to injecting drug use; and a potential avenue for supporting the uptake of </w:t>
      </w:r>
      <w:r w:rsidR="00E87E25">
        <w:rPr>
          <w:sz w:val="20"/>
          <w:szCs w:val="20"/>
          <w:lang w:eastAsia="en-AU"/>
        </w:rPr>
        <w:t xml:space="preserve">hepatitis C </w:t>
      </w:r>
      <w:r>
        <w:rPr>
          <w:sz w:val="20"/>
          <w:szCs w:val="20"/>
          <w:lang w:eastAsia="en-AU"/>
        </w:rPr>
        <w:t>DAA</w:t>
      </w:r>
      <w:r w:rsidR="00E87E25">
        <w:rPr>
          <w:sz w:val="20"/>
          <w:szCs w:val="20"/>
          <w:lang w:eastAsia="en-AU"/>
        </w:rPr>
        <w:t xml:space="preserve"> treatment</w:t>
      </w:r>
      <w:r>
        <w:rPr>
          <w:sz w:val="20"/>
          <w:szCs w:val="20"/>
          <w:lang w:eastAsia="en-AU"/>
        </w:rPr>
        <w:t>s.</w:t>
      </w:r>
    </w:p>
    <w:p w14:paraId="6CDF7ED4" w14:textId="0F0A64EE" w:rsidR="002966AD" w:rsidRDefault="0060433F" w:rsidP="002966AD">
      <w:pPr>
        <w:rPr>
          <w:sz w:val="20"/>
          <w:szCs w:val="20"/>
          <w:lang w:eastAsia="en-AU"/>
        </w:rPr>
      </w:pPr>
      <w:r>
        <w:rPr>
          <w:sz w:val="20"/>
          <w:szCs w:val="20"/>
          <w:lang w:eastAsia="en-AU"/>
        </w:rPr>
        <w:t>To reach priority populations e</w:t>
      </w:r>
      <w:r w:rsidR="002966AD" w:rsidRPr="00DD49AA">
        <w:rPr>
          <w:sz w:val="20"/>
          <w:szCs w:val="20"/>
          <w:lang w:eastAsia="en-AU"/>
        </w:rPr>
        <w:t>ffectively requires strong connections between</w:t>
      </w:r>
      <w:r w:rsidR="002966AD">
        <w:rPr>
          <w:sz w:val="20"/>
          <w:szCs w:val="20"/>
          <w:lang w:eastAsia="en-AU"/>
        </w:rPr>
        <w:t xml:space="preserve"> organisations that support and provide services to these populations. </w:t>
      </w:r>
      <w:r w:rsidR="003206B6">
        <w:rPr>
          <w:sz w:val="20"/>
          <w:szCs w:val="20"/>
          <w:lang w:eastAsia="en-AU"/>
        </w:rPr>
        <w:t>Building capacity and reach through p</w:t>
      </w:r>
      <w:r w:rsidR="002966AD">
        <w:rPr>
          <w:sz w:val="20"/>
          <w:szCs w:val="20"/>
          <w:lang w:eastAsia="en-AU"/>
        </w:rPr>
        <w:t xml:space="preserve">artnerships between ACCHS, mainstream health services, </w:t>
      </w:r>
      <w:r w:rsidR="006E49CB">
        <w:rPr>
          <w:sz w:val="20"/>
          <w:szCs w:val="20"/>
          <w:lang w:eastAsia="en-AU"/>
        </w:rPr>
        <w:t xml:space="preserve">BBV and STI </w:t>
      </w:r>
      <w:r w:rsidR="002966AD">
        <w:rPr>
          <w:sz w:val="20"/>
          <w:szCs w:val="20"/>
          <w:lang w:eastAsia="en-AU"/>
        </w:rPr>
        <w:t xml:space="preserve">organisations, </w:t>
      </w:r>
      <w:r w:rsidR="005C5DB6">
        <w:rPr>
          <w:sz w:val="20"/>
          <w:szCs w:val="20"/>
          <w:lang w:eastAsia="en-AU"/>
        </w:rPr>
        <w:t>AOD</w:t>
      </w:r>
      <w:r w:rsidR="002966AD">
        <w:rPr>
          <w:sz w:val="20"/>
          <w:szCs w:val="20"/>
          <w:lang w:eastAsia="en-AU"/>
        </w:rPr>
        <w:t xml:space="preserve"> services</w:t>
      </w:r>
      <w:r w:rsidR="001A0282">
        <w:rPr>
          <w:sz w:val="20"/>
          <w:szCs w:val="20"/>
          <w:lang w:eastAsia="en-AU"/>
        </w:rPr>
        <w:t xml:space="preserve">, </w:t>
      </w:r>
      <w:r w:rsidR="001A0282" w:rsidRPr="004E3784">
        <w:rPr>
          <w:sz w:val="20"/>
          <w:szCs w:val="20"/>
        </w:rPr>
        <w:t xml:space="preserve">harm reduction </w:t>
      </w:r>
      <w:r w:rsidR="001A0282">
        <w:rPr>
          <w:sz w:val="20"/>
          <w:szCs w:val="20"/>
        </w:rPr>
        <w:t xml:space="preserve">and peer-based </w:t>
      </w:r>
      <w:r w:rsidR="001A0282" w:rsidRPr="004E3784">
        <w:rPr>
          <w:sz w:val="20"/>
          <w:szCs w:val="20"/>
        </w:rPr>
        <w:t>service providers</w:t>
      </w:r>
      <w:r w:rsidR="001A0282">
        <w:rPr>
          <w:sz w:val="20"/>
          <w:szCs w:val="20"/>
        </w:rPr>
        <w:t>,</w:t>
      </w:r>
      <w:r w:rsidR="002966AD">
        <w:rPr>
          <w:sz w:val="20"/>
          <w:szCs w:val="20"/>
          <w:lang w:eastAsia="en-AU"/>
        </w:rPr>
        <w:t xml:space="preserve"> </w:t>
      </w:r>
      <w:r w:rsidR="005A74DD">
        <w:rPr>
          <w:sz w:val="20"/>
          <w:szCs w:val="20"/>
          <w:lang w:eastAsia="en-AU"/>
        </w:rPr>
        <w:t xml:space="preserve">schools, </w:t>
      </w:r>
      <w:r w:rsidR="001A0282">
        <w:rPr>
          <w:sz w:val="20"/>
          <w:szCs w:val="20"/>
          <w:lang w:eastAsia="en-AU"/>
        </w:rPr>
        <w:t>youth services</w:t>
      </w:r>
      <w:r w:rsidR="005A74DD">
        <w:rPr>
          <w:sz w:val="20"/>
          <w:szCs w:val="20"/>
          <w:lang w:eastAsia="en-AU"/>
        </w:rPr>
        <w:t xml:space="preserve"> </w:t>
      </w:r>
      <w:r w:rsidR="002966AD">
        <w:rPr>
          <w:sz w:val="20"/>
          <w:szCs w:val="20"/>
          <w:lang w:eastAsia="en-AU"/>
        </w:rPr>
        <w:t>and mental health services are all critical</w:t>
      </w:r>
      <w:r w:rsidR="003206B6">
        <w:rPr>
          <w:sz w:val="20"/>
          <w:szCs w:val="20"/>
          <w:lang w:eastAsia="en-AU"/>
        </w:rPr>
        <w:t xml:space="preserve"> and </w:t>
      </w:r>
      <w:r w:rsidR="002966AD" w:rsidRPr="00F0003E">
        <w:rPr>
          <w:sz w:val="20"/>
          <w:szCs w:val="20"/>
          <w:lang w:eastAsia="en-AU"/>
        </w:rPr>
        <w:t xml:space="preserve">support a more </w:t>
      </w:r>
      <w:r w:rsidR="00A2107B">
        <w:rPr>
          <w:sz w:val="20"/>
          <w:szCs w:val="20"/>
          <w:lang w:eastAsia="en-AU"/>
        </w:rPr>
        <w:t xml:space="preserve">coordinated and </w:t>
      </w:r>
      <w:r w:rsidR="002966AD" w:rsidRPr="00F0003E">
        <w:rPr>
          <w:sz w:val="20"/>
          <w:szCs w:val="20"/>
          <w:lang w:eastAsia="en-AU"/>
        </w:rPr>
        <w:t xml:space="preserve">holistic approach to </w:t>
      </w:r>
      <w:r w:rsidR="005A74DD">
        <w:rPr>
          <w:sz w:val="20"/>
          <w:szCs w:val="20"/>
          <w:lang w:eastAsia="en-AU"/>
        </w:rPr>
        <w:t xml:space="preserve">prevention and </w:t>
      </w:r>
      <w:r w:rsidR="002966AD" w:rsidRPr="00F0003E">
        <w:rPr>
          <w:sz w:val="20"/>
          <w:szCs w:val="20"/>
          <w:lang w:eastAsia="en-AU"/>
        </w:rPr>
        <w:t>care. Effective partnerships should be identified and maintained and their models applied to develop new links</w:t>
      </w:r>
      <w:r w:rsidR="00272FB3">
        <w:rPr>
          <w:sz w:val="20"/>
          <w:szCs w:val="20"/>
          <w:lang w:eastAsia="en-AU"/>
        </w:rPr>
        <w:t xml:space="preserve"> and referral pathways</w:t>
      </w:r>
      <w:r w:rsidR="002966AD" w:rsidRPr="00F0003E">
        <w:rPr>
          <w:sz w:val="20"/>
          <w:szCs w:val="20"/>
          <w:lang w:eastAsia="en-AU"/>
        </w:rPr>
        <w:t>.</w:t>
      </w:r>
      <w:r w:rsidR="00D07A8B">
        <w:rPr>
          <w:sz w:val="20"/>
          <w:szCs w:val="20"/>
          <w:lang w:eastAsia="en-AU"/>
        </w:rPr>
        <w:t xml:space="preserve"> </w:t>
      </w:r>
    </w:p>
    <w:p w14:paraId="55116DEC" w14:textId="660916CA" w:rsidR="001816FC" w:rsidRDefault="0060433F" w:rsidP="001816FC">
      <w:pPr>
        <w:rPr>
          <w:sz w:val="20"/>
          <w:szCs w:val="20"/>
          <w:lang w:eastAsia="en-AU"/>
        </w:rPr>
      </w:pPr>
      <w:r>
        <w:rPr>
          <w:sz w:val="20"/>
          <w:szCs w:val="20"/>
          <w:lang w:eastAsia="en-AU"/>
        </w:rPr>
        <w:t xml:space="preserve">It is important to ensure there is a focus on capacity </w:t>
      </w:r>
      <w:r w:rsidR="001816FC" w:rsidRPr="00F0003E">
        <w:rPr>
          <w:sz w:val="20"/>
          <w:szCs w:val="20"/>
          <w:lang w:eastAsia="en-AU"/>
        </w:rPr>
        <w:t>building in community</w:t>
      </w:r>
      <w:r w:rsidR="002966AD">
        <w:rPr>
          <w:sz w:val="20"/>
          <w:szCs w:val="20"/>
          <w:lang w:eastAsia="en-AU"/>
        </w:rPr>
        <w:t xml:space="preserve"> organisations, including ACCH Sector Support Organisations</w:t>
      </w:r>
      <w:r w:rsidR="001816FC" w:rsidRPr="00F0003E">
        <w:rPr>
          <w:sz w:val="20"/>
          <w:szCs w:val="20"/>
          <w:lang w:eastAsia="en-AU"/>
        </w:rPr>
        <w:t xml:space="preserve"> </w:t>
      </w:r>
      <w:r w:rsidR="0097287B">
        <w:rPr>
          <w:sz w:val="20"/>
          <w:szCs w:val="20"/>
          <w:lang w:eastAsia="en-AU"/>
        </w:rPr>
        <w:t>as well as peer-</w:t>
      </w:r>
      <w:r w:rsidR="001816FC" w:rsidRPr="00F0003E">
        <w:rPr>
          <w:sz w:val="20"/>
          <w:szCs w:val="20"/>
          <w:lang w:eastAsia="en-AU"/>
        </w:rPr>
        <w:t xml:space="preserve">based </w:t>
      </w:r>
      <w:r w:rsidR="001816FC" w:rsidRPr="00DD49AA">
        <w:rPr>
          <w:sz w:val="20"/>
          <w:szCs w:val="20"/>
          <w:lang w:eastAsia="en-AU"/>
        </w:rPr>
        <w:t>organisations</w:t>
      </w:r>
      <w:r w:rsidR="0097287B" w:rsidRPr="00DD49AA">
        <w:rPr>
          <w:sz w:val="20"/>
          <w:szCs w:val="20"/>
          <w:lang w:eastAsia="en-AU"/>
        </w:rPr>
        <w:t>,</w:t>
      </w:r>
      <w:r w:rsidR="001816FC" w:rsidRPr="00DD49AA">
        <w:rPr>
          <w:sz w:val="20"/>
          <w:szCs w:val="20"/>
          <w:lang w:eastAsia="en-AU"/>
        </w:rPr>
        <w:t xml:space="preserve"> is important</w:t>
      </w:r>
      <w:r w:rsidR="00F77793" w:rsidRPr="00DD49AA">
        <w:rPr>
          <w:sz w:val="20"/>
          <w:szCs w:val="20"/>
          <w:lang w:eastAsia="en-AU"/>
        </w:rPr>
        <w:t>,</w:t>
      </w:r>
      <w:r w:rsidR="001816FC" w:rsidRPr="00DD49AA">
        <w:rPr>
          <w:sz w:val="20"/>
          <w:szCs w:val="20"/>
          <w:lang w:eastAsia="en-AU"/>
        </w:rPr>
        <w:t xml:space="preserve"> as</w:t>
      </w:r>
      <w:r w:rsidR="001816FC" w:rsidRPr="00F0003E">
        <w:rPr>
          <w:sz w:val="20"/>
          <w:szCs w:val="20"/>
          <w:lang w:eastAsia="en-AU"/>
        </w:rPr>
        <w:t xml:space="preserve"> these organisations possess a unique understanding of affected communities, capacity to mobilise community</w:t>
      </w:r>
      <w:r w:rsidR="001816FC" w:rsidRPr="00F0003E">
        <w:rPr>
          <w:sz w:val="20"/>
          <w:szCs w:val="20"/>
        </w:rPr>
        <w:t xml:space="preserve"> members through their networks and ability to reach hidden populations far more effectively and efficiently than mainstream service providers.</w:t>
      </w:r>
      <w:r w:rsidR="001816FC" w:rsidRPr="00F0003E">
        <w:rPr>
          <w:rStyle w:val="EndnoteReference"/>
          <w:sz w:val="20"/>
          <w:szCs w:val="20"/>
        </w:rPr>
        <w:endnoteReference w:id="99"/>
      </w:r>
    </w:p>
    <w:p w14:paraId="18B2C796" w14:textId="77777777" w:rsidR="00075261" w:rsidRPr="00E62046" w:rsidRDefault="00075261" w:rsidP="00075261">
      <w:pPr>
        <w:pStyle w:val="Bullet"/>
        <w:spacing w:before="120" w:after="0"/>
        <w:rPr>
          <w:rFonts w:eastAsia="Calibri"/>
          <w:b/>
          <w:bCs/>
          <w:color w:val="00264D"/>
          <w:lang w:eastAsia="en-US"/>
        </w:rPr>
      </w:pPr>
      <w:r w:rsidRPr="00113B60">
        <w:rPr>
          <w:rFonts w:eastAsia="Calibri"/>
          <w:b/>
          <w:bCs/>
          <w:color w:val="00264D"/>
          <w:lang w:eastAsia="en-US"/>
        </w:rPr>
        <w:t xml:space="preserve">Key </w:t>
      </w:r>
      <w:r w:rsidRPr="00E62046">
        <w:rPr>
          <w:rFonts w:eastAsia="Calibri"/>
          <w:b/>
          <w:bCs/>
          <w:color w:val="00264D"/>
          <w:lang w:eastAsia="en-US"/>
        </w:rPr>
        <w:t>areas for action</w:t>
      </w:r>
    </w:p>
    <w:p w14:paraId="1D9F7899" w14:textId="05BC3DF8" w:rsidR="00E62046" w:rsidRPr="00E62046" w:rsidRDefault="00075261" w:rsidP="009E3FC9">
      <w:pPr>
        <w:numPr>
          <w:ilvl w:val="0"/>
          <w:numId w:val="8"/>
        </w:numPr>
        <w:suppressAutoHyphens/>
        <w:spacing w:before="120" w:after="0"/>
        <w:rPr>
          <w:color w:val="1F497D" w:themeColor="text2"/>
        </w:rPr>
      </w:pPr>
      <w:r w:rsidRPr="00E62046">
        <w:rPr>
          <w:sz w:val="20"/>
          <w:szCs w:val="20"/>
          <w:lang w:val="en-US"/>
        </w:rPr>
        <w:t>Support models of care that provide effective</w:t>
      </w:r>
      <w:r w:rsidR="005A74DD">
        <w:rPr>
          <w:sz w:val="20"/>
          <w:szCs w:val="20"/>
          <w:lang w:val="en-US"/>
        </w:rPr>
        <w:t xml:space="preserve"> and</w:t>
      </w:r>
      <w:r w:rsidR="00272FB3" w:rsidRPr="00E62046">
        <w:rPr>
          <w:sz w:val="20"/>
          <w:szCs w:val="20"/>
          <w:lang w:val="en-US"/>
        </w:rPr>
        <w:t xml:space="preserve"> culturally </w:t>
      </w:r>
      <w:r w:rsidR="008A6680">
        <w:rPr>
          <w:sz w:val="20"/>
          <w:szCs w:val="20"/>
          <w:lang w:val="en-US"/>
        </w:rPr>
        <w:t>responsive</w:t>
      </w:r>
      <w:r w:rsidRPr="00E62046">
        <w:rPr>
          <w:sz w:val="20"/>
          <w:szCs w:val="20"/>
          <w:lang w:val="en-US"/>
        </w:rPr>
        <w:t xml:space="preserve"> prevention, testing, treatment and</w:t>
      </w:r>
      <w:r w:rsidRPr="00E62046">
        <w:rPr>
          <w:sz w:val="20"/>
          <w:szCs w:val="20"/>
          <w:lang w:eastAsia="en-AU"/>
        </w:rPr>
        <w:t xml:space="preserve"> </w:t>
      </w:r>
      <w:r w:rsidR="005A74DD">
        <w:rPr>
          <w:sz w:val="20"/>
          <w:szCs w:val="20"/>
          <w:lang w:eastAsia="en-AU"/>
        </w:rPr>
        <w:t>care</w:t>
      </w:r>
      <w:r w:rsidR="005A74DD" w:rsidRPr="00E62046">
        <w:rPr>
          <w:sz w:val="20"/>
          <w:szCs w:val="20"/>
          <w:lang w:eastAsia="en-AU"/>
        </w:rPr>
        <w:t xml:space="preserve"> </w:t>
      </w:r>
      <w:r w:rsidR="00751835" w:rsidRPr="00E62046">
        <w:rPr>
          <w:sz w:val="20"/>
          <w:szCs w:val="20"/>
          <w:lang w:eastAsia="en-AU"/>
        </w:rPr>
        <w:t>at a local level</w:t>
      </w:r>
      <w:r w:rsidRPr="00E62046">
        <w:rPr>
          <w:sz w:val="20"/>
          <w:szCs w:val="20"/>
          <w:lang w:eastAsia="en-AU"/>
        </w:rPr>
        <w:t xml:space="preserve">, </w:t>
      </w:r>
      <w:r w:rsidR="00834C88" w:rsidRPr="00E62046">
        <w:rPr>
          <w:sz w:val="20"/>
          <w:szCs w:val="20"/>
          <w:lang w:eastAsia="en-AU"/>
        </w:rPr>
        <w:t xml:space="preserve">including mobile services, </w:t>
      </w:r>
      <w:r w:rsidR="000915EB" w:rsidRPr="00E62046">
        <w:rPr>
          <w:sz w:val="20"/>
          <w:szCs w:val="20"/>
          <w:lang w:eastAsia="en-AU"/>
        </w:rPr>
        <w:t xml:space="preserve">with </w:t>
      </w:r>
      <w:r w:rsidRPr="00E62046">
        <w:rPr>
          <w:sz w:val="20"/>
          <w:szCs w:val="20"/>
          <w:lang w:eastAsia="en-AU"/>
        </w:rPr>
        <w:t xml:space="preserve">strong links and pathways to </w:t>
      </w:r>
      <w:r w:rsidR="00BD7AEE" w:rsidRPr="00E62046">
        <w:rPr>
          <w:sz w:val="20"/>
          <w:szCs w:val="20"/>
          <w:lang w:eastAsia="en-AU"/>
        </w:rPr>
        <w:t xml:space="preserve">access </w:t>
      </w:r>
      <w:r w:rsidRPr="00E62046">
        <w:rPr>
          <w:sz w:val="20"/>
          <w:szCs w:val="20"/>
          <w:lang w:eastAsia="en-AU"/>
        </w:rPr>
        <w:t xml:space="preserve">multidisciplinary and specialist services </w:t>
      </w:r>
    </w:p>
    <w:p w14:paraId="09E2346A" w14:textId="77777777" w:rsidR="006F2BF7" w:rsidRPr="006F2BF7" w:rsidRDefault="00075261" w:rsidP="009E3FC9">
      <w:pPr>
        <w:numPr>
          <w:ilvl w:val="0"/>
          <w:numId w:val="8"/>
        </w:numPr>
        <w:suppressAutoHyphens/>
        <w:spacing w:before="120" w:after="0"/>
        <w:rPr>
          <w:rFonts w:eastAsia="Times New Roman"/>
          <w:sz w:val="20"/>
          <w:szCs w:val="20"/>
          <w:lang w:eastAsia="en-AU"/>
        </w:rPr>
      </w:pPr>
      <w:r w:rsidRPr="00E62046">
        <w:rPr>
          <w:sz w:val="20"/>
          <w:szCs w:val="20"/>
          <w:lang w:eastAsia="en-AU"/>
        </w:rPr>
        <w:t xml:space="preserve">Ensure </w:t>
      </w:r>
      <w:r w:rsidR="00834C88" w:rsidRPr="00E62046">
        <w:rPr>
          <w:sz w:val="20"/>
          <w:szCs w:val="20"/>
          <w:lang w:eastAsia="en-AU"/>
        </w:rPr>
        <w:t xml:space="preserve">meaningful </w:t>
      </w:r>
      <w:r w:rsidRPr="00E62046">
        <w:rPr>
          <w:sz w:val="20"/>
          <w:szCs w:val="20"/>
          <w:lang w:eastAsia="en-AU"/>
        </w:rPr>
        <w:t xml:space="preserve">local community </w:t>
      </w:r>
      <w:r w:rsidR="00834C88" w:rsidRPr="00E62046">
        <w:rPr>
          <w:sz w:val="20"/>
          <w:szCs w:val="20"/>
          <w:lang w:eastAsia="en-AU"/>
        </w:rPr>
        <w:t>participation and co</w:t>
      </w:r>
      <w:r w:rsidRPr="00E62046">
        <w:rPr>
          <w:sz w:val="20"/>
          <w:szCs w:val="20"/>
          <w:lang w:eastAsia="en-AU"/>
        </w:rPr>
        <w:t>ntrol in the development and delivery of BBV and STI programs</w:t>
      </w:r>
      <w:r w:rsidR="00834C88" w:rsidRPr="00E62046">
        <w:rPr>
          <w:sz w:val="20"/>
          <w:szCs w:val="20"/>
          <w:lang w:eastAsia="en-AU"/>
        </w:rPr>
        <w:t xml:space="preserve"> and services </w:t>
      </w:r>
      <w:r w:rsidR="00834C88" w:rsidRPr="00E62046">
        <w:rPr>
          <w:sz w:val="20"/>
          <w:szCs w:val="20"/>
        </w:rPr>
        <w:t>for their community</w:t>
      </w:r>
      <w:r w:rsidR="00703D68">
        <w:rPr>
          <w:sz w:val="20"/>
          <w:szCs w:val="20"/>
        </w:rPr>
        <w:t>, including to ensure that gaps in programs and services are identified and addressed</w:t>
      </w:r>
    </w:p>
    <w:p w14:paraId="46018E24" w14:textId="77777777" w:rsidR="00075261" w:rsidRDefault="00075261" w:rsidP="000915EB">
      <w:pPr>
        <w:pStyle w:val="TableNBullet"/>
        <w:numPr>
          <w:ilvl w:val="0"/>
          <w:numId w:val="8"/>
        </w:numPr>
        <w:spacing w:before="120" w:after="80"/>
        <w:rPr>
          <w:sz w:val="20"/>
          <w:szCs w:val="20"/>
        </w:rPr>
      </w:pPr>
      <w:r w:rsidRPr="00E62046">
        <w:rPr>
          <w:sz w:val="20"/>
          <w:szCs w:val="20"/>
        </w:rPr>
        <w:t xml:space="preserve">Support partnerships between Aboriginal and Torres Strait Islander organisations, mainstream health services, </w:t>
      </w:r>
      <w:r w:rsidR="006E49CB" w:rsidRPr="00E62046">
        <w:rPr>
          <w:sz w:val="20"/>
          <w:szCs w:val="20"/>
        </w:rPr>
        <w:t>BBV and STI organisations</w:t>
      </w:r>
      <w:r w:rsidRPr="00E62046">
        <w:rPr>
          <w:sz w:val="20"/>
          <w:szCs w:val="20"/>
        </w:rPr>
        <w:t xml:space="preserve">, </w:t>
      </w:r>
      <w:r w:rsidR="00BD7AEE" w:rsidRPr="00E62046">
        <w:rPr>
          <w:sz w:val="20"/>
          <w:szCs w:val="20"/>
        </w:rPr>
        <w:t>AODs</w:t>
      </w:r>
      <w:r w:rsidRPr="00E62046">
        <w:rPr>
          <w:sz w:val="20"/>
          <w:szCs w:val="20"/>
        </w:rPr>
        <w:t>, youth services, mental</w:t>
      </w:r>
      <w:r w:rsidRPr="004E3784">
        <w:rPr>
          <w:sz w:val="20"/>
          <w:szCs w:val="20"/>
        </w:rPr>
        <w:t xml:space="preserve"> health servic</w:t>
      </w:r>
      <w:r>
        <w:rPr>
          <w:sz w:val="20"/>
          <w:szCs w:val="20"/>
        </w:rPr>
        <w:t>es and other service providers</w:t>
      </w:r>
      <w:r w:rsidR="000121EB">
        <w:rPr>
          <w:sz w:val="20"/>
          <w:szCs w:val="20"/>
        </w:rPr>
        <w:t xml:space="preserve"> to </w:t>
      </w:r>
      <w:r w:rsidR="00272FB3">
        <w:rPr>
          <w:sz w:val="20"/>
          <w:szCs w:val="20"/>
        </w:rPr>
        <w:t>build capacity, reach and referral pathways for BBV and STI service access</w:t>
      </w:r>
    </w:p>
    <w:p w14:paraId="44B6C76E" w14:textId="21A20CDE" w:rsidR="00075261" w:rsidRDefault="00075261" w:rsidP="000915EB">
      <w:pPr>
        <w:numPr>
          <w:ilvl w:val="0"/>
          <w:numId w:val="8"/>
        </w:numPr>
        <w:suppressAutoHyphens/>
        <w:spacing w:before="120" w:after="0"/>
        <w:rPr>
          <w:rFonts w:eastAsia="Times New Roman"/>
          <w:sz w:val="20"/>
          <w:szCs w:val="20"/>
          <w:lang w:eastAsia="en-AU"/>
        </w:rPr>
      </w:pPr>
      <w:r w:rsidRPr="00102984">
        <w:rPr>
          <w:rFonts w:eastAsia="Times New Roman"/>
          <w:sz w:val="20"/>
          <w:szCs w:val="20"/>
          <w:lang w:eastAsia="en-AU"/>
        </w:rPr>
        <w:t>Identify opportunities to improve patient management systems to better suppo</w:t>
      </w:r>
      <w:r w:rsidR="00703D68">
        <w:rPr>
          <w:rFonts w:eastAsia="Times New Roman"/>
          <w:sz w:val="20"/>
          <w:szCs w:val="20"/>
          <w:lang w:eastAsia="en-AU"/>
        </w:rPr>
        <w:t xml:space="preserve">rt the primary </w:t>
      </w:r>
      <w:r w:rsidR="00F80C4C">
        <w:rPr>
          <w:rFonts w:eastAsia="Times New Roman"/>
          <w:sz w:val="20"/>
          <w:szCs w:val="20"/>
          <w:lang w:eastAsia="en-AU"/>
        </w:rPr>
        <w:t>health</w:t>
      </w:r>
      <w:r w:rsidR="00703D68">
        <w:rPr>
          <w:rFonts w:eastAsia="Times New Roman"/>
          <w:sz w:val="20"/>
          <w:szCs w:val="20"/>
          <w:lang w:eastAsia="en-AU"/>
        </w:rPr>
        <w:t>care workforce in</w:t>
      </w:r>
      <w:r w:rsidRPr="00102984">
        <w:rPr>
          <w:rFonts w:eastAsia="Times New Roman"/>
          <w:sz w:val="20"/>
          <w:szCs w:val="20"/>
          <w:lang w:eastAsia="en-AU"/>
        </w:rPr>
        <w:t xml:space="preserve"> promptly identify</w:t>
      </w:r>
      <w:r w:rsidR="00703D68">
        <w:rPr>
          <w:rFonts w:eastAsia="Times New Roman"/>
          <w:sz w:val="20"/>
          <w:szCs w:val="20"/>
          <w:lang w:eastAsia="en-AU"/>
        </w:rPr>
        <w:t>ing</w:t>
      </w:r>
      <w:r w:rsidRPr="00102984">
        <w:rPr>
          <w:rFonts w:eastAsia="Times New Roman"/>
          <w:sz w:val="20"/>
          <w:szCs w:val="20"/>
          <w:lang w:eastAsia="en-AU"/>
        </w:rPr>
        <w:t xml:space="preserve"> and</w:t>
      </w:r>
      <w:r w:rsidR="00703D68">
        <w:rPr>
          <w:rFonts w:eastAsia="Times New Roman"/>
          <w:sz w:val="20"/>
          <w:szCs w:val="20"/>
          <w:lang w:eastAsia="en-AU"/>
        </w:rPr>
        <w:t xml:space="preserve"> providing</w:t>
      </w:r>
      <w:r w:rsidRPr="00102984">
        <w:rPr>
          <w:rFonts w:eastAsia="Times New Roman"/>
          <w:sz w:val="20"/>
          <w:szCs w:val="20"/>
          <w:lang w:eastAsia="en-AU"/>
        </w:rPr>
        <w:t xml:space="preserve"> </w:t>
      </w:r>
      <w:r w:rsidR="00703D68">
        <w:rPr>
          <w:rFonts w:eastAsia="Times New Roman"/>
          <w:sz w:val="20"/>
          <w:szCs w:val="20"/>
          <w:lang w:eastAsia="en-AU"/>
        </w:rPr>
        <w:t xml:space="preserve">ongoing </w:t>
      </w:r>
      <w:r w:rsidRPr="00102984">
        <w:rPr>
          <w:rFonts w:eastAsia="Times New Roman"/>
          <w:sz w:val="20"/>
          <w:szCs w:val="20"/>
          <w:lang w:eastAsia="en-AU"/>
        </w:rPr>
        <w:t>treatment and care for people with HIV and hepatitis B</w:t>
      </w:r>
    </w:p>
    <w:p w14:paraId="330DA453" w14:textId="60D455D9" w:rsidR="0039723E" w:rsidRDefault="0039723E" w:rsidP="0039723E">
      <w:pPr>
        <w:numPr>
          <w:ilvl w:val="0"/>
          <w:numId w:val="8"/>
        </w:numPr>
        <w:suppressAutoHyphens/>
        <w:spacing w:before="120" w:after="0"/>
        <w:rPr>
          <w:rFonts w:eastAsia="Times New Roman"/>
          <w:sz w:val="20"/>
          <w:szCs w:val="20"/>
          <w:lang w:eastAsia="en-AU"/>
        </w:rPr>
      </w:pPr>
      <w:r w:rsidRPr="004E3784">
        <w:rPr>
          <w:rFonts w:eastAsia="Times New Roman"/>
          <w:sz w:val="20"/>
          <w:szCs w:val="20"/>
          <w:lang w:eastAsia="en-AU"/>
        </w:rPr>
        <w:t xml:space="preserve">Develop mechanisms for strong regional coordination of BBV and STI responses in remote </w:t>
      </w:r>
      <w:r w:rsidRPr="00DD49AA">
        <w:rPr>
          <w:rFonts w:eastAsia="Times New Roman"/>
          <w:sz w:val="20"/>
          <w:szCs w:val="20"/>
          <w:lang w:eastAsia="en-AU"/>
        </w:rPr>
        <w:t>areas, involving</w:t>
      </w:r>
      <w:r w:rsidRPr="004E3784">
        <w:rPr>
          <w:rFonts w:eastAsia="Times New Roman"/>
          <w:sz w:val="20"/>
          <w:szCs w:val="20"/>
          <w:lang w:eastAsia="en-AU"/>
        </w:rPr>
        <w:t xml:space="preserve"> local primary health</w:t>
      </w:r>
      <w:r w:rsidR="00F80C4C">
        <w:rPr>
          <w:rFonts w:eastAsia="Times New Roman"/>
          <w:sz w:val="20"/>
          <w:szCs w:val="20"/>
          <w:lang w:eastAsia="en-AU"/>
        </w:rPr>
        <w:t xml:space="preserve">care </w:t>
      </w:r>
      <w:r w:rsidRPr="004E3784">
        <w:rPr>
          <w:rFonts w:eastAsia="Times New Roman"/>
          <w:sz w:val="20"/>
          <w:szCs w:val="20"/>
          <w:lang w:eastAsia="en-AU"/>
        </w:rPr>
        <w:t>services and with support from speci</w:t>
      </w:r>
      <w:r>
        <w:rPr>
          <w:rFonts w:eastAsia="Times New Roman"/>
          <w:sz w:val="20"/>
          <w:szCs w:val="20"/>
          <w:lang w:eastAsia="en-AU"/>
        </w:rPr>
        <w:t>alist services and laboratories</w:t>
      </w:r>
    </w:p>
    <w:p w14:paraId="2D65C411" w14:textId="77777777" w:rsidR="00383F3B" w:rsidRDefault="00383F3B" w:rsidP="00383F3B">
      <w:pPr>
        <w:spacing w:before="240"/>
        <w:rPr>
          <w:rFonts w:ascii="Segoe UI Semibold" w:hAnsi="Segoe UI Semibold"/>
          <w:color w:val="17365D"/>
          <w:sz w:val="22"/>
        </w:rPr>
      </w:pPr>
      <w:r w:rsidRPr="000C673E">
        <w:rPr>
          <w:rFonts w:ascii="Segoe UI Semibold" w:hAnsi="Segoe UI Semibold"/>
          <w:color w:val="17365D"/>
          <w:sz w:val="22"/>
        </w:rPr>
        <w:t>WORKFORCE</w:t>
      </w:r>
    </w:p>
    <w:p w14:paraId="341F97B1" w14:textId="4CEE3E52" w:rsidR="00383F3B" w:rsidRDefault="00383F3B" w:rsidP="009012A9">
      <w:pPr>
        <w:numPr>
          <w:ilvl w:val="0"/>
          <w:numId w:val="12"/>
        </w:numPr>
        <w:rPr>
          <w:i/>
          <w:sz w:val="20"/>
          <w:szCs w:val="20"/>
        </w:rPr>
      </w:pPr>
      <w:r>
        <w:rPr>
          <w:i/>
          <w:sz w:val="20"/>
          <w:szCs w:val="20"/>
        </w:rPr>
        <w:t xml:space="preserve">Facilitate </w:t>
      </w:r>
      <w:r w:rsidR="000243D9">
        <w:rPr>
          <w:i/>
          <w:sz w:val="20"/>
          <w:szCs w:val="20"/>
        </w:rPr>
        <w:t xml:space="preserve">and support </w:t>
      </w:r>
      <w:r>
        <w:rPr>
          <w:i/>
          <w:sz w:val="20"/>
          <w:szCs w:val="20"/>
        </w:rPr>
        <w:t xml:space="preserve">a highly skilled </w:t>
      </w:r>
      <w:r w:rsidR="000243D9">
        <w:rPr>
          <w:i/>
          <w:sz w:val="20"/>
          <w:szCs w:val="20"/>
        </w:rPr>
        <w:t xml:space="preserve">and stable </w:t>
      </w:r>
      <w:r>
        <w:rPr>
          <w:i/>
          <w:sz w:val="20"/>
          <w:szCs w:val="20"/>
        </w:rPr>
        <w:t>multidisciplinary health workforce that is respectful of and responsive to the needs of Aboriginal and Torres Strait Islander people in the provision of high</w:t>
      </w:r>
      <w:r w:rsidR="00B1308B">
        <w:rPr>
          <w:i/>
          <w:sz w:val="20"/>
          <w:szCs w:val="20"/>
        </w:rPr>
        <w:t>-</w:t>
      </w:r>
      <w:r>
        <w:rPr>
          <w:i/>
          <w:sz w:val="20"/>
          <w:szCs w:val="20"/>
        </w:rPr>
        <w:t>quality BBV and STI services</w:t>
      </w:r>
    </w:p>
    <w:p w14:paraId="3B0B4122" w14:textId="47F93662" w:rsidR="00383F3B" w:rsidRDefault="00383F3B" w:rsidP="00383F3B">
      <w:pPr>
        <w:spacing w:before="120"/>
        <w:rPr>
          <w:sz w:val="20"/>
          <w:szCs w:val="20"/>
          <w:lang w:eastAsia="en-AU"/>
        </w:rPr>
      </w:pPr>
      <w:r w:rsidRPr="002C1C60">
        <w:rPr>
          <w:sz w:val="20"/>
          <w:szCs w:val="20"/>
          <w:lang w:eastAsia="en-AU"/>
        </w:rPr>
        <w:t>A skilled</w:t>
      </w:r>
      <w:r>
        <w:rPr>
          <w:sz w:val="20"/>
          <w:szCs w:val="20"/>
          <w:lang w:eastAsia="en-AU"/>
        </w:rPr>
        <w:t>, stable</w:t>
      </w:r>
      <w:r w:rsidR="00336E1C">
        <w:rPr>
          <w:sz w:val="20"/>
          <w:szCs w:val="20"/>
          <w:lang w:eastAsia="en-AU"/>
        </w:rPr>
        <w:t>, multidisciplinary</w:t>
      </w:r>
      <w:r w:rsidRPr="002C1C60">
        <w:rPr>
          <w:sz w:val="20"/>
          <w:szCs w:val="20"/>
          <w:lang w:eastAsia="en-AU"/>
        </w:rPr>
        <w:t xml:space="preserve"> and culturally </w:t>
      </w:r>
      <w:r w:rsidR="008A6680">
        <w:rPr>
          <w:sz w:val="20"/>
          <w:szCs w:val="20"/>
          <w:lang w:eastAsia="en-AU"/>
        </w:rPr>
        <w:t>respectful</w:t>
      </w:r>
      <w:r w:rsidR="008A6680" w:rsidRPr="002C1C60">
        <w:rPr>
          <w:sz w:val="20"/>
          <w:szCs w:val="20"/>
          <w:lang w:eastAsia="en-AU"/>
        </w:rPr>
        <w:t xml:space="preserve"> </w:t>
      </w:r>
      <w:r w:rsidRPr="002C1C60">
        <w:rPr>
          <w:sz w:val="20"/>
          <w:szCs w:val="20"/>
          <w:lang w:eastAsia="en-AU"/>
        </w:rPr>
        <w:t>workforce is fundamental to</w:t>
      </w:r>
      <w:r>
        <w:rPr>
          <w:sz w:val="20"/>
          <w:szCs w:val="20"/>
          <w:lang w:eastAsia="en-AU"/>
        </w:rPr>
        <w:t xml:space="preserve"> an effective response to BBV and STI among Aboriginal and Torres Strait Islander people. Increasing the Aboriginal and Torres Strait Islander health workforce and building workforce capacity </w:t>
      </w:r>
      <w:r w:rsidR="00DD49AA">
        <w:rPr>
          <w:sz w:val="20"/>
          <w:szCs w:val="20"/>
          <w:lang w:eastAsia="en-AU"/>
        </w:rPr>
        <w:t xml:space="preserve">are </w:t>
      </w:r>
      <w:r>
        <w:rPr>
          <w:sz w:val="20"/>
          <w:szCs w:val="20"/>
          <w:lang w:eastAsia="en-AU"/>
        </w:rPr>
        <w:t xml:space="preserve">critical to ensuring </w:t>
      </w:r>
      <w:r w:rsidR="00DD49AA">
        <w:rPr>
          <w:sz w:val="20"/>
          <w:szCs w:val="20"/>
          <w:lang w:eastAsia="en-AU"/>
        </w:rPr>
        <w:t xml:space="preserve">that </w:t>
      </w:r>
      <w:r>
        <w:rPr>
          <w:sz w:val="20"/>
          <w:szCs w:val="20"/>
          <w:lang w:eastAsia="en-AU"/>
        </w:rPr>
        <w:t xml:space="preserve">health professionals have </w:t>
      </w:r>
      <w:r w:rsidRPr="004E5793">
        <w:rPr>
          <w:sz w:val="20"/>
          <w:szCs w:val="20"/>
          <w:lang w:eastAsia="en-AU"/>
        </w:rPr>
        <w:t xml:space="preserve">the </w:t>
      </w:r>
      <w:r w:rsidR="002F0172">
        <w:rPr>
          <w:sz w:val="20"/>
          <w:szCs w:val="20"/>
          <w:lang w:eastAsia="en-AU"/>
        </w:rPr>
        <w:t xml:space="preserve">confidence, </w:t>
      </w:r>
      <w:r w:rsidRPr="004E5793">
        <w:rPr>
          <w:sz w:val="20"/>
          <w:szCs w:val="20"/>
          <w:lang w:eastAsia="en-AU"/>
        </w:rPr>
        <w:t xml:space="preserve">skills and knowledge to recognise and </w:t>
      </w:r>
      <w:r>
        <w:rPr>
          <w:sz w:val="20"/>
          <w:szCs w:val="20"/>
          <w:lang w:eastAsia="en-AU"/>
        </w:rPr>
        <w:t xml:space="preserve">deliver culturally responsive BBV and STI services. </w:t>
      </w:r>
      <w:r>
        <w:rPr>
          <w:sz w:val="20"/>
          <w:szCs w:val="20"/>
          <w:lang w:eastAsia="en-AU"/>
        </w:rPr>
        <w:lastRenderedPageBreak/>
        <w:t xml:space="preserve">This is needed for staff working in ACCHS, ACCH Sector Support Organisations, </w:t>
      </w:r>
      <w:r w:rsidR="006E49CB">
        <w:rPr>
          <w:sz w:val="20"/>
          <w:szCs w:val="20"/>
          <w:lang w:eastAsia="en-AU"/>
        </w:rPr>
        <w:t xml:space="preserve">BBV and STI </w:t>
      </w:r>
      <w:r>
        <w:rPr>
          <w:sz w:val="20"/>
          <w:szCs w:val="20"/>
          <w:lang w:eastAsia="en-AU"/>
        </w:rPr>
        <w:t xml:space="preserve">organisations </w:t>
      </w:r>
      <w:r w:rsidR="00DD49AA">
        <w:rPr>
          <w:sz w:val="20"/>
          <w:szCs w:val="20"/>
          <w:lang w:eastAsia="en-AU"/>
        </w:rPr>
        <w:t xml:space="preserve">and </w:t>
      </w:r>
      <w:r w:rsidRPr="00F0003E">
        <w:rPr>
          <w:sz w:val="20"/>
          <w:szCs w:val="20"/>
          <w:lang w:eastAsia="en-AU"/>
        </w:rPr>
        <w:t>mainstream health services.</w:t>
      </w:r>
      <w:r>
        <w:rPr>
          <w:sz w:val="20"/>
          <w:szCs w:val="20"/>
          <w:lang w:eastAsia="en-AU"/>
        </w:rPr>
        <w:t xml:space="preserve"> </w:t>
      </w:r>
    </w:p>
    <w:p w14:paraId="39CE9B68" w14:textId="4305CD77" w:rsidR="00383F3B" w:rsidRDefault="00383F3B" w:rsidP="00383F3B">
      <w:pPr>
        <w:spacing w:before="120"/>
        <w:rPr>
          <w:sz w:val="20"/>
          <w:szCs w:val="20"/>
          <w:lang w:eastAsia="en-AU"/>
        </w:rPr>
      </w:pPr>
      <w:r>
        <w:rPr>
          <w:sz w:val="20"/>
          <w:szCs w:val="20"/>
          <w:lang w:eastAsia="en-AU"/>
        </w:rPr>
        <w:t>The quality of BBV and STI services is impeded by a number of workforce issues</w:t>
      </w:r>
      <w:r w:rsidR="002E5DE5">
        <w:rPr>
          <w:sz w:val="20"/>
          <w:szCs w:val="20"/>
          <w:lang w:eastAsia="en-AU"/>
        </w:rPr>
        <w:t>. These</w:t>
      </w:r>
      <w:r>
        <w:rPr>
          <w:sz w:val="20"/>
          <w:szCs w:val="20"/>
          <w:lang w:eastAsia="en-AU"/>
        </w:rPr>
        <w:t xml:space="preserve"> includ</w:t>
      </w:r>
      <w:r w:rsidR="002E5DE5">
        <w:rPr>
          <w:sz w:val="20"/>
          <w:szCs w:val="20"/>
          <w:lang w:eastAsia="en-AU"/>
        </w:rPr>
        <w:t>e</w:t>
      </w:r>
      <w:r>
        <w:rPr>
          <w:sz w:val="20"/>
          <w:szCs w:val="20"/>
          <w:lang w:eastAsia="en-AU"/>
        </w:rPr>
        <w:t xml:space="preserve"> a lack of dedicated funding for the primary healthcare workforce for sexual health; high turnover</w:t>
      </w:r>
      <w:r w:rsidR="002E5DE5">
        <w:rPr>
          <w:sz w:val="20"/>
          <w:szCs w:val="20"/>
          <w:lang w:eastAsia="en-AU"/>
        </w:rPr>
        <w:t>; vacancy rates;</w:t>
      </w:r>
      <w:r>
        <w:rPr>
          <w:sz w:val="20"/>
          <w:szCs w:val="20"/>
          <w:lang w:eastAsia="en-AU"/>
        </w:rPr>
        <w:t xml:space="preserve"> significant shortages of appropriately skilled staff; gaps in education, training and professional development opportu</w:t>
      </w:r>
      <w:r w:rsidR="002E5DE5">
        <w:rPr>
          <w:sz w:val="20"/>
          <w:szCs w:val="20"/>
          <w:lang w:eastAsia="en-AU"/>
        </w:rPr>
        <w:t>nities for health professionals</w:t>
      </w:r>
      <w:r w:rsidR="00DD49AA">
        <w:rPr>
          <w:sz w:val="20"/>
          <w:szCs w:val="20"/>
          <w:lang w:eastAsia="en-AU"/>
        </w:rPr>
        <w:t>;</w:t>
      </w:r>
      <w:r w:rsidR="002E5DE5">
        <w:rPr>
          <w:sz w:val="20"/>
          <w:szCs w:val="20"/>
          <w:lang w:eastAsia="en-AU"/>
        </w:rPr>
        <w:t xml:space="preserve"> </w:t>
      </w:r>
      <w:r>
        <w:rPr>
          <w:sz w:val="20"/>
          <w:szCs w:val="20"/>
          <w:lang w:eastAsia="en-AU"/>
        </w:rPr>
        <w:t>and competing and more urgent health priorities. These issues predominate outside of metropolitan areas and are particularly felt in remote areas.</w:t>
      </w:r>
    </w:p>
    <w:p w14:paraId="462CA764" w14:textId="5E440A24" w:rsidR="00383F3B" w:rsidRDefault="002E5DE5" w:rsidP="00383F3B">
      <w:pPr>
        <w:spacing w:before="120"/>
        <w:rPr>
          <w:sz w:val="20"/>
          <w:szCs w:val="20"/>
          <w:lang w:eastAsia="en-AU"/>
        </w:rPr>
      </w:pPr>
      <w:r>
        <w:rPr>
          <w:sz w:val="20"/>
          <w:szCs w:val="20"/>
          <w:lang w:eastAsia="en-AU"/>
        </w:rPr>
        <w:t>It is critical to ensure that</w:t>
      </w:r>
      <w:r w:rsidR="00383F3B">
        <w:rPr>
          <w:sz w:val="20"/>
          <w:szCs w:val="20"/>
          <w:lang w:eastAsia="en-AU"/>
        </w:rPr>
        <w:t xml:space="preserve"> </w:t>
      </w:r>
      <w:r w:rsidR="00F80C4C">
        <w:rPr>
          <w:sz w:val="20"/>
          <w:szCs w:val="20"/>
          <w:lang w:eastAsia="en-AU"/>
        </w:rPr>
        <w:t xml:space="preserve">the </w:t>
      </w:r>
      <w:r w:rsidR="00383F3B">
        <w:rPr>
          <w:sz w:val="20"/>
          <w:szCs w:val="20"/>
          <w:lang w:eastAsia="en-AU"/>
        </w:rPr>
        <w:t xml:space="preserve">health workforce is supported </w:t>
      </w:r>
      <w:r>
        <w:rPr>
          <w:sz w:val="20"/>
          <w:szCs w:val="20"/>
          <w:lang w:eastAsia="en-AU"/>
        </w:rPr>
        <w:t>to deliver care by</w:t>
      </w:r>
      <w:r w:rsidR="00383F3B">
        <w:rPr>
          <w:sz w:val="20"/>
          <w:szCs w:val="20"/>
          <w:lang w:eastAsia="en-AU"/>
        </w:rPr>
        <w:t xml:space="preserve"> continuing education and training, evidence-based clinical guidelines, and </w:t>
      </w:r>
      <w:r>
        <w:rPr>
          <w:sz w:val="20"/>
          <w:szCs w:val="20"/>
          <w:lang w:eastAsia="en-AU"/>
        </w:rPr>
        <w:t xml:space="preserve">appropriate </w:t>
      </w:r>
      <w:r w:rsidR="00383F3B">
        <w:rPr>
          <w:sz w:val="20"/>
          <w:szCs w:val="20"/>
          <w:lang w:eastAsia="en-AU"/>
        </w:rPr>
        <w:t>resources and tools</w:t>
      </w:r>
      <w:r>
        <w:rPr>
          <w:sz w:val="20"/>
          <w:szCs w:val="20"/>
          <w:lang w:eastAsia="en-AU"/>
        </w:rPr>
        <w:t>.</w:t>
      </w:r>
      <w:r w:rsidR="00383F3B">
        <w:rPr>
          <w:sz w:val="20"/>
          <w:szCs w:val="20"/>
          <w:lang w:eastAsia="en-AU"/>
        </w:rPr>
        <w:t xml:space="preserve"> T</w:t>
      </w:r>
      <w:r>
        <w:rPr>
          <w:sz w:val="20"/>
          <w:szCs w:val="20"/>
          <w:lang w:eastAsia="en-AU"/>
        </w:rPr>
        <w:t>o respond effectively</w:t>
      </w:r>
      <w:r w:rsidR="00B95C91">
        <w:rPr>
          <w:sz w:val="20"/>
          <w:szCs w:val="20"/>
          <w:lang w:eastAsia="en-AU"/>
        </w:rPr>
        <w:t>,</w:t>
      </w:r>
      <w:r>
        <w:rPr>
          <w:sz w:val="20"/>
          <w:szCs w:val="20"/>
          <w:lang w:eastAsia="en-AU"/>
        </w:rPr>
        <w:t xml:space="preserve"> the health workforce needs clear clinical pathways and </w:t>
      </w:r>
      <w:r w:rsidR="00383F3B">
        <w:rPr>
          <w:sz w:val="20"/>
          <w:szCs w:val="20"/>
          <w:lang w:eastAsia="en-AU"/>
        </w:rPr>
        <w:t xml:space="preserve">guidelines for the clinical management of specific BBV and STI </w:t>
      </w:r>
      <w:r w:rsidR="00F80C4C">
        <w:rPr>
          <w:sz w:val="20"/>
          <w:szCs w:val="20"/>
          <w:lang w:eastAsia="en-AU"/>
        </w:rPr>
        <w:t>m</w:t>
      </w:r>
      <w:r w:rsidR="00383F3B">
        <w:rPr>
          <w:sz w:val="20"/>
          <w:szCs w:val="20"/>
          <w:lang w:eastAsia="en-AU"/>
        </w:rPr>
        <w:t>odels of care that are systematic, sustainable, agreed and coordinated</w:t>
      </w:r>
      <w:r w:rsidR="00DD49AA">
        <w:rPr>
          <w:sz w:val="20"/>
          <w:szCs w:val="20"/>
          <w:lang w:eastAsia="en-AU"/>
        </w:rPr>
        <w:t>. These pathways and guidelines</w:t>
      </w:r>
      <w:r w:rsidR="00383F3B">
        <w:rPr>
          <w:sz w:val="20"/>
          <w:szCs w:val="20"/>
          <w:lang w:eastAsia="en-AU"/>
        </w:rPr>
        <w:t xml:space="preserve"> are important in supporting staff to provide high</w:t>
      </w:r>
      <w:r w:rsidR="00DD49AA">
        <w:rPr>
          <w:sz w:val="20"/>
          <w:szCs w:val="20"/>
          <w:lang w:eastAsia="en-AU"/>
        </w:rPr>
        <w:t>-</w:t>
      </w:r>
      <w:r w:rsidR="00383F3B">
        <w:rPr>
          <w:sz w:val="20"/>
          <w:szCs w:val="20"/>
          <w:lang w:eastAsia="en-AU"/>
        </w:rPr>
        <w:t>quality care. Building workforce capacity in research and research translation is also important in supporting the delivery of best</w:t>
      </w:r>
      <w:r w:rsidR="00DD49AA">
        <w:rPr>
          <w:sz w:val="20"/>
          <w:szCs w:val="20"/>
          <w:lang w:eastAsia="en-AU"/>
        </w:rPr>
        <w:t>-</w:t>
      </w:r>
      <w:r w:rsidR="00383F3B">
        <w:rPr>
          <w:sz w:val="20"/>
          <w:szCs w:val="20"/>
          <w:lang w:eastAsia="en-AU"/>
        </w:rPr>
        <w:t xml:space="preserve">practice BBV and STI care.  </w:t>
      </w:r>
    </w:p>
    <w:p w14:paraId="3A1E9386" w14:textId="5B16742C" w:rsidR="007D2EF6" w:rsidRDefault="0047099C" w:rsidP="003031C5">
      <w:pPr>
        <w:spacing w:before="120"/>
        <w:rPr>
          <w:sz w:val="20"/>
          <w:szCs w:val="20"/>
          <w:lang w:eastAsia="en-AU"/>
        </w:rPr>
      </w:pPr>
      <w:r>
        <w:rPr>
          <w:sz w:val="20"/>
          <w:szCs w:val="20"/>
          <w:lang w:eastAsia="en-AU"/>
        </w:rPr>
        <w:t>T</w:t>
      </w:r>
      <w:r w:rsidRPr="00FF0349">
        <w:rPr>
          <w:sz w:val="20"/>
          <w:szCs w:val="20"/>
          <w:lang w:eastAsia="en-AU"/>
        </w:rPr>
        <w:t xml:space="preserve">he </w:t>
      </w:r>
      <w:hyperlink r:id="rId39" w:history="1">
        <w:r w:rsidRPr="00DD49AA">
          <w:rPr>
            <w:rStyle w:val="Hyperlink"/>
            <w:sz w:val="20"/>
            <w:szCs w:val="20"/>
            <w:lang w:eastAsia="en-AU"/>
          </w:rPr>
          <w:t>National Aboriginal and Torres Strait Islander Health Workforce Strategic Framework 201</w:t>
        </w:r>
        <w:r w:rsidR="00170075" w:rsidRPr="00DD49AA">
          <w:rPr>
            <w:rStyle w:val="Hyperlink"/>
            <w:sz w:val="20"/>
            <w:szCs w:val="20"/>
            <w:lang w:eastAsia="en-AU"/>
          </w:rPr>
          <w:t>6–</w:t>
        </w:r>
        <w:r w:rsidRPr="00DD49AA">
          <w:rPr>
            <w:rStyle w:val="Hyperlink"/>
            <w:sz w:val="20"/>
            <w:szCs w:val="20"/>
            <w:lang w:eastAsia="en-AU"/>
          </w:rPr>
          <w:t>2023</w:t>
        </w:r>
      </w:hyperlink>
      <w:r w:rsidR="00170075">
        <w:rPr>
          <w:rStyle w:val="Hyperlink"/>
          <w:sz w:val="20"/>
          <w:szCs w:val="20"/>
          <w:lang w:eastAsia="en-AU"/>
        </w:rPr>
        <w:t>,</w:t>
      </w:r>
      <w:r w:rsidR="004D4F3D" w:rsidRPr="00170075">
        <w:rPr>
          <w:rStyle w:val="EndnoteReference"/>
          <w:sz w:val="20"/>
          <w:szCs w:val="20"/>
          <w:lang w:eastAsia="en-AU"/>
        </w:rPr>
        <w:endnoteReference w:id="100"/>
      </w:r>
      <w:r>
        <w:rPr>
          <w:sz w:val="20"/>
          <w:szCs w:val="20"/>
          <w:lang w:eastAsia="en-AU"/>
        </w:rPr>
        <w:t xml:space="preserve"> along with</w:t>
      </w:r>
      <w:r w:rsidRPr="00FF0349">
        <w:rPr>
          <w:sz w:val="20"/>
          <w:szCs w:val="20"/>
          <w:lang w:eastAsia="en-AU"/>
        </w:rPr>
        <w:t xml:space="preserve"> jurisdictional Aboriginal and Torres Strait Islander health workforce strategies and action plans</w:t>
      </w:r>
      <w:r>
        <w:rPr>
          <w:sz w:val="20"/>
          <w:szCs w:val="20"/>
          <w:lang w:eastAsia="en-AU"/>
        </w:rPr>
        <w:t xml:space="preserve">, sets out a broad range of actions for building workforce capacity. </w:t>
      </w:r>
      <w:r w:rsidR="004D4F3D">
        <w:rPr>
          <w:sz w:val="20"/>
          <w:szCs w:val="20"/>
          <w:lang w:eastAsia="en-AU"/>
        </w:rPr>
        <w:t xml:space="preserve">A key outcome is ensuring </w:t>
      </w:r>
      <w:r w:rsidR="00383F3B">
        <w:rPr>
          <w:sz w:val="20"/>
          <w:szCs w:val="20"/>
          <w:lang w:eastAsia="en-AU"/>
        </w:rPr>
        <w:t xml:space="preserve">Aboriginal and Torres Strait Islander people </w:t>
      </w:r>
      <w:r w:rsidR="00EB16A4">
        <w:rPr>
          <w:sz w:val="20"/>
          <w:szCs w:val="20"/>
          <w:lang w:eastAsia="en-AU"/>
        </w:rPr>
        <w:t>are strongly represented across all health disciplines</w:t>
      </w:r>
      <w:r w:rsidR="004D4F3D">
        <w:rPr>
          <w:sz w:val="20"/>
          <w:szCs w:val="20"/>
          <w:lang w:eastAsia="en-AU"/>
        </w:rPr>
        <w:t xml:space="preserve"> to support</w:t>
      </w:r>
      <w:r w:rsidR="00EB16A4">
        <w:rPr>
          <w:sz w:val="20"/>
          <w:szCs w:val="20"/>
          <w:lang w:eastAsia="en-AU"/>
        </w:rPr>
        <w:t xml:space="preserve"> culturally safe and responsive health care. Increasing the number of Aboriginal and Torres Strait Islander people working in </w:t>
      </w:r>
      <w:r w:rsidR="00D55AC7">
        <w:rPr>
          <w:sz w:val="20"/>
          <w:szCs w:val="20"/>
          <w:lang w:eastAsia="en-AU"/>
        </w:rPr>
        <w:t xml:space="preserve">BBV and sexual </w:t>
      </w:r>
      <w:r w:rsidR="00383F3B">
        <w:rPr>
          <w:sz w:val="20"/>
          <w:szCs w:val="20"/>
          <w:lang w:eastAsia="en-AU"/>
        </w:rPr>
        <w:t>health</w:t>
      </w:r>
      <w:r w:rsidR="00D55AC7">
        <w:rPr>
          <w:sz w:val="20"/>
          <w:szCs w:val="20"/>
          <w:lang w:eastAsia="en-AU"/>
        </w:rPr>
        <w:t xml:space="preserve"> </w:t>
      </w:r>
      <w:r w:rsidR="00054592">
        <w:rPr>
          <w:sz w:val="20"/>
          <w:szCs w:val="20"/>
          <w:lang w:eastAsia="en-AU"/>
        </w:rPr>
        <w:t xml:space="preserve">primary </w:t>
      </w:r>
      <w:r w:rsidR="003031C5">
        <w:rPr>
          <w:sz w:val="20"/>
          <w:szCs w:val="20"/>
          <w:lang w:eastAsia="en-AU"/>
        </w:rPr>
        <w:t xml:space="preserve">and specialist </w:t>
      </w:r>
      <w:r w:rsidR="00054592">
        <w:rPr>
          <w:sz w:val="20"/>
          <w:szCs w:val="20"/>
          <w:lang w:eastAsia="en-AU"/>
        </w:rPr>
        <w:t>care</w:t>
      </w:r>
      <w:r w:rsidR="003031C5">
        <w:rPr>
          <w:sz w:val="20"/>
          <w:szCs w:val="20"/>
          <w:lang w:eastAsia="en-AU"/>
        </w:rPr>
        <w:t xml:space="preserve"> </w:t>
      </w:r>
      <w:r w:rsidR="00E336E2">
        <w:rPr>
          <w:sz w:val="20"/>
          <w:szCs w:val="20"/>
          <w:lang w:eastAsia="en-AU"/>
        </w:rPr>
        <w:t xml:space="preserve">management and </w:t>
      </w:r>
      <w:r w:rsidR="00054592">
        <w:rPr>
          <w:sz w:val="20"/>
          <w:szCs w:val="20"/>
          <w:lang w:eastAsia="en-AU"/>
        </w:rPr>
        <w:t>services</w:t>
      </w:r>
      <w:r w:rsidR="00994071">
        <w:rPr>
          <w:sz w:val="20"/>
          <w:szCs w:val="20"/>
          <w:lang w:eastAsia="en-AU"/>
        </w:rPr>
        <w:t>,</w:t>
      </w:r>
      <w:r w:rsidR="00EB16A4">
        <w:rPr>
          <w:sz w:val="20"/>
          <w:szCs w:val="20"/>
          <w:lang w:eastAsia="en-AU"/>
        </w:rPr>
        <w:t xml:space="preserve"> surveillance and research will ensure cultural</w:t>
      </w:r>
      <w:r w:rsidR="005B5C9C">
        <w:rPr>
          <w:sz w:val="20"/>
          <w:szCs w:val="20"/>
          <w:lang w:eastAsia="en-AU"/>
        </w:rPr>
        <w:t xml:space="preserve"> </w:t>
      </w:r>
      <w:r w:rsidR="00994071">
        <w:rPr>
          <w:sz w:val="20"/>
          <w:szCs w:val="20"/>
          <w:lang w:eastAsia="en-AU"/>
        </w:rPr>
        <w:t>capability</w:t>
      </w:r>
      <w:r w:rsidR="00EB16A4">
        <w:rPr>
          <w:sz w:val="20"/>
          <w:szCs w:val="20"/>
          <w:lang w:eastAsia="en-AU"/>
        </w:rPr>
        <w:t xml:space="preserve"> is evident in </w:t>
      </w:r>
      <w:r w:rsidR="00054592">
        <w:rPr>
          <w:sz w:val="20"/>
          <w:szCs w:val="20"/>
          <w:lang w:eastAsia="en-AU"/>
        </w:rPr>
        <w:t>service</w:t>
      </w:r>
      <w:r w:rsidR="00E336E2">
        <w:rPr>
          <w:sz w:val="20"/>
          <w:szCs w:val="20"/>
          <w:lang w:eastAsia="en-AU"/>
        </w:rPr>
        <w:t xml:space="preserve"> design and provision </w:t>
      </w:r>
      <w:r w:rsidR="003031C5">
        <w:rPr>
          <w:sz w:val="20"/>
          <w:szCs w:val="20"/>
          <w:lang w:eastAsia="en-AU"/>
        </w:rPr>
        <w:t>and</w:t>
      </w:r>
      <w:r w:rsidR="00994071">
        <w:rPr>
          <w:sz w:val="20"/>
          <w:szCs w:val="20"/>
          <w:lang w:eastAsia="en-AU"/>
        </w:rPr>
        <w:t xml:space="preserve"> in</w:t>
      </w:r>
      <w:r w:rsidR="00EB16A4">
        <w:rPr>
          <w:sz w:val="20"/>
          <w:szCs w:val="20"/>
          <w:lang w:eastAsia="en-AU"/>
        </w:rPr>
        <w:t xml:space="preserve"> the development and translation of the evidence base.</w:t>
      </w:r>
      <w:r w:rsidR="00267105">
        <w:rPr>
          <w:sz w:val="20"/>
          <w:szCs w:val="20"/>
          <w:lang w:eastAsia="en-AU"/>
        </w:rPr>
        <w:t xml:space="preserve"> </w:t>
      </w:r>
      <w:r w:rsidR="00383F3B">
        <w:rPr>
          <w:sz w:val="20"/>
          <w:szCs w:val="20"/>
          <w:lang w:eastAsia="en-AU"/>
        </w:rPr>
        <w:t>This also assists in improving the knowledge and skills of non-Indigenous health workers</w:t>
      </w:r>
      <w:r w:rsidR="000C673E">
        <w:rPr>
          <w:sz w:val="20"/>
          <w:szCs w:val="20"/>
          <w:lang w:eastAsia="en-AU"/>
        </w:rPr>
        <w:t xml:space="preserve">. However, the additional </w:t>
      </w:r>
      <w:r w:rsidR="00B9546A">
        <w:rPr>
          <w:sz w:val="20"/>
          <w:szCs w:val="20"/>
          <w:lang w:eastAsia="en-AU"/>
        </w:rPr>
        <w:t>workload</w:t>
      </w:r>
      <w:r w:rsidR="000C673E">
        <w:rPr>
          <w:sz w:val="20"/>
          <w:szCs w:val="20"/>
          <w:lang w:eastAsia="en-AU"/>
        </w:rPr>
        <w:t xml:space="preserve"> and expectation that this may place on Aboriginal and Torres Strait Islander staff needs to be considered and closely monitored, and </w:t>
      </w:r>
      <w:r w:rsidR="00DD49AA">
        <w:rPr>
          <w:sz w:val="20"/>
          <w:szCs w:val="20"/>
          <w:lang w:eastAsia="en-AU"/>
        </w:rPr>
        <w:t xml:space="preserve">it </w:t>
      </w:r>
      <w:r w:rsidR="000C673E">
        <w:rPr>
          <w:sz w:val="20"/>
          <w:szCs w:val="20"/>
          <w:lang w:eastAsia="en-AU"/>
        </w:rPr>
        <w:t>must be matched by continuing effort on the part of the non-</w:t>
      </w:r>
      <w:r w:rsidR="007D2EF6">
        <w:rPr>
          <w:sz w:val="20"/>
          <w:szCs w:val="20"/>
          <w:lang w:eastAsia="en-AU"/>
        </w:rPr>
        <w:t>I</w:t>
      </w:r>
      <w:r w:rsidR="000C673E">
        <w:rPr>
          <w:sz w:val="20"/>
          <w:szCs w:val="20"/>
          <w:lang w:eastAsia="en-AU"/>
        </w:rPr>
        <w:t>ndigenous workforce</w:t>
      </w:r>
      <w:r w:rsidR="00383F3B">
        <w:rPr>
          <w:sz w:val="20"/>
          <w:szCs w:val="20"/>
          <w:lang w:eastAsia="en-AU"/>
        </w:rPr>
        <w:t xml:space="preserve">. </w:t>
      </w:r>
    </w:p>
    <w:p w14:paraId="420E609C" w14:textId="4B0ADBF2" w:rsidR="00383F3B" w:rsidRDefault="000C673E" w:rsidP="003031C5">
      <w:pPr>
        <w:spacing w:before="120"/>
        <w:rPr>
          <w:rFonts w:ascii="Noto Serif" w:hAnsi="Noto Serif"/>
          <w:color w:val="333333"/>
          <w:sz w:val="15"/>
          <w:szCs w:val="15"/>
          <w:lang w:val="en"/>
        </w:rPr>
      </w:pPr>
      <w:r w:rsidRPr="000C673E">
        <w:rPr>
          <w:sz w:val="20"/>
          <w:szCs w:val="20"/>
          <w:lang w:eastAsia="en-AU"/>
        </w:rPr>
        <w:t xml:space="preserve">Cultural safety is being incorporated into </w:t>
      </w:r>
      <w:r>
        <w:rPr>
          <w:sz w:val="20"/>
          <w:szCs w:val="20"/>
          <w:lang w:eastAsia="en-AU"/>
        </w:rPr>
        <w:t>codes of conduct for various health professions to</w:t>
      </w:r>
      <w:r w:rsidRPr="000C673E">
        <w:rPr>
          <w:sz w:val="20"/>
          <w:szCs w:val="20"/>
          <w:lang w:eastAsia="en-AU"/>
        </w:rPr>
        <w:t xml:space="preserve"> promote and provide culturally safe care.</w:t>
      </w:r>
      <w:r w:rsidR="005D4DCB">
        <w:rPr>
          <w:rStyle w:val="EndnoteReference"/>
          <w:sz w:val="20"/>
          <w:szCs w:val="20"/>
          <w:lang w:eastAsia="en-AU"/>
        </w:rPr>
        <w:endnoteReference w:id="101"/>
      </w:r>
      <w:r>
        <w:rPr>
          <w:sz w:val="20"/>
          <w:szCs w:val="20"/>
          <w:lang w:eastAsia="en-AU"/>
        </w:rPr>
        <w:t xml:space="preserve"> </w:t>
      </w:r>
      <w:r w:rsidR="00383F3B" w:rsidRPr="00D97912">
        <w:rPr>
          <w:sz w:val="20"/>
          <w:szCs w:val="20"/>
          <w:lang w:eastAsia="en-AU"/>
        </w:rPr>
        <w:t>Comprehensive orientation processes</w:t>
      </w:r>
      <w:r w:rsidR="00383F3B">
        <w:rPr>
          <w:sz w:val="20"/>
          <w:szCs w:val="20"/>
          <w:lang w:eastAsia="en-AU"/>
        </w:rPr>
        <w:t>, including ongoing</w:t>
      </w:r>
      <w:r w:rsidR="00383F3B" w:rsidRPr="00D97912">
        <w:rPr>
          <w:sz w:val="20"/>
          <w:szCs w:val="20"/>
          <w:lang w:eastAsia="en-AU"/>
        </w:rPr>
        <w:t xml:space="preserve"> </w:t>
      </w:r>
      <w:r w:rsidR="00383F3B">
        <w:rPr>
          <w:sz w:val="20"/>
          <w:szCs w:val="20"/>
          <w:lang w:eastAsia="en-AU"/>
        </w:rPr>
        <w:t xml:space="preserve">cultural safety training </w:t>
      </w:r>
      <w:r w:rsidR="00383F3B" w:rsidRPr="00D97912">
        <w:rPr>
          <w:sz w:val="20"/>
          <w:szCs w:val="20"/>
          <w:lang w:eastAsia="en-AU"/>
        </w:rPr>
        <w:t>for staff</w:t>
      </w:r>
      <w:r w:rsidR="00383F3B">
        <w:rPr>
          <w:sz w:val="20"/>
          <w:szCs w:val="20"/>
          <w:lang w:eastAsia="en-AU"/>
        </w:rPr>
        <w:t>,</w:t>
      </w:r>
      <w:r w:rsidR="00383F3B" w:rsidRPr="00D97912">
        <w:rPr>
          <w:sz w:val="20"/>
          <w:szCs w:val="20"/>
          <w:lang w:eastAsia="en-AU"/>
        </w:rPr>
        <w:t xml:space="preserve"> are</w:t>
      </w:r>
      <w:r w:rsidR="00383F3B">
        <w:rPr>
          <w:sz w:val="20"/>
          <w:szCs w:val="20"/>
          <w:lang w:eastAsia="en-AU"/>
        </w:rPr>
        <w:t xml:space="preserve"> also</w:t>
      </w:r>
      <w:r w:rsidR="00383F3B" w:rsidRPr="00D97912">
        <w:rPr>
          <w:sz w:val="20"/>
          <w:szCs w:val="20"/>
          <w:lang w:eastAsia="en-AU"/>
        </w:rPr>
        <w:t xml:space="preserve"> important</w:t>
      </w:r>
      <w:r w:rsidR="00383F3B">
        <w:rPr>
          <w:sz w:val="20"/>
          <w:szCs w:val="20"/>
          <w:lang w:eastAsia="en-AU"/>
        </w:rPr>
        <w:t xml:space="preserve">. Studies have suggested that staff should be educated on the role that social disadvantage plays in clients’ lives and how </w:t>
      </w:r>
      <w:r w:rsidR="00383F3B" w:rsidRPr="003B1A9B">
        <w:rPr>
          <w:sz w:val="20"/>
          <w:szCs w:val="20"/>
          <w:lang w:eastAsia="en-AU"/>
        </w:rPr>
        <w:t>this affects health.</w:t>
      </w:r>
      <w:r w:rsidR="003B1A9B" w:rsidRPr="003B1A9B">
        <w:rPr>
          <w:rStyle w:val="EndnoteReference"/>
        </w:rPr>
        <w:t>82</w:t>
      </w:r>
      <w:r w:rsidR="00383F3B">
        <w:rPr>
          <w:sz w:val="20"/>
          <w:szCs w:val="20"/>
          <w:lang w:eastAsia="en-AU"/>
        </w:rPr>
        <w:t xml:space="preserve"> Due to the often </w:t>
      </w:r>
      <w:r w:rsidR="00383F3B" w:rsidRPr="00EE58F0">
        <w:rPr>
          <w:sz w:val="20"/>
          <w:szCs w:val="20"/>
          <w:lang w:eastAsia="en-AU"/>
        </w:rPr>
        <w:t>emotionally challenging work</w:t>
      </w:r>
      <w:r w:rsidR="00383F3B">
        <w:rPr>
          <w:sz w:val="20"/>
          <w:szCs w:val="20"/>
          <w:lang w:eastAsia="en-AU"/>
        </w:rPr>
        <w:t xml:space="preserve"> associated with the provision of BBV and sexual health services</w:t>
      </w:r>
      <w:r w:rsidR="00383F3B" w:rsidRPr="00EE58F0">
        <w:rPr>
          <w:sz w:val="20"/>
          <w:szCs w:val="20"/>
          <w:lang w:eastAsia="en-AU"/>
        </w:rPr>
        <w:t xml:space="preserve">, </w:t>
      </w:r>
      <w:r w:rsidR="00383F3B">
        <w:rPr>
          <w:sz w:val="20"/>
          <w:szCs w:val="20"/>
          <w:lang w:eastAsia="en-AU"/>
        </w:rPr>
        <w:t xml:space="preserve">it has been recommended that the </w:t>
      </w:r>
      <w:r w:rsidR="00383F3B" w:rsidRPr="005C4B12">
        <w:rPr>
          <w:sz w:val="20"/>
          <w:szCs w:val="20"/>
          <w:lang w:eastAsia="en-AU"/>
        </w:rPr>
        <w:t xml:space="preserve">mental and physical health of workers </w:t>
      </w:r>
      <w:r w:rsidR="00383F3B">
        <w:rPr>
          <w:sz w:val="20"/>
          <w:szCs w:val="20"/>
          <w:lang w:eastAsia="en-AU"/>
        </w:rPr>
        <w:t>be monitored and supported</w:t>
      </w:r>
      <w:r w:rsidR="00383F3B" w:rsidRPr="005C4B12">
        <w:rPr>
          <w:sz w:val="20"/>
          <w:szCs w:val="20"/>
          <w:lang w:eastAsia="en-AU"/>
        </w:rPr>
        <w:t xml:space="preserve"> through debriefing programs and </w:t>
      </w:r>
      <w:r w:rsidR="00383F3B" w:rsidRPr="003B1A9B">
        <w:rPr>
          <w:sz w:val="20"/>
          <w:szCs w:val="20"/>
          <w:lang w:eastAsia="en-AU"/>
        </w:rPr>
        <w:t>ongoing primary care.</w:t>
      </w:r>
      <w:r w:rsidR="003B1A9B" w:rsidRPr="003B1A9B">
        <w:rPr>
          <w:rStyle w:val="EndnoteReference"/>
        </w:rPr>
        <w:t>93</w:t>
      </w:r>
      <w:r w:rsidR="00383F3B" w:rsidRPr="003B1A9B">
        <w:rPr>
          <w:rStyle w:val="EndnoteReference"/>
          <w:sz w:val="20"/>
          <w:szCs w:val="20"/>
          <w:lang w:eastAsia="en-AU"/>
        </w:rPr>
        <w:t xml:space="preserve">  </w:t>
      </w:r>
    </w:p>
    <w:p w14:paraId="3C9D0DD9" w14:textId="64E452EB" w:rsidR="00383F3B" w:rsidRDefault="00383F3B" w:rsidP="00383F3B">
      <w:pPr>
        <w:spacing w:before="120"/>
        <w:rPr>
          <w:sz w:val="20"/>
          <w:szCs w:val="20"/>
          <w:lang w:eastAsia="en-AU"/>
        </w:rPr>
      </w:pPr>
      <w:r>
        <w:rPr>
          <w:sz w:val="20"/>
          <w:szCs w:val="20"/>
          <w:lang w:eastAsia="en-AU"/>
        </w:rPr>
        <w:t xml:space="preserve">Providing the skills and knowledge necessary to competently deal with BBV and STI not only supports good health outcomes but also assists in improving </w:t>
      </w:r>
      <w:r w:rsidR="00DD49AA">
        <w:rPr>
          <w:sz w:val="20"/>
          <w:szCs w:val="20"/>
          <w:lang w:eastAsia="en-AU"/>
        </w:rPr>
        <w:t>staff</w:t>
      </w:r>
      <w:r w:rsidR="00DD49AA" w:rsidRPr="00DD49AA">
        <w:rPr>
          <w:sz w:val="20"/>
          <w:szCs w:val="20"/>
          <w:lang w:eastAsia="en-AU"/>
        </w:rPr>
        <w:t xml:space="preserve"> </w:t>
      </w:r>
      <w:r w:rsidRPr="00DD49AA">
        <w:rPr>
          <w:sz w:val="20"/>
          <w:szCs w:val="20"/>
          <w:lang w:eastAsia="en-AU"/>
        </w:rPr>
        <w:t>job satisfaction and retention.</w:t>
      </w:r>
      <w:r>
        <w:rPr>
          <w:sz w:val="20"/>
          <w:szCs w:val="20"/>
          <w:lang w:eastAsia="en-AU"/>
        </w:rPr>
        <w:t xml:space="preserve"> This is particularly important for AHWs</w:t>
      </w:r>
      <w:r w:rsidR="00D05632">
        <w:rPr>
          <w:sz w:val="20"/>
          <w:szCs w:val="20"/>
          <w:lang w:eastAsia="en-AU"/>
        </w:rPr>
        <w:t>,</w:t>
      </w:r>
      <w:r>
        <w:rPr>
          <w:sz w:val="20"/>
          <w:szCs w:val="20"/>
          <w:lang w:eastAsia="en-AU"/>
        </w:rPr>
        <w:t xml:space="preserve"> who play a crucial role in improving </w:t>
      </w:r>
      <w:r w:rsidRPr="00D77A3C">
        <w:rPr>
          <w:sz w:val="20"/>
          <w:szCs w:val="20"/>
          <w:lang w:eastAsia="en-AU"/>
        </w:rPr>
        <w:t xml:space="preserve">health outcomes of Aboriginal and Torres Strait Islander people. </w:t>
      </w:r>
      <w:r w:rsidRPr="003A278B">
        <w:rPr>
          <w:sz w:val="20"/>
          <w:szCs w:val="20"/>
          <w:lang w:eastAsia="en-AU"/>
        </w:rPr>
        <w:t>AHWs in youth</w:t>
      </w:r>
      <w:r>
        <w:rPr>
          <w:sz w:val="20"/>
          <w:szCs w:val="20"/>
          <w:lang w:eastAsia="en-AU"/>
        </w:rPr>
        <w:t xml:space="preserve"> support</w:t>
      </w:r>
      <w:r w:rsidRPr="003A278B">
        <w:rPr>
          <w:sz w:val="20"/>
          <w:szCs w:val="20"/>
          <w:lang w:eastAsia="en-AU"/>
        </w:rPr>
        <w:t xml:space="preserve"> roles</w:t>
      </w:r>
      <w:r w:rsidR="00DD49AA">
        <w:rPr>
          <w:sz w:val="20"/>
          <w:szCs w:val="20"/>
          <w:lang w:eastAsia="en-AU"/>
        </w:rPr>
        <w:t xml:space="preserve"> and </w:t>
      </w:r>
      <w:r w:rsidRPr="003A278B">
        <w:rPr>
          <w:sz w:val="20"/>
          <w:szCs w:val="20"/>
          <w:lang w:eastAsia="en-AU"/>
        </w:rPr>
        <w:t xml:space="preserve">primary </w:t>
      </w:r>
      <w:r w:rsidRPr="00DD49AA">
        <w:rPr>
          <w:sz w:val="20"/>
          <w:szCs w:val="20"/>
          <w:lang w:eastAsia="en-AU"/>
        </w:rPr>
        <w:t xml:space="preserve">healthcare services and </w:t>
      </w:r>
      <w:r w:rsidR="00BD7AEE" w:rsidRPr="00DD49AA">
        <w:rPr>
          <w:sz w:val="20"/>
          <w:szCs w:val="20"/>
          <w:lang w:eastAsia="en-AU"/>
        </w:rPr>
        <w:t>AOD</w:t>
      </w:r>
      <w:r w:rsidR="007D6F39" w:rsidRPr="00DD49AA">
        <w:rPr>
          <w:sz w:val="20"/>
          <w:szCs w:val="20"/>
          <w:lang w:eastAsia="en-AU"/>
        </w:rPr>
        <w:t xml:space="preserve"> </w:t>
      </w:r>
      <w:r w:rsidRPr="00DD49AA">
        <w:rPr>
          <w:sz w:val="20"/>
          <w:szCs w:val="20"/>
          <w:lang w:eastAsia="en-AU"/>
        </w:rPr>
        <w:t>workers are priority</w:t>
      </w:r>
      <w:r w:rsidRPr="003A278B">
        <w:rPr>
          <w:sz w:val="20"/>
          <w:szCs w:val="20"/>
          <w:lang w:eastAsia="en-AU"/>
        </w:rPr>
        <w:t xml:space="preserve"> groups</w:t>
      </w:r>
      <w:r w:rsidR="00A41F26">
        <w:rPr>
          <w:sz w:val="20"/>
          <w:szCs w:val="20"/>
          <w:lang w:eastAsia="en-AU"/>
        </w:rPr>
        <w:t xml:space="preserve"> that need</w:t>
      </w:r>
      <w:r w:rsidRPr="003A278B">
        <w:rPr>
          <w:sz w:val="20"/>
          <w:szCs w:val="20"/>
          <w:lang w:eastAsia="en-AU"/>
        </w:rPr>
        <w:t xml:space="preserve"> to be skilled in BBV and STI prevention, testing, treatment and care.</w:t>
      </w:r>
      <w:r>
        <w:rPr>
          <w:rFonts w:ascii="Noto Serif" w:hAnsi="Noto Serif"/>
          <w:color w:val="333333"/>
          <w:sz w:val="26"/>
          <w:szCs w:val="26"/>
          <w:shd w:val="clear" w:color="auto" w:fill="FFFFFF"/>
        </w:rPr>
        <w:t xml:space="preserve"> </w:t>
      </w:r>
      <w:r>
        <w:rPr>
          <w:sz w:val="20"/>
          <w:szCs w:val="20"/>
          <w:lang w:eastAsia="en-AU"/>
        </w:rPr>
        <w:t>Studies have found that AHWs often</w:t>
      </w:r>
      <w:r w:rsidRPr="003A278B">
        <w:rPr>
          <w:sz w:val="20"/>
          <w:szCs w:val="20"/>
          <w:lang w:eastAsia="en-AU"/>
        </w:rPr>
        <w:t xml:space="preserve"> struggle to gain sufficient educational attainment or professional career opportunities.</w:t>
      </w:r>
      <w:r>
        <w:rPr>
          <w:rStyle w:val="EndnoteReference"/>
          <w:sz w:val="20"/>
          <w:szCs w:val="20"/>
          <w:lang w:eastAsia="en-AU"/>
        </w:rPr>
        <w:endnoteReference w:id="102"/>
      </w:r>
      <w:r w:rsidRPr="003A278B">
        <w:rPr>
          <w:sz w:val="20"/>
          <w:szCs w:val="20"/>
          <w:lang w:eastAsia="en-AU"/>
        </w:rPr>
        <w:t xml:space="preserve"> </w:t>
      </w:r>
      <w:r>
        <w:rPr>
          <w:sz w:val="20"/>
          <w:szCs w:val="20"/>
          <w:lang w:eastAsia="en-AU"/>
        </w:rPr>
        <w:t xml:space="preserve">Perceptions of being </w:t>
      </w:r>
      <w:r w:rsidRPr="00F61349">
        <w:rPr>
          <w:sz w:val="20"/>
          <w:szCs w:val="20"/>
          <w:lang w:eastAsia="en-AU"/>
        </w:rPr>
        <w:t>undervalued</w:t>
      </w:r>
      <w:r w:rsidRPr="003A278B">
        <w:rPr>
          <w:sz w:val="20"/>
          <w:szCs w:val="20"/>
          <w:lang w:eastAsia="en-AU"/>
        </w:rPr>
        <w:t xml:space="preserve"> and poorly supported </w:t>
      </w:r>
      <w:r>
        <w:rPr>
          <w:sz w:val="20"/>
          <w:szCs w:val="20"/>
          <w:lang w:eastAsia="en-AU"/>
        </w:rPr>
        <w:t>at</w:t>
      </w:r>
      <w:r w:rsidRPr="003A278B">
        <w:rPr>
          <w:sz w:val="20"/>
          <w:szCs w:val="20"/>
          <w:lang w:eastAsia="en-AU"/>
        </w:rPr>
        <w:t xml:space="preserve"> the health system</w:t>
      </w:r>
      <w:r>
        <w:rPr>
          <w:sz w:val="20"/>
          <w:szCs w:val="20"/>
          <w:lang w:eastAsia="en-AU"/>
        </w:rPr>
        <w:t xml:space="preserve"> and facility level</w:t>
      </w:r>
      <w:r w:rsidRPr="003A278B">
        <w:rPr>
          <w:sz w:val="20"/>
          <w:szCs w:val="20"/>
          <w:lang w:eastAsia="en-AU"/>
        </w:rPr>
        <w:t xml:space="preserve"> have also been identified as a common theme.</w:t>
      </w:r>
      <w:r>
        <w:rPr>
          <w:sz w:val="20"/>
          <w:szCs w:val="20"/>
          <w:lang w:eastAsia="en-AU"/>
        </w:rPr>
        <w:t xml:space="preserve"> </w:t>
      </w:r>
      <w:r w:rsidRPr="00241619">
        <w:rPr>
          <w:sz w:val="20"/>
          <w:szCs w:val="20"/>
          <w:lang w:eastAsia="en-AU"/>
        </w:rPr>
        <w:t>Identifying opportunities for workforce capacity building, knowledge sharing, upskilling and innovation is critical for improved service deliver</w:t>
      </w:r>
      <w:r>
        <w:rPr>
          <w:sz w:val="20"/>
          <w:szCs w:val="20"/>
          <w:lang w:eastAsia="en-AU"/>
        </w:rPr>
        <w:t>y</w:t>
      </w:r>
      <w:r w:rsidR="007D2EF6">
        <w:rPr>
          <w:sz w:val="20"/>
          <w:szCs w:val="20"/>
          <w:lang w:eastAsia="en-AU"/>
        </w:rPr>
        <w:t>, staff retention and career pathways</w:t>
      </w:r>
      <w:r>
        <w:rPr>
          <w:sz w:val="20"/>
          <w:szCs w:val="20"/>
          <w:lang w:eastAsia="en-AU"/>
        </w:rPr>
        <w:t>.</w:t>
      </w:r>
    </w:p>
    <w:p w14:paraId="70291B1D" w14:textId="264DE747" w:rsidR="00383F3B" w:rsidRDefault="00383F3B" w:rsidP="00383F3B">
      <w:pPr>
        <w:spacing w:before="120"/>
        <w:rPr>
          <w:sz w:val="20"/>
          <w:szCs w:val="20"/>
          <w:lang w:eastAsia="en-AU"/>
        </w:rPr>
      </w:pPr>
      <w:r w:rsidRPr="00970F24">
        <w:rPr>
          <w:sz w:val="20"/>
          <w:szCs w:val="20"/>
          <w:lang w:eastAsia="en-AU"/>
        </w:rPr>
        <w:t xml:space="preserve">With the appropriate training, support and guidance, there may be opportunities to better utilise a range of health professionals to provide BBV and STI services. Improving the utilisation of the primary health workforce is particularly important in remote areas with high BBV and STI prevalence, as high levels of workforce instability </w:t>
      </w:r>
      <w:r>
        <w:rPr>
          <w:sz w:val="20"/>
          <w:szCs w:val="20"/>
          <w:lang w:eastAsia="en-AU"/>
        </w:rPr>
        <w:t>are</w:t>
      </w:r>
      <w:r w:rsidRPr="00970F24">
        <w:rPr>
          <w:sz w:val="20"/>
          <w:szCs w:val="20"/>
          <w:lang w:eastAsia="en-AU"/>
        </w:rPr>
        <w:t xml:space="preserve"> common. </w:t>
      </w:r>
      <w:r>
        <w:rPr>
          <w:sz w:val="20"/>
          <w:szCs w:val="20"/>
          <w:lang w:eastAsia="en-AU"/>
        </w:rPr>
        <w:t>Ensuring health professionals have access to the necessary tools and resources to support high</w:t>
      </w:r>
      <w:r w:rsidR="00D05632">
        <w:rPr>
          <w:sz w:val="20"/>
          <w:szCs w:val="20"/>
          <w:lang w:eastAsia="en-AU"/>
        </w:rPr>
        <w:t>-</w:t>
      </w:r>
      <w:r>
        <w:rPr>
          <w:sz w:val="20"/>
          <w:szCs w:val="20"/>
          <w:lang w:eastAsia="en-AU"/>
        </w:rPr>
        <w:t xml:space="preserve">quality care is imperative, as is timely referral and advice between specialist and primary healthcare services. </w:t>
      </w:r>
    </w:p>
    <w:p w14:paraId="74022D34" w14:textId="7EA42975" w:rsidR="00383F3B" w:rsidRPr="00FD277B" w:rsidRDefault="00383F3B" w:rsidP="00383F3B">
      <w:pPr>
        <w:spacing w:before="120"/>
        <w:rPr>
          <w:sz w:val="20"/>
          <w:szCs w:val="20"/>
          <w:lang w:eastAsia="en-AU"/>
        </w:rPr>
      </w:pPr>
      <w:r w:rsidRPr="004E3B21">
        <w:rPr>
          <w:sz w:val="20"/>
          <w:szCs w:val="20"/>
          <w:lang w:eastAsia="en-AU"/>
        </w:rPr>
        <w:t>In relation to the ongoing challenge of workforce recruitment and retention</w:t>
      </w:r>
      <w:r w:rsidR="005D4DCB" w:rsidRPr="004E3B21">
        <w:rPr>
          <w:sz w:val="20"/>
          <w:szCs w:val="20"/>
          <w:lang w:eastAsia="en-AU"/>
        </w:rPr>
        <w:t xml:space="preserve"> in rural and remote areas</w:t>
      </w:r>
      <w:r w:rsidRPr="004E3B21">
        <w:rPr>
          <w:sz w:val="20"/>
          <w:szCs w:val="20"/>
          <w:lang w:eastAsia="en-AU"/>
        </w:rPr>
        <w:t>, research has found that ‘bundled’</w:t>
      </w:r>
      <w:r w:rsidR="00B13170" w:rsidRPr="004E3B21">
        <w:rPr>
          <w:sz w:val="20"/>
          <w:szCs w:val="20"/>
          <w:lang w:eastAsia="en-AU"/>
        </w:rPr>
        <w:t xml:space="preserve"> </w:t>
      </w:r>
      <w:r w:rsidRPr="004E3B21">
        <w:rPr>
          <w:sz w:val="20"/>
          <w:szCs w:val="20"/>
          <w:lang w:eastAsia="en-AU"/>
        </w:rPr>
        <w:t xml:space="preserve">incentives are likely to be most effective and that strategies </w:t>
      </w:r>
      <w:r w:rsidR="00B13170" w:rsidRPr="004E3B21">
        <w:rPr>
          <w:sz w:val="20"/>
          <w:szCs w:val="20"/>
          <w:lang w:eastAsia="en-AU"/>
        </w:rPr>
        <w:t>(</w:t>
      </w:r>
      <w:r w:rsidR="00D05632" w:rsidRPr="004E3B21">
        <w:rPr>
          <w:sz w:val="20"/>
          <w:szCs w:val="20"/>
          <w:lang w:eastAsia="en-AU"/>
        </w:rPr>
        <w:t>for example,</w:t>
      </w:r>
      <w:r w:rsidR="00B13170" w:rsidRPr="004E3B21">
        <w:rPr>
          <w:sz w:val="20"/>
          <w:szCs w:val="20"/>
          <w:lang w:eastAsia="en-AU"/>
        </w:rPr>
        <w:t xml:space="preserve"> financial and non-financial</w:t>
      </w:r>
      <w:r w:rsidR="00D05632" w:rsidRPr="004E3B21">
        <w:rPr>
          <w:sz w:val="20"/>
          <w:szCs w:val="20"/>
          <w:lang w:eastAsia="en-AU"/>
        </w:rPr>
        <w:t>—</w:t>
      </w:r>
      <w:r w:rsidR="00B13170" w:rsidRPr="004E3B21">
        <w:rPr>
          <w:sz w:val="20"/>
          <w:szCs w:val="20"/>
          <w:lang w:eastAsia="en-AU"/>
        </w:rPr>
        <w:t>housing, support</w:t>
      </w:r>
      <w:r w:rsidR="00D05632" w:rsidRPr="004E3B21">
        <w:rPr>
          <w:sz w:val="20"/>
          <w:szCs w:val="20"/>
          <w:lang w:eastAsia="en-AU"/>
        </w:rPr>
        <w:t xml:space="preserve"> and </w:t>
      </w:r>
      <w:r w:rsidR="00B13170" w:rsidRPr="004E3B21">
        <w:rPr>
          <w:sz w:val="20"/>
          <w:szCs w:val="20"/>
          <w:lang w:eastAsia="en-AU"/>
        </w:rPr>
        <w:t xml:space="preserve">career pathways) </w:t>
      </w:r>
      <w:r w:rsidRPr="004E3B21">
        <w:rPr>
          <w:sz w:val="20"/>
          <w:szCs w:val="20"/>
          <w:lang w:eastAsia="en-AU"/>
        </w:rPr>
        <w:t xml:space="preserve">should be flexible to target the specific </w:t>
      </w:r>
      <w:r w:rsidRPr="004E3B21">
        <w:rPr>
          <w:sz w:val="20"/>
          <w:szCs w:val="20"/>
          <w:lang w:eastAsia="en-AU"/>
        </w:rPr>
        <w:lastRenderedPageBreak/>
        <w:t>needs of health workers practising in different contexts.</w:t>
      </w:r>
      <w:r w:rsidRPr="004E3B21">
        <w:rPr>
          <w:rStyle w:val="EndnoteReference"/>
          <w:sz w:val="20"/>
          <w:szCs w:val="20"/>
          <w:lang w:eastAsia="en-AU"/>
        </w:rPr>
        <w:endnoteReference w:id="103"/>
      </w:r>
      <w:r w:rsidR="00FD277B" w:rsidRPr="004E3B21">
        <w:rPr>
          <w:sz w:val="20"/>
          <w:szCs w:val="20"/>
          <w:lang w:eastAsia="en-AU"/>
        </w:rPr>
        <w:t xml:space="preserve"> </w:t>
      </w:r>
      <w:r w:rsidR="00D869BC" w:rsidRPr="004E3B21">
        <w:rPr>
          <w:sz w:val="20"/>
          <w:szCs w:val="20"/>
          <w:lang w:eastAsia="en-AU"/>
        </w:rPr>
        <w:t>The provision of</w:t>
      </w:r>
      <w:r w:rsidR="00FD277B" w:rsidRPr="004E3B21">
        <w:rPr>
          <w:sz w:val="20"/>
          <w:szCs w:val="20"/>
          <w:lang w:eastAsia="en-AU"/>
        </w:rPr>
        <w:t xml:space="preserve"> rural training </w:t>
      </w:r>
      <w:r w:rsidR="00D869BC" w:rsidRPr="004E3B21">
        <w:rPr>
          <w:sz w:val="20"/>
          <w:szCs w:val="20"/>
          <w:lang w:eastAsia="en-AU"/>
        </w:rPr>
        <w:t>opportunities</w:t>
      </w:r>
      <w:r w:rsidR="00FD277B" w:rsidRPr="004E3B21">
        <w:rPr>
          <w:sz w:val="20"/>
          <w:szCs w:val="20"/>
          <w:lang w:eastAsia="en-AU"/>
        </w:rPr>
        <w:t xml:space="preserve"> and recruit</w:t>
      </w:r>
      <w:r w:rsidR="004E3B21" w:rsidRPr="004E3B21">
        <w:rPr>
          <w:sz w:val="20"/>
          <w:szCs w:val="20"/>
          <w:lang w:eastAsia="en-AU"/>
        </w:rPr>
        <w:t>ment of</w:t>
      </w:r>
      <w:r w:rsidR="00FD277B" w:rsidRPr="004E3B21">
        <w:rPr>
          <w:sz w:val="20"/>
          <w:szCs w:val="20"/>
          <w:lang w:eastAsia="en-AU"/>
        </w:rPr>
        <w:t xml:space="preserve"> professionals from rural areas are also important </w:t>
      </w:r>
      <w:r w:rsidR="00D869BC" w:rsidRPr="004E3B21">
        <w:rPr>
          <w:sz w:val="20"/>
          <w:szCs w:val="20"/>
          <w:lang w:eastAsia="en-AU"/>
        </w:rPr>
        <w:t xml:space="preserve">retention </w:t>
      </w:r>
      <w:r w:rsidR="00FD277B" w:rsidRPr="004E3B21">
        <w:rPr>
          <w:sz w:val="20"/>
          <w:szCs w:val="20"/>
          <w:lang w:eastAsia="en-AU"/>
        </w:rPr>
        <w:t xml:space="preserve">strategies. The likelihood </w:t>
      </w:r>
      <w:r w:rsidR="004E3B21" w:rsidRPr="004E3B21">
        <w:rPr>
          <w:sz w:val="20"/>
          <w:szCs w:val="20"/>
          <w:lang w:eastAsia="en-AU"/>
        </w:rPr>
        <w:t xml:space="preserve">that </w:t>
      </w:r>
      <w:r w:rsidR="00FD277B" w:rsidRPr="004E3B21">
        <w:rPr>
          <w:sz w:val="20"/>
          <w:szCs w:val="20"/>
          <w:lang w:eastAsia="en-AU"/>
        </w:rPr>
        <w:t xml:space="preserve">general practitioners </w:t>
      </w:r>
      <w:r w:rsidR="004E3B21" w:rsidRPr="004E3B21">
        <w:rPr>
          <w:sz w:val="20"/>
          <w:szCs w:val="20"/>
          <w:lang w:eastAsia="en-AU"/>
        </w:rPr>
        <w:t xml:space="preserve">will </w:t>
      </w:r>
      <w:r w:rsidR="00FD277B" w:rsidRPr="004E3B21">
        <w:rPr>
          <w:sz w:val="20"/>
          <w:szCs w:val="20"/>
          <w:lang w:eastAsia="en-AU"/>
        </w:rPr>
        <w:t>choos</w:t>
      </w:r>
      <w:r w:rsidR="004E3B21" w:rsidRPr="004E3B21">
        <w:rPr>
          <w:sz w:val="20"/>
          <w:szCs w:val="20"/>
          <w:lang w:eastAsia="en-AU"/>
        </w:rPr>
        <w:t>e</w:t>
      </w:r>
      <w:r w:rsidR="00FD277B" w:rsidRPr="004E3B21">
        <w:rPr>
          <w:sz w:val="20"/>
          <w:szCs w:val="20"/>
          <w:lang w:eastAsia="en-AU"/>
        </w:rPr>
        <w:t xml:space="preserve"> to work in rural practice </w:t>
      </w:r>
      <w:r w:rsidR="00D869BC" w:rsidRPr="004E3B21">
        <w:rPr>
          <w:sz w:val="20"/>
          <w:szCs w:val="20"/>
          <w:lang w:eastAsia="en-AU"/>
        </w:rPr>
        <w:t>is</w:t>
      </w:r>
      <w:r w:rsidR="00FD277B" w:rsidRPr="004E3B21">
        <w:rPr>
          <w:sz w:val="20"/>
          <w:szCs w:val="20"/>
          <w:lang w:eastAsia="en-AU"/>
        </w:rPr>
        <w:t xml:space="preserve"> strongly associated with rural training pathways</w:t>
      </w:r>
      <w:r w:rsidR="00D869BC" w:rsidRPr="004E3B21">
        <w:rPr>
          <w:sz w:val="20"/>
          <w:szCs w:val="20"/>
          <w:lang w:eastAsia="en-AU"/>
        </w:rPr>
        <w:t xml:space="preserve"> and rural origin.</w:t>
      </w:r>
      <w:r w:rsidR="00D869BC" w:rsidRPr="004E3B21">
        <w:rPr>
          <w:rStyle w:val="EndnoteReference"/>
          <w:sz w:val="20"/>
          <w:szCs w:val="20"/>
          <w:lang w:eastAsia="en-AU"/>
        </w:rPr>
        <w:endnoteReference w:id="104"/>
      </w:r>
      <w:r w:rsidR="00FD277B" w:rsidRPr="00FD277B">
        <w:rPr>
          <w:rFonts w:ascii="proxima-nova" w:hAnsi="proxima-nova" w:cs="Arial"/>
          <w:vanish/>
          <w:lang w:val="en"/>
        </w:rPr>
        <w:t xml:space="preserve"> </w:t>
      </w:r>
    </w:p>
    <w:p w14:paraId="128D25E5" w14:textId="472A4D92" w:rsidR="00383F3B" w:rsidRPr="004E3784" w:rsidRDefault="00383F3B" w:rsidP="00383F3B">
      <w:pPr>
        <w:pStyle w:val="Bullet"/>
        <w:spacing w:before="120" w:after="0"/>
        <w:rPr>
          <w:rFonts w:eastAsia="Calibri"/>
          <w:b/>
          <w:bCs/>
          <w:color w:val="00264D"/>
          <w:sz w:val="20"/>
          <w:szCs w:val="20"/>
          <w:lang w:eastAsia="en-US"/>
        </w:rPr>
      </w:pPr>
      <w:r w:rsidRPr="004E3784">
        <w:rPr>
          <w:rFonts w:eastAsia="Calibri"/>
          <w:b/>
          <w:bCs/>
          <w:color w:val="00264D"/>
          <w:sz w:val="20"/>
          <w:szCs w:val="20"/>
          <w:lang w:eastAsia="en-US"/>
        </w:rPr>
        <w:t>Key areas for action</w:t>
      </w:r>
    </w:p>
    <w:p w14:paraId="4BF37B5C" w14:textId="7AD77353" w:rsidR="00AD5F75" w:rsidRPr="00EC5FA3" w:rsidRDefault="00EC661B" w:rsidP="00E31889">
      <w:pPr>
        <w:pStyle w:val="Bullet"/>
        <w:numPr>
          <w:ilvl w:val="0"/>
          <w:numId w:val="8"/>
        </w:numPr>
        <w:spacing w:before="120" w:after="0"/>
        <w:rPr>
          <w:sz w:val="20"/>
          <w:szCs w:val="20"/>
        </w:rPr>
      </w:pPr>
      <w:r w:rsidRPr="00EC5FA3">
        <w:rPr>
          <w:sz w:val="20"/>
          <w:szCs w:val="20"/>
        </w:rPr>
        <w:t xml:space="preserve">Support an increase in the Aboriginal and Torres Strait Islander health workforce </w:t>
      </w:r>
      <w:r w:rsidR="00AD5F75" w:rsidRPr="00EC5FA3">
        <w:rPr>
          <w:sz w:val="20"/>
          <w:szCs w:val="20"/>
        </w:rPr>
        <w:t>trained in BBV and STI</w:t>
      </w:r>
      <w:r w:rsidR="003D71B6">
        <w:rPr>
          <w:sz w:val="20"/>
          <w:szCs w:val="20"/>
        </w:rPr>
        <w:t xml:space="preserve"> and strengthen their role in the provision of services, including prevention education, client support and recall</w:t>
      </w:r>
    </w:p>
    <w:p w14:paraId="56D068F7" w14:textId="06A456DE" w:rsidR="00E31889" w:rsidRDefault="00661774" w:rsidP="00E31889">
      <w:pPr>
        <w:pStyle w:val="Bullet"/>
        <w:numPr>
          <w:ilvl w:val="0"/>
          <w:numId w:val="8"/>
        </w:numPr>
        <w:spacing w:before="120" w:after="0"/>
        <w:rPr>
          <w:sz w:val="20"/>
          <w:szCs w:val="20"/>
        </w:rPr>
      </w:pPr>
      <w:r>
        <w:rPr>
          <w:sz w:val="20"/>
          <w:szCs w:val="20"/>
        </w:rPr>
        <w:t>Develop the capacity of health professionals</w:t>
      </w:r>
      <w:r w:rsidR="00D5359A">
        <w:rPr>
          <w:sz w:val="20"/>
          <w:szCs w:val="20"/>
        </w:rPr>
        <w:t xml:space="preserve"> and organisations providing BBV and STI services, including </w:t>
      </w:r>
      <w:r w:rsidR="0047099C">
        <w:rPr>
          <w:sz w:val="20"/>
          <w:szCs w:val="20"/>
        </w:rPr>
        <w:t xml:space="preserve">ACCHS, ACCH Sector Support Organisations, </w:t>
      </w:r>
      <w:r w:rsidR="006E49CB">
        <w:rPr>
          <w:sz w:val="20"/>
          <w:szCs w:val="20"/>
        </w:rPr>
        <w:t>BBV and STI</w:t>
      </w:r>
      <w:r w:rsidR="0047099C">
        <w:rPr>
          <w:sz w:val="20"/>
          <w:szCs w:val="20"/>
        </w:rPr>
        <w:t xml:space="preserve"> organisations </w:t>
      </w:r>
      <w:r w:rsidR="00D5359A">
        <w:rPr>
          <w:sz w:val="20"/>
          <w:szCs w:val="20"/>
        </w:rPr>
        <w:t>and</w:t>
      </w:r>
      <w:r w:rsidR="0047099C">
        <w:rPr>
          <w:sz w:val="20"/>
          <w:szCs w:val="20"/>
        </w:rPr>
        <w:t xml:space="preserve"> </w:t>
      </w:r>
      <w:r w:rsidR="0047099C" w:rsidRPr="00F0003E">
        <w:rPr>
          <w:sz w:val="20"/>
          <w:szCs w:val="20"/>
        </w:rPr>
        <w:t>mainstream health services</w:t>
      </w:r>
      <w:r w:rsidR="0047099C">
        <w:rPr>
          <w:sz w:val="20"/>
          <w:szCs w:val="20"/>
        </w:rPr>
        <w:t>,</w:t>
      </w:r>
      <w:r>
        <w:rPr>
          <w:sz w:val="20"/>
          <w:szCs w:val="20"/>
        </w:rPr>
        <w:t xml:space="preserve"> to deliver effective health promotion and prevention education and testing,</w:t>
      </w:r>
      <w:r w:rsidR="00E31889">
        <w:rPr>
          <w:sz w:val="20"/>
          <w:szCs w:val="20"/>
        </w:rPr>
        <w:t xml:space="preserve"> </w:t>
      </w:r>
      <w:r>
        <w:rPr>
          <w:sz w:val="20"/>
          <w:szCs w:val="20"/>
        </w:rPr>
        <w:t>treatment, management and care,</w:t>
      </w:r>
      <w:r w:rsidRPr="004F3F5C">
        <w:rPr>
          <w:sz w:val="20"/>
          <w:szCs w:val="20"/>
        </w:rPr>
        <w:t xml:space="preserve"> </w:t>
      </w:r>
      <w:r w:rsidRPr="004E3784">
        <w:rPr>
          <w:sz w:val="20"/>
          <w:szCs w:val="20"/>
        </w:rPr>
        <w:t>particu</w:t>
      </w:r>
      <w:r>
        <w:rPr>
          <w:sz w:val="20"/>
          <w:szCs w:val="20"/>
        </w:rPr>
        <w:t xml:space="preserve">larly in areas of high BBV and STI prevalence </w:t>
      </w:r>
    </w:p>
    <w:p w14:paraId="14579ED4" w14:textId="7FDE3507" w:rsidR="00D52FF2" w:rsidRPr="00E31889" w:rsidRDefault="00D52FF2" w:rsidP="00E31889">
      <w:pPr>
        <w:pStyle w:val="Bullet"/>
        <w:numPr>
          <w:ilvl w:val="0"/>
          <w:numId w:val="8"/>
        </w:numPr>
        <w:spacing w:before="120" w:after="0"/>
        <w:rPr>
          <w:sz w:val="20"/>
          <w:szCs w:val="20"/>
        </w:rPr>
      </w:pPr>
      <w:r w:rsidRPr="00E31889">
        <w:rPr>
          <w:sz w:val="20"/>
          <w:szCs w:val="20"/>
        </w:rPr>
        <w:t xml:space="preserve">Improve the cultural </w:t>
      </w:r>
      <w:r w:rsidR="00410648">
        <w:rPr>
          <w:sz w:val="20"/>
          <w:szCs w:val="20"/>
        </w:rPr>
        <w:t>awareness</w:t>
      </w:r>
      <w:r w:rsidR="00410648" w:rsidRPr="00E31889">
        <w:rPr>
          <w:sz w:val="20"/>
          <w:szCs w:val="20"/>
        </w:rPr>
        <w:t xml:space="preserve"> </w:t>
      </w:r>
      <w:r w:rsidRPr="00E31889">
        <w:rPr>
          <w:sz w:val="20"/>
          <w:szCs w:val="20"/>
        </w:rPr>
        <w:t xml:space="preserve">of health professionals through cultural safety training, including education regarding the importance of sensitively asking </w:t>
      </w:r>
      <w:r w:rsidR="004E3B21">
        <w:rPr>
          <w:sz w:val="20"/>
          <w:szCs w:val="20"/>
        </w:rPr>
        <w:t xml:space="preserve">for </w:t>
      </w:r>
      <w:r w:rsidRPr="00E31889">
        <w:rPr>
          <w:sz w:val="20"/>
          <w:szCs w:val="20"/>
        </w:rPr>
        <w:t>and recording a patient’s Aboriginal and/or Torres Strait Islander origin</w:t>
      </w:r>
      <w:r w:rsidR="00D05632">
        <w:rPr>
          <w:sz w:val="20"/>
          <w:szCs w:val="20"/>
        </w:rPr>
        <w:t>;</w:t>
      </w:r>
      <w:r w:rsidR="00396A6F" w:rsidRPr="00E31889">
        <w:rPr>
          <w:sz w:val="20"/>
          <w:szCs w:val="20"/>
        </w:rPr>
        <w:t xml:space="preserve"> </w:t>
      </w:r>
      <w:r w:rsidR="004E3B21">
        <w:rPr>
          <w:sz w:val="20"/>
          <w:szCs w:val="20"/>
        </w:rPr>
        <w:t xml:space="preserve">using </w:t>
      </w:r>
      <w:r w:rsidR="00396A6F" w:rsidRPr="00E31889">
        <w:rPr>
          <w:sz w:val="20"/>
          <w:szCs w:val="20"/>
        </w:rPr>
        <w:t xml:space="preserve">culturally </w:t>
      </w:r>
      <w:r w:rsidR="00410648">
        <w:rPr>
          <w:sz w:val="20"/>
          <w:szCs w:val="20"/>
        </w:rPr>
        <w:t>respectful</w:t>
      </w:r>
      <w:r w:rsidR="00410648" w:rsidRPr="00E31889">
        <w:rPr>
          <w:sz w:val="20"/>
          <w:szCs w:val="20"/>
        </w:rPr>
        <w:t xml:space="preserve"> </w:t>
      </w:r>
      <w:r w:rsidR="00396A6F" w:rsidRPr="00E31889">
        <w:rPr>
          <w:sz w:val="20"/>
          <w:szCs w:val="20"/>
        </w:rPr>
        <w:t>partner notification, testing and treatment</w:t>
      </w:r>
      <w:r w:rsidR="00D05632">
        <w:rPr>
          <w:sz w:val="20"/>
          <w:szCs w:val="20"/>
        </w:rPr>
        <w:t>;</w:t>
      </w:r>
      <w:r w:rsidR="0039723E">
        <w:rPr>
          <w:sz w:val="20"/>
          <w:szCs w:val="20"/>
        </w:rPr>
        <w:t xml:space="preserve"> </w:t>
      </w:r>
      <w:r w:rsidR="00BE63E8">
        <w:rPr>
          <w:sz w:val="20"/>
          <w:szCs w:val="20"/>
        </w:rPr>
        <w:t>and understanding the</w:t>
      </w:r>
      <w:r w:rsidR="0039723E">
        <w:rPr>
          <w:sz w:val="20"/>
          <w:szCs w:val="20"/>
        </w:rPr>
        <w:t xml:space="preserve"> intersecting issues </w:t>
      </w:r>
      <w:r w:rsidR="00BE63E8">
        <w:rPr>
          <w:sz w:val="20"/>
          <w:szCs w:val="20"/>
        </w:rPr>
        <w:t>experienced by</w:t>
      </w:r>
      <w:r w:rsidR="0039723E">
        <w:rPr>
          <w:sz w:val="20"/>
          <w:szCs w:val="20"/>
        </w:rPr>
        <w:t xml:space="preserve"> Aboriginal and Torres Strait Islander priority groups</w:t>
      </w:r>
      <w:r w:rsidR="00336E1C" w:rsidRPr="00336E1C">
        <w:rPr>
          <w:sz w:val="20"/>
          <w:szCs w:val="20"/>
        </w:rPr>
        <w:t xml:space="preserve"> </w:t>
      </w:r>
    </w:p>
    <w:p w14:paraId="0074EF5B" w14:textId="05F4F466" w:rsidR="00383F3B" w:rsidRPr="00843E1B" w:rsidRDefault="00383F3B" w:rsidP="00383F3B">
      <w:pPr>
        <w:pStyle w:val="Bullet"/>
        <w:numPr>
          <w:ilvl w:val="0"/>
          <w:numId w:val="8"/>
        </w:numPr>
        <w:spacing w:before="120" w:after="0"/>
        <w:rPr>
          <w:sz w:val="20"/>
          <w:szCs w:val="20"/>
        </w:rPr>
      </w:pPr>
      <w:r w:rsidRPr="00843E1B">
        <w:rPr>
          <w:sz w:val="20"/>
          <w:szCs w:val="20"/>
        </w:rPr>
        <w:t>Implement targeted initiatives</w:t>
      </w:r>
      <w:r w:rsidR="00843E1B" w:rsidRPr="00843E1B">
        <w:rPr>
          <w:sz w:val="20"/>
          <w:szCs w:val="20"/>
        </w:rPr>
        <w:t xml:space="preserve"> to</w:t>
      </w:r>
      <w:r w:rsidRPr="00843E1B">
        <w:rPr>
          <w:sz w:val="20"/>
          <w:szCs w:val="20"/>
        </w:rPr>
        <w:t xml:space="preserve"> </w:t>
      </w:r>
      <w:r w:rsidR="00843E1B" w:rsidRPr="00843E1B">
        <w:rPr>
          <w:sz w:val="20"/>
          <w:szCs w:val="20"/>
        </w:rPr>
        <w:t>improve the education, training, resources and tools provided to health professionals, including the use of digital platforms and face</w:t>
      </w:r>
      <w:r w:rsidR="00D05632">
        <w:rPr>
          <w:sz w:val="20"/>
          <w:szCs w:val="20"/>
        </w:rPr>
        <w:t>-</w:t>
      </w:r>
      <w:r w:rsidR="00843E1B" w:rsidRPr="00843E1B">
        <w:rPr>
          <w:sz w:val="20"/>
          <w:szCs w:val="20"/>
        </w:rPr>
        <w:t>to</w:t>
      </w:r>
      <w:r w:rsidR="00D05632">
        <w:rPr>
          <w:sz w:val="20"/>
          <w:szCs w:val="20"/>
        </w:rPr>
        <w:t>-</w:t>
      </w:r>
      <w:r w:rsidR="00843E1B" w:rsidRPr="00843E1B">
        <w:rPr>
          <w:sz w:val="20"/>
          <w:szCs w:val="20"/>
        </w:rPr>
        <w:t>face learning opportunities,</w:t>
      </w:r>
      <w:r w:rsidR="00843E1B">
        <w:rPr>
          <w:sz w:val="20"/>
          <w:szCs w:val="20"/>
        </w:rPr>
        <w:t xml:space="preserve"> </w:t>
      </w:r>
      <w:r w:rsidRPr="00843E1B">
        <w:rPr>
          <w:sz w:val="20"/>
          <w:szCs w:val="20"/>
        </w:rPr>
        <w:t xml:space="preserve">to facilitate </w:t>
      </w:r>
      <w:r w:rsidR="004C49AA">
        <w:rPr>
          <w:sz w:val="20"/>
          <w:szCs w:val="20"/>
        </w:rPr>
        <w:t xml:space="preserve">and support </w:t>
      </w:r>
      <w:r w:rsidRPr="00843E1B">
        <w:rPr>
          <w:sz w:val="20"/>
          <w:szCs w:val="20"/>
        </w:rPr>
        <w:t>a highly skilled clinical and community-based workforce</w:t>
      </w:r>
    </w:p>
    <w:p w14:paraId="210F1C59" w14:textId="2A6DF2A3" w:rsidR="00383F3B" w:rsidRPr="004E3784" w:rsidRDefault="00383F3B" w:rsidP="00383F3B">
      <w:pPr>
        <w:pStyle w:val="Bullet"/>
        <w:numPr>
          <w:ilvl w:val="0"/>
          <w:numId w:val="8"/>
        </w:numPr>
        <w:spacing w:before="120" w:after="0"/>
        <w:rPr>
          <w:sz w:val="20"/>
          <w:szCs w:val="20"/>
        </w:rPr>
      </w:pPr>
      <w:r>
        <w:rPr>
          <w:sz w:val="20"/>
          <w:szCs w:val="20"/>
        </w:rPr>
        <w:t>Continue to regularly update, maintain and make accessible evidence-based clinical guidelines, tools and support for BBV and STI prevention, testing, treatment</w:t>
      </w:r>
      <w:r w:rsidR="00D05632">
        <w:rPr>
          <w:sz w:val="20"/>
          <w:szCs w:val="20"/>
        </w:rPr>
        <w:t xml:space="preserve"> and </w:t>
      </w:r>
      <w:r>
        <w:rPr>
          <w:sz w:val="20"/>
          <w:szCs w:val="20"/>
        </w:rPr>
        <w:t>antenatal care</w:t>
      </w:r>
      <w:r w:rsidR="00D05632">
        <w:rPr>
          <w:sz w:val="20"/>
          <w:szCs w:val="20"/>
        </w:rPr>
        <w:t>;</w:t>
      </w:r>
      <w:r>
        <w:rPr>
          <w:sz w:val="20"/>
          <w:szCs w:val="20"/>
        </w:rPr>
        <w:t xml:space="preserve"> and ensure consistent applications across jurisdictions</w:t>
      </w:r>
    </w:p>
    <w:p w14:paraId="5BBF5534" w14:textId="4E0BA44E" w:rsidR="00383F3B" w:rsidRDefault="00383F3B" w:rsidP="00383F3B">
      <w:pPr>
        <w:pStyle w:val="Bullet"/>
        <w:numPr>
          <w:ilvl w:val="0"/>
          <w:numId w:val="8"/>
        </w:numPr>
        <w:spacing w:before="120" w:after="0"/>
        <w:rPr>
          <w:sz w:val="20"/>
          <w:szCs w:val="20"/>
        </w:rPr>
      </w:pPr>
      <w:r w:rsidRPr="004E3784">
        <w:rPr>
          <w:sz w:val="20"/>
          <w:szCs w:val="20"/>
        </w:rPr>
        <w:t xml:space="preserve">Provide a range of </w:t>
      </w:r>
      <w:r w:rsidR="00430814">
        <w:rPr>
          <w:sz w:val="20"/>
          <w:szCs w:val="20"/>
        </w:rPr>
        <w:t xml:space="preserve">BBV and STI </w:t>
      </w:r>
      <w:r w:rsidRPr="004E3784">
        <w:rPr>
          <w:sz w:val="20"/>
          <w:szCs w:val="20"/>
        </w:rPr>
        <w:t>professional development</w:t>
      </w:r>
      <w:r w:rsidR="00C768D7">
        <w:rPr>
          <w:sz w:val="20"/>
          <w:szCs w:val="20"/>
        </w:rPr>
        <w:t xml:space="preserve">, </w:t>
      </w:r>
      <w:r w:rsidR="00430814">
        <w:rPr>
          <w:sz w:val="20"/>
          <w:szCs w:val="20"/>
        </w:rPr>
        <w:t xml:space="preserve">networking </w:t>
      </w:r>
      <w:r w:rsidRPr="004E3784">
        <w:rPr>
          <w:sz w:val="20"/>
          <w:szCs w:val="20"/>
        </w:rPr>
        <w:t>opportunities</w:t>
      </w:r>
      <w:r w:rsidR="00430814">
        <w:rPr>
          <w:sz w:val="20"/>
          <w:szCs w:val="20"/>
        </w:rPr>
        <w:t xml:space="preserve"> and supports</w:t>
      </w:r>
      <w:r w:rsidRPr="004E3784">
        <w:rPr>
          <w:sz w:val="20"/>
          <w:szCs w:val="20"/>
        </w:rPr>
        <w:t xml:space="preserve"> to </w:t>
      </w:r>
      <w:r w:rsidR="00304C34" w:rsidRPr="009F113E">
        <w:rPr>
          <w:sz w:val="20"/>
          <w:szCs w:val="20"/>
        </w:rPr>
        <w:t xml:space="preserve">Aboriginal </w:t>
      </w:r>
      <w:r w:rsidR="004E3B21" w:rsidRPr="009F113E">
        <w:rPr>
          <w:sz w:val="20"/>
          <w:szCs w:val="20"/>
        </w:rPr>
        <w:t xml:space="preserve">and Torres Strait Islander </w:t>
      </w:r>
      <w:r w:rsidR="00304C34" w:rsidRPr="009F113E">
        <w:rPr>
          <w:sz w:val="20"/>
          <w:szCs w:val="20"/>
        </w:rPr>
        <w:t>Health Workers</w:t>
      </w:r>
      <w:r w:rsidR="00304C34">
        <w:rPr>
          <w:sz w:val="20"/>
          <w:szCs w:val="20"/>
        </w:rPr>
        <w:t xml:space="preserve"> and other </w:t>
      </w:r>
      <w:r>
        <w:rPr>
          <w:sz w:val="20"/>
          <w:szCs w:val="20"/>
        </w:rPr>
        <w:t xml:space="preserve">health professionals, including </w:t>
      </w:r>
      <w:r w:rsidRPr="004E3784">
        <w:rPr>
          <w:sz w:val="20"/>
          <w:szCs w:val="20"/>
        </w:rPr>
        <w:t xml:space="preserve">through </w:t>
      </w:r>
      <w:r>
        <w:rPr>
          <w:sz w:val="20"/>
          <w:szCs w:val="20"/>
        </w:rPr>
        <w:t xml:space="preserve">existing </w:t>
      </w:r>
      <w:r w:rsidRPr="004E3784">
        <w:rPr>
          <w:sz w:val="20"/>
          <w:szCs w:val="20"/>
        </w:rPr>
        <w:t>accredited programs</w:t>
      </w:r>
    </w:p>
    <w:p w14:paraId="56348D2F" w14:textId="57021255" w:rsidR="00045959" w:rsidRDefault="00045959" w:rsidP="00045959">
      <w:pPr>
        <w:pStyle w:val="Bullet"/>
        <w:numPr>
          <w:ilvl w:val="0"/>
          <w:numId w:val="8"/>
        </w:numPr>
        <w:spacing w:before="120" w:after="0"/>
        <w:rPr>
          <w:sz w:val="20"/>
          <w:szCs w:val="20"/>
        </w:rPr>
      </w:pPr>
      <w:r>
        <w:rPr>
          <w:sz w:val="20"/>
          <w:szCs w:val="20"/>
        </w:rPr>
        <w:t xml:space="preserve">Ensure ACCH Sector Support Organisations are supported to employ staff focused on the provision of BBV and STI services  </w:t>
      </w:r>
    </w:p>
    <w:p w14:paraId="39192BC7" w14:textId="05862CC9" w:rsidR="00336E1C" w:rsidRPr="00B51951" w:rsidRDefault="00864140" w:rsidP="00336E1C">
      <w:pPr>
        <w:pStyle w:val="Bullet"/>
        <w:numPr>
          <w:ilvl w:val="0"/>
          <w:numId w:val="8"/>
        </w:numPr>
        <w:spacing w:before="120" w:after="0"/>
        <w:rPr>
          <w:sz w:val="20"/>
          <w:szCs w:val="20"/>
        </w:rPr>
      </w:pPr>
      <w:r>
        <w:rPr>
          <w:sz w:val="20"/>
          <w:szCs w:val="20"/>
        </w:rPr>
        <w:t>Promote the engagement</w:t>
      </w:r>
      <w:r w:rsidR="00C14AFB">
        <w:rPr>
          <w:sz w:val="20"/>
          <w:szCs w:val="20"/>
        </w:rPr>
        <w:t xml:space="preserve"> </w:t>
      </w:r>
      <w:r w:rsidR="00336E1C">
        <w:rPr>
          <w:sz w:val="20"/>
          <w:szCs w:val="20"/>
        </w:rPr>
        <w:t xml:space="preserve">of Aboriginal and Torres Strait Islander people with </w:t>
      </w:r>
      <w:r>
        <w:rPr>
          <w:sz w:val="20"/>
          <w:szCs w:val="20"/>
        </w:rPr>
        <w:t xml:space="preserve">lived experience of </w:t>
      </w:r>
      <w:r w:rsidR="00336E1C">
        <w:rPr>
          <w:sz w:val="20"/>
          <w:szCs w:val="20"/>
        </w:rPr>
        <w:t>BBV as peer navigators to provide support in diagnosis, treatment and care services</w:t>
      </w:r>
    </w:p>
    <w:p w14:paraId="4A1B515F" w14:textId="77777777" w:rsidR="00D85D1F" w:rsidRPr="00D57053" w:rsidRDefault="00D85D1F" w:rsidP="00D85D1F">
      <w:pPr>
        <w:spacing w:before="240"/>
        <w:rPr>
          <w:rFonts w:ascii="Segoe UI Semibold" w:hAnsi="Segoe UI Semibold"/>
          <w:color w:val="17365D"/>
          <w:sz w:val="22"/>
        </w:rPr>
      </w:pPr>
      <w:bookmarkStart w:id="37" w:name="_Hlk519842151"/>
      <w:r>
        <w:rPr>
          <w:rFonts w:ascii="Segoe UI Semibold" w:hAnsi="Segoe UI Semibold"/>
          <w:color w:val="17365D"/>
          <w:sz w:val="22"/>
        </w:rPr>
        <w:t xml:space="preserve">DATA, </w:t>
      </w:r>
      <w:r w:rsidRPr="00D57053">
        <w:rPr>
          <w:rFonts w:ascii="Segoe UI Semibold" w:hAnsi="Segoe UI Semibold"/>
          <w:color w:val="17365D"/>
          <w:sz w:val="22"/>
        </w:rPr>
        <w:t>SURVEILLANCE, RESEARCH</w:t>
      </w:r>
      <w:r>
        <w:rPr>
          <w:rFonts w:ascii="Segoe UI Semibold" w:hAnsi="Segoe UI Semibold"/>
          <w:color w:val="17365D"/>
          <w:sz w:val="22"/>
        </w:rPr>
        <w:t xml:space="preserve"> AND EVALUATION</w:t>
      </w:r>
    </w:p>
    <w:bookmarkEnd w:id="37"/>
    <w:p w14:paraId="150D96AF" w14:textId="77777777" w:rsidR="00D85D1F" w:rsidRPr="007D6F39" w:rsidRDefault="00A84D6D" w:rsidP="009012A9">
      <w:pPr>
        <w:numPr>
          <w:ilvl w:val="0"/>
          <w:numId w:val="12"/>
        </w:numPr>
        <w:rPr>
          <w:iCs/>
          <w:sz w:val="20"/>
          <w:szCs w:val="20"/>
        </w:rPr>
      </w:pPr>
      <w:r>
        <w:rPr>
          <w:i/>
          <w:sz w:val="20"/>
          <w:szCs w:val="20"/>
        </w:rPr>
        <w:t>With a focus on identified gaps, c</w:t>
      </w:r>
      <w:r w:rsidR="00D85D1F">
        <w:rPr>
          <w:i/>
          <w:sz w:val="20"/>
          <w:szCs w:val="20"/>
        </w:rPr>
        <w:t>ontinue to build a strong evidence base for effectively responding to existing and emerging BBV and STI issues and challenges among Aboriginal and Torres Strait Islander communities, informed by high-quality, timely data and surveillance systems</w:t>
      </w:r>
      <w:r w:rsidR="00A41F26">
        <w:rPr>
          <w:i/>
          <w:sz w:val="20"/>
          <w:szCs w:val="20"/>
        </w:rPr>
        <w:t>.</w:t>
      </w:r>
    </w:p>
    <w:p w14:paraId="455A8400" w14:textId="77777777" w:rsidR="00167553" w:rsidRPr="00167553" w:rsidRDefault="00167553" w:rsidP="00D85D1F">
      <w:pPr>
        <w:spacing w:before="120" w:after="0"/>
        <w:rPr>
          <w:i/>
          <w:iCs/>
          <w:sz w:val="20"/>
          <w:szCs w:val="20"/>
        </w:rPr>
      </w:pPr>
      <w:r w:rsidRPr="00167553">
        <w:rPr>
          <w:i/>
          <w:iCs/>
          <w:sz w:val="20"/>
          <w:szCs w:val="20"/>
        </w:rPr>
        <w:t>Surveillance and data</w:t>
      </w:r>
    </w:p>
    <w:p w14:paraId="3C86D854" w14:textId="0DDCADBE" w:rsidR="00EC7797" w:rsidRDefault="0060433F" w:rsidP="00D85D1F">
      <w:pPr>
        <w:spacing w:before="120" w:after="0"/>
        <w:rPr>
          <w:iCs/>
          <w:sz w:val="20"/>
          <w:szCs w:val="20"/>
        </w:rPr>
      </w:pPr>
      <w:r>
        <w:rPr>
          <w:iCs/>
          <w:sz w:val="20"/>
          <w:szCs w:val="20"/>
        </w:rPr>
        <w:t xml:space="preserve">It is important to improve data collections and systems </w:t>
      </w:r>
      <w:r w:rsidR="00D85D1F">
        <w:rPr>
          <w:iCs/>
          <w:sz w:val="20"/>
          <w:szCs w:val="20"/>
        </w:rPr>
        <w:t xml:space="preserve">to support a more comprehensive understanding of BBV and STI among Aboriginal and Torres Strait Islander people across Australia. </w:t>
      </w:r>
    </w:p>
    <w:p w14:paraId="1C25F0AD" w14:textId="77777777" w:rsidR="00D85D1F" w:rsidRDefault="00D85D1F" w:rsidP="00D85D1F">
      <w:pPr>
        <w:spacing w:before="120" w:after="0"/>
        <w:rPr>
          <w:iCs/>
          <w:sz w:val="20"/>
          <w:szCs w:val="20"/>
        </w:rPr>
      </w:pPr>
      <w:r w:rsidRPr="00FD22CD">
        <w:rPr>
          <w:iCs/>
          <w:sz w:val="20"/>
          <w:szCs w:val="20"/>
        </w:rPr>
        <w:t xml:space="preserve">Opportunities to improve the </w:t>
      </w:r>
      <w:r>
        <w:rPr>
          <w:iCs/>
          <w:sz w:val="20"/>
          <w:szCs w:val="20"/>
        </w:rPr>
        <w:t xml:space="preserve">level of detail in collected </w:t>
      </w:r>
      <w:r w:rsidRPr="00FD22CD">
        <w:rPr>
          <w:iCs/>
          <w:sz w:val="20"/>
          <w:szCs w:val="20"/>
        </w:rPr>
        <w:t xml:space="preserve">data to better identify trends and issues of concern need to be explored. </w:t>
      </w:r>
      <w:r>
        <w:rPr>
          <w:iCs/>
          <w:sz w:val="20"/>
          <w:szCs w:val="20"/>
        </w:rPr>
        <w:t>The</w:t>
      </w:r>
      <w:r w:rsidR="000A7323">
        <w:rPr>
          <w:iCs/>
          <w:sz w:val="20"/>
          <w:szCs w:val="20"/>
        </w:rPr>
        <w:t xml:space="preserve"> recording and</w:t>
      </w:r>
      <w:r>
        <w:rPr>
          <w:iCs/>
          <w:sz w:val="20"/>
          <w:szCs w:val="20"/>
        </w:rPr>
        <w:t xml:space="preserve"> </w:t>
      </w:r>
      <w:r w:rsidRPr="00FD22CD">
        <w:rPr>
          <w:iCs/>
          <w:sz w:val="20"/>
          <w:szCs w:val="20"/>
        </w:rPr>
        <w:t xml:space="preserve">reporting of Aboriginal and Torres Strait Islander status in clinical and pathology settings </w:t>
      </w:r>
      <w:r w:rsidRPr="004E3784">
        <w:rPr>
          <w:iCs/>
          <w:sz w:val="20"/>
          <w:szCs w:val="20"/>
        </w:rPr>
        <w:t>remains low and is a key area for improvement.</w:t>
      </w:r>
      <w:r>
        <w:rPr>
          <w:iCs/>
          <w:sz w:val="20"/>
          <w:szCs w:val="20"/>
        </w:rPr>
        <w:t xml:space="preserve"> </w:t>
      </w:r>
      <w:r w:rsidRPr="00FD22CD">
        <w:rPr>
          <w:iCs/>
          <w:sz w:val="20"/>
          <w:szCs w:val="20"/>
        </w:rPr>
        <w:t>There is also a need to improve the timeliness and consistency of data collection across Australia to better support completeness and comparability.</w:t>
      </w:r>
      <w:r>
        <w:rPr>
          <w:iCs/>
          <w:sz w:val="20"/>
          <w:szCs w:val="20"/>
        </w:rPr>
        <w:t xml:space="preserve"> </w:t>
      </w:r>
    </w:p>
    <w:p w14:paraId="768ECE5F" w14:textId="78267F52" w:rsidR="006B0DEE" w:rsidRDefault="00D85D1F" w:rsidP="00C14AFB">
      <w:pPr>
        <w:spacing w:before="120" w:after="0"/>
        <w:rPr>
          <w:iCs/>
          <w:sz w:val="20"/>
          <w:szCs w:val="20"/>
          <w:highlight w:val="cyan"/>
        </w:rPr>
      </w:pPr>
      <w:r w:rsidRPr="004E3784">
        <w:rPr>
          <w:iCs/>
          <w:sz w:val="20"/>
          <w:szCs w:val="20"/>
        </w:rPr>
        <w:t xml:space="preserve">Data collection and surveillance varies between jurisdictions and there are opportunities to improve consistency. There are also opportunities to improve data linkages and increase sharing of data between jurisdictions, laboratories and service providers. Timely reporting of data is critical to inform local and national responses, particularly in the case of a potential outbreak. </w:t>
      </w:r>
      <w:r w:rsidR="00C14AFB" w:rsidRPr="00C14AFB">
        <w:rPr>
          <w:iCs/>
          <w:sz w:val="20"/>
          <w:szCs w:val="20"/>
        </w:rPr>
        <w:t xml:space="preserve">The opportunities brought by the national rollout of </w:t>
      </w:r>
      <w:r w:rsidR="00C14AFB" w:rsidRPr="009648F5">
        <w:rPr>
          <w:iCs/>
          <w:sz w:val="20"/>
          <w:szCs w:val="20"/>
        </w:rPr>
        <w:lastRenderedPageBreak/>
        <w:t>My Health Record</w:t>
      </w:r>
      <w:r w:rsidR="00C14AFB" w:rsidRPr="00C14AFB">
        <w:rPr>
          <w:iCs/>
          <w:sz w:val="20"/>
          <w:szCs w:val="20"/>
        </w:rPr>
        <w:t xml:space="preserve"> and existing jurisdictional eHealth solutions (such as the well-established </w:t>
      </w:r>
      <w:r w:rsidR="00C14AFB" w:rsidRPr="009648F5">
        <w:rPr>
          <w:iCs/>
          <w:sz w:val="20"/>
          <w:szCs w:val="20"/>
        </w:rPr>
        <w:t>Northern Territory My eHealth Record</w:t>
      </w:r>
      <w:r w:rsidR="00C14AFB" w:rsidRPr="00C14AFB">
        <w:rPr>
          <w:iCs/>
          <w:sz w:val="20"/>
          <w:szCs w:val="20"/>
        </w:rPr>
        <w:t xml:space="preserve">) need to be considered for their potential to improve continuity of patient care across settings. Privacy and confidentiality considerations are important. Perceived risks associated with data sharing and the secondary uses of data could potentially discourage people from accessing sexual health services, particularly if people believe their information is </w:t>
      </w:r>
      <w:r w:rsidR="004E3B21">
        <w:rPr>
          <w:iCs/>
          <w:sz w:val="20"/>
          <w:szCs w:val="20"/>
        </w:rPr>
        <w:t xml:space="preserve">not </w:t>
      </w:r>
      <w:r w:rsidR="00C14AFB" w:rsidRPr="004E3B21">
        <w:rPr>
          <w:iCs/>
          <w:sz w:val="20"/>
          <w:szCs w:val="20"/>
        </w:rPr>
        <w:t>secure</w:t>
      </w:r>
      <w:r w:rsidR="00C14AFB" w:rsidRPr="00C14AFB">
        <w:rPr>
          <w:iCs/>
          <w:sz w:val="20"/>
          <w:szCs w:val="20"/>
        </w:rPr>
        <w:t>. Ensuring a clear understanding of informed consent, the privacy regulations governing electronic health records and the opportunities to opt</w:t>
      </w:r>
      <w:r w:rsidR="009648F5">
        <w:rPr>
          <w:iCs/>
          <w:sz w:val="20"/>
          <w:szCs w:val="20"/>
        </w:rPr>
        <w:t xml:space="preserve"> </w:t>
      </w:r>
      <w:r w:rsidR="00C14AFB" w:rsidRPr="00C14AFB">
        <w:rPr>
          <w:iCs/>
          <w:sz w:val="20"/>
          <w:szCs w:val="20"/>
        </w:rPr>
        <w:t>out will be crucial to ensure that trust is maintained. The use of translation services</w:t>
      </w:r>
      <w:r w:rsidR="00C14AFB" w:rsidRPr="004E3B21">
        <w:rPr>
          <w:iCs/>
          <w:sz w:val="20"/>
          <w:szCs w:val="20"/>
        </w:rPr>
        <w:t>, where required,</w:t>
      </w:r>
      <w:r w:rsidR="00C14AFB" w:rsidRPr="00C14AFB">
        <w:rPr>
          <w:iCs/>
          <w:sz w:val="20"/>
          <w:szCs w:val="20"/>
        </w:rPr>
        <w:t xml:space="preserve"> is encouraged to support informed consent.</w:t>
      </w:r>
    </w:p>
    <w:p w14:paraId="5F90152F" w14:textId="77777777" w:rsidR="00D85D1F" w:rsidRPr="00F35983" w:rsidRDefault="00D85D1F" w:rsidP="00C14AFB">
      <w:pPr>
        <w:spacing w:before="120" w:after="0"/>
        <w:rPr>
          <w:iCs/>
          <w:sz w:val="20"/>
          <w:szCs w:val="20"/>
        </w:rPr>
      </w:pPr>
      <w:r w:rsidRPr="00F35983">
        <w:rPr>
          <w:iCs/>
          <w:sz w:val="20"/>
          <w:szCs w:val="20"/>
        </w:rPr>
        <w:t>Surveillance data are currently only collected for four notifiable STI at the national level</w:t>
      </w:r>
      <w:r w:rsidR="00283C3B" w:rsidRPr="00F35983">
        <w:rPr>
          <w:iCs/>
          <w:sz w:val="20"/>
          <w:szCs w:val="20"/>
        </w:rPr>
        <w:t>.</w:t>
      </w:r>
      <w:r w:rsidRPr="00F35983">
        <w:rPr>
          <w:iCs/>
          <w:sz w:val="20"/>
          <w:szCs w:val="20"/>
        </w:rPr>
        <w:t xml:space="preserve"> This limits the understanding of the full impact of STI in Australia, including the </w:t>
      </w:r>
      <w:r w:rsidR="004C0528" w:rsidRPr="00F35983">
        <w:rPr>
          <w:iCs/>
          <w:sz w:val="20"/>
          <w:szCs w:val="20"/>
        </w:rPr>
        <w:t>rates of STI diagnoses among</w:t>
      </w:r>
      <w:r w:rsidRPr="00F35983">
        <w:rPr>
          <w:iCs/>
          <w:sz w:val="20"/>
          <w:szCs w:val="20"/>
        </w:rPr>
        <w:t xml:space="preserve"> Aboriginal and Torres Strait Islander people. Aboriginal and Torres Strait Islander people are known to experience high rates of non-nationally notifiable STI, such as the high rates of </w:t>
      </w:r>
      <w:r w:rsidRPr="00F35983">
        <w:rPr>
          <w:i/>
          <w:iCs/>
          <w:sz w:val="20"/>
          <w:szCs w:val="20"/>
        </w:rPr>
        <w:t>Trichomonas vaginalis</w:t>
      </w:r>
      <w:r w:rsidRPr="00F35983">
        <w:rPr>
          <w:iCs/>
          <w:sz w:val="20"/>
          <w:szCs w:val="20"/>
        </w:rPr>
        <w:t xml:space="preserve"> and high endemic rates of HTLV-1 among </w:t>
      </w:r>
      <w:r w:rsidR="004C24DC" w:rsidRPr="00F35983">
        <w:rPr>
          <w:iCs/>
          <w:sz w:val="20"/>
          <w:szCs w:val="20"/>
        </w:rPr>
        <w:t xml:space="preserve">some </w:t>
      </w:r>
      <w:r w:rsidRPr="00F35983">
        <w:rPr>
          <w:iCs/>
          <w:sz w:val="20"/>
          <w:szCs w:val="20"/>
        </w:rPr>
        <w:t xml:space="preserve">remote communities. </w:t>
      </w:r>
    </w:p>
    <w:p w14:paraId="3589A3E3" w14:textId="77777777" w:rsidR="00BD7AEE" w:rsidRPr="004E3B21" w:rsidRDefault="00BD7AEE" w:rsidP="00BD7AEE">
      <w:pPr>
        <w:spacing w:before="120" w:after="0"/>
        <w:rPr>
          <w:iCs/>
          <w:sz w:val="20"/>
          <w:szCs w:val="20"/>
        </w:rPr>
      </w:pPr>
      <w:r w:rsidRPr="00F35983">
        <w:rPr>
          <w:iCs/>
          <w:sz w:val="20"/>
          <w:szCs w:val="20"/>
        </w:rPr>
        <w:t>With respect to BBV, t</w:t>
      </w:r>
      <w:r w:rsidRPr="00F35983">
        <w:rPr>
          <w:sz w:val="20"/>
          <w:szCs w:val="20"/>
        </w:rPr>
        <w:t xml:space="preserve">here is currently limited data on prevalence, testing and treatment uptake among Aboriginal and Torres Strait Islander people. This limits our understanding of </w:t>
      </w:r>
      <w:r w:rsidR="007D2EF6">
        <w:rPr>
          <w:sz w:val="20"/>
          <w:szCs w:val="20"/>
        </w:rPr>
        <w:t xml:space="preserve">disease </w:t>
      </w:r>
      <w:r w:rsidRPr="00F35983">
        <w:rPr>
          <w:sz w:val="20"/>
          <w:szCs w:val="20"/>
        </w:rPr>
        <w:t>impact</w:t>
      </w:r>
      <w:r w:rsidR="00A41F26">
        <w:rPr>
          <w:sz w:val="20"/>
          <w:szCs w:val="20"/>
        </w:rPr>
        <w:t xml:space="preserve"> and inhibits</w:t>
      </w:r>
      <w:r w:rsidR="00902089" w:rsidRPr="00F35983">
        <w:rPr>
          <w:sz w:val="20"/>
          <w:szCs w:val="20"/>
        </w:rPr>
        <w:t xml:space="preserve"> </w:t>
      </w:r>
      <w:r w:rsidRPr="00F35983">
        <w:rPr>
          <w:sz w:val="20"/>
          <w:szCs w:val="20"/>
        </w:rPr>
        <w:t xml:space="preserve">targeting and monitoring </w:t>
      </w:r>
      <w:r w:rsidR="0019433E" w:rsidRPr="00F35983">
        <w:rPr>
          <w:sz w:val="20"/>
          <w:szCs w:val="20"/>
        </w:rPr>
        <w:t xml:space="preserve">the effectiveness of </w:t>
      </w:r>
      <w:r w:rsidRPr="00F35983">
        <w:rPr>
          <w:sz w:val="20"/>
          <w:szCs w:val="20"/>
        </w:rPr>
        <w:t>responses.</w:t>
      </w:r>
      <w:r w:rsidR="00336E1C" w:rsidRPr="00336E1C">
        <w:rPr>
          <w:sz w:val="20"/>
          <w:szCs w:val="20"/>
        </w:rPr>
        <w:t xml:space="preserve"> </w:t>
      </w:r>
      <w:r w:rsidR="00336E1C">
        <w:rPr>
          <w:sz w:val="20"/>
          <w:szCs w:val="20"/>
        </w:rPr>
        <w:t xml:space="preserve">There are additional privacy considerations for data collection within Aboriginal priority groups where the </w:t>
      </w:r>
      <w:r w:rsidR="009C1459" w:rsidRPr="004E3B21">
        <w:rPr>
          <w:sz w:val="20"/>
          <w:szCs w:val="20"/>
        </w:rPr>
        <w:t>potential for re</w:t>
      </w:r>
      <w:r w:rsidR="00EF52E2" w:rsidRPr="004E3B21">
        <w:rPr>
          <w:sz w:val="20"/>
          <w:szCs w:val="20"/>
        </w:rPr>
        <w:t>-</w:t>
      </w:r>
      <w:r w:rsidR="009C1459" w:rsidRPr="004E3B21">
        <w:rPr>
          <w:sz w:val="20"/>
          <w:szCs w:val="20"/>
        </w:rPr>
        <w:t xml:space="preserve">identification </w:t>
      </w:r>
      <w:r w:rsidR="00EF52E2" w:rsidRPr="004E3B21">
        <w:rPr>
          <w:sz w:val="20"/>
          <w:szCs w:val="20"/>
        </w:rPr>
        <w:t>may be greater</w:t>
      </w:r>
      <w:r w:rsidR="00336E1C" w:rsidRPr="004E3B21">
        <w:rPr>
          <w:sz w:val="20"/>
          <w:szCs w:val="20"/>
        </w:rPr>
        <w:t>.</w:t>
      </w:r>
    </w:p>
    <w:p w14:paraId="7C60FFF2" w14:textId="77777777" w:rsidR="00D85D1F" w:rsidRDefault="00D85D1F" w:rsidP="00D85D1F">
      <w:pPr>
        <w:pStyle w:val="Bullet"/>
        <w:spacing w:before="120" w:after="0"/>
        <w:rPr>
          <w:iCs/>
          <w:sz w:val="20"/>
          <w:szCs w:val="20"/>
        </w:rPr>
      </w:pPr>
      <w:r w:rsidRPr="004E3B21">
        <w:rPr>
          <w:iCs/>
          <w:sz w:val="20"/>
          <w:szCs w:val="20"/>
        </w:rPr>
        <w:t>For all data and surveillance activities, it is important</w:t>
      </w:r>
      <w:r w:rsidRPr="004E3784">
        <w:rPr>
          <w:iCs/>
          <w:sz w:val="20"/>
          <w:szCs w:val="20"/>
        </w:rPr>
        <w:t xml:space="preserve"> to balance the benefit of additional data with the </w:t>
      </w:r>
      <w:r w:rsidR="004C24DC">
        <w:rPr>
          <w:iCs/>
          <w:sz w:val="20"/>
          <w:szCs w:val="20"/>
        </w:rPr>
        <w:t xml:space="preserve">right to privacy of the person accessing the service </w:t>
      </w:r>
      <w:r w:rsidR="00A41F26">
        <w:rPr>
          <w:iCs/>
          <w:sz w:val="20"/>
          <w:szCs w:val="20"/>
        </w:rPr>
        <w:t>and</w:t>
      </w:r>
      <w:r w:rsidR="004C24DC">
        <w:rPr>
          <w:iCs/>
          <w:sz w:val="20"/>
          <w:szCs w:val="20"/>
        </w:rPr>
        <w:t xml:space="preserve"> the</w:t>
      </w:r>
      <w:r w:rsidRPr="004E3784">
        <w:rPr>
          <w:iCs/>
          <w:sz w:val="20"/>
          <w:szCs w:val="20"/>
        </w:rPr>
        <w:t xml:space="preserve"> effort required to collect and report on the data</w:t>
      </w:r>
      <w:r w:rsidR="00A41F26">
        <w:rPr>
          <w:iCs/>
          <w:sz w:val="20"/>
          <w:szCs w:val="20"/>
        </w:rPr>
        <w:t>.</w:t>
      </w:r>
    </w:p>
    <w:p w14:paraId="3047E7DE" w14:textId="77777777" w:rsidR="00167553" w:rsidRPr="00167553" w:rsidRDefault="00167553" w:rsidP="00D85D1F">
      <w:pPr>
        <w:pStyle w:val="Bullet"/>
        <w:spacing w:before="120" w:after="0"/>
        <w:rPr>
          <w:i/>
          <w:iCs/>
          <w:sz w:val="20"/>
          <w:szCs w:val="20"/>
        </w:rPr>
      </w:pPr>
      <w:r w:rsidRPr="00167553">
        <w:rPr>
          <w:i/>
          <w:iCs/>
          <w:sz w:val="20"/>
          <w:szCs w:val="20"/>
        </w:rPr>
        <w:t>Research and evaluation</w:t>
      </w:r>
    </w:p>
    <w:p w14:paraId="2FFE0940" w14:textId="6CBFE127" w:rsidR="00815DE7" w:rsidRDefault="00815DE7" w:rsidP="000A01F7">
      <w:pPr>
        <w:pStyle w:val="Bullet"/>
        <w:spacing w:before="120" w:after="0"/>
        <w:rPr>
          <w:iCs/>
          <w:sz w:val="20"/>
          <w:szCs w:val="20"/>
        </w:rPr>
      </w:pPr>
      <w:r w:rsidRPr="00FD22CD">
        <w:rPr>
          <w:iCs/>
          <w:sz w:val="20"/>
          <w:szCs w:val="20"/>
        </w:rPr>
        <w:t xml:space="preserve">Maintaining a strong research agenda </w:t>
      </w:r>
      <w:r>
        <w:rPr>
          <w:iCs/>
          <w:sz w:val="20"/>
          <w:szCs w:val="20"/>
        </w:rPr>
        <w:t xml:space="preserve">to inform and support the </w:t>
      </w:r>
      <w:r w:rsidRPr="00FD22CD">
        <w:rPr>
          <w:iCs/>
          <w:sz w:val="20"/>
          <w:szCs w:val="20"/>
        </w:rPr>
        <w:t xml:space="preserve">implementation </w:t>
      </w:r>
      <w:r>
        <w:rPr>
          <w:iCs/>
          <w:sz w:val="20"/>
          <w:szCs w:val="20"/>
        </w:rPr>
        <w:t xml:space="preserve">of this </w:t>
      </w:r>
      <w:r w:rsidR="004E3B21">
        <w:rPr>
          <w:iCs/>
          <w:sz w:val="20"/>
          <w:szCs w:val="20"/>
        </w:rPr>
        <w:t>s</w:t>
      </w:r>
      <w:r>
        <w:rPr>
          <w:iCs/>
          <w:sz w:val="20"/>
          <w:szCs w:val="20"/>
        </w:rPr>
        <w:t xml:space="preserve">trategy </w:t>
      </w:r>
      <w:r w:rsidRPr="004E3B21">
        <w:rPr>
          <w:iCs/>
          <w:sz w:val="20"/>
          <w:szCs w:val="20"/>
        </w:rPr>
        <w:t>is essential.</w:t>
      </w:r>
      <w:r>
        <w:rPr>
          <w:iCs/>
          <w:sz w:val="20"/>
          <w:szCs w:val="20"/>
        </w:rPr>
        <w:t xml:space="preserve"> </w:t>
      </w:r>
      <w:r w:rsidR="00D85D1F" w:rsidRPr="00FD22CD">
        <w:rPr>
          <w:iCs/>
          <w:sz w:val="20"/>
          <w:szCs w:val="20"/>
        </w:rPr>
        <w:t xml:space="preserve">Social, behavioural, epidemiological, clinical and basic research </w:t>
      </w:r>
      <w:r w:rsidR="00D85D1F">
        <w:rPr>
          <w:iCs/>
          <w:sz w:val="20"/>
          <w:szCs w:val="20"/>
        </w:rPr>
        <w:t>are</w:t>
      </w:r>
      <w:r w:rsidR="00D85D1F" w:rsidRPr="00FD22CD">
        <w:rPr>
          <w:iCs/>
          <w:sz w:val="20"/>
          <w:szCs w:val="20"/>
        </w:rPr>
        <w:t xml:space="preserve"> </w:t>
      </w:r>
      <w:r w:rsidR="00E42B87">
        <w:rPr>
          <w:iCs/>
          <w:sz w:val="20"/>
          <w:szCs w:val="20"/>
        </w:rPr>
        <w:t xml:space="preserve">all important </w:t>
      </w:r>
      <w:r w:rsidR="00D85D1F" w:rsidRPr="00FD22CD">
        <w:rPr>
          <w:iCs/>
          <w:sz w:val="20"/>
          <w:szCs w:val="20"/>
        </w:rPr>
        <w:t xml:space="preserve">in developing a strong evidence base for managing and preventing </w:t>
      </w:r>
      <w:r w:rsidR="00D85D1F">
        <w:rPr>
          <w:iCs/>
          <w:sz w:val="20"/>
          <w:szCs w:val="20"/>
        </w:rPr>
        <w:t>BBV and STI in Aboriginal and Torres Strait Islander communities.</w:t>
      </w:r>
      <w:r w:rsidR="00D85D1F" w:rsidRPr="00FD22CD">
        <w:rPr>
          <w:iCs/>
          <w:sz w:val="20"/>
          <w:szCs w:val="20"/>
        </w:rPr>
        <w:t xml:space="preserve"> This </w:t>
      </w:r>
      <w:r>
        <w:rPr>
          <w:iCs/>
          <w:sz w:val="20"/>
          <w:szCs w:val="20"/>
        </w:rPr>
        <w:t xml:space="preserve">includes </w:t>
      </w:r>
      <w:r w:rsidR="00D85D1F" w:rsidRPr="00FD22CD">
        <w:rPr>
          <w:iCs/>
          <w:sz w:val="20"/>
          <w:szCs w:val="20"/>
        </w:rPr>
        <w:t xml:space="preserve">research </w:t>
      </w:r>
      <w:r>
        <w:rPr>
          <w:iCs/>
          <w:sz w:val="20"/>
          <w:szCs w:val="20"/>
        </w:rPr>
        <w:t>to identify</w:t>
      </w:r>
      <w:r w:rsidR="00D85D1F" w:rsidRPr="00FD22CD">
        <w:rPr>
          <w:iCs/>
          <w:sz w:val="20"/>
          <w:szCs w:val="20"/>
        </w:rPr>
        <w:t xml:space="preserve"> and examine key changes in the epidemiology and behaviours of priority </w:t>
      </w:r>
      <w:r w:rsidR="00EF52E2">
        <w:rPr>
          <w:iCs/>
          <w:sz w:val="20"/>
          <w:szCs w:val="20"/>
        </w:rPr>
        <w:t>groups</w:t>
      </w:r>
      <w:r w:rsidR="00D85D1F" w:rsidRPr="00FD22CD">
        <w:rPr>
          <w:iCs/>
          <w:sz w:val="20"/>
          <w:szCs w:val="20"/>
        </w:rPr>
        <w:t>, emerging issues and concerns</w:t>
      </w:r>
      <w:r w:rsidR="004E3B21">
        <w:rPr>
          <w:iCs/>
          <w:sz w:val="20"/>
          <w:szCs w:val="20"/>
        </w:rPr>
        <w:t>;</w:t>
      </w:r>
      <w:r w:rsidR="00A41F26">
        <w:rPr>
          <w:iCs/>
          <w:sz w:val="20"/>
          <w:szCs w:val="20"/>
        </w:rPr>
        <w:t xml:space="preserve"> </w:t>
      </w:r>
      <w:r w:rsidR="00D85D1F" w:rsidRPr="00FD22CD">
        <w:rPr>
          <w:iCs/>
          <w:sz w:val="20"/>
          <w:szCs w:val="20"/>
        </w:rPr>
        <w:t>influences on people’s decisions in regard to risk taking</w:t>
      </w:r>
      <w:r w:rsidR="004E3B21">
        <w:rPr>
          <w:iCs/>
          <w:sz w:val="20"/>
          <w:szCs w:val="20"/>
        </w:rPr>
        <w:t>;</w:t>
      </w:r>
      <w:r w:rsidR="00D85D1F" w:rsidRPr="00FD22CD">
        <w:rPr>
          <w:iCs/>
          <w:sz w:val="20"/>
          <w:szCs w:val="20"/>
        </w:rPr>
        <w:t xml:space="preserve"> and</w:t>
      </w:r>
      <w:r w:rsidR="00336E1C">
        <w:rPr>
          <w:iCs/>
          <w:sz w:val="20"/>
          <w:szCs w:val="20"/>
        </w:rPr>
        <w:t xml:space="preserve"> the ability to seek and access</w:t>
      </w:r>
      <w:r w:rsidR="00D85D1F" w:rsidRPr="00FD22CD">
        <w:rPr>
          <w:iCs/>
          <w:sz w:val="20"/>
          <w:szCs w:val="20"/>
        </w:rPr>
        <w:t xml:space="preserve"> testing, care and treatment</w:t>
      </w:r>
      <w:r w:rsidR="00A41F26">
        <w:rPr>
          <w:iCs/>
          <w:sz w:val="20"/>
          <w:szCs w:val="20"/>
        </w:rPr>
        <w:t xml:space="preserve">. It </w:t>
      </w:r>
      <w:r>
        <w:rPr>
          <w:iCs/>
          <w:sz w:val="20"/>
          <w:szCs w:val="20"/>
        </w:rPr>
        <w:t xml:space="preserve">is </w:t>
      </w:r>
      <w:r w:rsidR="00A41F26">
        <w:rPr>
          <w:iCs/>
          <w:sz w:val="20"/>
          <w:szCs w:val="20"/>
        </w:rPr>
        <w:t>also</w:t>
      </w:r>
      <w:r w:rsidR="00D85D1F" w:rsidRPr="00FD22CD">
        <w:rPr>
          <w:iCs/>
          <w:sz w:val="20"/>
          <w:szCs w:val="20"/>
        </w:rPr>
        <w:t xml:space="preserve"> </w:t>
      </w:r>
      <w:r>
        <w:rPr>
          <w:iCs/>
          <w:sz w:val="20"/>
          <w:szCs w:val="20"/>
        </w:rPr>
        <w:t>important to inform</w:t>
      </w:r>
      <w:r w:rsidR="004C0528" w:rsidRPr="00FD22CD">
        <w:rPr>
          <w:iCs/>
          <w:sz w:val="20"/>
          <w:szCs w:val="20"/>
        </w:rPr>
        <w:t xml:space="preserve"> </w:t>
      </w:r>
      <w:r w:rsidR="004C0528">
        <w:rPr>
          <w:iCs/>
          <w:sz w:val="20"/>
          <w:szCs w:val="20"/>
        </w:rPr>
        <w:t>the development of</w:t>
      </w:r>
      <w:r w:rsidR="00D85D1F" w:rsidRPr="00FD22CD">
        <w:rPr>
          <w:iCs/>
          <w:sz w:val="20"/>
          <w:szCs w:val="20"/>
        </w:rPr>
        <w:t xml:space="preserve"> targeted responses in priority </w:t>
      </w:r>
      <w:r w:rsidR="00EF52E2">
        <w:rPr>
          <w:iCs/>
          <w:sz w:val="20"/>
          <w:szCs w:val="20"/>
        </w:rPr>
        <w:t>groups</w:t>
      </w:r>
      <w:r w:rsidR="00EF52E2" w:rsidRPr="00FD22CD">
        <w:rPr>
          <w:iCs/>
          <w:sz w:val="20"/>
          <w:szCs w:val="20"/>
        </w:rPr>
        <w:t xml:space="preserve"> </w:t>
      </w:r>
      <w:r w:rsidR="00D85D1F" w:rsidRPr="00FD22CD">
        <w:rPr>
          <w:iCs/>
          <w:sz w:val="20"/>
          <w:szCs w:val="20"/>
        </w:rPr>
        <w:t xml:space="preserve">and settings. </w:t>
      </w:r>
    </w:p>
    <w:p w14:paraId="6DA3D8AE" w14:textId="182D7FF2" w:rsidR="00B017E6" w:rsidRDefault="000A01F7" w:rsidP="00743C33">
      <w:pPr>
        <w:pStyle w:val="Bullet"/>
        <w:spacing w:before="120" w:after="0"/>
        <w:rPr>
          <w:iCs/>
          <w:sz w:val="20"/>
          <w:szCs w:val="20"/>
        </w:rPr>
      </w:pPr>
      <w:r>
        <w:rPr>
          <w:iCs/>
          <w:sz w:val="20"/>
          <w:szCs w:val="20"/>
        </w:rPr>
        <w:t>It is critical that core values and other ethical principles are applied to ensure research is ethically conducted and produces positive outcomes and benefits for Aboriginal and Torres Strait Islander peoples and communities.</w:t>
      </w:r>
      <w:r>
        <w:rPr>
          <w:rStyle w:val="EndnoteReference"/>
          <w:rFonts w:cs="ITC Garamond Std Lt"/>
          <w:color w:val="000000"/>
          <w:sz w:val="21"/>
          <w:szCs w:val="21"/>
        </w:rPr>
        <w:endnoteReference w:id="105"/>
      </w:r>
      <w:r w:rsidR="00815DE7">
        <w:rPr>
          <w:iCs/>
          <w:sz w:val="20"/>
          <w:szCs w:val="20"/>
        </w:rPr>
        <w:t xml:space="preserve"> </w:t>
      </w:r>
      <w:r w:rsidR="009865BE">
        <w:rPr>
          <w:iCs/>
          <w:sz w:val="20"/>
          <w:szCs w:val="20"/>
        </w:rPr>
        <w:t>Communities must have a central role in</w:t>
      </w:r>
      <w:r w:rsidR="00814698">
        <w:rPr>
          <w:iCs/>
          <w:sz w:val="20"/>
          <w:szCs w:val="20"/>
        </w:rPr>
        <w:t xml:space="preserve"> the identification of research priorities, and</w:t>
      </w:r>
      <w:r w:rsidR="00906044">
        <w:rPr>
          <w:iCs/>
          <w:sz w:val="20"/>
          <w:szCs w:val="20"/>
        </w:rPr>
        <w:t xml:space="preserve"> findings </w:t>
      </w:r>
      <w:r w:rsidR="00814698">
        <w:rPr>
          <w:iCs/>
          <w:sz w:val="20"/>
          <w:szCs w:val="20"/>
        </w:rPr>
        <w:t xml:space="preserve">need to be </w:t>
      </w:r>
      <w:r w:rsidR="00146344">
        <w:rPr>
          <w:iCs/>
          <w:sz w:val="20"/>
          <w:szCs w:val="20"/>
        </w:rPr>
        <w:t>accessible</w:t>
      </w:r>
      <w:r w:rsidR="00906044">
        <w:rPr>
          <w:iCs/>
          <w:sz w:val="20"/>
          <w:szCs w:val="20"/>
        </w:rPr>
        <w:t xml:space="preserve"> to communities to inform </w:t>
      </w:r>
      <w:r w:rsidR="00814698">
        <w:rPr>
          <w:iCs/>
          <w:sz w:val="20"/>
          <w:szCs w:val="20"/>
        </w:rPr>
        <w:t xml:space="preserve">knowledge translation and </w:t>
      </w:r>
      <w:r w:rsidR="00906044">
        <w:rPr>
          <w:iCs/>
          <w:sz w:val="20"/>
          <w:szCs w:val="20"/>
        </w:rPr>
        <w:t>local decision</w:t>
      </w:r>
      <w:r w:rsidR="003072D1">
        <w:rPr>
          <w:iCs/>
          <w:sz w:val="20"/>
          <w:szCs w:val="20"/>
        </w:rPr>
        <w:t>-</w:t>
      </w:r>
      <w:r w:rsidR="00906044">
        <w:rPr>
          <w:iCs/>
          <w:sz w:val="20"/>
          <w:szCs w:val="20"/>
        </w:rPr>
        <w:t xml:space="preserve">making. </w:t>
      </w:r>
    </w:p>
    <w:p w14:paraId="48AF305C" w14:textId="3C152E5B" w:rsidR="00743C33" w:rsidRDefault="00B017E6" w:rsidP="00743C33">
      <w:pPr>
        <w:pStyle w:val="Bullet"/>
        <w:spacing w:before="120" w:after="0"/>
        <w:rPr>
          <w:rStyle w:val="apple-converted-space"/>
          <w:color w:val="2A2A2A"/>
          <w:sz w:val="23"/>
          <w:szCs w:val="23"/>
          <w:shd w:val="clear" w:color="auto" w:fill="FFFFFF"/>
        </w:rPr>
      </w:pPr>
      <w:r>
        <w:rPr>
          <w:iCs/>
          <w:sz w:val="20"/>
          <w:szCs w:val="20"/>
        </w:rPr>
        <w:t>C</w:t>
      </w:r>
      <w:r w:rsidRPr="00FD22CD">
        <w:rPr>
          <w:iCs/>
          <w:sz w:val="20"/>
          <w:szCs w:val="20"/>
        </w:rPr>
        <w:t xml:space="preserve">ommunity </w:t>
      </w:r>
      <w:r>
        <w:rPr>
          <w:iCs/>
          <w:sz w:val="20"/>
          <w:szCs w:val="20"/>
        </w:rPr>
        <w:t xml:space="preserve">organisations, </w:t>
      </w:r>
      <w:r w:rsidRPr="00FD22CD">
        <w:rPr>
          <w:iCs/>
          <w:sz w:val="20"/>
          <w:szCs w:val="20"/>
        </w:rPr>
        <w:t xml:space="preserve">peer-based </w:t>
      </w:r>
      <w:r>
        <w:rPr>
          <w:iCs/>
          <w:sz w:val="20"/>
          <w:szCs w:val="20"/>
        </w:rPr>
        <w:t xml:space="preserve">organisations </w:t>
      </w:r>
      <w:r w:rsidRPr="00FD22CD">
        <w:rPr>
          <w:iCs/>
          <w:sz w:val="20"/>
          <w:szCs w:val="20"/>
        </w:rPr>
        <w:t xml:space="preserve">and </w:t>
      </w:r>
      <w:r>
        <w:rPr>
          <w:iCs/>
          <w:sz w:val="20"/>
          <w:szCs w:val="20"/>
        </w:rPr>
        <w:t xml:space="preserve">health professionals with strong links to Aboriginal and Torres Strait Islander priority groups and communities are often able to </w:t>
      </w:r>
      <w:r w:rsidRPr="00FD22CD">
        <w:rPr>
          <w:iCs/>
          <w:sz w:val="20"/>
          <w:szCs w:val="20"/>
        </w:rPr>
        <w:t xml:space="preserve">identify </w:t>
      </w:r>
      <w:r>
        <w:rPr>
          <w:iCs/>
          <w:sz w:val="20"/>
          <w:szCs w:val="20"/>
        </w:rPr>
        <w:t xml:space="preserve">early </w:t>
      </w:r>
      <w:r w:rsidRPr="00FD22CD">
        <w:rPr>
          <w:iCs/>
          <w:sz w:val="20"/>
          <w:szCs w:val="20"/>
        </w:rPr>
        <w:t>changes in behaviours, social interactions and demographics.</w:t>
      </w:r>
      <w:r>
        <w:rPr>
          <w:rStyle w:val="EndnoteReference"/>
          <w:iCs/>
          <w:sz w:val="20"/>
          <w:szCs w:val="20"/>
        </w:rPr>
        <w:endnoteReference w:id="106"/>
      </w:r>
      <w:r w:rsidRPr="00D5359B">
        <w:rPr>
          <w:iCs/>
          <w:sz w:val="20"/>
          <w:szCs w:val="20"/>
          <w:vertAlign w:val="superscript"/>
        </w:rPr>
        <w:t>,</w:t>
      </w:r>
      <w:r>
        <w:rPr>
          <w:rStyle w:val="EndnoteReference"/>
          <w:iCs/>
          <w:sz w:val="20"/>
          <w:szCs w:val="20"/>
        </w:rPr>
        <w:endnoteReference w:id="107"/>
      </w:r>
      <w:r w:rsidRPr="00FD22CD">
        <w:rPr>
          <w:iCs/>
          <w:sz w:val="20"/>
          <w:szCs w:val="20"/>
        </w:rPr>
        <w:t xml:space="preserve"> </w:t>
      </w:r>
      <w:r>
        <w:rPr>
          <w:iCs/>
          <w:sz w:val="20"/>
          <w:szCs w:val="20"/>
        </w:rPr>
        <w:t>C</w:t>
      </w:r>
      <w:r w:rsidRPr="008732E8">
        <w:rPr>
          <w:iCs/>
          <w:sz w:val="20"/>
          <w:szCs w:val="20"/>
        </w:rPr>
        <w:t xml:space="preserve">ollaborative </w:t>
      </w:r>
      <w:r>
        <w:rPr>
          <w:iCs/>
          <w:sz w:val="20"/>
          <w:szCs w:val="20"/>
        </w:rPr>
        <w:t>efforts</w:t>
      </w:r>
      <w:r w:rsidRPr="008732E8">
        <w:rPr>
          <w:iCs/>
          <w:sz w:val="20"/>
          <w:szCs w:val="20"/>
        </w:rPr>
        <w:t xml:space="preserve"> </w:t>
      </w:r>
      <w:r>
        <w:rPr>
          <w:iCs/>
          <w:sz w:val="20"/>
          <w:szCs w:val="20"/>
        </w:rPr>
        <w:t xml:space="preserve">between communities, organisations, researchers and health professionals </w:t>
      </w:r>
      <w:r w:rsidRPr="008732E8">
        <w:rPr>
          <w:iCs/>
          <w:sz w:val="20"/>
          <w:szCs w:val="20"/>
        </w:rPr>
        <w:t xml:space="preserve">offer opportunities to combine the strengths of all partners to identify research priorities of most value to </w:t>
      </w:r>
      <w:r>
        <w:rPr>
          <w:iCs/>
          <w:sz w:val="20"/>
          <w:szCs w:val="20"/>
        </w:rPr>
        <w:t xml:space="preserve">communities, </w:t>
      </w:r>
      <w:r w:rsidRPr="008732E8">
        <w:rPr>
          <w:iCs/>
          <w:sz w:val="20"/>
          <w:szCs w:val="20"/>
        </w:rPr>
        <w:t>policy and practice.</w:t>
      </w:r>
      <w:r>
        <w:rPr>
          <w:rStyle w:val="apple-converted-space"/>
          <w:color w:val="2A2A2A"/>
          <w:sz w:val="23"/>
          <w:szCs w:val="23"/>
          <w:shd w:val="clear" w:color="auto" w:fill="FFFFFF"/>
        </w:rPr>
        <w:t> </w:t>
      </w:r>
      <w:r w:rsidR="00743C33">
        <w:rPr>
          <w:iCs/>
          <w:sz w:val="20"/>
          <w:szCs w:val="20"/>
        </w:rPr>
        <w:t xml:space="preserve"> </w:t>
      </w:r>
    </w:p>
    <w:p w14:paraId="0159CA16" w14:textId="1F5464FB" w:rsidR="00D85D1F" w:rsidRDefault="00DF0328" w:rsidP="00D85D1F">
      <w:pPr>
        <w:pStyle w:val="Bullet"/>
        <w:spacing w:before="120" w:after="0"/>
        <w:rPr>
          <w:sz w:val="20"/>
          <w:szCs w:val="20"/>
          <w:highlight w:val="yellow"/>
        </w:rPr>
      </w:pPr>
      <w:bookmarkStart w:id="38" w:name="_Hlk501001216"/>
      <w:r>
        <w:rPr>
          <w:iCs/>
          <w:sz w:val="20"/>
          <w:szCs w:val="20"/>
        </w:rPr>
        <w:t>There are k</w:t>
      </w:r>
      <w:r w:rsidR="000A01F7">
        <w:rPr>
          <w:iCs/>
          <w:sz w:val="20"/>
          <w:szCs w:val="20"/>
        </w:rPr>
        <w:t>nown r</w:t>
      </w:r>
      <w:r w:rsidR="00D85D1F" w:rsidRPr="00B073E8">
        <w:rPr>
          <w:iCs/>
          <w:sz w:val="20"/>
          <w:szCs w:val="20"/>
        </w:rPr>
        <w:t xml:space="preserve">esearch </w:t>
      </w:r>
      <w:r w:rsidR="000A01F7">
        <w:rPr>
          <w:iCs/>
          <w:sz w:val="20"/>
          <w:szCs w:val="20"/>
        </w:rPr>
        <w:t>gaps includ</w:t>
      </w:r>
      <w:r>
        <w:rPr>
          <w:iCs/>
          <w:sz w:val="20"/>
          <w:szCs w:val="20"/>
        </w:rPr>
        <w:t>ing</w:t>
      </w:r>
      <w:r w:rsidR="000A01F7">
        <w:rPr>
          <w:iCs/>
          <w:sz w:val="20"/>
          <w:szCs w:val="20"/>
        </w:rPr>
        <w:t xml:space="preserve"> the need </w:t>
      </w:r>
      <w:r w:rsidR="00D85D1F">
        <w:rPr>
          <w:iCs/>
          <w:sz w:val="20"/>
          <w:szCs w:val="20"/>
        </w:rPr>
        <w:t>to better</w:t>
      </w:r>
      <w:r w:rsidR="00D85D1F" w:rsidRPr="00B073E8">
        <w:rPr>
          <w:iCs/>
          <w:sz w:val="20"/>
          <w:szCs w:val="20"/>
        </w:rPr>
        <w:t xml:space="preserve"> identify and examine </w:t>
      </w:r>
      <w:r w:rsidR="000A01F7">
        <w:rPr>
          <w:iCs/>
          <w:sz w:val="20"/>
          <w:szCs w:val="20"/>
        </w:rPr>
        <w:t xml:space="preserve">the </w:t>
      </w:r>
      <w:r w:rsidR="00D85D1F" w:rsidRPr="00B073E8">
        <w:rPr>
          <w:sz w:val="20"/>
          <w:szCs w:val="20"/>
        </w:rPr>
        <w:t xml:space="preserve">knowledge and attitudes about sexual health and sexual health behaviours among priority </w:t>
      </w:r>
      <w:r w:rsidR="000A01F7">
        <w:rPr>
          <w:sz w:val="20"/>
          <w:szCs w:val="20"/>
        </w:rPr>
        <w:t>group</w:t>
      </w:r>
      <w:r w:rsidR="00D85D1F" w:rsidRPr="00B073E8">
        <w:rPr>
          <w:sz w:val="20"/>
          <w:szCs w:val="20"/>
        </w:rPr>
        <w:t>s</w:t>
      </w:r>
      <w:r w:rsidR="00A41F26">
        <w:rPr>
          <w:sz w:val="20"/>
          <w:szCs w:val="20"/>
        </w:rPr>
        <w:t xml:space="preserve">. </w:t>
      </w:r>
      <w:r>
        <w:rPr>
          <w:sz w:val="20"/>
          <w:szCs w:val="20"/>
        </w:rPr>
        <w:t xml:space="preserve">We also need to improve our understanding of </w:t>
      </w:r>
      <w:r w:rsidR="00D85D1F" w:rsidRPr="00B073E8">
        <w:rPr>
          <w:iCs/>
          <w:sz w:val="20"/>
          <w:szCs w:val="20"/>
        </w:rPr>
        <w:t xml:space="preserve"> </w:t>
      </w:r>
      <w:r w:rsidR="00D85D1F" w:rsidRPr="00B073E8">
        <w:rPr>
          <w:sz w:val="20"/>
          <w:szCs w:val="20"/>
        </w:rPr>
        <w:t>patterns of sex work, mobility and migration; drivers of high</w:t>
      </w:r>
      <w:r w:rsidR="003072D1">
        <w:rPr>
          <w:sz w:val="20"/>
          <w:szCs w:val="20"/>
        </w:rPr>
        <w:t>-</w:t>
      </w:r>
      <w:r w:rsidR="00D85D1F" w:rsidRPr="00B073E8">
        <w:rPr>
          <w:sz w:val="20"/>
          <w:szCs w:val="20"/>
        </w:rPr>
        <w:t xml:space="preserve">risk behaviours (such as alcohol and </w:t>
      </w:r>
      <w:r w:rsidR="00E87E25">
        <w:rPr>
          <w:sz w:val="20"/>
          <w:szCs w:val="20"/>
        </w:rPr>
        <w:t xml:space="preserve">other </w:t>
      </w:r>
      <w:r w:rsidR="00D85D1F" w:rsidRPr="00B073E8">
        <w:rPr>
          <w:sz w:val="20"/>
          <w:szCs w:val="20"/>
        </w:rPr>
        <w:t xml:space="preserve">drug use); </w:t>
      </w:r>
      <w:r w:rsidR="004C0528">
        <w:rPr>
          <w:iCs/>
          <w:sz w:val="20"/>
          <w:szCs w:val="20"/>
        </w:rPr>
        <w:t xml:space="preserve">and </w:t>
      </w:r>
      <w:r w:rsidR="00D85D1F" w:rsidRPr="00B073E8">
        <w:rPr>
          <w:iCs/>
          <w:sz w:val="20"/>
          <w:szCs w:val="20"/>
        </w:rPr>
        <w:t>barriers and enablers to accessing evidence-based prevention</w:t>
      </w:r>
      <w:r w:rsidR="00D85D1F">
        <w:rPr>
          <w:iCs/>
          <w:sz w:val="20"/>
          <w:szCs w:val="20"/>
        </w:rPr>
        <w:t xml:space="preserve">, testing and treatment across different </w:t>
      </w:r>
      <w:r w:rsidR="000A01F7">
        <w:rPr>
          <w:iCs/>
          <w:sz w:val="20"/>
          <w:szCs w:val="20"/>
        </w:rPr>
        <w:t xml:space="preserve">priority groups and </w:t>
      </w:r>
      <w:r w:rsidR="00D85D1F">
        <w:rPr>
          <w:iCs/>
          <w:sz w:val="20"/>
          <w:szCs w:val="20"/>
        </w:rPr>
        <w:t>communities</w:t>
      </w:r>
      <w:r w:rsidR="00D85D1F" w:rsidRPr="00B073E8">
        <w:rPr>
          <w:iCs/>
          <w:sz w:val="20"/>
          <w:szCs w:val="20"/>
        </w:rPr>
        <w:t xml:space="preserve">. </w:t>
      </w:r>
      <w:r w:rsidR="00D85D1F" w:rsidRPr="00693F8E">
        <w:rPr>
          <w:iCs/>
          <w:sz w:val="20"/>
          <w:szCs w:val="20"/>
        </w:rPr>
        <w:t xml:space="preserve">Further understanding is also needed about how </w:t>
      </w:r>
      <w:r w:rsidR="00D85D1F" w:rsidRPr="00693F8E">
        <w:rPr>
          <w:sz w:val="20"/>
          <w:szCs w:val="20"/>
        </w:rPr>
        <w:t>cultural va</w:t>
      </w:r>
      <w:r w:rsidR="00D85D1F">
        <w:rPr>
          <w:sz w:val="20"/>
          <w:szCs w:val="20"/>
        </w:rPr>
        <w:t xml:space="preserve">lues support sexual health; the influences on </w:t>
      </w:r>
      <w:r w:rsidR="00D85D1F" w:rsidRPr="00693F8E">
        <w:rPr>
          <w:sz w:val="20"/>
          <w:szCs w:val="20"/>
        </w:rPr>
        <w:t xml:space="preserve">young men’s </w:t>
      </w:r>
      <w:r w:rsidR="004C0528">
        <w:rPr>
          <w:sz w:val="20"/>
          <w:szCs w:val="20"/>
        </w:rPr>
        <w:t xml:space="preserve">attitudes to STI prevention and </w:t>
      </w:r>
      <w:r w:rsidR="000A01F7">
        <w:rPr>
          <w:sz w:val="20"/>
          <w:szCs w:val="20"/>
        </w:rPr>
        <w:t>access to</w:t>
      </w:r>
      <w:r w:rsidR="004C0528">
        <w:rPr>
          <w:sz w:val="20"/>
          <w:szCs w:val="20"/>
        </w:rPr>
        <w:t xml:space="preserve"> </w:t>
      </w:r>
      <w:r w:rsidR="00D85D1F" w:rsidRPr="00693F8E">
        <w:rPr>
          <w:sz w:val="20"/>
          <w:szCs w:val="20"/>
        </w:rPr>
        <w:t>sexual health</w:t>
      </w:r>
      <w:r w:rsidR="00AB7BD0">
        <w:rPr>
          <w:sz w:val="20"/>
          <w:szCs w:val="20"/>
        </w:rPr>
        <w:t xml:space="preserve"> services</w:t>
      </w:r>
      <w:r w:rsidR="00D85D1F" w:rsidRPr="00693F8E">
        <w:rPr>
          <w:sz w:val="20"/>
          <w:szCs w:val="20"/>
        </w:rPr>
        <w:t>; and the experiences for same-sex attracted and gender</w:t>
      </w:r>
      <w:r w:rsidR="00C76E08">
        <w:rPr>
          <w:sz w:val="20"/>
          <w:szCs w:val="20"/>
        </w:rPr>
        <w:t>-</w:t>
      </w:r>
      <w:r w:rsidR="00D85D1F" w:rsidRPr="00693F8E">
        <w:rPr>
          <w:sz w:val="20"/>
          <w:szCs w:val="20"/>
        </w:rPr>
        <w:t xml:space="preserve">diverse </w:t>
      </w:r>
      <w:r w:rsidR="000A01F7">
        <w:rPr>
          <w:sz w:val="20"/>
          <w:szCs w:val="20"/>
        </w:rPr>
        <w:t xml:space="preserve">Aboriginal and Torres Strait Islander </w:t>
      </w:r>
      <w:r w:rsidR="00D85D1F">
        <w:rPr>
          <w:sz w:val="20"/>
          <w:szCs w:val="20"/>
        </w:rPr>
        <w:t>people</w:t>
      </w:r>
      <w:r w:rsidR="00A41F26">
        <w:rPr>
          <w:sz w:val="20"/>
          <w:szCs w:val="20"/>
        </w:rPr>
        <w:t>. This information would</w:t>
      </w:r>
      <w:r w:rsidR="00D85D1F" w:rsidRPr="00693F8E">
        <w:rPr>
          <w:sz w:val="20"/>
          <w:szCs w:val="20"/>
        </w:rPr>
        <w:t xml:space="preserve"> </w:t>
      </w:r>
      <w:r w:rsidR="00D85D1F">
        <w:rPr>
          <w:sz w:val="20"/>
          <w:szCs w:val="20"/>
        </w:rPr>
        <w:t xml:space="preserve">better </w:t>
      </w:r>
      <w:r w:rsidR="00D85D1F" w:rsidRPr="00693F8E">
        <w:rPr>
          <w:sz w:val="20"/>
          <w:szCs w:val="20"/>
        </w:rPr>
        <w:t>inform the</w:t>
      </w:r>
      <w:r w:rsidR="00D85D1F" w:rsidRPr="003B6EBF">
        <w:rPr>
          <w:sz w:val="20"/>
          <w:szCs w:val="20"/>
        </w:rPr>
        <w:t xml:space="preserve"> design and delivery of culturally safe and acceptable sexu</w:t>
      </w:r>
      <w:r w:rsidR="00D85D1F">
        <w:rPr>
          <w:sz w:val="20"/>
          <w:szCs w:val="20"/>
        </w:rPr>
        <w:t>al health services and programs.</w:t>
      </w:r>
      <w:r w:rsidR="00D85D1F">
        <w:rPr>
          <w:rStyle w:val="EndnoteReference"/>
          <w:sz w:val="20"/>
          <w:szCs w:val="20"/>
        </w:rPr>
        <w:endnoteReference w:id="108"/>
      </w:r>
      <w:r w:rsidR="00D85D1F" w:rsidRPr="00003FFC">
        <w:rPr>
          <w:iCs/>
          <w:sz w:val="20"/>
          <w:szCs w:val="20"/>
        </w:rPr>
        <w:t xml:space="preserve"> </w:t>
      </w:r>
      <w:r w:rsidR="00D85D1F">
        <w:rPr>
          <w:iCs/>
          <w:sz w:val="20"/>
          <w:szCs w:val="20"/>
        </w:rPr>
        <w:t xml:space="preserve">Research and evaluation </w:t>
      </w:r>
      <w:r w:rsidR="00A41F26">
        <w:rPr>
          <w:iCs/>
          <w:sz w:val="20"/>
          <w:szCs w:val="20"/>
        </w:rPr>
        <w:t>is required to</w:t>
      </w:r>
      <w:r w:rsidR="00D85D1F">
        <w:rPr>
          <w:iCs/>
          <w:sz w:val="20"/>
          <w:szCs w:val="20"/>
        </w:rPr>
        <w:t xml:space="preserve"> provide a more definitive evidence base in relation to </w:t>
      </w:r>
      <w:r w:rsidR="00A41F26">
        <w:rPr>
          <w:iCs/>
          <w:sz w:val="20"/>
          <w:szCs w:val="20"/>
        </w:rPr>
        <w:t xml:space="preserve">the </w:t>
      </w:r>
      <w:r w:rsidR="00D85D1F">
        <w:rPr>
          <w:iCs/>
          <w:sz w:val="20"/>
          <w:szCs w:val="20"/>
        </w:rPr>
        <w:t xml:space="preserve">programs and approaches </w:t>
      </w:r>
      <w:r w:rsidR="00A41F26">
        <w:rPr>
          <w:iCs/>
          <w:sz w:val="20"/>
          <w:szCs w:val="20"/>
        </w:rPr>
        <w:t xml:space="preserve">that </w:t>
      </w:r>
      <w:r w:rsidR="00D85D1F">
        <w:rPr>
          <w:iCs/>
          <w:sz w:val="20"/>
          <w:szCs w:val="20"/>
        </w:rPr>
        <w:t>most effectively reduce BBV and STI prevalence</w:t>
      </w:r>
      <w:r w:rsidR="007D2EF6">
        <w:rPr>
          <w:iCs/>
          <w:sz w:val="20"/>
          <w:szCs w:val="20"/>
        </w:rPr>
        <w:t xml:space="preserve"> for Aboriginal and Torres Strait Islander people.</w:t>
      </w:r>
    </w:p>
    <w:bookmarkEnd w:id="38"/>
    <w:p w14:paraId="6CAA6836" w14:textId="2AEBF9DD" w:rsidR="00D85D1F" w:rsidRDefault="00E42B87" w:rsidP="00D85D1F">
      <w:pPr>
        <w:spacing w:before="120" w:after="0"/>
        <w:rPr>
          <w:sz w:val="20"/>
          <w:szCs w:val="20"/>
          <w:vertAlign w:val="superscript"/>
          <w:lang w:val="en-US"/>
        </w:rPr>
      </w:pPr>
      <w:r>
        <w:rPr>
          <w:sz w:val="20"/>
          <w:szCs w:val="20"/>
        </w:rPr>
        <w:lastRenderedPageBreak/>
        <w:t>D</w:t>
      </w:r>
      <w:r w:rsidR="00D85D1F">
        <w:rPr>
          <w:sz w:val="20"/>
          <w:szCs w:val="20"/>
        </w:rPr>
        <w:t>edicated r</w:t>
      </w:r>
      <w:r w:rsidR="00D85D1F" w:rsidRPr="008732E8">
        <w:rPr>
          <w:sz w:val="20"/>
          <w:szCs w:val="20"/>
        </w:rPr>
        <w:t xml:space="preserve">esearch </w:t>
      </w:r>
      <w:r w:rsidR="00D85D1F">
        <w:rPr>
          <w:sz w:val="20"/>
          <w:szCs w:val="20"/>
        </w:rPr>
        <w:t xml:space="preserve">effort </w:t>
      </w:r>
      <w:r>
        <w:rPr>
          <w:sz w:val="20"/>
          <w:szCs w:val="20"/>
        </w:rPr>
        <w:t>is</w:t>
      </w:r>
      <w:r w:rsidR="006C0E07">
        <w:rPr>
          <w:sz w:val="20"/>
          <w:szCs w:val="20"/>
        </w:rPr>
        <w:t xml:space="preserve"> </w:t>
      </w:r>
      <w:r>
        <w:rPr>
          <w:sz w:val="20"/>
          <w:szCs w:val="20"/>
        </w:rPr>
        <w:t xml:space="preserve">needed to develop a better </w:t>
      </w:r>
      <w:r w:rsidR="006C0E07">
        <w:rPr>
          <w:sz w:val="20"/>
          <w:szCs w:val="20"/>
        </w:rPr>
        <w:t>understand</w:t>
      </w:r>
      <w:r>
        <w:rPr>
          <w:sz w:val="20"/>
          <w:szCs w:val="20"/>
        </w:rPr>
        <w:t>ing of</w:t>
      </w:r>
      <w:r w:rsidR="006C0E07">
        <w:rPr>
          <w:sz w:val="20"/>
          <w:szCs w:val="20"/>
        </w:rPr>
        <w:t xml:space="preserve"> </w:t>
      </w:r>
      <w:r w:rsidR="00D85D1F">
        <w:rPr>
          <w:sz w:val="20"/>
          <w:szCs w:val="20"/>
        </w:rPr>
        <w:t xml:space="preserve">the </w:t>
      </w:r>
      <w:r w:rsidR="00D85D1F" w:rsidRPr="008732E8">
        <w:rPr>
          <w:iCs/>
          <w:sz w:val="20"/>
          <w:szCs w:val="20"/>
        </w:rPr>
        <w:t>prevalence of HTLV-1 in remote communities</w:t>
      </w:r>
      <w:r w:rsidR="00D85D1F">
        <w:rPr>
          <w:iCs/>
          <w:sz w:val="20"/>
          <w:szCs w:val="20"/>
        </w:rPr>
        <w:t xml:space="preserve">. </w:t>
      </w:r>
      <w:r w:rsidR="00DF0328">
        <w:rPr>
          <w:sz w:val="20"/>
          <w:szCs w:val="20"/>
        </w:rPr>
        <w:t>T</w:t>
      </w:r>
      <w:r w:rsidR="00DF0328">
        <w:rPr>
          <w:iCs/>
          <w:sz w:val="20"/>
          <w:szCs w:val="20"/>
        </w:rPr>
        <w:t xml:space="preserve">o inform an effective public health </w:t>
      </w:r>
      <w:r w:rsidR="00DF0328" w:rsidRPr="008732E8">
        <w:rPr>
          <w:iCs/>
          <w:sz w:val="20"/>
          <w:szCs w:val="20"/>
        </w:rPr>
        <w:t>respon</w:t>
      </w:r>
      <w:r w:rsidR="00DF0328">
        <w:rPr>
          <w:iCs/>
          <w:sz w:val="20"/>
          <w:szCs w:val="20"/>
        </w:rPr>
        <w:t>se, r</w:t>
      </w:r>
      <w:r w:rsidR="00D85D1F">
        <w:rPr>
          <w:iCs/>
          <w:sz w:val="20"/>
          <w:szCs w:val="20"/>
        </w:rPr>
        <w:t xml:space="preserve">esearch is needed to </w:t>
      </w:r>
      <w:r w:rsidR="007D4474">
        <w:rPr>
          <w:sz w:val="20"/>
          <w:szCs w:val="20"/>
        </w:rPr>
        <w:t xml:space="preserve">characterise this virus, its prevalence, </w:t>
      </w:r>
      <w:r w:rsidR="003072D1">
        <w:rPr>
          <w:sz w:val="20"/>
          <w:szCs w:val="20"/>
        </w:rPr>
        <w:t xml:space="preserve">its </w:t>
      </w:r>
      <w:r w:rsidR="007D4474">
        <w:rPr>
          <w:sz w:val="20"/>
          <w:szCs w:val="20"/>
        </w:rPr>
        <w:t xml:space="preserve">disease associations and </w:t>
      </w:r>
      <w:r w:rsidR="003072D1">
        <w:rPr>
          <w:sz w:val="20"/>
          <w:szCs w:val="20"/>
        </w:rPr>
        <w:t xml:space="preserve">its </w:t>
      </w:r>
      <w:r w:rsidR="007D4474">
        <w:rPr>
          <w:sz w:val="20"/>
          <w:szCs w:val="20"/>
        </w:rPr>
        <w:t>impact on health outcomes</w:t>
      </w:r>
      <w:r w:rsidR="00D85D1F">
        <w:rPr>
          <w:iCs/>
          <w:sz w:val="20"/>
          <w:szCs w:val="20"/>
        </w:rPr>
        <w:t>.</w:t>
      </w:r>
      <w:r w:rsidR="00AD6D89">
        <w:rPr>
          <w:sz w:val="20"/>
          <w:szCs w:val="20"/>
        </w:rPr>
        <w:t xml:space="preserve"> </w:t>
      </w:r>
      <w:r w:rsidR="00AB1E38">
        <w:rPr>
          <w:sz w:val="20"/>
          <w:szCs w:val="20"/>
        </w:rPr>
        <w:t>R</w:t>
      </w:r>
      <w:r w:rsidR="00D85D1F" w:rsidRPr="004E3784">
        <w:rPr>
          <w:sz w:val="20"/>
          <w:szCs w:val="20"/>
        </w:rPr>
        <w:t xml:space="preserve">esearch </w:t>
      </w:r>
      <w:r w:rsidR="00AD6D89">
        <w:rPr>
          <w:sz w:val="20"/>
          <w:szCs w:val="20"/>
        </w:rPr>
        <w:t xml:space="preserve">also </w:t>
      </w:r>
      <w:r w:rsidR="00D85D1F" w:rsidRPr="004E3784">
        <w:rPr>
          <w:sz w:val="20"/>
          <w:szCs w:val="20"/>
        </w:rPr>
        <w:t xml:space="preserve">indicates </w:t>
      </w:r>
      <w:r w:rsidR="00A41F26">
        <w:rPr>
          <w:sz w:val="20"/>
          <w:szCs w:val="20"/>
        </w:rPr>
        <w:t xml:space="preserve">that </w:t>
      </w:r>
      <w:r w:rsidR="00D62752">
        <w:rPr>
          <w:sz w:val="20"/>
          <w:szCs w:val="20"/>
        </w:rPr>
        <w:t xml:space="preserve">some </w:t>
      </w:r>
      <w:r w:rsidR="00D85D1F" w:rsidRPr="004E3784">
        <w:rPr>
          <w:sz w:val="20"/>
          <w:szCs w:val="20"/>
        </w:rPr>
        <w:t xml:space="preserve">Aboriginal </w:t>
      </w:r>
      <w:r w:rsidR="00D62752">
        <w:rPr>
          <w:sz w:val="20"/>
          <w:szCs w:val="20"/>
        </w:rPr>
        <w:t xml:space="preserve">and Torres Strait Islander </w:t>
      </w:r>
      <w:r w:rsidR="00A84D6D">
        <w:rPr>
          <w:sz w:val="20"/>
          <w:szCs w:val="20"/>
        </w:rPr>
        <w:t>communities in</w:t>
      </w:r>
      <w:r w:rsidR="00D62752">
        <w:rPr>
          <w:sz w:val="20"/>
          <w:szCs w:val="20"/>
        </w:rPr>
        <w:t xml:space="preserve"> </w:t>
      </w:r>
      <w:r w:rsidR="00770183">
        <w:rPr>
          <w:sz w:val="20"/>
          <w:szCs w:val="20"/>
        </w:rPr>
        <w:t>northern Australia</w:t>
      </w:r>
      <w:r w:rsidR="00D62752">
        <w:rPr>
          <w:sz w:val="20"/>
          <w:szCs w:val="20"/>
        </w:rPr>
        <w:t xml:space="preserve"> </w:t>
      </w:r>
      <w:r w:rsidR="00D85D1F" w:rsidRPr="004E3784">
        <w:rPr>
          <w:sz w:val="20"/>
          <w:szCs w:val="20"/>
        </w:rPr>
        <w:t xml:space="preserve">are affected by a more aggressive strain of hepatitis B that may </w:t>
      </w:r>
      <w:r w:rsidR="00D85D1F">
        <w:rPr>
          <w:sz w:val="20"/>
          <w:szCs w:val="20"/>
        </w:rPr>
        <w:t>impact</w:t>
      </w:r>
      <w:r w:rsidR="00D85D1F" w:rsidRPr="004E3784">
        <w:rPr>
          <w:sz w:val="20"/>
          <w:szCs w:val="20"/>
        </w:rPr>
        <w:t xml:space="preserve"> </w:t>
      </w:r>
      <w:r w:rsidR="001331EF">
        <w:rPr>
          <w:sz w:val="20"/>
          <w:szCs w:val="20"/>
        </w:rPr>
        <w:t xml:space="preserve">on </w:t>
      </w:r>
      <w:r w:rsidR="00D85D1F" w:rsidRPr="004E3784">
        <w:rPr>
          <w:sz w:val="20"/>
          <w:szCs w:val="20"/>
        </w:rPr>
        <w:t xml:space="preserve">efficacy of vaccination and </w:t>
      </w:r>
      <w:r w:rsidR="007D4474">
        <w:rPr>
          <w:sz w:val="20"/>
          <w:szCs w:val="20"/>
        </w:rPr>
        <w:t>influence long-term outcomes</w:t>
      </w:r>
      <w:r w:rsidR="00D85D1F" w:rsidRPr="004E3784">
        <w:rPr>
          <w:sz w:val="20"/>
          <w:szCs w:val="20"/>
        </w:rPr>
        <w:t xml:space="preserve">. Further research is needed to </w:t>
      </w:r>
      <w:r w:rsidR="00D85D1F">
        <w:rPr>
          <w:sz w:val="20"/>
          <w:szCs w:val="20"/>
        </w:rPr>
        <w:t xml:space="preserve">better </w:t>
      </w:r>
      <w:r w:rsidR="00D85D1F" w:rsidRPr="004E3784">
        <w:rPr>
          <w:sz w:val="20"/>
          <w:szCs w:val="20"/>
        </w:rPr>
        <w:t>understand the pub</w:t>
      </w:r>
      <w:r w:rsidR="00D85D1F">
        <w:rPr>
          <w:sz w:val="20"/>
          <w:szCs w:val="20"/>
        </w:rPr>
        <w:t xml:space="preserve">lic health implications of this distinct hepatitis B </w:t>
      </w:r>
      <w:r w:rsidR="007D4474">
        <w:rPr>
          <w:sz w:val="20"/>
          <w:szCs w:val="20"/>
        </w:rPr>
        <w:t>subtype</w:t>
      </w:r>
      <w:r>
        <w:rPr>
          <w:lang w:eastAsia="en-AU"/>
        </w:rPr>
        <w:t>.</w:t>
      </w:r>
      <w:r w:rsidR="00572B60" w:rsidRPr="009F2202">
        <w:rPr>
          <w:rStyle w:val="EndnoteReference"/>
          <w:sz w:val="20"/>
          <w:szCs w:val="20"/>
          <w:lang w:val="en-US"/>
        </w:rPr>
        <w:endnoteReference w:id="109"/>
      </w:r>
      <w:r w:rsidR="00572B60" w:rsidRPr="009F2202">
        <w:rPr>
          <w:sz w:val="20"/>
          <w:szCs w:val="20"/>
          <w:vertAlign w:val="superscript"/>
          <w:lang w:val="en-US"/>
        </w:rPr>
        <w:t>,</w:t>
      </w:r>
      <w:r w:rsidR="00572B60" w:rsidRPr="009F2202">
        <w:rPr>
          <w:rStyle w:val="EndnoteReference"/>
          <w:sz w:val="20"/>
          <w:szCs w:val="20"/>
          <w:lang w:val="en-US"/>
        </w:rPr>
        <w:endnoteReference w:id="110"/>
      </w:r>
      <w:r w:rsidR="00572B60" w:rsidRPr="009F2202">
        <w:rPr>
          <w:sz w:val="20"/>
          <w:szCs w:val="20"/>
          <w:vertAlign w:val="superscript"/>
          <w:lang w:val="en-US"/>
        </w:rPr>
        <w:t>,</w:t>
      </w:r>
      <w:r w:rsidR="00572B60" w:rsidRPr="00911C52">
        <w:rPr>
          <w:rStyle w:val="EndnoteReference"/>
          <w:sz w:val="20"/>
          <w:szCs w:val="20"/>
          <w:lang w:val="en-US"/>
        </w:rPr>
        <w:endnoteReference w:id="111"/>
      </w:r>
    </w:p>
    <w:p w14:paraId="606CBEA0" w14:textId="21D57247" w:rsidR="00D85D1F" w:rsidRDefault="00D85D1F" w:rsidP="00D85D1F">
      <w:pPr>
        <w:pStyle w:val="Bullet"/>
        <w:spacing w:before="120" w:after="0"/>
        <w:rPr>
          <w:iCs/>
          <w:sz w:val="20"/>
          <w:szCs w:val="20"/>
        </w:rPr>
      </w:pPr>
      <w:r w:rsidRPr="00C76E08">
        <w:rPr>
          <w:iCs/>
          <w:sz w:val="20"/>
          <w:szCs w:val="20"/>
        </w:rPr>
        <w:t xml:space="preserve">The National BBV and STI Surveillance and Monitoring Plan </w:t>
      </w:r>
      <w:r w:rsidR="00C76E08" w:rsidRPr="00C76E08">
        <w:rPr>
          <w:iCs/>
          <w:sz w:val="20"/>
          <w:szCs w:val="20"/>
        </w:rPr>
        <w:t>2018–2022</w:t>
      </w:r>
      <w:r w:rsidRPr="00C76E08">
        <w:rPr>
          <w:iCs/>
          <w:sz w:val="20"/>
          <w:szCs w:val="20"/>
        </w:rPr>
        <w:t>will</w:t>
      </w:r>
      <w:r w:rsidRPr="00FD22CD">
        <w:rPr>
          <w:iCs/>
          <w:sz w:val="20"/>
          <w:szCs w:val="20"/>
        </w:rPr>
        <w:t xml:space="preserve"> be developed to measure and monitor the implementation of this </w:t>
      </w:r>
      <w:r w:rsidR="00C76E08">
        <w:rPr>
          <w:iCs/>
          <w:sz w:val="20"/>
          <w:szCs w:val="20"/>
        </w:rPr>
        <w:t>s</w:t>
      </w:r>
      <w:r w:rsidRPr="00FD22CD">
        <w:rPr>
          <w:iCs/>
          <w:sz w:val="20"/>
          <w:szCs w:val="20"/>
        </w:rPr>
        <w:t xml:space="preserve">trategy through the identification and development of indicators to measure progress towards achieving the </w:t>
      </w:r>
      <w:r w:rsidR="00C76E08">
        <w:rPr>
          <w:iCs/>
          <w:sz w:val="20"/>
          <w:szCs w:val="20"/>
        </w:rPr>
        <w:t>s</w:t>
      </w:r>
      <w:r w:rsidRPr="00FD22CD">
        <w:rPr>
          <w:iCs/>
          <w:sz w:val="20"/>
          <w:szCs w:val="20"/>
        </w:rPr>
        <w:t xml:space="preserve">trategy’s targets. The </w:t>
      </w:r>
      <w:r w:rsidR="00A41F26">
        <w:rPr>
          <w:iCs/>
          <w:sz w:val="20"/>
          <w:szCs w:val="20"/>
        </w:rPr>
        <w:t>assessment</w:t>
      </w:r>
      <w:r w:rsidRPr="00FD22CD">
        <w:rPr>
          <w:iCs/>
          <w:sz w:val="20"/>
          <w:szCs w:val="20"/>
        </w:rPr>
        <w:t xml:space="preserve"> of existing and </w:t>
      </w:r>
      <w:r w:rsidR="00FE3930">
        <w:rPr>
          <w:iCs/>
          <w:sz w:val="20"/>
          <w:szCs w:val="20"/>
        </w:rPr>
        <w:t xml:space="preserve">the </w:t>
      </w:r>
      <w:r w:rsidRPr="00FD22CD">
        <w:rPr>
          <w:iCs/>
          <w:sz w:val="20"/>
          <w:szCs w:val="20"/>
        </w:rPr>
        <w:t>development of new</w:t>
      </w:r>
      <w:r>
        <w:rPr>
          <w:iCs/>
          <w:sz w:val="20"/>
          <w:szCs w:val="20"/>
        </w:rPr>
        <w:t xml:space="preserve"> BBV and STI </w:t>
      </w:r>
      <w:r w:rsidRPr="00FD22CD">
        <w:rPr>
          <w:iCs/>
          <w:sz w:val="20"/>
          <w:szCs w:val="20"/>
        </w:rPr>
        <w:t xml:space="preserve">activities and programs will aim to maximise their </w:t>
      </w:r>
      <w:r w:rsidR="00A41F26">
        <w:rPr>
          <w:iCs/>
          <w:sz w:val="20"/>
          <w:szCs w:val="20"/>
        </w:rPr>
        <w:t>contribution to</w:t>
      </w:r>
      <w:r w:rsidRPr="00FD22CD">
        <w:rPr>
          <w:iCs/>
          <w:sz w:val="20"/>
          <w:szCs w:val="20"/>
        </w:rPr>
        <w:t xml:space="preserve"> the priority areas for action set out in this </w:t>
      </w:r>
      <w:r w:rsidR="0031365B">
        <w:rPr>
          <w:iCs/>
          <w:sz w:val="20"/>
          <w:szCs w:val="20"/>
        </w:rPr>
        <w:t>s</w:t>
      </w:r>
      <w:r w:rsidRPr="00FD22CD">
        <w:rPr>
          <w:iCs/>
          <w:sz w:val="20"/>
          <w:szCs w:val="20"/>
        </w:rPr>
        <w:t xml:space="preserve">trategy. </w:t>
      </w:r>
    </w:p>
    <w:p w14:paraId="46D9F1CB" w14:textId="77777777" w:rsidR="0059548C" w:rsidRPr="00726DE6" w:rsidRDefault="0059548C" w:rsidP="0059548C">
      <w:pPr>
        <w:spacing w:before="120"/>
        <w:rPr>
          <w:i/>
          <w:sz w:val="20"/>
          <w:szCs w:val="20"/>
        </w:rPr>
      </w:pPr>
      <w:r w:rsidRPr="00726DE6">
        <w:rPr>
          <w:i/>
          <w:sz w:val="20"/>
          <w:szCs w:val="20"/>
        </w:rPr>
        <w:t>Cross-border responses</w:t>
      </w:r>
    </w:p>
    <w:p w14:paraId="321DC147" w14:textId="37CED58E" w:rsidR="0059548C" w:rsidRPr="004E3784" w:rsidRDefault="0059548C" w:rsidP="0059548C">
      <w:pPr>
        <w:spacing w:before="120"/>
        <w:rPr>
          <w:sz w:val="20"/>
          <w:szCs w:val="20"/>
        </w:rPr>
      </w:pPr>
      <w:r>
        <w:rPr>
          <w:sz w:val="20"/>
          <w:szCs w:val="20"/>
        </w:rPr>
        <w:t>Close surveillance of HIV,</w:t>
      </w:r>
      <w:r w:rsidRPr="004E3784">
        <w:rPr>
          <w:sz w:val="20"/>
          <w:szCs w:val="20"/>
        </w:rPr>
        <w:t xml:space="preserve"> </w:t>
      </w:r>
      <w:r w:rsidR="00D62752">
        <w:rPr>
          <w:sz w:val="20"/>
          <w:szCs w:val="20"/>
        </w:rPr>
        <w:t>hepatitis B and hepatitis C</w:t>
      </w:r>
      <w:r>
        <w:rPr>
          <w:sz w:val="20"/>
          <w:szCs w:val="20"/>
        </w:rPr>
        <w:t xml:space="preserve"> and STI</w:t>
      </w:r>
      <w:r w:rsidRPr="004E3784">
        <w:rPr>
          <w:sz w:val="20"/>
          <w:szCs w:val="20"/>
        </w:rPr>
        <w:t xml:space="preserve"> in cross</w:t>
      </w:r>
      <w:r w:rsidR="00FE3930">
        <w:rPr>
          <w:sz w:val="20"/>
          <w:szCs w:val="20"/>
        </w:rPr>
        <w:t>-</w:t>
      </w:r>
      <w:r w:rsidRPr="004E3784">
        <w:rPr>
          <w:sz w:val="20"/>
          <w:szCs w:val="20"/>
        </w:rPr>
        <w:t>border regions is particularly important to identify and respond to new cases and prevent further transmission.</w:t>
      </w:r>
      <w:r>
        <w:rPr>
          <w:sz w:val="20"/>
          <w:szCs w:val="20"/>
        </w:rPr>
        <w:t xml:space="preserve"> </w:t>
      </w:r>
      <w:r w:rsidRPr="004E3784">
        <w:rPr>
          <w:sz w:val="20"/>
          <w:szCs w:val="20"/>
        </w:rPr>
        <w:t xml:space="preserve">Efforts to address the risk of </w:t>
      </w:r>
      <w:r>
        <w:rPr>
          <w:sz w:val="20"/>
          <w:szCs w:val="20"/>
        </w:rPr>
        <w:t xml:space="preserve">BBV and STI </w:t>
      </w:r>
      <w:r w:rsidRPr="004E3784">
        <w:rPr>
          <w:sz w:val="20"/>
          <w:szCs w:val="20"/>
        </w:rPr>
        <w:t>transmission in cross</w:t>
      </w:r>
      <w:r w:rsidR="00FE3930">
        <w:rPr>
          <w:sz w:val="20"/>
          <w:szCs w:val="20"/>
        </w:rPr>
        <w:t>-</w:t>
      </w:r>
      <w:r w:rsidRPr="004E3784">
        <w:rPr>
          <w:sz w:val="20"/>
          <w:szCs w:val="20"/>
        </w:rPr>
        <w:t>border regions</w:t>
      </w:r>
      <w:r>
        <w:rPr>
          <w:sz w:val="20"/>
          <w:szCs w:val="20"/>
        </w:rPr>
        <w:t xml:space="preserve"> is guided by a joint steering committee</w:t>
      </w:r>
      <w:r w:rsidR="0031365B">
        <w:rPr>
          <w:sz w:val="20"/>
          <w:szCs w:val="20"/>
        </w:rPr>
        <w:t>—the Torres Strait Cross Border Health Issues Committee (HIC), which was</w:t>
      </w:r>
      <w:r>
        <w:rPr>
          <w:sz w:val="20"/>
          <w:szCs w:val="20"/>
        </w:rPr>
        <w:t xml:space="preserve"> formed to consider health issues arising in the region</w:t>
      </w:r>
      <w:r w:rsidR="0031365B">
        <w:rPr>
          <w:sz w:val="20"/>
          <w:szCs w:val="20"/>
        </w:rPr>
        <w:t xml:space="preserve">. </w:t>
      </w:r>
      <w:r>
        <w:rPr>
          <w:sz w:val="20"/>
          <w:szCs w:val="20"/>
        </w:rPr>
        <w:t xml:space="preserve">In addition, the </w:t>
      </w:r>
      <w:r w:rsidR="00FE3930">
        <w:rPr>
          <w:sz w:val="20"/>
          <w:szCs w:val="20"/>
        </w:rPr>
        <w:t xml:space="preserve">Australian </w:t>
      </w:r>
      <w:r>
        <w:rPr>
          <w:sz w:val="20"/>
          <w:szCs w:val="20"/>
        </w:rPr>
        <w:t>Government provides specific funding to Queensland Health towards the additional costs incurred by Queensland to provide health services in this region.</w:t>
      </w:r>
    </w:p>
    <w:p w14:paraId="3A8C940A" w14:textId="77777777" w:rsidR="00D85D1F" w:rsidRPr="004E3784" w:rsidRDefault="00D85D1F" w:rsidP="00D85D1F">
      <w:pPr>
        <w:pStyle w:val="Bullet"/>
        <w:spacing w:before="120" w:after="0"/>
        <w:rPr>
          <w:rFonts w:eastAsia="Calibri"/>
          <w:b/>
          <w:bCs/>
          <w:color w:val="00264D"/>
          <w:sz w:val="20"/>
          <w:szCs w:val="20"/>
          <w:lang w:eastAsia="en-US"/>
        </w:rPr>
      </w:pPr>
      <w:r w:rsidRPr="004E3784">
        <w:rPr>
          <w:rFonts w:eastAsia="Calibri"/>
          <w:b/>
          <w:bCs/>
          <w:color w:val="00264D"/>
          <w:sz w:val="20"/>
          <w:szCs w:val="20"/>
          <w:lang w:eastAsia="en-US"/>
        </w:rPr>
        <w:t>Key areas for action</w:t>
      </w:r>
    </w:p>
    <w:p w14:paraId="3E1815E8" w14:textId="7B0AB226" w:rsidR="00D85D1F" w:rsidRDefault="00D85D1F" w:rsidP="00B04844">
      <w:pPr>
        <w:pStyle w:val="Bullet"/>
        <w:numPr>
          <w:ilvl w:val="0"/>
          <w:numId w:val="8"/>
        </w:numPr>
        <w:spacing w:before="120" w:after="0"/>
        <w:rPr>
          <w:sz w:val="20"/>
          <w:szCs w:val="20"/>
        </w:rPr>
      </w:pPr>
      <w:r>
        <w:rPr>
          <w:sz w:val="20"/>
          <w:szCs w:val="20"/>
        </w:rPr>
        <w:t xml:space="preserve">Identify </w:t>
      </w:r>
      <w:r w:rsidR="00B60E4B">
        <w:rPr>
          <w:sz w:val="20"/>
          <w:szCs w:val="20"/>
        </w:rPr>
        <w:t xml:space="preserve">and prioritise </w:t>
      </w:r>
      <w:r w:rsidR="00DB6624">
        <w:rPr>
          <w:sz w:val="20"/>
          <w:szCs w:val="20"/>
        </w:rPr>
        <w:t>strategies t</w:t>
      </w:r>
      <w:r w:rsidR="00B60E4B">
        <w:rPr>
          <w:sz w:val="20"/>
          <w:szCs w:val="20"/>
        </w:rPr>
        <w:t>hat</w:t>
      </w:r>
      <w:r w:rsidR="00DB6624">
        <w:rPr>
          <w:sz w:val="20"/>
          <w:szCs w:val="20"/>
        </w:rPr>
        <w:t xml:space="preserve"> address </w:t>
      </w:r>
      <w:r>
        <w:rPr>
          <w:sz w:val="20"/>
          <w:szCs w:val="20"/>
        </w:rPr>
        <w:t>gaps in data</w:t>
      </w:r>
      <w:r w:rsidR="006E1163">
        <w:rPr>
          <w:sz w:val="20"/>
          <w:szCs w:val="20"/>
        </w:rPr>
        <w:t xml:space="preserve"> to support the implementation </w:t>
      </w:r>
      <w:r>
        <w:rPr>
          <w:sz w:val="20"/>
          <w:szCs w:val="20"/>
        </w:rPr>
        <w:t xml:space="preserve">and monitoring of this </w:t>
      </w:r>
      <w:r w:rsidR="0031365B">
        <w:rPr>
          <w:sz w:val="20"/>
          <w:szCs w:val="20"/>
        </w:rPr>
        <w:t>s</w:t>
      </w:r>
      <w:r>
        <w:rPr>
          <w:sz w:val="20"/>
          <w:szCs w:val="20"/>
        </w:rPr>
        <w:t>trategy</w:t>
      </w:r>
      <w:r w:rsidR="00781D91">
        <w:rPr>
          <w:sz w:val="20"/>
          <w:szCs w:val="20"/>
        </w:rPr>
        <w:t xml:space="preserve">. </w:t>
      </w:r>
      <w:r w:rsidR="002A082A" w:rsidRPr="00B50883">
        <w:rPr>
          <w:sz w:val="20"/>
          <w:szCs w:val="20"/>
        </w:rPr>
        <w:t>Identified a</w:t>
      </w:r>
      <w:r w:rsidR="00781D91" w:rsidRPr="00B50883">
        <w:rPr>
          <w:sz w:val="20"/>
          <w:szCs w:val="20"/>
        </w:rPr>
        <w:t>reas include</w:t>
      </w:r>
      <w:r w:rsidR="00304C34" w:rsidRPr="00B50883">
        <w:rPr>
          <w:sz w:val="20"/>
          <w:szCs w:val="20"/>
        </w:rPr>
        <w:t xml:space="preserve"> </w:t>
      </w:r>
      <w:r w:rsidR="00527FC2" w:rsidRPr="00B50883">
        <w:rPr>
          <w:sz w:val="20"/>
          <w:szCs w:val="20"/>
        </w:rPr>
        <w:t xml:space="preserve">the development of a </w:t>
      </w:r>
      <w:r w:rsidR="00304C34" w:rsidRPr="00B50883">
        <w:rPr>
          <w:sz w:val="20"/>
          <w:szCs w:val="20"/>
        </w:rPr>
        <w:t>hepatitis C prevalence estimate</w:t>
      </w:r>
      <w:r w:rsidR="00781D91" w:rsidRPr="00B50883">
        <w:rPr>
          <w:sz w:val="20"/>
          <w:szCs w:val="20"/>
        </w:rPr>
        <w:t>;</w:t>
      </w:r>
      <w:r w:rsidR="00304C34" w:rsidRPr="00B50883">
        <w:rPr>
          <w:sz w:val="20"/>
          <w:szCs w:val="20"/>
        </w:rPr>
        <w:t xml:space="preserve"> </w:t>
      </w:r>
      <w:r w:rsidR="00527FC2" w:rsidRPr="00B50883">
        <w:rPr>
          <w:sz w:val="20"/>
          <w:szCs w:val="20"/>
        </w:rPr>
        <w:t xml:space="preserve">improved </w:t>
      </w:r>
      <w:r w:rsidR="006E1163" w:rsidRPr="00B50883">
        <w:rPr>
          <w:sz w:val="20"/>
          <w:szCs w:val="20"/>
        </w:rPr>
        <w:t>data on risk behaviours, healthcare access, testing, treatment and care cascades</w:t>
      </w:r>
      <w:r w:rsidR="00781D91" w:rsidRPr="00B50883">
        <w:rPr>
          <w:sz w:val="20"/>
          <w:szCs w:val="20"/>
        </w:rPr>
        <w:t xml:space="preserve">; a </w:t>
      </w:r>
      <w:r w:rsidR="00C72280" w:rsidRPr="00B50883">
        <w:rPr>
          <w:sz w:val="20"/>
          <w:szCs w:val="20"/>
        </w:rPr>
        <w:t xml:space="preserve">valid </w:t>
      </w:r>
      <w:r w:rsidR="00781D91" w:rsidRPr="00B50883">
        <w:rPr>
          <w:sz w:val="20"/>
          <w:szCs w:val="20"/>
        </w:rPr>
        <w:t xml:space="preserve">quality of life </w:t>
      </w:r>
      <w:r w:rsidR="00C72280" w:rsidRPr="00B50883">
        <w:rPr>
          <w:sz w:val="20"/>
          <w:szCs w:val="20"/>
        </w:rPr>
        <w:t>tool</w:t>
      </w:r>
      <w:r w:rsidR="00781D91" w:rsidRPr="00B50883">
        <w:rPr>
          <w:sz w:val="20"/>
          <w:szCs w:val="20"/>
        </w:rPr>
        <w:t xml:space="preserve"> to </w:t>
      </w:r>
      <w:r w:rsidR="00C72280" w:rsidRPr="00B50883">
        <w:rPr>
          <w:sz w:val="20"/>
          <w:szCs w:val="20"/>
        </w:rPr>
        <w:t>measure</w:t>
      </w:r>
      <w:r w:rsidR="00781D91" w:rsidRPr="00B50883">
        <w:rPr>
          <w:sz w:val="20"/>
          <w:szCs w:val="20"/>
        </w:rPr>
        <w:t xml:space="preserve"> the impact of BBV and STI</w:t>
      </w:r>
      <w:r w:rsidR="00BE63E8" w:rsidRPr="00B50883">
        <w:rPr>
          <w:sz w:val="20"/>
          <w:szCs w:val="20"/>
        </w:rPr>
        <w:t>; and appropriate stigma and discrimination indicators</w:t>
      </w:r>
    </w:p>
    <w:p w14:paraId="3D0D29B1" w14:textId="77777777" w:rsidR="00AD6D89" w:rsidRDefault="00D85D1F" w:rsidP="00EB14B9">
      <w:pPr>
        <w:pStyle w:val="Bullet"/>
        <w:numPr>
          <w:ilvl w:val="0"/>
          <w:numId w:val="8"/>
        </w:numPr>
        <w:spacing w:before="120" w:after="0"/>
        <w:rPr>
          <w:sz w:val="20"/>
          <w:szCs w:val="20"/>
        </w:rPr>
      </w:pPr>
      <w:r w:rsidRPr="00AD6D89">
        <w:rPr>
          <w:sz w:val="20"/>
          <w:szCs w:val="20"/>
        </w:rPr>
        <w:t xml:space="preserve">Improve </w:t>
      </w:r>
      <w:r w:rsidR="00075261" w:rsidRPr="00AD6D89">
        <w:rPr>
          <w:sz w:val="20"/>
          <w:szCs w:val="20"/>
        </w:rPr>
        <w:t xml:space="preserve">recording and </w:t>
      </w:r>
      <w:r w:rsidRPr="00AD6D89">
        <w:rPr>
          <w:iCs/>
          <w:sz w:val="20"/>
          <w:szCs w:val="20"/>
        </w:rPr>
        <w:t>reporting of Aboriginal and Torres Strait Islander status</w:t>
      </w:r>
      <w:r w:rsidRPr="00AD6D89">
        <w:rPr>
          <w:sz w:val="20"/>
          <w:szCs w:val="20"/>
        </w:rPr>
        <w:t xml:space="preserve"> across all relevant data and administrative collections</w:t>
      </w:r>
      <w:r w:rsidR="00DB6624" w:rsidRPr="00AD6D89">
        <w:rPr>
          <w:sz w:val="20"/>
          <w:szCs w:val="20"/>
        </w:rPr>
        <w:t>, including pathology request forms</w:t>
      </w:r>
      <w:r w:rsidR="007D2EF6">
        <w:rPr>
          <w:sz w:val="20"/>
          <w:szCs w:val="20"/>
        </w:rPr>
        <w:t>, laboratory results</w:t>
      </w:r>
      <w:r w:rsidR="00DB6624" w:rsidRPr="00AD6D89">
        <w:rPr>
          <w:sz w:val="20"/>
          <w:szCs w:val="20"/>
        </w:rPr>
        <w:t xml:space="preserve"> and </w:t>
      </w:r>
      <w:r w:rsidR="007D2EF6">
        <w:rPr>
          <w:sz w:val="20"/>
          <w:szCs w:val="20"/>
        </w:rPr>
        <w:t xml:space="preserve">disease </w:t>
      </w:r>
      <w:r w:rsidR="00DB6624" w:rsidRPr="00AD6D89">
        <w:rPr>
          <w:sz w:val="20"/>
          <w:szCs w:val="20"/>
        </w:rPr>
        <w:t>notifications</w:t>
      </w:r>
    </w:p>
    <w:p w14:paraId="3D053EEC" w14:textId="77777777" w:rsidR="00AD6D89" w:rsidRDefault="00AD6D89" w:rsidP="00AD6D89">
      <w:pPr>
        <w:pStyle w:val="Bullet"/>
        <w:numPr>
          <w:ilvl w:val="0"/>
          <w:numId w:val="8"/>
        </w:numPr>
        <w:spacing w:before="120" w:after="0"/>
        <w:rPr>
          <w:sz w:val="20"/>
          <w:szCs w:val="20"/>
        </w:rPr>
      </w:pPr>
      <w:r>
        <w:rPr>
          <w:sz w:val="20"/>
          <w:szCs w:val="20"/>
        </w:rPr>
        <w:t>Identify</w:t>
      </w:r>
      <w:r w:rsidRPr="004E3784">
        <w:rPr>
          <w:sz w:val="20"/>
          <w:szCs w:val="20"/>
        </w:rPr>
        <w:t xml:space="preserve"> </w:t>
      </w:r>
      <w:r>
        <w:rPr>
          <w:sz w:val="20"/>
          <w:szCs w:val="20"/>
        </w:rPr>
        <w:t xml:space="preserve">opportunities and </w:t>
      </w:r>
      <w:r w:rsidRPr="004E3784">
        <w:rPr>
          <w:sz w:val="20"/>
          <w:szCs w:val="20"/>
        </w:rPr>
        <w:t>mechanisms to partner with community organisations, laboratories and service providers in data collection and surveillance activities</w:t>
      </w:r>
    </w:p>
    <w:p w14:paraId="0D4BB27D" w14:textId="64615D0E" w:rsidR="00AD6D89" w:rsidRDefault="000E7761" w:rsidP="00AD6D89">
      <w:pPr>
        <w:pStyle w:val="Bullet"/>
        <w:numPr>
          <w:ilvl w:val="0"/>
          <w:numId w:val="8"/>
        </w:numPr>
        <w:spacing w:before="120" w:after="0"/>
        <w:rPr>
          <w:sz w:val="20"/>
          <w:szCs w:val="20"/>
        </w:rPr>
      </w:pPr>
      <w:r>
        <w:rPr>
          <w:sz w:val="20"/>
          <w:szCs w:val="20"/>
        </w:rPr>
        <w:t>Collaboratively i</w:t>
      </w:r>
      <w:r w:rsidR="00AD6D89" w:rsidRPr="00AD6D89">
        <w:rPr>
          <w:sz w:val="20"/>
          <w:szCs w:val="20"/>
        </w:rPr>
        <w:t xml:space="preserve">dentify and address research gaps, with reference to the priority actions of this </w:t>
      </w:r>
      <w:r w:rsidR="0031365B">
        <w:rPr>
          <w:sz w:val="20"/>
          <w:szCs w:val="20"/>
        </w:rPr>
        <w:t>s</w:t>
      </w:r>
      <w:r w:rsidR="00AD6D89" w:rsidRPr="00AD6D89">
        <w:rPr>
          <w:sz w:val="20"/>
          <w:szCs w:val="20"/>
        </w:rPr>
        <w:t xml:space="preserve">trategy and specific community priorities, to support </w:t>
      </w:r>
      <w:r w:rsidR="00B26612">
        <w:rPr>
          <w:sz w:val="20"/>
          <w:szCs w:val="20"/>
        </w:rPr>
        <w:t>a strong</w:t>
      </w:r>
      <w:r w:rsidR="00AD6D89" w:rsidRPr="00AD6D89">
        <w:rPr>
          <w:sz w:val="20"/>
          <w:szCs w:val="20"/>
        </w:rPr>
        <w:t xml:space="preserve"> evidence-based response </w:t>
      </w:r>
    </w:p>
    <w:p w14:paraId="2C0B1537" w14:textId="77777777" w:rsidR="00B26612" w:rsidRPr="004E3784" w:rsidRDefault="00B26612" w:rsidP="00B26612">
      <w:pPr>
        <w:pStyle w:val="Bullet"/>
        <w:numPr>
          <w:ilvl w:val="0"/>
          <w:numId w:val="8"/>
        </w:numPr>
        <w:spacing w:before="120" w:after="0"/>
        <w:rPr>
          <w:sz w:val="20"/>
          <w:szCs w:val="20"/>
        </w:rPr>
      </w:pPr>
      <w:r w:rsidRPr="004E3784">
        <w:rPr>
          <w:sz w:val="20"/>
          <w:szCs w:val="20"/>
        </w:rPr>
        <w:t>Strengthen research translation to guide interventions at the local and national level</w:t>
      </w:r>
    </w:p>
    <w:p w14:paraId="4039B479" w14:textId="7CA96982" w:rsidR="00D85D1F" w:rsidRPr="00167553" w:rsidRDefault="00D85D1F" w:rsidP="00B04844">
      <w:pPr>
        <w:pStyle w:val="Bullet"/>
        <w:numPr>
          <w:ilvl w:val="0"/>
          <w:numId w:val="8"/>
        </w:numPr>
        <w:spacing w:before="120" w:after="0"/>
        <w:rPr>
          <w:sz w:val="20"/>
          <w:szCs w:val="20"/>
        </w:rPr>
      </w:pPr>
      <w:r w:rsidRPr="009B0A9F">
        <w:rPr>
          <w:sz w:val="20"/>
          <w:szCs w:val="20"/>
        </w:rPr>
        <w:t xml:space="preserve">Support research </w:t>
      </w:r>
      <w:r w:rsidR="008D23CD">
        <w:rPr>
          <w:sz w:val="20"/>
          <w:szCs w:val="20"/>
        </w:rPr>
        <w:t xml:space="preserve">on </w:t>
      </w:r>
      <w:r w:rsidRPr="009B0A9F">
        <w:rPr>
          <w:sz w:val="20"/>
          <w:szCs w:val="20"/>
        </w:rPr>
        <w:t xml:space="preserve">the public health implications of the distinct strain of hepatitis B that affects </w:t>
      </w:r>
      <w:r w:rsidR="00D62752">
        <w:rPr>
          <w:sz w:val="20"/>
          <w:szCs w:val="20"/>
        </w:rPr>
        <w:t xml:space="preserve">some </w:t>
      </w:r>
      <w:r w:rsidRPr="009B0A9F">
        <w:rPr>
          <w:sz w:val="20"/>
          <w:szCs w:val="20"/>
        </w:rPr>
        <w:t xml:space="preserve">Aboriginal and Torres Strait Islander </w:t>
      </w:r>
      <w:r w:rsidR="00AC5201">
        <w:rPr>
          <w:sz w:val="20"/>
          <w:szCs w:val="20"/>
        </w:rPr>
        <w:t>communities</w:t>
      </w:r>
      <w:r w:rsidR="008D23CD">
        <w:rPr>
          <w:sz w:val="20"/>
          <w:szCs w:val="20"/>
        </w:rPr>
        <w:t>,</w:t>
      </w:r>
      <w:r>
        <w:rPr>
          <w:sz w:val="20"/>
          <w:szCs w:val="20"/>
        </w:rPr>
        <w:t xml:space="preserve"> and </w:t>
      </w:r>
      <w:r w:rsidR="008D23CD">
        <w:rPr>
          <w:sz w:val="20"/>
          <w:szCs w:val="20"/>
        </w:rPr>
        <w:t xml:space="preserve">on </w:t>
      </w:r>
      <w:r>
        <w:rPr>
          <w:sz w:val="20"/>
          <w:szCs w:val="20"/>
        </w:rPr>
        <w:t xml:space="preserve">the epidemiology </w:t>
      </w:r>
      <w:r w:rsidR="00DF5160">
        <w:rPr>
          <w:sz w:val="20"/>
          <w:szCs w:val="20"/>
        </w:rPr>
        <w:t xml:space="preserve">and public health implications </w:t>
      </w:r>
      <w:r>
        <w:rPr>
          <w:sz w:val="20"/>
          <w:szCs w:val="20"/>
        </w:rPr>
        <w:t>of</w:t>
      </w:r>
      <w:r w:rsidRPr="009B0A9F">
        <w:rPr>
          <w:iCs/>
          <w:sz w:val="20"/>
          <w:szCs w:val="20"/>
        </w:rPr>
        <w:t xml:space="preserve"> HTLV-1 in remote communities</w:t>
      </w:r>
      <w:r>
        <w:rPr>
          <w:iCs/>
          <w:sz w:val="20"/>
          <w:szCs w:val="20"/>
        </w:rPr>
        <w:t xml:space="preserve">, in order </w:t>
      </w:r>
      <w:r w:rsidRPr="009B0A9F">
        <w:rPr>
          <w:iCs/>
          <w:sz w:val="20"/>
          <w:szCs w:val="20"/>
        </w:rPr>
        <w:t xml:space="preserve">to </w:t>
      </w:r>
      <w:r>
        <w:rPr>
          <w:iCs/>
          <w:sz w:val="20"/>
          <w:szCs w:val="20"/>
        </w:rPr>
        <w:t xml:space="preserve">better </w:t>
      </w:r>
      <w:r w:rsidRPr="009B0A9F">
        <w:rPr>
          <w:iCs/>
          <w:sz w:val="20"/>
          <w:szCs w:val="20"/>
        </w:rPr>
        <w:t xml:space="preserve">inform </w:t>
      </w:r>
      <w:r>
        <w:rPr>
          <w:iCs/>
          <w:sz w:val="20"/>
          <w:szCs w:val="20"/>
        </w:rPr>
        <w:t>responses</w:t>
      </w:r>
    </w:p>
    <w:p w14:paraId="00CD6977" w14:textId="77777777" w:rsidR="00167553" w:rsidRDefault="00167553" w:rsidP="00167553">
      <w:pPr>
        <w:pStyle w:val="Bullet"/>
        <w:numPr>
          <w:ilvl w:val="0"/>
          <w:numId w:val="8"/>
        </w:numPr>
        <w:spacing w:before="120" w:after="0"/>
        <w:rPr>
          <w:sz w:val="20"/>
          <w:szCs w:val="20"/>
        </w:rPr>
      </w:pPr>
      <w:r w:rsidRPr="004E3784">
        <w:rPr>
          <w:sz w:val="20"/>
          <w:szCs w:val="20"/>
        </w:rPr>
        <w:t xml:space="preserve">Evaluate health promotion, prevention, testing and treatment programs and activities </w:t>
      </w:r>
      <w:r w:rsidR="007D2EF6">
        <w:rPr>
          <w:sz w:val="20"/>
          <w:szCs w:val="20"/>
        </w:rPr>
        <w:t xml:space="preserve">for Aboriginal and Torres Strait Islander people and communities </w:t>
      </w:r>
      <w:r>
        <w:rPr>
          <w:sz w:val="20"/>
          <w:szCs w:val="20"/>
        </w:rPr>
        <w:t xml:space="preserve">and support continuation </w:t>
      </w:r>
      <w:r w:rsidR="007D2EF6">
        <w:rPr>
          <w:sz w:val="20"/>
          <w:szCs w:val="20"/>
        </w:rPr>
        <w:t xml:space="preserve">of </w:t>
      </w:r>
      <w:r>
        <w:rPr>
          <w:sz w:val="20"/>
          <w:szCs w:val="20"/>
        </w:rPr>
        <w:t xml:space="preserve">those found to be </w:t>
      </w:r>
      <w:r w:rsidRPr="004E3784">
        <w:rPr>
          <w:sz w:val="20"/>
          <w:szCs w:val="20"/>
        </w:rPr>
        <w:t>effective</w:t>
      </w:r>
    </w:p>
    <w:p w14:paraId="6353B619" w14:textId="133BEABF" w:rsidR="0059548C" w:rsidRDefault="0059548C" w:rsidP="00B04844">
      <w:pPr>
        <w:pStyle w:val="Bullet"/>
        <w:numPr>
          <w:ilvl w:val="0"/>
          <w:numId w:val="8"/>
        </w:numPr>
        <w:spacing w:before="120" w:after="0"/>
        <w:rPr>
          <w:sz w:val="20"/>
          <w:szCs w:val="20"/>
        </w:rPr>
      </w:pPr>
      <w:r w:rsidRPr="004E3784">
        <w:rPr>
          <w:sz w:val="20"/>
          <w:szCs w:val="20"/>
        </w:rPr>
        <w:t xml:space="preserve">Ensure </w:t>
      </w:r>
      <w:r>
        <w:rPr>
          <w:sz w:val="20"/>
          <w:szCs w:val="20"/>
        </w:rPr>
        <w:t>ongoing</w:t>
      </w:r>
      <w:r w:rsidRPr="004E3784">
        <w:rPr>
          <w:sz w:val="20"/>
          <w:szCs w:val="20"/>
        </w:rPr>
        <w:t xml:space="preserve"> surveillance of HIV</w:t>
      </w:r>
      <w:r>
        <w:rPr>
          <w:sz w:val="20"/>
          <w:szCs w:val="20"/>
        </w:rPr>
        <w:t>,</w:t>
      </w:r>
      <w:r w:rsidRPr="004E3784">
        <w:rPr>
          <w:sz w:val="20"/>
          <w:szCs w:val="20"/>
        </w:rPr>
        <w:t xml:space="preserve"> </w:t>
      </w:r>
      <w:r w:rsidR="00AD734A">
        <w:rPr>
          <w:sz w:val="20"/>
          <w:szCs w:val="20"/>
        </w:rPr>
        <w:t>hepatitis B</w:t>
      </w:r>
      <w:r w:rsidR="00167553">
        <w:rPr>
          <w:sz w:val="20"/>
          <w:szCs w:val="20"/>
        </w:rPr>
        <w:t xml:space="preserve">, </w:t>
      </w:r>
      <w:r w:rsidR="00AD734A">
        <w:rPr>
          <w:sz w:val="20"/>
          <w:szCs w:val="20"/>
        </w:rPr>
        <w:t xml:space="preserve">hepatitis C </w:t>
      </w:r>
      <w:r>
        <w:rPr>
          <w:sz w:val="20"/>
          <w:szCs w:val="20"/>
        </w:rPr>
        <w:t xml:space="preserve">and </w:t>
      </w:r>
      <w:r w:rsidRPr="00DF0328">
        <w:rPr>
          <w:sz w:val="20"/>
          <w:szCs w:val="20"/>
        </w:rPr>
        <w:t>STI</w:t>
      </w:r>
      <w:r w:rsidR="00DF0328" w:rsidRPr="00DF0328">
        <w:rPr>
          <w:sz w:val="20"/>
          <w:szCs w:val="20"/>
        </w:rPr>
        <w:t>,</w:t>
      </w:r>
      <w:r w:rsidRPr="00DF0328">
        <w:rPr>
          <w:sz w:val="20"/>
          <w:szCs w:val="20"/>
        </w:rPr>
        <w:t xml:space="preserve"> </w:t>
      </w:r>
      <w:r w:rsidR="00DF0328" w:rsidRPr="00DF0328">
        <w:rPr>
          <w:sz w:val="20"/>
          <w:szCs w:val="20"/>
        </w:rPr>
        <w:t xml:space="preserve">and responses to new notifications, </w:t>
      </w:r>
      <w:r w:rsidRPr="00DF0328">
        <w:rPr>
          <w:sz w:val="20"/>
          <w:szCs w:val="20"/>
        </w:rPr>
        <w:t>in the cross</w:t>
      </w:r>
      <w:r w:rsidR="008D23CD" w:rsidRPr="00DF0328">
        <w:rPr>
          <w:sz w:val="20"/>
          <w:szCs w:val="20"/>
        </w:rPr>
        <w:t>-</w:t>
      </w:r>
      <w:r w:rsidRPr="00DF0328">
        <w:rPr>
          <w:sz w:val="20"/>
          <w:szCs w:val="20"/>
        </w:rPr>
        <w:t>border region of Australia and Papua New Guinea</w:t>
      </w:r>
      <w:r w:rsidRPr="004E3784">
        <w:rPr>
          <w:sz w:val="20"/>
          <w:szCs w:val="20"/>
        </w:rPr>
        <w:t xml:space="preserve"> </w:t>
      </w:r>
    </w:p>
    <w:p w14:paraId="1D7DBBF2" w14:textId="77777777" w:rsidR="000E7761" w:rsidRPr="00202387" w:rsidRDefault="000E7761" w:rsidP="000E7761">
      <w:pPr>
        <w:pStyle w:val="Bullet"/>
        <w:numPr>
          <w:ilvl w:val="0"/>
          <w:numId w:val="8"/>
        </w:numPr>
        <w:spacing w:before="120" w:after="0"/>
        <w:rPr>
          <w:iCs/>
          <w:sz w:val="20"/>
          <w:szCs w:val="20"/>
        </w:rPr>
      </w:pPr>
      <w:r w:rsidRPr="00202387">
        <w:rPr>
          <w:sz w:val="20"/>
          <w:szCs w:val="20"/>
        </w:rPr>
        <w:t xml:space="preserve">Explore opportunities for assessing the impact of legislation and regulation on </w:t>
      </w:r>
      <w:r w:rsidR="00647DB5">
        <w:rPr>
          <w:sz w:val="20"/>
          <w:szCs w:val="20"/>
        </w:rPr>
        <w:t>access</w:t>
      </w:r>
      <w:r w:rsidR="00192C9D">
        <w:rPr>
          <w:sz w:val="20"/>
          <w:szCs w:val="20"/>
        </w:rPr>
        <w:t xml:space="preserve"> to</w:t>
      </w:r>
      <w:r w:rsidRPr="00202387">
        <w:rPr>
          <w:sz w:val="20"/>
          <w:szCs w:val="20"/>
        </w:rPr>
        <w:t xml:space="preserve"> health </w:t>
      </w:r>
      <w:r w:rsidR="00647DB5">
        <w:rPr>
          <w:sz w:val="20"/>
          <w:szCs w:val="20"/>
        </w:rPr>
        <w:t>services</w:t>
      </w:r>
    </w:p>
    <w:p w14:paraId="7B9FF034" w14:textId="77777777" w:rsidR="00383F3B" w:rsidRDefault="00383F3B" w:rsidP="00383F3B">
      <w:pPr>
        <w:spacing w:before="240"/>
        <w:rPr>
          <w:rFonts w:ascii="Segoe UI Semibold" w:hAnsi="Segoe UI Semibold"/>
          <w:color w:val="17365D"/>
          <w:sz w:val="22"/>
        </w:rPr>
      </w:pPr>
      <w:bookmarkStart w:id="39" w:name="_Hlk519842193"/>
      <w:r>
        <w:rPr>
          <w:rFonts w:ascii="Segoe UI Semibold" w:hAnsi="Segoe UI Semibold"/>
          <w:color w:val="17365D"/>
          <w:sz w:val="22"/>
        </w:rPr>
        <w:t>OUTBREAK DETECTION AND RESPONSE</w:t>
      </w:r>
    </w:p>
    <w:bookmarkEnd w:id="39"/>
    <w:p w14:paraId="41CEEB0F" w14:textId="1F25CA7C" w:rsidR="00383F3B" w:rsidRPr="00EA061C" w:rsidRDefault="00383F3B" w:rsidP="009012A9">
      <w:pPr>
        <w:pStyle w:val="Bullet"/>
        <w:numPr>
          <w:ilvl w:val="0"/>
          <w:numId w:val="12"/>
        </w:numPr>
        <w:spacing w:before="120" w:after="0"/>
        <w:rPr>
          <w:i/>
          <w:sz w:val="20"/>
          <w:szCs w:val="20"/>
        </w:rPr>
      </w:pPr>
      <w:r w:rsidRPr="00EA061C">
        <w:rPr>
          <w:i/>
          <w:sz w:val="20"/>
          <w:szCs w:val="20"/>
        </w:rPr>
        <w:t xml:space="preserve">Enhance systems and capacity to monitor and respond to changes in BBV and STI incidence among Aboriginal and Torres Strait </w:t>
      </w:r>
      <w:r w:rsidR="004D2D7C">
        <w:rPr>
          <w:i/>
          <w:sz w:val="20"/>
          <w:szCs w:val="20"/>
        </w:rPr>
        <w:t xml:space="preserve">Islander </w:t>
      </w:r>
      <w:r w:rsidRPr="00EA061C">
        <w:rPr>
          <w:i/>
          <w:sz w:val="20"/>
          <w:szCs w:val="20"/>
        </w:rPr>
        <w:t xml:space="preserve">populations, including </w:t>
      </w:r>
      <w:r w:rsidR="000243D9">
        <w:rPr>
          <w:i/>
          <w:sz w:val="20"/>
          <w:szCs w:val="20"/>
        </w:rPr>
        <w:t xml:space="preserve">enhanced surveillance and </w:t>
      </w:r>
      <w:r w:rsidRPr="00EA061C">
        <w:rPr>
          <w:i/>
          <w:sz w:val="20"/>
          <w:szCs w:val="20"/>
        </w:rPr>
        <w:t>rapid responses to potential outbreaks among priority populations and in geographic locations</w:t>
      </w:r>
    </w:p>
    <w:p w14:paraId="3A1C7524" w14:textId="2CF71109" w:rsidR="00383F3B" w:rsidRDefault="00383F3B" w:rsidP="00383F3B">
      <w:pPr>
        <w:spacing w:before="80"/>
        <w:rPr>
          <w:iCs/>
          <w:sz w:val="20"/>
          <w:szCs w:val="20"/>
        </w:rPr>
      </w:pPr>
      <w:r w:rsidRPr="00B073E8">
        <w:rPr>
          <w:iCs/>
          <w:sz w:val="20"/>
          <w:szCs w:val="20"/>
        </w:rPr>
        <w:lastRenderedPageBreak/>
        <w:t xml:space="preserve">As well as having access to high-quality, timely surveillance data, it is critical that opportunities to improve </w:t>
      </w:r>
      <w:r>
        <w:rPr>
          <w:iCs/>
          <w:sz w:val="20"/>
          <w:szCs w:val="20"/>
        </w:rPr>
        <w:t xml:space="preserve">the </w:t>
      </w:r>
      <w:r w:rsidRPr="00B073E8">
        <w:rPr>
          <w:iCs/>
          <w:sz w:val="20"/>
          <w:szCs w:val="20"/>
        </w:rPr>
        <w:t xml:space="preserve">capacity to </w:t>
      </w:r>
      <w:r>
        <w:rPr>
          <w:iCs/>
          <w:sz w:val="20"/>
          <w:szCs w:val="20"/>
        </w:rPr>
        <w:t xml:space="preserve">respond to </w:t>
      </w:r>
      <w:r w:rsidRPr="00B073E8">
        <w:rPr>
          <w:iCs/>
          <w:sz w:val="20"/>
          <w:szCs w:val="20"/>
        </w:rPr>
        <w:t xml:space="preserve">current and emerging </w:t>
      </w:r>
      <w:r>
        <w:rPr>
          <w:iCs/>
          <w:sz w:val="20"/>
          <w:szCs w:val="20"/>
        </w:rPr>
        <w:t xml:space="preserve">BBV and </w:t>
      </w:r>
      <w:r w:rsidRPr="00B073E8">
        <w:rPr>
          <w:iCs/>
          <w:sz w:val="20"/>
          <w:szCs w:val="20"/>
        </w:rPr>
        <w:t xml:space="preserve">STI issues are </w:t>
      </w:r>
      <w:r>
        <w:rPr>
          <w:iCs/>
          <w:sz w:val="20"/>
          <w:szCs w:val="20"/>
        </w:rPr>
        <w:t>explored</w:t>
      </w:r>
      <w:r w:rsidRPr="00B073E8">
        <w:rPr>
          <w:iCs/>
          <w:sz w:val="20"/>
          <w:szCs w:val="20"/>
        </w:rPr>
        <w:t xml:space="preserve">. </w:t>
      </w:r>
      <w:r>
        <w:rPr>
          <w:sz w:val="20"/>
          <w:szCs w:val="20"/>
          <w:lang w:eastAsia="en-AU"/>
        </w:rPr>
        <w:t>The ongoing syphilis outbreak</w:t>
      </w:r>
      <w:r w:rsidRPr="001D2EB3">
        <w:rPr>
          <w:sz w:val="20"/>
          <w:szCs w:val="20"/>
          <w:lang w:eastAsia="en-AU"/>
        </w:rPr>
        <w:t xml:space="preserve"> in northern and central Australia demonstrate</w:t>
      </w:r>
      <w:r>
        <w:rPr>
          <w:sz w:val="20"/>
          <w:szCs w:val="20"/>
          <w:lang w:eastAsia="en-AU"/>
        </w:rPr>
        <w:t>s</w:t>
      </w:r>
      <w:r w:rsidRPr="001D2EB3">
        <w:rPr>
          <w:sz w:val="20"/>
          <w:szCs w:val="20"/>
          <w:lang w:eastAsia="en-AU"/>
        </w:rPr>
        <w:t xml:space="preserve"> the need for </w:t>
      </w:r>
      <w:r w:rsidR="00AE7263">
        <w:rPr>
          <w:sz w:val="20"/>
          <w:szCs w:val="20"/>
          <w:lang w:eastAsia="en-AU"/>
        </w:rPr>
        <w:t xml:space="preserve">an </w:t>
      </w:r>
      <w:r w:rsidRPr="001D2EB3">
        <w:rPr>
          <w:sz w:val="20"/>
          <w:szCs w:val="20"/>
          <w:lang w:eastAsia="en-AU"/>
        </w:rPr>
        <w:t>improve</w:t>
      </w:r>
      <w:r w:rsidR="00D0279C">
        <w:rPr>
          <w:sz w:val="20"/>
          <w:szCs w:val="20"/>
          <w:lang w:eastAsia="en-AU"/>
        </w:rPr>
        <w:t>d</w:t>
      </w:r>
      <w:r w:rsidRPr="001D2EB3">
        <w:rPr>
          <w:sz w:val="20"/>
          <w:szCs w:val="20"/>
          <w:lang w:eastAsia="en-AU"/>
        </w:rPr>
        <w:t xml:space="preserve"> response</w:t>
      </w:r>
      <w:r>
        <w:rPr>
          <w:sz w:val="20"/>
          <w:szCs w:val="20"/>
          <w:lang w:eastAsia="en-AU"/>
        </w:rPr>
        <w:t>.</w:t>
      </w:r>
    </w:p>
    <w:p w14:paraId="70C6C5FC" w14:textId="1F702E33" w:rsidR="00383F3B" w:rsidRDefault="00DF0328" w:rsidP="00383F3B">
      <w:pPr>
        <w:spacing w:before="80"/>
        <w:rPr>
          <w:iCs/>
          <w:sz w:val="20"/>
          <w:szCs w:val="20"/>
        </w:rPr>
      </w:pPr>
      <w:r>
        <w:t>To support effective responses to increased incidence, it is necessary to e</w:t>
      </w:r>
      <w:r w:rsidR="00AE7263">
        <w:rPr>
          <w:iCs/>
          <w:sz w:val="20"/>
          <w:szCs w:val="20"/>
        </w:rPr>
        <w:t>nhanced p</w:t>
      </w:r>
      <w:r w:rsidR="00383F3B" w:rsidRPr="00B073E8">
        <w:rPr>
          <w:iCs/>
          <w:sz w:val="20"/>
          <w:szCs w:val="20"/>
        </w:rPr>
        <w:t>atient mana</w:t>
      </w:r>
      <w:r w:rsidR="00383F3B">
        <w:rPr>
          <w:iCs/>
          <w:sz w:val="20"/>
          <w:szCs w:val="20"/>
        </w:rPr>
        <w:t xml:space="preserve">gement and notification systems, </w:t>
      </w:r>
      <w:r w:rsidR="00AE7263">
        <w:rPr>
          <w:iCs/>
          <w:sz w:val="20"/>
          <w:szCs w:val="20"/>
        </w:rPr>
        <w:t xml:space="preserve">along </w:t>
      </w:r>
      <w:r w:rsidR="00383F3B">
        <w:rPr>
          <w:iCs/>
          <w:sz w:val="20"/>
          <w:szCs w:val="20"/>
        </w:rPr>
        <w:t xml:space="preserve">with </w:t>
      </w:r>
      <w:r w:rsidR="00383F3B" w:rsidRPr="00B073E8">
        <w:rPr>
          <w:iCs/>
          <w:sz w:val="20"/>
          <w:szCs w:val="20"/>
        </w:rPr>
        <w:t>cl</w:t>
      </w:r>
      <w:r w:rsidR="00383F3B">
        <w:rPr>
          <w:iCs/>
          <w:sz w:val="20"/>
          <w:szCs w:val="20"/>
        </w:rPr>
        <w:t>ear roles</w:t>
      </w:r>
      <w:r w:rsidR="00EC661B">
        <w:rPr>
          <w:iCs/>
          <w:sz w:val="20"/>
          <w:szCs w:val="20"/>
        </w:rPr>
        <w:t>,</w:t>
      </w:r>
      <w:r w:rsidR="00383F3B">
        <w:rPr>
          <w:iCs/>
          <w:sz w:val="20"/>
          <w:szCs w:val="20"/>
        </w:rPr>
        <w:t xml:space="preserve"> responsibilities</w:t>
      </w:r>
      <w:r w:rsidR="00EC661B">
        <w:rPr>
          <w:iCs/>
          <w:sz w:val="20"/>
          <w:szCs w:val="20"/>
        </w:rPr>
        <w:t xml:space="preserve"> and accountabilities</w:t>
      </w:r>
      <w:r w:rsidR="00AE7263">
        <w:rPr>
          <w:iCs/>
          <w:sz w:val="20"/>
          <w:szCs w:val="20"/>
        </w:rPr>
        <w:t xml:space="preserve"> at all levels</w:t>
      </w:r>
      <w:r w:rsidR="00383F3B" w:rsidRPr="00B073E8">
        <w:rPr>
          <w:iCs/>
          <w:sz w:val="20"/>
          <w:szCs w:val="20"/>
        </w:rPr>
        <w:t>. Comprehensive follow-up treatment</w:t>
      </w:r>
      <w:r w:rsidR="007D2EF6">
        <w:rPr>
          <w:iCs/>
          <w:sz w:val="20"/>
          <w:szCs w:val="20"/>
        </w:rPr>
        <w:t>,</w:t>
      </w:r>
      <w:r w:rsidR="00383F3B" w:rsidRPr="00B073E8">
        <w:rPr>
          <w:iCs/>
          <w:sz w:val="20"/>
          <w:szCs w:val="20"/>
        </w:rPr>
        <w:t xml:space="preserve"> effective contact tracing</w:t>
      </w:r>
      <w:r w:rsidR="007D2EF6">
        <w:rPr>
          <w:iCs/>
          <w:sz w:val="20"/>
          <w:szCs w:val="20"/>
        </w:rPr>
        <w:t xml:space="preserve"> and treatment of sexual partners</w:t>
      </w:r>
      <w:r w:rsidR="00383F3B" w:rsidRPr="00B073E8">
        <w:rPr>
          <w:iCs/>
          <w:sz w:val="20"/>
          <w:szCs w:val="20"/>
        </w:rPr>
        <w:t xml:space="preserve"> to prevent further transmission, and review of </w:t>
      </w:r>
      <w:r w:rsidR="00AE7263">
        <w:rPr>
          <w:iCs/>
          <w:sz w:val="20"/>
          <w:szCs w:val="20"/>
        </w:rPr>
        <w:t xml:space="preserve">BBV and </w:t>
      </w:r>
      <w:r w:rsidR="00383F3B" w:rsidRPr="00B073E8">
        <w:rPr>
          <w:iCs/>
          <w:sz w:val="20"/>
          <w:szCs w:val="20"/>
        </w:rPr>
        <w:t>STI treatment guidelines are all essential elements of an effecti</w:t>
      </w:r>
      <w:r w:rsidR="00383F3B">
        <w:rPr>
          <w:iCs/>
          <w:sz w:val="20"/>
          <w:szCs w:val="20"/>
        </w:rPr>
        <w:t>ve response.</w:t>
      </w:r>
    </w:p>
    <w:p w14:paraId="14A64192" w14:textId="1B83E484" w:rsidR="00383F3B" w:rsidRDefault="00383F3B" w:rsidP="00383F3B">
      <w:pPr>
        <w:spacing w:before="120"/>
        <w:rPr>
          <w:iCs/>
          <w:sz w:val="20"/>
          <w:szCs w:val="20"/>
        </w:rPr>
      </w:pPr>
      <w:r w:rsidRPr="001D2EB3">
        <w:rPr>
          <w:sz w:val="20"/>
          <w:szCs w:val="20"/>
          <w:lang w:eastAsia="en-AU"/>
        </w:rPr>
        <w:t>State and territory disease control operations play a critical role as the first-line response to serious outbreaks of infectious disease. The</w:t>
      </w:r>
      <w:r>
        <w:rPr>
          <w:sz w:val="20"/>
          <w:szCs w:val="20"/>
          <w:lang w:eastAsia="en-AU"/>
        </w:rPr>
        <w:t>se centres</w:t>
      </w:r>
      <w:r w:rsidRPr="001D2EB3">
        <w:rPr>
          <w:sz w:val="20"/>
          <w:szCs w:val="20"/>
          <w:lang w:eastAsia="en-AU"/>
        </w:rPr>
        <w:t xml:space="preserve"> are responsible for identifying outbreaks and mounting a rapid response in collaboration with local primary healthcare service providers. </w:t>
      </w:r>
      <w:r w:rsidRPr="00B073E8">
        <w:rPr>
          <w:iCs/>
          <w:sz w:val="20"/>
          <w:szCs w:val="20"/>
        </w:rPr>
        <w:t xml:space="preserve">Partnership arrangements involving </w:t>
      </w:r>
      <w:r w:rsidR="007D2EF6">
        <w:rPr>
          <w:iCs/>
          <w:sz w:val="20"/>
          <w:szCs w:val="20"/>
        </w:rPr>
        <w:t xml:space="preserve">ACCHS and mainstream </w:t>
      </w:r>
      <w:r w:rsidRPr="00B073E8">
        <w:rPr>
          <w:iCs/>
          <w:sz w:val="20"/>
          <w:szCs w:val="20"/>
        </w:rPr>
        <w:t>general practice</w:t>
      </w:r>
      <w:r>
        <w:rPr>
          <w:iCs/>
          <w:sz w:val="20"/>
          <w:szCs w:val="20"/>
        </w:rPr>
        <w:t>,</w:t>
      </w:r>
      <w:r w:rsidRPr="00B073E8">
        <w:rPr>
          <w:iCs/>
          <w:sz w:val="20"/>
          <w:szCs w:val="20"/>
        </w:rPr>
        <w:t xml:space="preserve"> s</w:t>
      </w:r>
      <w:r>
        <w:rPr>
          <w:iCs/>
          <w:sz w:val="20"/>
          <w:szCs w:val="20"/>
        </w:rPr>
        <w:t>exual health</w:t>
      </w:r>
      <w:r w:rsidRPr="00B073E8">
        <w:rPr>
          <w:iCs/>
          <w:sz w:val="20"/>
          <w:szCs w:val="20"/>
        </w:rPr>
        <w:t xml:space="preserve"> services </w:t>
      </w:r>
      <w:r>
        <w:rPr>
          <w:iCs/>
          <w:sz w:val="20"/>
          <w:szCs w:val="20"/>
        </w:rPr>
        <w:t>and pathology providers</w:t>
      </w:r>
      <w:r w:rsidR="00647DB5">
        <w:rPr>
          <w:iCs/>
          <w:sz w:val="20"/>
          <w:szCs w:val="20"/>
        </w:rPr>
        <w:t>, as well as peer-based services,</w:t>
      </w:r>
      <w:r>
        <w:rPr>
          <w:iCs/>
          <w:sz w:val="20"/>
          <w:szCs w:val="20"/>
        </w:rPr>
        <w:t xml:space="preserve"> </w:t>
      </w:r>
      <w:r w:rsidRPr="00B073E8">
        <w:rPr>
          <w:iCs/>
          <w:sz w:val="20"/>
          <w:szCs w:val="20"/>
        </w:rPr>
        <w:t>may be needed to support active case finding, testing and contact tracing in high</w:t>
      </w:r>
      <w:r w:rsidR="004D2D7C">
        <w:rPr>
          <w:iCs/>
          <w:sz w:val="20"/>
          <w:szCs w:val="20"/>
        </w:rPr>
        <w:t>-</w:t>
      </w:r>
      <w:r w:rsidRPr="00B073E8">
        <w:rPr>
          <w:iCs/>
          <w:sz w:val="20"/>
          <w:szCs w:val="20"/>
        </w:rPr>
        <w:t xml:space="preserve">prevalence areas in order to minimise time between infection and treatment and to reduce incidence and prevalence. In some instances, dedicated local or regional staff may also be needed to support the quality and organisation of responses. </w:t>
      </w:r>
    </w:p>
    <w:p w14:paraId="492E3C9B" w14:textId="690FE3C0" w:rsidR="006E49CB" w:rsidRDefault="006E49CB" w:rsidP="006E49CB">
      <w:pPr>
        <w:spacing w:before="120"/>
        <w:rPr>
          <w:sz w:val="20"/>
          <w:szCs w:val="20"/>
          <w:lang w:eastAsia="en-AU"/>
        </w:rPr>
      </w:pPr>
      <w:r w:rsidRPr="001D2EB3">
        <w:rPr>
          <w:sz w:val="20"/>
          <w:szCs w:val="20"/>
          <w:lang w:eastAsia="en-AU"/>
        </w:rPr>
        <w:t>A well-coordinated, rapid and intensive outbreak response is essential to control current outbreaks</w:t>
      </w:r>
      <w:r>
        <w:rPr>
          <w:sz w:val="20"/>
          <w:szCs w:val="20"/>
          <w:lang w:eastAsia="en-AU"/>
        </w:rPr>
        <w:t xml:space="preserve"> </w:t>
      </w:r>
      <w:r w:rsidRPr="001D2EB3">
        <w:rPr>
          <w:sz w:val="20"/>
          <w:szCs w:val="20"/>
          <w:lang w:eastAsia="en-AU"/>
        </w:rPr>
        <w:t xml:space="preserve">and prevent future </w:t>
      </w:r>
      <w:r w:rsidRPr="00131269">
        <w:rPr>
          <w:sz w:val="20"/>
          <w:szCs w:val="20"/>
          <w:lang w:eastAsia="en-AU"/>
        </w:rPr>
        <w:t>ones. An enhanced and decisive response to the current syphilis outbreak is important in the short</w:t>
      </w:r>
      <w:r w:rsidR="004D2D7C">
        <w:rPr>
          <w:sz w:val="20"/>
          <w:szCs w:val="20"/>
          <w:lang w:eastAsia="en-AU"/>
        </w:rPr>
        <w:t xml:space="preserve"> </w:t>
      </w:r>
      <w:r w:rsidRPr="00131269">
        <w:rPr>
          <w:sz w:val="20"/>
          <w:szCs w:val="20"/>
          <w:lang w:eastAsia="en-AU"/>
        </w:rPr>
        <w:t>term</w:t>
      </w:r>
      <w:r w:rsidR="0031365B">
        <w:rPr>
          <w:sz w:val="20"/>
          <w:szCs w:val="20"/>
          <w:lang w:eastAsia="en-AU"/>
        </w:rPr>
        <w:t>.</w:t>
      </w:r>
      <w:r w:rsidRPr="00131269">
        <w:rPr>
          <w:sz w:val="20"/>
          <w:szCs w:val="20"/>
          <w:lang w:eastAsia="en-AU"/>
        </w:rPr>
        <w:t xml:space="preserve"> </w:t>
      </w:r>
      <w:r w:rsidR="0031365B">
        <w:rPr>
          <w:sz w:val="20"/>
          <w:szCs w:val="20"/>
          <w:lang w:eastAsia="en-AU"/>
        </w:rPr>
        <w:t>I</w:t>
      </w:r>
      <w:r w:rsidRPr="00131269">
        <w:rPr>
          <w:sz w:val="20"/>
          <w:szCs w:val="20"/>
          <w:lang w:eastAsia="en-AU"/>
        </w:rPr>
        <w:t>n the long</w:t>
      </w:r>
      <w:r w:rsidR="004D2D7C">
        <w:rPr>
          <w:sz w:val="20"/>
          <w:szCs w:val="20"/>
          <w:lang w:eastAsia="en-AU"/>
        </w:rPr>
        <w:t xml:space="preserve"> </w:t>
      </w:r>
      <w:r w:rsidRPr="00131269">
        <w:rPr>
          <w:sz w:val="20"/>
          <w:szCs w:val="20"/>
          <w:lang w:eastAsia="en-AU"/>
        </w:rPr>
        <w:t>term</w:t>
      </w:r>
      <w:r w:rsidR="0031365B">
        <w:rPr>
          <w:sz w:val="20"/>
          <w:szCs w:val="20"/>
          <w:lang w:eastAsia="en-AU"/>
        </w:rPr>
        <w:t>,</w:t>
      </w:r>
      <w:r w:rsidRPr="00131269">
        <w:rPr>
          <w:sz w:val="20"/>
          <w:szCs w:val="20"/>
          <w:lang w:eastAsia="en-AU"/>
        </w:rPr>
        <w:t xml:space="preserve"> there is a need to strengthen the public health STI </w:t>
      </w:r>
      <w:r w:rsidR="007D2EF6" w:rsidRPr="00131269">
        <w:rPr>
          <w:sz w:val="20"/>
          <w:szCs w:val="20"/>
          <w:lang w:eastAsia="en-AU"/>
        </w:rPr>
        <w:t xml:space="preserve">and BBV </w:t>
      </w:r>
      <w:r w:rsidRPr="00131269">
        <w:rPr>
          <w:sz w:val="20"/>
          <w:szCs w:val="20"/>
          <w:lang w:eastAsia="en-AU"/>
        </w:rPr>
        <w:t>outbreak response capacity generally.</w:t>
      </w:r>
    </w:p>
    <w:p w14:paraId="0DD7D37D" w14:textId="4CEF58FF" w:rsidR="00383F3B" w:rsidRDefault="006E49CB" w:rsidP="00383F3B">
      <w:pPr>
        <w:spacing w:before="120"/>
        <w:rPr>
          <w:sz w:val="20"/>
          <w:szCs w:val="20"/>
          <w:lang w:eastAsia="en-AU"/>
        </w:rPr>
      </w:pPr>
      <w:r w:rsidRPr="005D30DF">
        <w:rPr>
          <w:sz w:val="20"/>
          <w:szCs w:val="20"/>
          <w:lang w:eastAsia="en-AU"/>
        </w:rPr>
        <w:t xml:space="preserve">Difficulties in preventing and managing STI, together with international and local experience with HIV, indicate a HIV </w:t>
      </w:r>
      <w:r w:rsidR="002D401C" w:rsidRPr="005D30DF">
        <w:rPr>
          <w:sz w:val="20"/>
          <w:szCs w:val="20"/>
          <w:lang w:eastAsia="en-AU"/>
        </w:rPr>
        <w:t>cluster</w:t>
      </w:r>
      <w:r w:rsidRPr="005D30DF">
        <w:rPr>
          <w:sz w:val="20"/>
          <w:szCs w:val="20"/>
          <w:lang w:eastAsia="en-AU"/>
        </w:rPr>
        <w:t xml:space="preserve"> would be difficult to control</w:t>
      </w:r>
      <w:r w:rsidR="0031365B">
        <w:rPr>
          <w:sz w:val="20"/>
          <w:szCs w:val="20"/>
          <w:lang w:eastAsia="en-AU"/>
        </w:rPr>
        <w:t xml:space="preserve"> and </w:t>
      </w:r>
      <w:r w:rsidRPr="005D30DF">
        <w:rPr>
          <w:sz w:val="20"/>
          <w:szCs w:val="20"/>
          <w:lang w:eastAsia="en-AU"/>
        </w:rPr>
        <w:t xml:space="preserve">manage and </w:t>
      </w:r>
      <w:r w:rsidR="0031365B">
        <w:rPr>
          <w:sz w:val="20"/>
          <w:szCs w:val="20"/>
          <w:lang w:eastAsia="en-AU"/>
        </w:rPr>
        <w:t xml:space="preserve">have a </w:t>
      </w:r>
      <w:r w:rsidRPr="0031365B">
        <w:rPr>
          <w:sz w:val="20"/>
          <w:szCs w:val="20"/>
          <w:lang w:eastAsia="en-AU"/>
        </w:rPr>
        <w:t>strong impact</w:t>
      </w:r>
      <w:r w:rsidRPr="005D30DF">
        <w:rPr>
          <w:sz w:val="20"/>
          <w:szCs w:val="20"/>
          <w:lang w:eastAsia="en-AU"/>
        </w:rPr>
        <w:t xml:space="preserve"> </w:t>
      </w:r>
      <w:r w:rsidR="0031365B">
        <w:rPr>
          <w:sz w:val="20"/>
          <w:szCs w:val="20"/>
          <w:lang w:eastAsia="en-AU"/>
        </w:rPr>
        <w:t xml:space="preserve">on </w:t>
      </w:r>
      <w:r w:rsidRPr="005D30DF">
        <w:rPr>
          <w:sz w:val="20"/>
          <w:szCs w:val="20"/>
          <w:lang w:eastAsia="en-AU"/>
        </w:rPr>
        <w:t>affected communities. Poorer access to services, lower frequency of HIV testing and lower tre</w:t>
      </w:r>
      <w:r w:rsidR="000E23B2" w:rsidRPr="005D30DF">
        <w:rPr>
          <w:sz w:val="20"/>
          <w:szCs w:val="20"/>
          <w:lang w:eastAsia="en-AU"/>
        </w:rPr>
        <w:t>atment uptake amplify this risk.</w:t>
      </w:r>
      <w:r w:rsidRPr="005D30DF">
        <w:rPr>
          <w:sz w:val="20"/>
          <w:szCs w:val="20"/>
          <w:lang w:eastAsia="en-AU"/>
        </w:rPr>
        <w:t xml:space="preserve"> The higher prevalence of HIV among Aboriginal and Torres Strait Islander gay men and other </w:t>
      </w:r>
      <w:r w:rsidR="00647DB5" w:rsidRPr="005D30DF">
        <w:rPr>
          <w:sz w:val="20"/>
          <w:szCs w:val="20"/>
          <w:lang w:eastAsia="en-AU"/>
        </w:rPr>
        <w:t>MSM</w:t>
      </w:r>
      <w:r w:rsidRPr="005D30DF">
        <w:rPr>
          <w:sz w:val="20"/>
          <w:szCs w:val="20"/>
          <w:lang w:eastAsia="en-AU"/>
        </w:rPr>
        <w:t xml:space="preserve">, and the efficiency of transmission through injecting drug use, provide conditions for potential </w:t>
      </w:r>
      <w:r w:rsidR="002D401C" w:rsidRPr="005D30DF">
        <w:rPr>
          <w:sz w:val="20"/>
          <w:szCs w:val="20"/>
          <w:lang w:eastAsia="en-AU"/>
        </w:rPr>
        <w:t>cluster</w:t>
      </w:r>
      <w:r w:rsidRPr="005D30DF">
        <w:rPr>
          <w:sz w:val="20"/>
          <w:szCs w:val="20"/>
          <w:lang w:eastAsia="en-AU"/>
        </w:rPr>
        <w:t xml:space="preserve">s. </w:t>
      </w:r>
      <w:r w:rsidR="00383F3B" w:rsidRPr="005D30DF">
        <w:rPr>
          <w:sz w:val="20"/>
          <w:szCs w:val="20"/>
          <w:lang w:eastAsia="en-AU"/>
        </w:rPr>
        <w:t xml:space="preserve">There is </w:t>
      </w:r>
      <w:r w:rsidRPr="005D30DF">
        <w:rPr>
          <w:sz w:val="20"/>
          <w:szCs w:val="20"/>
          <w:lang w:eastAsia="en-AU"/>
        </w:rPr>
        <w:t xml:space="preserve">also </w:t>
      </w:r>
      <w:r w:rsidR="00383F3B" w:rsidRPr="005D30DF">
        <w:rPr>
          <w:sz w:val="20"/>
          <w:szCs w:val="20"/>
          <w:lang w:eastAsia="en-AU"/>
        </w:rPr>
        <w:t>a heightened risk of a</w:t>
      </w:r>
      <w:r w:rsidR="0031365B">
        <w:rPr>
          <w:sz w:val="20"/>
          <w:szCs w:val="20"/>
          <w:lang w:eastAsia="en-AU"/>
        </w:rPr>
        <w:t>n</w:t>
      </w:r>
      <w:r w:rsidR="00383F3B" w:rsidRPr="005D30DF">
        <w:rPr>
          <w:sz w:val="20"/>
          <w:szCs w:val="20"/>
          <w:lang w:eastAsia="en-AU"/>
        </w:rPr>
        <w:t xml:space="preserve"> HIV </w:t>
      </w:r>
      <w:r w:rsidR="002D401C" w:rsidRPr="005D30DF">
        <w:rPr>
          <w:sz w:val="20"/>
          <w:szCs w:val="20"/>
          <w:lang w:eastAsia="en-AU"/>
        </w:rPr>
        <w:t xml:space="preserve">cluster </w:t>
      </w:r>
      <w:r w:rsidR="00383F3B" w:rsidRPr="005D30DF">
        <w:rPr>
          <w:sz w:val="20"/>
          <w:szCs w:val="20"/>
          <w:lang w:eastAsia="en-AU"/>
        </w:rPr>
        <w:t xml:space="preserve">in the Aboriginal and Torres Strait Islander population as a result of </w:t>
      </w:r>
      <w:r w:rsidR="00665AC5">
        <w:rPr>
          <w:sz w:val="20"/>
          <w:szCs w:val="20"/>
          <w:lang w:eastAsia="en-AU"/>
        </w:rPr>
        <w:t xml:space="preserve">a </w:t>
      </w:r>
      <w:r w:rsidR="00383F3B" w:rsidRPr="005D30DF">
        <w:rPr>
          <w:sz w:val="20"/>
          <w:szCs w:val="20"/>
          <w:lang w:eastAsia="en-AU"/>
        </w:rPr>
        <w:t>high prevalence of STI</w:t>
      </w:r>
      <w:r w:rsidR="009450D8" w:rsidRPr="005D30DF">
        <w:rPr>
          <w:sz w:val="20"/>
          <w:szCs w:val="20"/>
          <w:lang w:eastAsia="en-AU"/>
        </w:rPr>
        <w:t xml:space="preserve">, given the associated increased risk of HIV acquisition and transmission </w:t>
      </w:r>
      <w:r w:rsidR="00755137" w:rsidRPr="005D30DF">
        <w:rPr>
          <w:sz w:val="20"/>
          <w:szCs w:val="20"/>
          <w:lang w:eastAsia="en-AU"/>
        </w:rPr>
        <w:t xml:space="preserve">and </w:t>
      </w:r>
      <w:r w:rsidR="000E7761" w:rsidRPr="005D30DF">
        <w:rPr>
          <w:sz w:val="20"/>
          <w:szCs w:val="20"/>
          <w:lang w:eastAsia="en-AU"/>
        </w:rPr>
        <w:t xml:space="preserve">higher rates of </w:t>
      </w:r>
      <w:r w:rsidR="00C0084B" w:rsidRPr="005D30DF">
        <w:rPr>
          <w:sz w:val="20"/>
          <w:szCs w:val="20"/>
          <w:lang w:eastAsia="en-AU"/>
        </w:rPr>
        <w:t xml:space="preserve">receptive </w:t>
      </w:r>
      <w:r w:rsidR="00755137" w:rsidRPr="005D30DF">
        <w:rPr>
          <w:sz w:val="20"/>
          <w:szCs w:val="20"/>
          <w:lang w:eastAsia="en-AU"/>
        </w:rPr>
        <w:t>needle and syringe sharing</w:t>
      </w:r>
      <w:r w:rsidR="007D6F39" w:rsidRPr="005D30DF">
        <w:rPr>
          <w:sz w:val="20"/>
          <w:szCs w:val="20"/>
          <w:lang w:eastAsia="en-AU"/>
        </w:rPr>
        <w:t xml:space="preserve"> </w:t>
      </w:r>
      <w:r w:rsidR="0031365B">
        <w:rPr>
          <w:sz w:val="20"/>
          <w:szCs w:val="20"/>
          <w:lang w:eastAsia="en-AU"/>
        </w:rPr>
        <w:t xml:space="preserve">when </w:t>
      </w:r>
      <w:r w:rsidR="007D6F39" w:rsidRPr="005D30DF">
        <w:rPr>
          <w:sz w:val="20"/>
          <w:szCs w:val="20"/>
          <w:lang w:eastAsia="en-AU"/>
        </w:rPr>
        <w:t xml:space="preserve">compared </w:t>
      </w:r>
      <w:r w:rsidR="004D2D7C">
        <w:rPr>
          <w:sz w:val="20"/>
          <w:szCs w:val="20"/>
          <w:lang w:eastAsia="en-AU"/>
        </w:rPr>
        <w:t xml:space="preserve">with </w:t>
      </w:r>
      <w:r w:rsidR="007D6F39" w:rsidRPr="005D30DF">
        <w:rPr>
          <w:sz w:val="20"/>
          <w:szCs w:val="20"/>
          <w:lang w:eastAsia="en-AU"/>
        </w:rPr>
        <w:t>the non-</w:t>
      </w:r>
      <w:r w:rsidR="007D6F39" w:rsidRPr="003B1A9B">
        <w:rPr>
          <w:sz w:val="20"/>
          <w:szCs w:val="20"/>
          <w:lang w:eastAsia="en-AU"/>
        </w:rPr>
        <w:t>Indigenous population</w:t>
      </w:r>
      <w:r w:rsidR="00383F3B" w:rsidRPr="003B1A9B">
        <w:rPr>
          <w:sz w:val="20"/>
          <w:szCs w:val="20"/>
          <w:lang w:eastAsia="en-AU"/>
        </w:rPr>
        <w:t>.</w:t>
      </w:r>
      <w:r w:rsidR="004F4A77" w:rsidRPr="003B1A9B">
        <w:rPr>
          <w:sz w:val="20"/>
          <w:szCs w:val="20"/>
          <w:vertAlign w:val="superscript"/>
          <w:lang w:eastAsia="en-AU"/>
        </w:rPr>
        <w:t>6</w:t>
      </w:r>
      <w:r w:rsidR="00755137" w:rsidRPr="003B1A9B">
        <w:rPr>
          <w:sz w:val="20"/>
          <w:szCs w:val="20"/>
          <w:vertAlign w:val="superscript"/>
          <w:lang w:eastAsia="en-AU"/>
        </w:rPr>
        <w:t>,</w:t>
      </w:r>
      <w:r w:rsidR="003B1A9B" w:rsidRPr="003B1A9B">
        <w:rPr>
          <w:sz w:val="20"/>
          <w:szCs w:val="20"/>
          <w:vertAlign w:val="superscript"/>
          <w:lang w:eastAsia="en-AU"/>
        </w:rPr>
        <w:t>95</w:t>
      </w:r>
      <w:r w:rsidRPr="005D30DF">
        <w:rPr>
          <w:sz w:val="20"/>
          <w:szCs w:val="20"/>
          <w:lang w:eastAsia="en-AU"/>
        </w:rPr>
        <w:t xml:space="preserve"> Rapid responses to increased HIV transmission</w:t>
      </w:r>
      <w:r w:rsidR="007744ED" w:rsidRPr="005D30DF">
        <w:rPr>
          <w:sz w:val="20"/>
          <w:szCs w:val="20"/>
          <w:lang w:eastAsia="en-AU"/>
        </w:rPr>
        <w:t xml:space="preserve"> and clusters</w:t>
      </w:r>
      <w:r w:rsidRPr="005D30DF">
        <w:rPr>
          <w:sz w:val="20"/>
          <w:szCs w:val="20"/>
          <w:lang w:eastAsia="en-AU"/>
        </w:rPr>
        <w:t xml:space="preserve"> are essential. However, in the absence of a vaccine or cure, and given HIV is a lifelong infection, rapid action must be coupled with sustained, long-term</w:t>
      </w:r>
      <w:r w:rsidR="004D2D7C">
        <w:rPr>
          <w:sz w:val="20"/>
          <w:szCs w:val="20"/>
          <w:lang w:eastAsia="en-AU"/>
        </w:rPr>
        <w:t>,</w:t>
      </w:r>
      <w:r w:rsidRPr="005D30DF">
        <w:rPr>
          <w:sz w:val="20"/>
          <w:szCs w:val="20"/>
          <w:lang w:eastAsia="en-AU"/>
        </w:rPr>
        <w:t xml:space="preserve"> community-based approaches to reduce the prospects for continued transmission.</w:t>
      </w:r>
    </w:p>
    <w:p w14:paraId="2BD91956" w14:textId="77777777" w:rsidR="00383F3B" w:rsidRPr="004E3784" w:rsidRDefault="00383F3B" w:rsidP="00383F3B">
      <w:pPr>
        <w:spacing w:before="120"/>
        <w:rPr>
          <w:b/>
          <w:bCs/>
          <w:color w:val="00264D"/>
          <w:sz w:val="20"/>
          <w:szCs w:val="20"/>
        </w:rPr>
      </w:pPr>
      <w:r w:rsidRPr="004E3784">
        <w:rPr>
          <w:b/>
          <w:bCs/>
          <w:color w:val="00264D"/>
          <w:sz w:val="20"/>
          <w:szCs w:val="20"/>
        </w:rPr>
        <w:t>Key areas for action</w:t>
      </w:r>
    </w:p>
    <w:p w14:paraId="42ADB130" w14:textId="77777777" w:rsidR="00383F3B" w:rsidRDefault="00383F3B" w:rsidP="00383F3B">
      <w:pPr>
        <w:pStyle w:val="Bullet"/>
        <w:numPr>
          <w:ilvl w:val="0"/>
          <w:numId w:val="8"/>
        </w:numPr>
        <w:spacing w:before="120" w:after="0"/>
        <w:rPr>
          <w:sz w:val="20"/>
          <w:szCs w:val="20"/>
        </w:rPr>
      </w:pPr>
      <w:r w:rsidRPr="004E3784">
        <w:rPr>
          <w:sz w:val="20"/>
          <w:szCs w:val="20"/>
        </w:rPr>
        <w:t xml:space="preserve">Enhance systems and capacity to monitor and respond to changes in BBV and STI </w:t>
      </w:r>
      <w:r>
        <w:rPr>
          <w:sz w:val="20"/>
          <w:szCs w:val="20"/>
        </w:rPr>
        <w:t xml:space="preserve">incidence among Aboriginal and Torres Strait </w:t>
      </w:r>
      <w:r w:rsidRPr="004E3784">
        <w:rPr>
          <w:sz w:val="20"/>
          <w:szCs w:val="20"/>
        </w:rPr>
        <w:t xml:space="preserve">populations, including rapid </w:t>
      </w:r>
      <w:r>
        <w:rPr>
          <w:sz w:val="20"/>
          <w:szCs w:val="20"/>
        </w:rPr>
        <w:t xml:space="preserve">identification and </w:t>
      </w:r>
      <w:r w:rsidRPr="004E3784">
        <w:rPr>
          <w:sz w:val="20"/>
          <w:szCs w:val="20"/>
        </w:rPr>
        <w:t>response to outbreaks</w:t>
      </w:r>
      <w:r w:rsidR="007744ED">
        <w:rPr>
          <w:sz w:val="20"/>
          <w:szCs w:val="20"/>
        </w:rPr>
        <w:t xml:space="preserve"> and clusters</w:t>
      </w:r>
      <w:r w:rsidRPr="004E3784">
        <w:rPr>
          <w:sz w:val="20"/>
          <w:szCs w:val="20"/>
        </w:rPr>
        <w:t xml:space="preserve"> among priority populati</w:t>
      </w:r>
      <w:r>
        <w:rPr>
          <w:sz w:val="20"/>
          <w:szCs w:val="20"/>
        </w:rPr>
        <w:t xml:space="preserve">ons and in </w:t>
      </w:r>
      <w:r w:rsidR="00C0084B">
        <w:rPr>
          <w:sz w:val="20"/>
          <w:szCs w:val="20"/>
        </w:rPr>
        <w:t xml:space="preserve">specific </w:t>
      </w:r>
      <w:r>
        <w:rPr>
          <w:sz w:val="20"/>
          <w:szCs w:val="20"/>
        </w:rPr>
        <w:t>locations</w:t>
      </w:r>
    </w:p>
    <w:p w14:paraId="1C735A14" w14:textId="6676C792" w:rsidR="005D30DF" w:rsidRPr="005D30DF" w:rsidRDefault="00DC1731" w:rsidP="005D30DF">
      <w:pPr>
        <w:pStyle w:val="Bullet"/>
        <w:numPr>
          <w:ilvl w:val="0"/>
          <w:numId w:val="8"/>
        </w:numPr>
        <w:spacing w:before="120" w:after="0"/>
        <w:rPr>
          <w:sz w:val="20"/>
          <w:szCs w:val="20"/>
        </w:rPr>
      </w:pPr>
      <w:r w:rsidRPr="00DC1731">
        <w:rPr>
          <w:sz w:val="20"/>
          <w:szCs w:val="20"/>
        </w:rPr>
        <w:t xml:space="preserve">Develop processes to support increased STI testing in outbreak situations and ensure </w:t>
      </w:r>
      <w:r w:rsidR="0086368D">
        <w:rPr>
          <w:sz w:val="20"/>
          <w:szCs w:val="20"/>
        </w:rPr>
        <w:t xml:space="preserve">that </w:t>
      </w:r>
      <w:r w:rsidRPr="00DC1731">
        <w:rPr>
          <w:sz w:val="20"/>
          <w:szCs w:val="20"/>
        </w:rPr>
        <w:t>testing data is collected to monitor and evaluate the effectiveness of increased testing and treatment</w:t>
      </w:r>
    </w:p>
    <w:p w14:paraId="10536A5D" w14:textId="48FBC456" w:rsidR="00383F3B" w:rsidRDefault="00383F3B" w:rsidP="00383F3B">
      <w:pPr>
        <w:pStyle w:val="Bullet"/>
        <w:numPr>
          <w:ilvl w:val="0"/>
          <w:numId w:val="8"/>
        </w:numPr>
        <w:spacing w:before="120" w:after="0"/>
        <w:rPr>
          <w:sz w:val="20"/>
          <w:szCs w:val="20"/>
        </w:rPr>
      </w:pPr>
      <w:r>
        <w:rPr>
          <w:sz w:val="20"/>
          <w:szCs w:val="20"/>
        </w:rPr>
        <w:t xml:space="preserve">Ensure that the implementation of the </w:t>
      </w:r>
      <w:r w:rsidRPr="00414AE4">
        <w:rPr>
          <w:sz w:val="20"/>
        </w:rPr>
        <w:t>National strategic approach and action plan for an enhanced response to the disproportionately high rates of STI (and blood borne viruses) in Indigenous populations</w:t>
      </w:r>
      <w:r w:rsidRPr="00344E4B">
        <w:rPr>
          <w:sz w:val="20"/>
          <w:szCs w:val="20"/>
        </w:rPr>
        <w:t xml:space="preserve"> </w:t>
      </w:r>
      <w:r>
        <w:rPr>
          <w:sz w:val="20"/>
          <w:szCs w:val="20"/>
        </w:rPr>
        <w:t xml:space="preserve">is integrated with and supported by the actions under this </w:t>
      </w:r>
      <w:r w:rsidR="0031365B">
        <w:rPr>
          <w:sz w:val="20"/>
          <w:szCs w:val="20"/>
        </w:rPr>
        <w:t>s</w:t>
      </w:r>
      <w:r>
        <w:rPr>
          <w:sz w:val="20"/>
          <w:szCs w:val="20"/>
        </w:rPr>
        <w:t>trategy</w:t>
      </w:r>
    </w:p>
    <w:p w14:paraId="6711F1DA" w14:textId="78AEDEE1" w:rsidR="00BE63E8" w:rsidRPr="00B46735" w:rsidRDefault="00BE63E8" w:rsidP="00F958BC">
      <w:pPr>
        <w:pStyle w:val="Listnumbered"/>
        <w:numPr>
          <w:ilvl w:val="0"/>
          <w:numId w:val="8"/>
        </w:numPr>
        <w:spacing w:before="120" w:after="0"/>
        <w:rPr>
          <w:sz w:val="20"/>
          <w:szCs w:val="20"/>
        </w:rPr>
      </w:pPr>
      <w:r w:rsidRPr="00B46735">
        <w:rPr>
          <w:sz w:val="20"/>
          <w:szCs w:val="20"/>
        </w:rPr>
        <w:t xml:space="preserve">Continue collaborative jurisdictional and national level </w:t>
      </w:r>
      <w:r w:rsidRPr="00B46735">
        <w:rPr>
          <w:iCs/>
          <w:sz w:val="20"/>
          <w:szCs w:val="20"/>
        </w:rPr>
        <w:t>support for effective responses to BBV and STI incidence, including in averting and responding to outbreaks, and d</w:t>
      </w:r>
      <w:r w:rsidRPr="00B46735">
        <w:rPr>
          <w:sz w:val="20"/>
          <w:szCs w:val="20"/>
        </w:rPr>
        <w:t xml:space="preserve">evelop agreed responsibilities and procedures at a jurisdictional and national level to </w:t>
      </w:r>
      <w:r w:rsidRPr="00B46735">
        <w:rPr>
          <w:iCs/>
          <w:sz w:val="20"/>
          <w:szCs w:val="20"/>
        </w:rPr>
        <w:t>support these responses</w:t>
      </w:r>
    </w:p>
    <w:p w14:paraId="36782285" w14:textId="1066449E" w:rsidR="00755137" w:rsidRDefault="00755137">
      <w:pPr>
        <w:spacing w:after="0"/>
        <w:rPr>
          <w:rFonts w:eastAsia="Times New Roman"/>
          <w:sz w:val="20"/>
          <w:szCs w:val="20"/>
          <w:lang w:eastAsia="en-AU"/>
        </w:rPr>
      </w:pPr>
      <w:r>
        <w:rPr>
          <w:sz w:val="20"/>
          <w:szCs w:val="20"/>
        </w:rPr>
        <w:br w:type="page"/>
      </w:r>
    </w:p>
    <w:p w14:paraId="39D1187E" w14:textId="7DA7E3D1" w:rsidR="00D85D1F" w:rsidRPr="00B34AD0" w:rsidRDefault="00D85D1F" w:rsidP="00D85D1F">
      <w:pPr>
        <w:pStyle w:val="Heading1"/>
      </w:pPr>
      <w:bookmarkStart w:id="40" w:name="_Ref514668071"/>
      <w:bookmarkStart w:id="41" w:name="_Toc529472451"/>
      <w:r>
        <w:lastRenderedPageBreak/>
        <w:t xml:space="preserve">Implementing this </w:t>
      </w:r>
      <w:r w:rsidR="00414AE4">
        <w:t>s</w:t>
      </w:r>
      <w:r>
        <w:t>trategy</w:t>
      </w:r>
      <w:bookmarkEnd w:id="40"/>
      <w:bookmarkEnd w:id="41"/>
    </w:p>
    <w:p w14:paraId="25A55AE3" w14:textId="77777777" w:rsidR="00D85D1F" w:rsidRPr="00434A39" w:rsidRDefault="00D85D1F" w:rsidP="00D85D1F">
      <w:pPr>
        <w:rPr>
          <w:b/>
          <w:color w:val="00264D"/>
          <w:sz w:val="20"/>
        </w:rPr>
      </w:pPr>
      <w:r w:rsidRPr="00434A39">
        <w:rPr>
          <w:b/>
          <w:color w:val="00264D"/>
          <w:sz w:val="20"/>
        </w:rPr>
        <w:t>Leadership, partnership and connections to community</w:t>
      </w:r>
    </w:p>
    <w:p w14:paraId="539C8A62" w14:textId="77777777" w:rsidR="00D85D1F" w:rsidRPr="00FD22CD" w:rsidRDefault="00D85D1F" w:rsidP="00D85D1F">
      <w:pPr>
        <w:rPr>
          <w:sz w:val="20"/>
          <w:szCs w:val="20"/>
          <w:lang w:eastAsia="en-AU"/>
        </w:rPr>
      </w:pPr>
      <w:r>
        <w:rPr>
          <w:sz w:val="20"/>
          <w:szCs w:val="20"/>
          <w:lang w:eastAsia="en-AU"/>
        </w:rPr>
        <w:t>Australia’s response to BBV and STI in Aboriginal and Torres Strait Islander people</w:t>
      </w:r>
      <w:r w:rsidR="00970031">
        <w:rPr>
          <w:sz w:val="20"/>
          <w:szCs w:val="20"/>
          <w:lang w:eastAsia="en-AU"/>
        </w:rPr>
        <w:t>s</w:t>
      </w:r>
      <w:r w:rsidRPr="00FD22CD">
        <w:rPr>
          <w:sz w:val="20"/>
          <w:szCs w:val="20"/>
          <w:lang w:eastAsia="en-AU"/>
        </w:rPr>
        <w:t xml:space="preserve"> is built on </w:t>
      </w:r>
      <w:r>
        <w:rPr>
          <w:sz w:val="20"/>
          <w:szCs w:val="20"/>
          <w:lang w:eastAsia="en-AU"/>
        </w:rPr>
        <w:t xml:space="preserve">a model of </w:t>
      </w:r>
      <w:r w:rsidRPr="00FD22CD">
        <w:rPr>
          <w:sz w:val="20"/>
          <w:szCs w:val="20"/>
          <w:lang w:eastAsia="en-AU"/>
        </w:rPr>
        <w:t xml:space="preserve">partnership between </w:t>
      </w:r>
      <w:r w:rsidR="00A34465">
        <w:rPr>
          <w:sz w:val="20"/>
          <w:szCs w:val="20"/>
          <w:lang w:eastAsia="en-AU"/>
        </w:rPr>
        <w:t xml:space="preserve">communities, </w:t>
      </w:r>
      <w:r w:rsidR="009E5BEA">
        <w:rPr>
          <w:sz w:val="20"/>
          <w:szCs w:val="20"/>
          <w:lang w:eastAsia="en-AU"/>
        </w:rPr>
        <w:t xml:space="preserve">priority </w:t>
      </w:r>
      <w:r w:rsidR="00A34465">
        <w:rPr>
          <w:sz w:val="20"/>
          <w:szCs w:val="20"/>
          <w:lang w:eastAsia="en-AU"/>
        </w:rPr>
        <w:t>groups</w:t>
      </w:r>
      <w:r w:rsidR="009E5BEA">
        <w:rPr>
          <w:sz w:val="20"/>
          <w:szCs w:val="20"/>
          <w:lang w:eastAsia="en-AU"/>
        </w:rPr>
        <w:t xml:space="preserve">, </w:t>
      </w:r>
      <w:r w:rsidRPr="00FD22CD">
        <w:rPr>
          <w:sz w:val="20"/>
          <w:szCs w:val="20"/>
          <w:lang w:eastAsia="en-AU"/>
        </w:rPr>
        <w:t>government, community-based organisations, researchers</w:t>
      </w:r>
      <w:r w:rsidR="009E5BEA">
        <w:rPr>
          <w:sz w:val="20"/>
          <w:szCs w:val="20"/>
          <w:lang w:eastAsia="en-AU"/>
        </w:rPr>
        <w:t xml:space="preserve"> and</w:t>
      </w:r>
      <w:r w:rsidRPr="00FD22CD">
        <w:rPr>
          <w:sz w:val="20"/>
          <w:szCs w:val="20"/>
          <w:lang w:eastAsia="en-AU"/>
        </w:rPr>
        <w:t xml:space="preserve"> health professionals. The partnership approach depends on clear leadership roles and accountability for all involved. </w:t>
      </w:r>
    </w:p>
    <w:p w14:paraId="3775BC3A" w14:textId="75B07728" w:rsidR="00D85D1F" w:rsidRPr="00FD22CD" w:rsidRDefault="00D85D1F" w:rsidP="00D85D1F">
      <w:pPr>
        <w:rPr>
          <w:sz w:val="20"/>
          <w:szCs w:val="20"/>
          <w:lang w:eastAsia="en-AU"/>
        </w:rPr>
      </w:pPr>
      <w:r w:rsidRPr="00FD22CD">
        <w:rPr>
          <w:sz w:val="20"/>
          <w:szCs w:val="20"/>
          <w:lang w:eastAsia="en-AU"/>
        </w:rPr>
        <w:t xml:space="preserve">The Australian Government is committed to providing strong national leadership by working across portfolios and jurisdictions to achieve </w:t>
      </w:r>
      <w:r w:rsidRPr="00801226">
        <w:rPr>
          <w:sz w:val="20"/>
          <w:szCs w:val="20"/>
          <w:lang w:eastAsia="en-AU"/>
        </w:rPr>
        <w:t>the goal</w:t>
      </w:r>
      <w:r w:rsidR="00801226" w:rsidRPr="00801226">
        <w:rPr>
          <w:sz w:val="20"/>
          <w:szCs w:val="20"/>
          <w:lang w:eastAsia="en-AU"/>
        </w:rPr>
        <w:t>s</w:t>
      </w:r>
      <w:r w:rsidRPr="00801226">
        <w:rPr>
          <w:sz w:val="20"/>
          <w:szCs w:val="20"/>
          <w:lang w:eastAsia="en-AU"/>
        </w:rPr>
        <w:t xml:space="preserve"> of</w:t>
      </w:r>
      <w:r w:rsidRPr="00FD22CD">
        <w:rPr>
          <w:sz w:val="20"/>
          <w:szCs w:val="20"/>
          <w:lang w:eastAsia="en-AU"/>
        </w:rPr>
        <w:t xml:space="preserve"> this </w:t>
      </w:r>
      <w:r w:rsidR="00414AE4">
        <w:rPr>
          <w:sz w:val="20"/>
          <w:szCs w:val="20"/>
          <w:lang w:eastAsia="en-AU"/>
        </w:rPr>
        <w:t>s</w:t>
      </w:r>
      <w:r w:rsidRPr="00FD22CD">
        <w:rPr>
          <w:sz w:val="20"/>
          <w:szCs w:val="20"/>
          <w:lang w:eastAsia="en-AU"/>
        </w:rPr>
        <w:t>trategy. The Australian Government Department of Health leads the coordination of the national response to</w:t>
      </w:r>
      <w:r>
        <w:rPr>
          <w:sz w:val="20"/>
          <w:szCs w:val="20"/>
          <w:lang w:eastAsia="en-AU"/>
        </w:rPr>
        <w:t xml:space="preserve"> BBV and STI in Aboriginal and Torres Strait Islander people</w:t>
      </w:r>
      <w:r w:rsidRPr="00FD22CD">
        <w:rPr>
          <w:sz w:val="20"/>
          <w:szCs w:val="20"/>
          <w:lang w:eastAsia="en-AU"/>
        </w:rPr>
        <w:t xml:space="preserve"> under </w:t>
      </w:r>
      <w:r w:rsidRPr="00A255D9">
        <w:rPr>
          <w:sz w:val="20"/>
          <w:szCs w:val="20"/>
          <w:lang w:eastAsia="en-AU"/>
        </w:rPr>
        <w:t xml:space="preserve">the </w:t>
      </w:r>
      <w:r w:rsidRPr="00414AE4">
        <w:rPr>
          <w:sz w:val="20"/>
          <w:szCs w:val="20"/>
          <w:lang w:eastAsia="en-AU"/>
        </w:rPr>
        <w:t xml:space="preserve">National Aboriginal and Torres Strait </w:t>
      </w:r>
      <w:r w:rsidRPr="00801226">
        <w:rPr>
          <w:sz w:val="20"/>
          <w:szCs w:val="20"/>
          <w:lang w:eastAsia="en-AU"/>
        </w:rPr>
        <w:t>Islander BBV and STI Strategy</w:t>
      </w:r>
      <w:r w:rsidRPr="00414AE4">
        <w:rPr>
          <w:sz w:val="20"/>
          <w:szCs w:val="20"/>
          <w:lang w:eastAsia="en-AU"/>
        </w:rPr>
        <w:t>.</w:t>
      </w:r>
      <w:r w:rsidRPr="00FD22CD">
        <w:rPr>
          <w:sz w:val="20"/>
          <w:szCs w:val="20"/>
          <w:lang w:eastAsia="en-AU"/>
        </w:rPr>
        <w:t xml:space="preserve"> </w:t>
      </w:r>
      <w:r w:rsidR="0086368D">
        <w:rPr>
          <w:sz w:val="20"/>
          <w:szCs w:val="20"/>
          <w:lang w:eastAsia="en-AU"/>
        </w:rPr>
        <w:t>However, t</w:t>
      </w:r>
      <w:r w:rsidRPr="00FD22CD">
        <w:rPr>
          <w:sz w:val="20"/>
          <w:szCs w:val="20"/>
          <w:lang w:eastAsia="en-AU"/>
        </w:rPr>
        <w:t>he success of th</w:t>
      </w:r>
      <w:r w:rsidR="00414AE4">
        <w:rPr>
          <w:sz w:val="20"/>
          <w:szCs w:val="20"/>
          <w:lang w:eastAsia="en-AU"/>
        </w:rPr>
        <w:t>is</w:t>
      </w:r>
      <w:r w:rsidRPr="00FD22CD">
        <w:rPr>
          <w:sz w:val="20"/>
          <w:szCs w:val="20"/>
          <w:lang w:eastAsia="en-AU"/>
        </w:rPr>
        <w:t xml:space="preserve"> </w:t>
      </w:r>
      <w:r w:rsidR="00414AE4">
        <w:rPr>
          <w:sz w:val="20"/>
          <w:szCs w:val="20"/>
          <w:lang w:eastAsia="en-AU"/>
        </w:rPr>
        <w:t>s</w:t>
      </w:r>
      <w:r w:rsidRPr="00FD22CD">
        <w:rPr>
          <w:sz w:val="20"/>
          <w:szCs w:val="20"/>
          <w:lang w:eastAsia="en-AU"/>
        </w:rPr>
        <w:t xml:space="preserve">trategy is contingent </w:t>
      </w:r>
      <w:r>
        <w:rPr>
          <w:sz w:val="20"/>
          <w:szCs w:val="20"/>
          <w:lang w:eastAsia="en-AU"/>
        </w:rPr>
        <w:t>on productive</w:t>
      </w:r>
      <w:r w:rsidRPr="00FD22CD">
        <w:rPr>
          <w:sz w:val="20"/>
          <w:szCs w:val="20"/>
          <w:lang w:eastAsia="en-AU"/>
        </w:rPr>
        <w:t xml:space="preserve"> partnership</w:t>
      </w:r>
      <w:r>
        <w:rPr>
          <w:sz w:val="20"/>
          <w:szCs w:val="20"/>
          <w:lang w:eastAsia="en-AU"/>
        </w:rPr>
        <w:t>s</w:t>
      </w:r>
      <w:r w:rsidRPr="00FD22CD">
        <w:rPr>
          <w:sz w:val="20"/>
          <w:szCs w:val="20"/>
          <w:lang w:eastAsia="en-AU"/>
        </w:rPr>
        <w:t xml:space="preserve"> </w:t>
      </w:r>
      <w:r>
        <w:rPr>
          <w:sz w:val="20"/>
          <w:szCs w:val="20"/>
          <w:lang w:eastAsia="en-AU"/>
        </w:rPr>
        <w:t>between</w:t>
      </w:r>
      <w:r w:rsidRPr="00FD22CD">
        <w:rPr>
          <w:sz w:val="20"/>
          <w:szCs w:val="20"/>
          <w:lang w:eastAsia="en-AU"/>
        </w:rPr>
        <w:t xml:space="preserve"> </w:t>
      </w:r>
      <w:r w:rsidR="00414AE4">
        <w:rPr>
          <w:sz w:val="20"/>
          <w:szCs w:val="20"/>
          <w:lang w:eastAsia="en-AU"/>
        </w:rPr>
        <w:t>Australian</w:t>
      </w:r>
      <w:r w:rsidRPr="00FD22CD">
        <w:rPr>
          <w:sz w:val="20"/>
          <w:szCs w:val="20"/>
          <w:lang w:eastAsia="en-AU"/>
        </w:rPr>
        <w:t xml:space="preserve">, </w:t>
      </w:r>
      <w:r w:rsidR="0086368D">
        <w:rPr>
          <w:sz w:val="20"/>
          <w:szCs w:val="20"/>
          <w:lang w:eastAsia="en-AU"/>
        </w:rPr>
        <w:t>s</w:t>
      </w:r>
      <w:r w:rsidRPr="00FD22CD">
        <w:rPr>
          <w:sz w:val="20"/>
          <w:szCs w:val="20"/>
          <w:lang w:eastAsia="en-AU"/>
        </w:rPr>
        <w:t xml:space="preserve">tate and </w:t>
      </w:r>
      <w:r w:rsidR="0086368D">
        <w:rPr>
          <w:sz w:val="20"/>
          <w:szCs w:val="20"/>
          <w:lang w:eastAsia="en-AU"/>
        </w:rPr>
        <w:t>t</w:t>
      </w:r>
      <w:r w:rsidRPr="00FD22CD">
        <w:rPr>
          <w:sz w:val="20"/>
          <w:szCs w:val="20"/>
          <w:lang w:eastAsia="en-AU"/>
        </w:rPr>
        <w:t xml:space="preserve">erritory </w:t>
      </w:r>
      <w:r w:rsidR="0086368D">
        <w:rPr>
          <w:sz w:val="20"/>
          <w:szCs w:val="20"/>
          <w:lang w:eastAsia="en-AU"/>
        </w:rPr>
        <w:t>g</w:t>
      </w:r>
      <w:r w:rsidRPr="00FD22CD">
        <w:rPr>
          <w:sz w:val="20"/>
          <w:szCs w:val="20"/>
          <w:lang w:eastAsia="en-AU"/>
        </w:rPr>
        <w:t xml:space="preserve">overnments and partners, including peak bodies representing </w:t>
      </w:r>
      <w:r>
        <w:rPr>
          <w:sz w:val="20"/>
          <w:szCs w:val="20"/>
          <w:lang w:eastAsia="en-AU"/>
        </w:rPr>
        <w:t>communities</w:t>
      </w:r>
      <w:r w:rsidRPr="00FD22CD">
        <w:rPr>
          <w:sz w:val="20"/>
          <w:szCs w:val="20"/>
          <w:lang w:eastAsia="en-AU"/>
        </w:rPr>
        <w:t xml:space="preserve">, </w:t>
      </w:r>
      <w:r>
        <w:rPr>
          <w:sz w:val="20"/>
          <w:szCs w:val="20"/>
          <w:lang w:eastAsia="en-AU"/>
        </w:rPr>
        <w:t>health professionals</w:t>
      </w:r>
      <w:r w:rsidRPr="00FD22CD">
        <w:rPr>
          <w:sz w:val="20"/>
          <w:szCs w:val="20"/>
          <w:lang w:eastAsia="en-AU"/>
        </w:rPr>
        <w:t>, researchers and others</w:t>
      </w:r>
      <w:r w:rsidR="00C10167">
        <w:rPr>
          <w:sz w:val="20"/>
          <w:szCs w:val="20"/>
          <w:lang w:eastAsia="en-AU"/>
        </w:rPr>
        <w:t xml:space="preserve"> including service providers</w:t>
      </w:r>
      <w:r w:rsidRPr="00FD22CD">
        <w:rPr>
          <w:sz w:val="20"/>
          <w:szCs w:val="20"/>
          <w:lang w:eastAsia="en-AU"/>
        </w:rPr>
        <w:t>.</w:t>
      </w:r>
      <w:r>
        <w:rPr>
          <w:sz w:val="20"/>
          <w:szCs w:val="20"/>
          <w:lang w:eastAsia="en-AU"/>
        </w:rPr>
        <w:t xml:space="preserve"> In the case of research </w:t>
      </w:r>
      <w:r w:rsidR="0086368D">
        <w:rPr>
          <w:sz w:val="20"/>
          <w:szCs w:val="20"/>
          <w:lang w:eastAsia="en-AU"/>
        </w:rPr>
        <w:t xml:space="preserve">on </w:t>
      </w:r>
      <w:r>
        <w:rPr>
          <w:sz w:val="20"/>
          <w:szCs w:val="20"/>
          <w:lang w:eastAsia="en-AU"/>
        </w:rPr>
        <w:t>BBV and STI, it is imperative that this</w:t>
      </w:r>
      <w:r w:rsidRPr="00EA1123">
        <w:rPr>
          <w:sz w:val="20"/>
          <w:szCs w:val="20"/>
          <w:lang w:eastAsia="en-AU"/>
        </w:rPr>
        <w:t xml:space="preserve"> </w:t>
      </w:r>
      <w:r>
        <w:rPr>
          <w:sz w:val="20"/>
          <w:szCs w:val="20"/>
        </w:rPr>
        <w:t xml:space="preserve">is conducted in partnership with communities and aligned with the priorities of the </w:t>
      </w:r>
      <w:r w:rsidR="002B7B11">
        <w:rPr>
          <w:sz w:val="20"/>
          <w:szCs w:val="20"/>
        </w:rPr>
        <w:t xml:space="preserve">five </w:t>
      </w:r>
      <w:r>
        <w:rPr>
          <w:sz w:val="20"/>
          <w:szCs w:val="20"/>
        </w:rPr>
        <w:t xml:space="preserve">national strategies. </w:t>
      </w:r>
    </w:p>
    <w:p w14:paraId="3AC2C2C1" w14:textId="3BC40C1D" w:rsidR="00D85D1F" w:rsidRDefault="00D85D1F" w:rsidP="00D85D1F">
      <w:pPr>
        <w:rPr>
          <w:sz w:val="20"/>
          <w:szCs w:val="20"/>
          <w:lang w:eastAsia="en-AU"/>
        </w:rPr>
      </w:pPr>
      <w:r>
        <w:rPr>
          <w:sz w:val="20"/>
          <w:szCs w:val="20"/>
        </w:rPr>
        <w:t>National</w:t>
      </w:r>
      <w:r w:rsidRPr="00F81BE1">
        <w:rPr>
          <w:sz w:val="20"/>
          <w:szCs w:val="20"/>
        </w:rPr>
        <w:t xml:space="preserve"> </w:t>
      </w:r>
      <w:r>
        <w:rPr>
          <w:sz w:val="20"/>
          <w:szCs w:val="20"/>
        </w:rPr>
        <w:t xml:space="preserve">community and health </w:t>
      </w:r>
      <w:r w:rsidRPr="00F81BE1">
        <w:rPr>
          <w:sz w:val="20"/>
          <w:szCs w:val="20"/>
        </w:rPr>
        <w:t>peak</w:t>
      </w:r>
      <w:r>
        <w:rPr>
          <w:sz w:val="20"/>
          <w:szCs w:val="20"/>
        </w:rPr>
        <w:t xml:space="preserve"> organisations, and other organisations, </w:t>
      </w:r>
      <w:r w:rsidRPr="00FD22CD">
        <w:rPr>
          <w:sz w:val="20"/>
          <w:szCs w:val="20"/>
          <w:lang w:eastAsia="en-AU"/>
        </w:rPr>
        <w:t xml:space="preserve">representing </w:t>
      </w:r>
      <w:r>
        <w:rPr>
          <w:sz w:val="20"/>
          <w:szCs w:val="20"/>
          <w:lang w:eastAsia="en-AU"/>
        </w:rPr>
        <w:t xml:space="preserve">communities </w:t>
      </w:r>
      <w:r w:rsidRPr="00FD22CD">
        <w:rPr>
          <w:sz w:val="20"/>
          <w:szCs w:val="20"/>
          <w:lang w:eastAsia="en-AU"/>
        </w:rPr>
        <w:t>and</w:t>
      </w:r>
      <w:r>
        <w:rPr>
          <w:sz w:val="20"/>
          <w:szCs w:val="20"/>
          <w:lang w:eastAsia="en-AU"/>
        </w:rPr>
        <w:t xml:space="preserve"> </w:t>
      </w:r>
      <w:r w:rsidRPr="00FD22CD">
        <w:rPr>
          <w:sz w:val="20"/>
          <w:szCs w:val="20"/>
          <w:lang w:eastAsia="en-AU"/>
        </w:rPr>
        <w:t>the clinical workforce</w:t>
      </w:r>
      <w:r>
        <w:rPr>
          <w:sz w:val="20"/>
          <w:szCs w:val="20"/>
          <w:lang w:eastAsia="en-AU"/>
        </w:rPr>
        <w:t xml:space="preserve"> </w:t>
      </w:r>
      <w:r w:rsidRPr="00FD22CD">
        <w:rPr>
          <w:sz w:val="20"/>
          <w:szCs w:val="20"/>
          <w:lang w:eastAsia="en-AU"/>
        </w:rPr>
        <w:t xml:space="preserve">remain at the forefront of the response in Australia. </w:t>
      </w:r>
      <w:r>
        <w:rPr>
          <w:sz w:val="20"/>
          <w:szCs w:val="20"/>
          <w:lang w:eastAsia="en-AU"/>
        </w:rPr>
        <w:t>O</w:t>
      </w:r>
      <w:r w:rsidRPr="00FD22CD">
        <w:rPr>
          <w:sz w:val="20"/>
          <w:szCs w:val="20"/>
          <w:lang w:eastAsia="en-AU"/>
        </w:rPr>
        <w:t xml:space="preserve">rganisations </w:t>
      </w:r>
      <w:r>
        <w:rPr>
          <w:sz w:val="20"/>
          <w:szCs w:val="20"/>
          <w:lang w:eastAsia="en-AU"/>
        </w:rPr>
        <w:t xml:space="preserve">including </w:t>
      </w:r>
      <w:r w:rsidRPr="00FD22CD">
        <w:rPr>
          <w:sz w:val="20"/>
          <w:szCs w:val="20"/>
          <w:lang w:eastAsia="en-AU"/>
        </w:rPr>
        <w:t xml:space="preserve">the </w:t>
      </w:r>
      <w:r w:rsidR="00607E0B">
        <w:rPr>
          <w:sz w:val="20"/>
          <w:szCs w:val="20"/>
          <w:lang w:eastAsia="en-AU"/>
        </w:rPr>
        <w:t>National Aboriginal Community Controlled Health Organisation</w:t>
      </w:r>
      <w:r w:rsidR="002C5DFF">
        <w:rPr>
          <w:sz w:val="20"/>
          <w:szCs w:val="20"/>
          <w:lang w:eastAsia="en-AU"/>
        </w:rPr>
        <w:t xml:space="preserve"> and affiliates</w:t>
      </w:r>
      <w:r w:rsidR="00607E0B">
        <w:rPr>
          <w:sz w:val="20"/>
          <w:szCs w:val="20"/>
          <w:lang w:eastAsia="en-AU"/>
        </w:rPr>
        <w:t xml:space="preserve">; </w:t>
      </w:r>
      <w:r w:rsidR="0020450B">
        <w:rPr>
          <w:sz w:val="20"/>
          <w:szCs w:val="20"/>
        </w:rPr>
        <w:t>ACCHS</w:t>
      </w:r>
      <w:r w:rsidR="00607E0B" w:rsidRPr="00C4233D">
        <w:rPr>
          <w:sz w:val="20"/>
          <w:szCs w:val="20"/>
        </w:rPr>
        <w:t xml:space="preserve">; </w:t>
      </w:r>
      <w:r w:rsidRPr="00C4233D">
        <w:rPr>
          <w:sz w:val="20"/>
          <w:szCs w:val="20"/>
        </w:rPr>
        <w:t>the Australian Federation of AIDS Organisations; the Australian Indigenous Doctor’s Association; the Australian Injecting and Illicit Drug Users League; the Australasian Society for HIV, Viral Hepatitis and Sexual Health Medicine; Hepatitis Australia; the National Association of People with HIV Australia; Scarlet Alliance, Australian Sex Workers’ Association</w:t>
      </w:r>
      <w:r w:rsidR="00B93D25">
        <w:rPr>
          <w:sz w:val="20"/>
          <w:szCs w:val="20"/>
        </w:rPr>
        <w:t xml:space="preserve">; </w:t>
      </w:r>
      <w:r w:rsidR="00610901">
        <w:rPr>
          <w:sz w:val="20"/>
          <w:szCs w:val="20"/>
        </w:rPr>
        <w:t xml:space="preserve">and </w:t>
      </w:r>
      <w:r w:rsidR="00D32E2A" w:rsidRPr="00B93D25">
        <w:rPr>
          <w:sz w:val="20"/>
          <w:szCs w:val="20"/>
        </w:rPr>
        <w:t>t</w:t>
      </w:r>
      <w:r w:rsidR="00B93D25" w:rsidRPr="00B93D25">
        <w:rPr>
          <w:sz w:val="20"/>
          <w:szCs w:val="20"/>
        </w:rPr>
        <w:t>he Anwernekenhe National HIV Alliance</w:t>
      </w:r>
      <w:r w:rsidRPr="0020450B">
        <w:rPr>
          <w:sz w:val="20"/>
          <w:szCs w:val="20"/>
        </w:rPr>
        <w:t xml:space="preserve">, </w:t>
      </w:r>
      <w:r w:rsidR="002C5DFF" w:rsidRPr="0020450B">
        <w:rPr>
          <w:sz w:val="20"/>
          <w:szCs w:val="20"/>
        </w:rPr>
        <w:t xml:space="preserve">Positive Aboriginal Torres Strait </w:t>
      </w:r>
      <w:r w:rsidR="00A34465" w:rsidRPr="0020450B">
        <w:rPr>
          <w:sz w:val="20"/>
          <w:szCs w:val="20"/>
        </w:rPr>
        <w:t>I</w:t>
      </w:r>
      <w:r w:rsidR="002C5DFF" w:rsidRPr="0020450B">
        <w:rPr>
          <w:sz w:val="20"/>
          <w:szCs w:val="20"/>
        </w:rPr>
        <w:t xml:space="preserve">slander </w:t>
      </w:r>
      <w:r w:rsidR="00A34465" w:rsidRPr="0020450B">
        <w:rPr>
          <w:sz w:val="20"/>
          <w:szCs w:val="20"/>
        </w:rPr>
        <w:t>N</w:t>
      </w:r>
      <w:r w:rsidR="002C5DFF" w:rsidRPr="0020450B">
        <w:rPr>
          <w:sz w:val="20"/>
          <w:szCs w:val="20"/>
        </w:rPr>
        <w:t>etwork,</w:t>
      </w:r>
      <w:r w:rsidR="002C5DFF" w:rsidRPr="00A34465">
        <w:rPr>
          <w:sz w:val="20"/>
          <w:szCs w:val="20"/>
        </w:rPr>
        <w:t xml:space="preserve"> </w:t>
      </w:r>
      <w:r>
        <w:rPr>
          <w:sz w:val="20"/>
          <w:szCs w:val="20"/>
        </w:rPr>
        <w:t>and the relationship these organisations have with their members,</w:t>
      </w:r>
      <w:r>
        <w:rPr>
          <w:sz w:val="20"/>
          <w:szCs w:val="20"/>
          <w:lang w:eastAsia="en-AU"/>
        </w:rPr>
        <w:t xml:space="preserve"> </w:t>
      </w:r>
      <w:r w:rsidRPr="00FD22CD">
        <w:rPr>
          <w:sz w:val="20"/>
          <w:szCs w:val="20"/>
          <w:lang w:eastAsia="en-AU"/>
        </w:rPr>
        <w:t xml:space="preserve">have a critical role to play in the implementation of this </w:t>
      </w:r>
      <w:r w:rsidR="0020450B">
        <w:rPr>
          <w:sz w:val="20"/>
          <w:szCs w:val="20"/>
          <w:lang w:eastAsia="en-AU"/>
        </w:rPr>
        <w:t>s</w:t>
      </w:r>
      <w:r w:rsidRPr="00FD22CD">
        <w:rPr>
          <w:sz w:val="20"/>
          <w:szCs w:val="20"/>
          <w:lang w:eastAsia="en-AU"/>
        </w:rPr>
        <w:t xml:space="preserve">trategy. </w:t>
      </w:r>
    </w:p>
    <w:p w14:paraId="5CB63D1B" w14:textId="6B1199B0" w:rsidR="00D85D1F" w:rsidRPr="00434A39" w:rsidRDefault="00D85D1F" w:rsidP="00D85D1F">
      <w:pPr>
        <w:rPr>
          <w:b/>
          <w:color w:val="00264D"/>
          <w:sz w:val="20"/>
        </w:rPr>
      </w:pPr>
      <w:r w:rsidRPr="00434A39">
        <w:rPr>
          <w:b/>
          <w:color w:val="00264D"/>
          <w:sz w:val="20"/>
        </w:rPr>
        <w:t xml:space="preserve">Action </w:t>
      </w:r>
      <w:r w:rsidR="00610901">
        <w:rPr>
          <w:b/>
          <w:color w:val="00264D"/>
          <w:sz w:val="20"/>
        </w:rPr>
        <w:t>p</w:t>
      </w:r>
      <w:r w:rsidRPr="00434A39">
        <w:rPr>
          <w:b/>
          <w:color w:val="00264D"/>
          <w:sz w:val="20"/>
        </w:rPr>
        <w:t>lan</w:t>
      </w:r>
    </w:p>
    <w:p w14:paraId="56530A3A" w14:textId="564B4696" w:rsidR="00D85D1F" w:rsidRPr="00FD22CD" w:rsidRDefault="00D85D1F" w:rsidP="00D85D1F">
      <w:pPr>
        <w:rPr>
          <w:sz w:val="20"/>
          <w:szCs w:val="20"/>
          <w:lang w:eastAsia="en-AU"/>
        </w:rPr>
      </w:pPr>
      <w:r w:rsidRPr="00FD22CD">
        <w:rPr>
          <w:sz w:val="20"/>
          <w:szCs w:val="20"/>
          <w:lang w:eastAsia="en-AU"/>
        </w:rPr>
        <w:t xml:space="preserve">The </w:t>
      </w:r>
      <w:r w:rsidRPr="0020450B">
        <w:rPr>
          <w:sz w:val="20"/>
        </w:rPr>
        <w:t xml:space="preserve">National BBV and STI Strategies </w:t>
      </w:r>
      <w:r w:rsidR="007A2340">
        <w:rPr>
          <w:sz w:val="20"/>
        </w:rPr>
        <w:t>A</w:t>
      </w:r>
      <w:r w:rsidR="008917DE" w:rsidRPr="0020450B">
        <w:rPr>
          <w:sz w:val="20"/>
        </w:rPr>
        <w:t xml:space="preserve">ction </w:t>
      </w:r>
      <w:r w:rsidR="007A2340">
        <w:rPr>
          <w:sz w:val="20"/>
        </w:rPr>
        <w:t>P</w:t>
      </w:r>
      <w:r w:rsidR="008917DE" w:rsidRPr="0020450B">
        <w:rPr>
          <w:sz w:val="20"/>
        </w:rPr>
        <w:t xml:space="preserve">lan </w:t>
      </w:r>
      <w:r w:rsidRPr="0020450B">
        <w:rPr>
          <w:sz w:val="20"/>
        </w:rPr>
        <w:t>2018</w:t>
      </w:r>
      <w:r w:rsidR="00610901" w:rsidRPr="0020450B">
        <w:rPr>
          <w:sz w:val="20"/>
        </w:rPr>
        <w:t>–</w:t>
      </w:r>
      <w:r w:rsidRPr="0020450B">
        <w:rPr>
          <w:sz w:val="20"/>
        </w:rPr>
        <w:t>2022</w:t>
      </w:r>
      <w:r w:rsidRPr="00FD22CD">
        <w:rPr>
          <w:sz w:val="20"/>
          <w:szCs w:val="20"/>
          <w:lang w:eastAsia="en-AU"/>
        </w:rPr>
        <w:t xml:space="preserve"> provides the detail of specific actions for governments and partners. </w:t>
      </w:r>
      <w:r w:rsidRPr="0020450B">
        <w:rPr>
          <w:sz w:val="20"/>
          <w:szCs w:val="20"/>
          <w:lang w:eastAsia="en-AU"/>
        </w:rPr>
        <w:t xml:space="preserve">The </w:t>
      </w:r>
      <w:r w:rsidR="008917DE" w:rsidRPr="0020450B">
        <w:rPr>
          <w:sz w:val="20"/>
          <w:szCs w:val="20"/>
          <w:lang w:eastAsia="en-AU"/>
        </w:rPr>
        <w:t>action plan</w:t>
      </w:r>
      <w:r w:rsidR="008917DE" w:rsidRPr="00FD22CD">
        <w:rPr>
          <w:sz w:val="20"/>
          <w:szCs w:val="20"/>
          <w:lang w:eastAsia="en-AU"/>
        </w:rPr>
        <w:t xml:space="preserve"> </w:t>
      </w:r>
      <w:r w:rsidRPr="00FD22CD">
        <w:rPr>
          <w:sz w:val="20"/>
          <w:szCs w:val="20"/>
          <w:lang w:eastAsia="en-AU"/>
        </w:rPr>
        <w:t>outlines the roles and responsibilities of governments and partners and the time</w:t>
      </w:r>
      <w:r w:rsidR="00610901">
        <w:rPr>
          <w:sz w:val="20"/>
          <w:szCs w:val="20"/>
          <w:lang w:eastAsia="en-AU"/>
        </w:rPr>
        <w:t xml:space="preserve"> </w:t>
      </w:r>
      <w:r w:rsidRPr="00FD22CD">
        <w:rPr>
          <w:sz w:val="20"/>
          <w:szCs w:val="20"/>
          <w:lang w:eastAsia="en-AU"/>
        </w:rPr>
        <w:t xml:space="preserve">frames for implementation of the actions. Indicators for measuring the progress towards achievement of the </w:t>
      </w:r>
      <w:r w:rsidR="0020450B">
        <w:rPr>
          <w:sz w:val="20"/>
          <w:szCs w:val="20"/>
          <w:lang w:eastAsia="en-AU"/>
        </w:rPr>
        <w:t>s</w:t>
      </w:r>
      <w:r w:rsidRPr="00FD22CD">
        <w:rPr>
          <w:sz w:val="20"/>
          <w:szCs w:val="20"/>
          <w:lang w:eastAsia="en-AU"/>
        </w:rPr>
        <w:t xml:space="preserve">trategies’ targets will also be developed. The </w:t>
      </w:r>
      <w:r w:rsidR="008917DE" w:rsidRPr="00FD22CD">
        <w:rPr>
          <w:sz w:val="20"/>
          <w:szCs w:val="20"/>
          <w:lang w:eastAsia="en-AU"/>
        </w:rPr>
        <w:t xml:space="preserve">action plan </w:t>
      </w:r>
      <w:r w:rsidRPr="00FD22CD">
        <w:rPr>
          <w:sz w:val="20"/>
          <w:szCs w:val="20"/>
          <w:lang w:eastAsia="en-AU"/>
        </w:rPr>
        <w:t xml:space="preserve">will be reviewed as required during the lifetime of the </w:t>
      </w:r>
      <w:r w:rsidR="0020450B" w:rsidRPr="0020450B">
        <w:rPr>
          <w:sz w:val="20"/>
          <w:szCs w:val="20"/>
          <w:lang w:eastAsia="en-AU"/>
        </w:rPr>
        <w:t>s</w:t>
      </w:r>
      <w:r w:rsidRPr="0020450B">
        <w:rPr>
          <w:sz w:val="20"/>
          <w:szCs w:val="20"/>
          <w:lang w:eastAsia="en-AU"/>
        </w:rPr>
        <w:t>trategies</w:t>
      </w:r>
      <w:r w:rsidRPr="00FD22CD">
        <w:rPr>
          <w:sz w:val="20"/>
          <w:szCs w:val="20"/>
          <w:lang w:eastAsia="en-AU"/>
        </w:rPr>
        <w:t>.</w:t>
      </w:r>
    </w:p>
    <w:p w14:paraId="4ABC2F9B" w14:textId="3934DE9A" w:rsidR="00D85D1F" w:rsidRPr="00FD22CD" w:rsidRDefault="00D85D1F" w:rsidP="007E7CB6">
      <w:pPr>
        <w:pStyle w:val="ListParagraph"/>
        <w:ind w:left="0"/>
        <w:rPr>
          <w:sz w:val="20"/>
          <w:lang w:eastAsia="en-AU"/>
        </w:rPr>
      </w:pPr>
      <w:r w:rsidRPr="00FD22CD">
        <w:rPr>
          <w:sz w:val="20"/>
          <w:lang w:eastAsia="en-AU"/>
        </w:rPr>
        <w:t xml:space="preserve">The </w:t>
      </w:r>
      <w:r w:rsidRPr="0020450B">
        <w:rPr>
          <w:sz w:val="20"/>
          <w:lang w:eastAsia="en-AU"/>
        </w:rPr>
        <w:t xml:space="preserve">five national BBV and STI </w:t>
      </w:r>
      <w:r w:rsidR="00610901" w:rsidRPr="0020450B">
        <w:rPr>
          <w:sz w:val="20"/>
          <w:lang w:eastAsia="en-AU"/>
        </w:rPr>
        <w:t>s</w:t>
      </w:r>
      <w:r w:rsidRPr="0020450B">
        <w:rPr>
          <w:sz w:val="20"/>
          <w:lang w:eastAsia="en-AU"/>
        </w:rPr>
        <w:t>trategies sh</w:t>
      </w:r>
      <w:r w:rsidRPr="00FD22CD">
        <w:rPr>
          <w:sz w:val="20"/>
          <w:lang w:eastAsia="en-AU"/>
        </w:rPr>
        <w:t>are a number of key actions related to areas such as workforce, improving data and surveillance, education programs</w:t>
      </w:r>
      <w:r w:rsidR="00660FBF">
        <w:rPr>
          <w:sz w:val="20"/>
          <w:lang w:eastAsia="en-AU"/>
        </w:rPr>
        <w:t>,</w:t>
      </w:r>
      <w:r w:rsidRPr="00FD22CD">
        <w:rPr>
          <w:sz w:val="20"/>
          <w:lang w:eastAsia="en-AU"/>
        </w:rPr>
        <w:t xml:space="preserve"> and stigma and discrimination. The </w:t>
      </w:r>
      <w:r w:rsidR="008917DE" w:rsidRPr="00FD22CD">
        <w:rPr>
          <w:sz w:val="20"/>
          <w:lang w:eastAsia="en-AU"/>
        </w:rPr>
        <w:t xml:space="preserve">action plan </w:t>
      </w:r>
      <w:r w:rsidRPr="00FD22CD">
        <w:rPr>
          <w:sz w:val="20"/>
          <w:lang w:eastAsia="en-AU"/>
        </w:rPr>
        <w:t xml:space="preserve">will focus on encouraging connections between existing programs and policies, and </w:t>
      </w:r>
      <w:r w:rsidR="00D21996">
        <w:rPr>
          <w:sz w:val="20"/>
          <w:lang w:eastAsia="en-AU"/>
        </w:rPr>
        <w:t>build on p</w:t>
      </w:r>
      <w:r w:rsidRPr="00FD22CD">
        <w:rPr>
          <w:sz w:val="20"/>
          <w:lang w:eastAsia="en-AU"/>
        </w:rPr>
        <w:t>reviously successful approaches</w:t>
      </w:r>
      <w:r>
        <w:rPr>
          <w:sz w:val="20"/>
          <w:lang w:eastAsia="en-AU"/>
        </w:rPr>
        <w:t>,</w:t>
      </w:r>
      <w:r w:rsidRPr="00FD22CD">
        <w:rPr>
          <w:sz w:val="20"/>
          <w:lang w:eastAsia="en-AU"/>
        </w:rPr>
        <w:t xml:space="preserve"> to minimise duplication of effort. </w:t>
      </w:r>
      <w:r>
        <w:rPr>
          <w:sz w:val="20"/>
          <w:lang w:eastAsia="en-AU"/>
        </w:rPr>
        <w:t>It will also look for opportunities to learn from and adapt responses used for other diseases where relevant.</w:t>
      </w:r>
    </w:p>
    <w:p w14:paraId="307B33A9" w14:textId="77777777" w:rsidR="00D85D1F" w:rsidRPr="00FD22CD" w:rsidRDefault="00D85D1F" w:rsidP="00D85D1F">
      <w:pPr>
        <w:rPr>
          <w:sz w:val="20"/>
          <w:szCs w:val="20"/>
          <w:lang w:eastAsia="en-AU"/>
        </w:rPr>
      </w:pPr>
      <w:r w:rsidRPr="00434A39">
        <w:rPr>
          <w:b/>
          <w:color w:val="00264D"/>
          <w:sz w:val="20"/>
        </w:rPr>
        <w:t>Governance, reporting and evaluation</w:t>
      </w:r>
    </w:p>
    <w:p w14:paraId="0179B8E2" w14:textId="607968F0" w:rsidR="00D85D1F" w:rsidRPr="00FD22CD" w:rsidRDefault="00D85D1F" w:rsidP="00D85D1F">
      <w:pPr>
        <w:rPr>
          <w:sz w:val="20"/>
          <w:szCs w:val="20"/>
          <w:lang w:eastAsia="en-AU"/>
        </w:rPr>
      </w:pPr>
      <w:r w:rsidRPr="00FD22CD">
        <w:rPr>
          <w:sz w:val="20"/>
          <w:szCs w:val="20"/>
          <w:lang w:eastAsia="en-AU"/>
        </w:rPr>
        <w:t xml:space="preserve">The five national BBV and STI </w:t>
      </w:r>
      <w:r w:rsidR="0020450B">
        <w:rPr>
          <w:sz w:val="20"/>
          <w:szCs w:val="20"/>
          <w:lang w:eastAsia="en-AU"/>
        </w:rPr>
        <w:t>s</w:t>
      </w:r>
      <w:r w:rsidR="0020450B" w:rsidRPr="00FD22CD">
        <w:rPr>
          <w:sz w:val="20"/>
          <w:szCs w:val="20"/>
          <w:lang w:eastAsia="en-AU"/>
        </w:rPr>
        <w:t xml:space="preserve">trategies </w:t>
      </w:r>
      <w:r w:rsidRPr="00FD22CD">
        <w:rPr>
          <w:sz w:val="20"/>
          <w:szCs w:val="20"/>
          <w:lang w:eastAsia="en-AU"/>
        </w:rPr>
        <w:t>are endorsed by Australia’s Health Ministers and governed through relevant committees of the Australian Health Ministers’ Advisory Council (AHMAC). The Blood</w:t>
      </w:r>
      <w:r w:rsidR="00B360A1">
        <w:rPr>
          <w:sz w:val="20"/>
          <w:szCs w:val="20"/>
          <w:lang w:eastAsia="en-AU"/>
        </w:rPr>
        <w:t xml:space="preserve"> </w:t>
      </w:r>
      <w:r w:rsidRPr="00FD22CD">
        <w:rPr>
          <w:sz w:val="20"/>
          <w:szCs w:val="20"/>
          <w:lang w:eastAsia="en-AU"/>
        </w:rPr>
        <w:t>Borne Viruses and Sexually Transmissible Infections Standing Committee (BBVSS) coordinate</w:t>
      </w:r>
      <w:r w:rsidR="00D32E2A">
        <w:rPr>
          <w:sz w:val="20"/>
          <w:szCs w:val="20"/>
          <w:lang w:eastAsia="en-AU"/>
        </w:rPr>
        <w:t>s</w:t>
      </w:r>
      <w:r w:rsidRPr="00FD22CD">
        <w:rPr>
          <w:sz w:val="20"/>
          <w:szCs w:val="20"/>
          <w:lang w:eastAsia="en-AU"/>
        </w:rPr>
        <w:t xml:space="preserve"> implementation efforts across jurisdictions and reports to the Australian Health Protection Principal Committee (AHPPC) on progress in the implementation of the national </w:t>
      </w:r>
      <w:r w:rsidR="0020450B" w:rsidRPr="0020450B">
        <w:rPr>
          <w:sz w:val="20"/>
          <w:szCs w:val="20"/>
          <w:lang w:eastAsia="en-AU"/>
        </w:rPr>
        <w:t>s</w:t>
      </w:r>
      <w:r w:rsidRPr="0020450B">
        <w:rPr>
          <w:sz w:val="20"/>
          <w:szCs w:val="20"/>
          <w:lang w:eastAsia="en-AU"/>
        </w:rPr>
        <w:t>trategies</w:t>
      </w:r>
      <w:r w:rsidRPr="00FD22CD">
        <w:rPr>
          <w:sz w:val="20"/>
          <w:szCs w:val="20"/>
          <w:lang w:eastAsia="en-AU"/>
        </w:rPr>
        <w:t xml:space="preserve">. BBVSS and the Communicable Diseases Network Australia (CDNA) will jointly monitor progress towards the targets of each </w:t>
      </w:r>
      <w:r w:rsidR="0020450B">
        <w:rPr>
          <w:sz w:val="20"/>
          <w:szCs w:val="20"/>
          <w:lang w:eastAsia="en-AU"/>
        </w:rPr>
        <w:t>s</w:t>
      </w:r>
      <w:r w:rsidRPr="00FD22CD">
        <w:rPr>
          <w:sz w:val="20"/>
          <w:szCs w:val="20"/>
          <w:lang w:eastAsia="en-AU"/>
        </w:rPr>
        <w:t>trategy and identify emerging issues and opportunities for action.</w:t>
      </w:r>
    </w:p>
    <w:p w14:paraId="35B66B74" w14:textId="37122EE0" w:rsidR="00D85D1F" w:rsidRPr="00434A39" w:rsidRDefault="00D85D1F" w:rsidP="00D85D1F">
      <w:pPr>
        <w:rPr>
          <w:b/>
          <w:color w:val="00264D"/>
          <w:sz w:val="20"/>
        </w:rPr>
      </w:pPr>
      <w:r w:rsidRPr="00434A39">
        <w:rPr>
          <w:b/>
          <w:color w:val="00264D"/>
          <w:sz w:val="20"/>
        </w:rPr>
        <w:t xml:space="preserve">Surveillance and </w:t>
      </w:r>
      <w:r w:rsidR="00610901">
        <w:rPr>
          <w:b/>
          <w:color w:val="00264D"/>
          <w:sz w:val="20"/>
        </w:rPr>
        <w:t>m</w:t>
      </w:r>
      <w:r w:rsidRPr="00434A39">
        <w:rPr>
          <w:b/>
          <w:color w:val="00264D"/>
          <w:sz w:val="20"/>
        </w:rPr>
        <w:t xml:space="preserve">onitoring </w:t>
      </w:r>
      <w:r w:rsidR="00610901">
        <w:rPr>
          <w:b/>
          <w:color w:val="00264D"/>
          <w:sz w:val="20"/>
        </w:rPr>
        <w:t>p</w:t>
      </w:r>
      <w:r w:rsidRPr="00434A39">
        <w:rPr>
          <w:b/>
          <w:color w:val="00264D"/>
          <w:sz w:val="20"/>
        </w:rPr>
        <w:t>lan</w:t>
      </w:r>
    </w:p>
    <w:p w14:paraId="32450135" w14:textId="4B8390E7" w:rsidR="00D85D1F" w:rsidRPr="00FD0CA6" w:rsidRDefault="00D85D1F" w:rsidP="00D85D1F">
      <w:pPr>
        <w:rPr>
          <w:sz w:val="20"/>
          <w:szCs w:val="20"/>
          <w:lang w:eastAsia="en-AU"/>
        </w:rPr>
        <w:sectPr w:rsidR="00D85D1F" w:rsidRPr="00FD0CA6" w:rsidSect="00140F0D">
          <w:footnotePr>
            <w:numFmt w:val="lowerLetter"/>
          </w:footnotePr>
          <w:endnotePr>
            <w:numFmt w:val="decimal"/>
          </w:endnotePr>
          <w:pgSz w:w="11907" w:h="16839" w:code="9"/>
          <w:pgMar w:top="1440" w:right="1080" w:bottom="1440" w:left="1080" w:header="720" w:footer="720" w:gutter="0"/>
          <w:cols w:space="720"/>
          <w:docGrid w:linePitch="360"/>
        </w:sectPr>
      </w:pPr>
      <w:r w:rsidRPr="00FD22CD">
        <w:rPr>
          <w:sz w:val="20"/>
          <w:szCs w:val="20"/>
          <w:lang w:eastAsia="en-AU"/>
        </w:rPr>
        <w:t xml:space="preserve">The </w:t>
      </w:r>
      <w:r w:rsidRPr="0020450B">
        <w:rPr>
          <w:sz w:val="20"/>
        </w:rPr>
        <w:t>National BBV and STI Surveillance and Monitoring Plan 2018</w:t>
      </w:r>
      <w:r w:rsidR="00610901" w:rsidRPr="0020450B">
        <w:rPr>
          <w:sz w:val="20"/>
        </w:rPr>
        <w:t>–</w:t>
      </w:r>
      <w:r w:rsidRPr="0020450B">
        <w:rPr>
          <w:sz w:val="20"/>
        </w:rPr>
        <w:t>2022</w:t>
      </w:r>
      <w:r w:rsidRPr="00FD22CD">
        <w:rPr>
          <w:sz w:val="20"/>
          <w:szCs w:val="20"/>
          <w:lang w:eastAsia="en-AU"/>
        </w:rPr>
        <w:t xml:space="preserve"> supports the </w:t>
      </w:r>
      <w:r w:rsidR="002B7B11">
        <w:rPr>
          <w:sz w:val="20"/>
          <w:szCs w:val="20"/>
          <w:lang w:eastAsia="en-AU"/>
        </w:rPr>
        <w:t xml:space="preserve">five </w:t>
      </w:r>
      <w:r w:rsidRPr="00FD22CD">
        <w:rPr>
          <w:sz w:val="20"/>
          <w:szCs w:val="20"/>
          <w:lang w:eastAsia="en-AU"/>
        </w:rPr>
        <w:t xml:space="preserve">national </w:t>
      </w:r>
      <w:r w:rsidR="002B7B11">
        <w:rPr>
          <w:sz w:val="20"/>
          <w:szCs w:val="20"/>
          <w:lang w:eastAsia="en-AU"/>
        </w:rPr>
        <w:t xml:space="preserve">BBV and STI </w:t>
      </w:r>
      <w:r w:rsidR="0020450B">
        <w:rPr>
          <w:sz w:val="20"/>
          <w:szCs w:val="20"/>
          <w:lang w:eastAsia="en-AU"/>
        </w:rPr>
        <w:t>s</w:t>
      </w:r>
      <w:r w:rsidRPr="00FD22CD">
        <w:rPr>
          <w:sz w:val="20"/>
          <w:szCs w:val="20"/>
          <w:lang w:eastAsia="en-AU"/>
        </w:rPr>
        <w:t xml:space="preserve">trategies and informs and monitors progress on achieving the goals and targets of each </w:t>
      </w:r>
      <w:r w:rsidR="0020450B">
        <w:rPr>
          <w:sz w:val="20"/>
          <w:szCs w:val="20"/>
          <w:lang w:eastAsia="en-AU"/>
        </w:rPr>
        <w:t>s</w:t>
      </w:r>
      <w:r w:rsidRPr="00FD22CD">
        <w:rPr>
          <w:sz w:val="20"/>
          <w:szCs w:val="20"/>
          <w:lang w:eastAsia="en-AU"/>
        </w:rPr>
        <w:t xml:space="preserve">trategy. A </w:t>
      </w:r>
      <w:r w:rsidRPr="00FD22CD">
        <w:rPr>
          <w:sz w:val="20"/>
          <w:szCs w:val="20"/>
          <w:lang w:eastAsia="en-AU"/>
        </w:rPr>
        <w:lastRenderedPageBreak/>
        <w:t>subcommittee of the CDNA is responsible for over</w:t>
      </w:r>
      <w:r w:rsidR="00DE4E44">
        <w:rPr>
          <w:sz w:val="20"/>
          <w:szCs w:val="20"/>
          <w:lang w:eastAsia="en-AU"/>
        </w:rPr>
        <w:t>seeing the s</w:t>
      </w:r>
      <w:r w:rsidRPr="00FD22CD">
        <w:rPr>
          <w:sz w:val="20"/>
          <w:szCs w:val="20"/>
          <w:lang w:eastAsia="en-AU"/>
        </w:rPr>
        <w:t xml:space="preserve">urveillance and </w:t>
      </w:r>
      <w:r w:rsidR="00DE4E44">
        <w:rPr>
          <w:sz w:val="20"/>
          <w:szCs w:val="20"/>
          <w:lang w:eastAsia="en-AU"/>
        </w:rPr>
        <w:t>monitoring p</w:t>
      </w:r>
      <w:r w:rsidRPr="00FD22CD">
        <w:rPr>
          <w:sz w:val="20"/>
          <w:szCs w:val="20"/>
          <w:lang w:eastAsia="en-AU"/>
        </w:rPr>
        <w:t>lan and reporting on progress to the CDNA and BBVS</w:t>
      </w:r>
      <w:bookmarkStart w:id="42" w:name="_Toc499570299"/>
      <w:bookmarkStart w:id="43" w:name="_Toc499570301"/>
      <w:bookmarkStart w:id="44" w:name="_Toc499570302"/>
      <w:bookmarkStart w:id="45" w:name="_Toc499570303"/>
      <w:bookmarkStart w:id="46" w:name="_Toc499570304"/>
      <w:bookmarkEnd w:id="42"/>
      <w:bookmarkEnd w:id="43"/>
      <w:bookmarkEnd w:id="44"/>
      <w:bookmarkEnd w:id="45"/>
      <w:bookmarkEnd w:id="46"/>
      <w:r>
        <w:rPr>
          <w:sz w:val="20"/>
          <w:szCs w:val="20"/>
          <w:lang w:eastAsia="en-AU"/>
        </w:rPr>
        <w:t>S.</w:t>
      </w:r>
    </w:p>
    <w:p w14:paraId="1C4C18CF" w14:textId="2C5B666F" w:rsidR="00C360E9" w:rsidRPr="006B3C1E" w:rsidRDefault="00C360E9" w:rsidP="00C360E9">
      <w:pPr>
        <w:pStyle w:val="xAppendixLevel1"/>
        <w:ind w:left="2127"/>
        <w:jc w:val="left"/>
      </w:pPr>
      <w:bookmarkStart w:id="47" w:name="_Ref522542807"/>
      <w:bookmarkStart w:id="48" w:name="_Toc529472452"/>
      <w:r>
        <w:lastRenderedPageBreak/>
        <w:t xml:space="preserve">National BBV and STI </w:t>
      </w:r>
      <w:r w:rsidR="00610901">
        <w:t>g</w:t>
      </w:r>
      <w:r>
        <w:t xml:space="preserve">uiding </w:t>
      </w:r>
      <w:r w:rsidR="00610901">
        <w:t>p</w:t>
      </w:r>
      <w:r>
        <w:t>rinciples</w:t>
      </w:r>
      <w:bookmarkEnd w:id="47"/>
      <w:bookmarkEnd w:id="48"/>
    </w:p>
    <w:p w14:paraId="2E608CC6" w14:textId="77777777" w:rsidR="00C360E9" w:rsidRDefault="00C360E9" w:rsidP="00D528C4"/>
    <w:p w14:paraId="49055E06" w14:textId="77777777" w:rsidR="00C360E9" w:rsidRDefault="00D40955" w:rsidP="00D528C4">
      <w:r>
        <w:rPr>
          <w:noProof/>
          <w:lang w:eastAsia="en-AU"/>
        </w:rPr>
        <w:drawing>
          <wp:inline distT="0" distB="0" distL="0" distR="0" wp14:anchorId="774A5812" wp14:editId="5772CEF2">
            <wp:extent cx="6252331" cy="6353175"/>
            <wp:effectExtent l="0" t="0" r="0" b="0"/>
            <wp:docPr id="8" name="Picture 8" descr="Guiding Principles " title="Appendix A: Guiding Prin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52573" cy="6353421"/>
                    </a:xfrm>
                    <a:prstGeom prst="rect">
                      <a:avLst/>
                    </a:prstGeom>
                    <a:noFill/>
                    <a:ln>
                      <a:noFill/>
                    </a:ln>
                  </pic:spPr>
                </pic:pic>
              </a:graphicData>
            </a:graphic>
          </wp:inline>
        </w:drawing>
      </w:r>
    </w:p>
    <w:p w14:paraId="6DF4DAB4" w14:textId="77777777" w:rsidR="00E76320" w:rsidRPr="006B3C1E" w:rsidRDefault="00E76320" w:rsidP="002A68F0">
      <w:pPr>
        <w:pStyle w:val="xAppendixLevel1"/>
      </w:pPr>
      <w:bookmarkStart w:id="49" w:name="_Toc496281675"/>
      <w:bookmarkStart w:id="50" w:name="_Toc496282335"/>
      <w:bookmarkStart w:id="51" w:name="_Toc529472453"/>
      <w:r w:rsidRPr="006B3C1E">
        <w:lastRenderedPageBreak/>
        <w:t>References</w:t>
      </w:r>
      <w:bookmarkEnd w:id="49"/>
      <w:bookmarkEnd w:id="50"/>
      <w:bookmarkEnd w:id="51"/>
    </w:p>
    <w:sectPr w:rsidR="00E76320" w:rsidRPr="006B3C1E" w:rsidSect="00140F0D">
      <w:endnotePr>
        <w:numFmt w:val="decimal"/>
      </w:endnotePr>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6EE28D" w14:textId="77777777" w:rsidR="00BA4B48" w:rsidRDefault="00BA4B48" w:rsidP="00302076">
      <w:pPr>
        <w:spacing w:after="0"/>
      </w:pPr>
      <w:r>
        <w:separator/>
      </w:r>
    </w:p>
  </w:endnote>
  <w:endnote w:type="continuationSeparator" w:id="0">
    <w:p w14:paraId="25CD2F73" w14:textId="77777777" w:rsidR="00BA4B48" w:rsidRDefault="00BA4B48" w:rsidP="00302076">
      <w:pPr>
        <w:spacing w:after="0"/>
      </w:pPr>
      <w:r>
        <w:continuationSeparator/>
      </w:r>
    </w:p>
  </w:endnote>
  <w:endnote w:type="continuationNotice" w:id="1">
    <w:p w14:paraId="24F1DE9C" w14:textId="77777777" w:rsidR="00BA4B48" w:rsidRDefault="00BA4B48">
      <w:pPr>
        <w:spacing w:after="0"/>
      </w:pPr>
    </w:p>
  </w:endnote>
  <w:endnote w:id="2">
    <w:p w14:paraId="0375B75E" w14:textId="0B277E21" w:rsidR="00BA4B48" w:rsidRPr="00C843AB" w:rsidRDefault="00BA4B48" w:rsidP="00573F87">
      <w:pPr>
        <w:pStyle w:val="EndnoteText"/>
        <w:spacing w:after="120"/>
        <w:rPr>
          <w:sz w:val="18"/>
          <w:szCs w:val="18"/>
        </w:rPr>
      </w:pPr>
      <w:r>
        <w:rPr>
          <w:rStyle w:val="EndnoteReference"/>
        </w:rPr>
        <w:endnoteRef/>
      </w:r>
      <w:r>
        <w:t xml:space="preserve"> </w:t>
      </w:r>
      <w:r w:rsidRPr="00C843AB">
        <w:rPr>
          <w:sz w:val="18"/>
          <w:szCs w:val="18"/>
        </w:rPr>
        <w:t>Australian Bureau of Statistics</w:t>
      </w:r>
      <w:r>
        <w:rPr>
          <w:sz w:val="18"/>
          <w:szCs w:val="18"/>
        </w:rPr>
        <w:t>.</w:t>
      </w:r>
      <w:r w:rsidRPr="00C843AB">
        <w:rPr>
          <w:sz w:val="18"/>
          <w:szCs w:val="18"/>
        </w:rPr>
        <w:t xml:space="preserve"> (2010)</w:t>
      </w:r>
      <w:r>
        <w:rPr>
          <w:sz w:val="18"/>
          <w:szCs w:val="18"/>
        </w:rPr>
        <w:t>.</w:t>
      </w:r>
      <w:r w:rsidRPr="00C843AB">
        <w:rPr>
          <w:sz w:val="18"/>
          <w:szCs w:val="18"/>
        </w:rPr>
        <w:t xml:space="preserve"> </w:t>
      </w:r>
      <w:r w:rsidRPr="0020450B">
        <w:rPr>
          <w:sz w:val="18"/>
          <w:szCs w:val="18"/>
          <w:u w:val="single"/>
        </w:rPr>
        <w:t>National Aboriginal and Torres Strait Islander Social Survey</w:t>
      </w:r>
      <w:r>
        <w:rPr>
          <w:sz w:val="18"/>
          <w:szCs w:val="18"/>
        </w:rPr>
        <w:t>.</w:t>
      </w:r>
      <w:r w:rsidRPr="00C843AB">
        <w:rPr>
          <w:sz w:val="18"/>
          <w:szCs w:val="18"/>
        </w:rPr>
        <w:t xml:space="preserve"> ABS Cat. No. 4704.0, Canberra.</w:t>
      </w:r>
    </w:p>
  </w:endnote>
  <w:endnote w:id="3">
    <w:p w14:paraId="71448BCC" w14:textId="77777777" w:rsidR="00BA4B48" w:rsidRPr="00012F38" w:rsidRDefault="00BA4B48" w:rsidP="002A68F0">
      <w:pPr>
        <w:pStyle w:val="EndnoteText"/>
        <w:spacing w:after="120"/>
        <w:rPr>
          <w:rFonts w:cs="Segoe UI"/>
          <w:color w:val="222222"/>
          <w:sz w:val="18"/>
          <w:szCs w:val="18"/>
          <w:shd w:val="clear" w:color="auto" w:fill="FFFFFF"/>
        </w:rPr>
      </w:pPr>
      <w:r w:rsidRPr="00012F38">
        <w:rPr>
          <w:rStyle w:val="EndnoteReference"/>
          <w:rFonts w:cs="Segoe UI"/>
          <w:sz w:val="18"/>
          <w:szCs w:val="18"/>
        </w:rPr>
        <w:endnoteRef/>
      </w:r>
      <w:r w:rsidRPr="00012F38">
        <w:rPr>
          <w:rFonts w:cs="Segoe UI"/>
          <w:sz w:val="18"/>
          <w:szCs w:val="18"/>
        </w:rPr>
        <w:t xml:space="preserve"> </w:t>
      </w:r>
      <w:r w:rsidRPr="00012F38">
        <w:rPr>
          <w:rFonts w:cs="Segoe UI"/>
          <w:color w:val="222222"/>
          <w:sz w:val="18"/>
          <w:szCs w:val="18"/>
          <w:shd w:val="clear" w:color="auto" w:fill="FFFFFF"/>
        </w:rPr>
        <w:t>Rodger, A. </w:t>
      </w:r>
      <w:r>
        <w:rPr>
          <w:rFonts w:cs="Segoe UI"/>
          <w:color w:val="222222"/>
          <w:sz w:val="18"/>
          <w:szCs w:val="18"/>
          <w:shd w:val="clear" w:color="auto" w:fill="FFFFFF"/>
        </w:rPr>
        <w:t xml:space="preserve">(2016). </w:t>
      </w:r>
      <w:r w:rsidRPr="00012F38">
        <w:rPr>
          <w:rFonts w:cs="Segoe UI"/>
          <w:iCs/>
          <w:color w:val="222222"/>
          <w:sz w:val="18"/>
          <w:szCs w:val="18"/>
          <w:u w:val="single"/>
          <w:shd w:val="clear" w:color="auto" w:fill="FFFFFF"/>
        </w:rPr>
        <w:t>Association between sexual activity without condoms and risk of HIV transmission in serodifferent couples when the HIV-positive partner is using suppressive antiretroviral therapy: the PARTNER study</w:t>
      </w:r>
      <w:r w:rsidRPr="00012F38">
        <w:rPr>
          <w:rFonts w:cs="Segoe UI"/>
          <w:i/>
          <w:iCs/>
          <w:color w:val="222222"/>
          <w:sz w:val="18"/>
          <w:szCs w:val="18"/>
          <w:shd w:val="clear" w:color="auto" w:fill="FFFFFF"/>
        </w:rPr>
        <w:t>.</w:t>
      </w:r>
      <w:r w:rsidRPr="00012F38">
        <w:rPr>
          <w:rFonts w:cs="Segoe UI"/>
          <w:color w:val="222222"/>
          <w:sz w:val="18"/>
          <w:szCs w:val="18"/>
          <w:shd w:val="clear" w:color="auto" w:fill="FFFFFF"/>
        </w:rPr>
        <w:t> 21</w:t>
      </w:r>
      <w:r w:rsidRPr="00012F38">
        <w:rPr>
          <w:rFonts w:cs="Segoe UI"/>
          <w:color w:val="222222"/>
          <w:sz w:val="18"/>
          <w:szCs w:val="18"/>
          <w:shd w:val="clear" w:color="auto" w:fill="FFFFFF"/>
          <w:vertAlign w:val="superscript"/>
        </w:rPr>
        <w:t>st</w:t>
      </w:r>
      <w:r w:rsidRPr="00012F38">
        <w:rPr>
          <w:rFonts w:cs="Segoe UI"/>
          <w:color w:val="222222"/>
          <w:sz w:val="18"/>
          <w:szCs w:val="18"/>
          <w:shd w:val="clear" w:color="auto" w:fill="FFFFFF"/>
        </w:rPr>
        <w:t xml:space="preserve"> International AIDS Conference, Durban, abstract TUAC0206</w:t>
      </w:r>
      <w:r>
        <w:rPr>
          <w:rFonts w:cs="Segoe UI"/>
          <w:color w:val="222222"/>
          <w:sz w:val="18"/>
          <w:szCs w:val="18"/>
          <w:shd w:val="clear" w:color="auto" w:fill="FFFFFF"/>
        </w:rPr>
        <w:t>.</w:t>
      </w:r>
    </w:p>
  </w:endnote>
  <w:endnote w:id="4">
    <w:p w14:paraId="6DB3FE21" w14:textId="7DB6C740" w:rsidR="00BA4B48" w:rsidRPr="00012F38" w:rsidRDefault="00BA4B48" w:rsidP="002A68F0">
      <w:pPr>
        <w:pStyle w:val="EndnoteText"/>
        <w:spacing w:after="120"/>
        <w:rPr>
          <w:rFonts w:cs="Segoe UI"/>
          <w:color w:val="222222"/>
          <w:sz w:val="18"/>
          <w:szCs w:val="18"/>
          <w:shd w:val="clear" w:color="auto" w:fill="FFFFFF"/>
        </w:rPr>
      </w:pPr>
      <w:r w:rsidRPr="00012F38">
        <w:rPr>
          <w:rStyle w:val="EndnoteReference"/>
          <w:rFonts w:cs="Segoe UI"/>
          <w:sz w:val="18"/>
          <w:szCs w:val="18"/>
        </w:rPr>
        <w:endnoteRef/>
      </w:r>
      <w:r w:rsidRPr="00012F38">
        <w:rPr>
          <w:rFonts w:cs="Segoe UI"/>
          <w:sz w:val="18"/>
          <w:szCs w:val="18"/>
        </w:rPr>
        <w:t xml:space="preserve"> </w:t>
      </w:r>
      <w:r w:rsidRPr="00012F38">
        <w:rPr>
          <w:rFonts w:cs="Segoe UI"/>
          <w:color w:val="222222"/>
          <w:sz w:val="18"/>
          <w:szCs w:val="18"/>
          <w:shd w:val="clear" w:color="auto" w:fill="FFFFFF"/>
        </w:rPr>
        <w:t>Rodger, A., T. Bruun</w:t>
      </w:r>
      <w:r w:rsidRPr="0020450B">
        <w:rPr>
          <w:rFonts w:cs="Segoe UI"/>
          <w:color w:val="222222"/>
          <w:sz w:val="18"/>
          <w:szCs w:val="18"/>
          <w:shd w:val="clear" w:color="auto" w:fill="FFFFFF"/>
        </w:rPr>
        <w:t>,</w:t>
      </w:r>
      <w:r w:rsidRPr="00012F38">
        <w:rPr>
          <w:rFonts w:cs="Segoe UI"/>
          <w:color w:val="222222"/>
          <w:sz w:val="18"/>
          <w:szCs w:val="18"/>
          <w:shd w:val="clear" w:color="auto" w:fill="FFFFFF"/>
        </w:rPr>
        <w:t xml:space="preserve"> V. Cambiano </w:t>
      </w:r>
      <w:r w:rsidRPr="00012F38">
        <w:rPr>
          <w:rFonts w:cs="Segoe UI"/>
          <w:i/>
          <w:color w:val="222222"/>
          <w:sz w:val="18"/>
          <w:szCs w:val="18"/>
          <w:shd w:val="clear" w:color="auto" w:fill="FFFFFF"/>
        </w:rPr>
        <w:t>et al</w:t>
      </w:r>
      <w:r w:rsidRPr="00012F38">
        <w:rPr>
          <w:rFonts w:cs="Segoe UI"/>
          <w:color w:val="222222"/>
          <w:sz w:val="18"/>
          <w:szCs w:val="18"/>
          <w:shd w:val="clear" w:color="auto" w:fill="FFFFFF"/>
        </w:rPr>
        <w:t>. </w:t>
      </w:r>
      <w:r>
        <w:rPr>
          <w:rFonts w:cs="Segoe UI"/>
          <w:color w:val="222222"/>
          <w:sz w:val="18"/>
          <w:szCs w:val="18"/>
          <w:shd w:val="clear" w:color="auto" w:fill="FFFFFF"/>
        </w:rPr>
        <w:t xml:space="preserve">(2014). </w:t>
      </w:r>
      <w:r w:rsidRPr="00012F38">
        <w:rPr>
          <w:rFonts w:cs="Segoe UI"/>
          <w:iCs/>
          <w:color w:val="222222"/>
          <w:sz w:val="18"/>
          <w:szCs w:val="18"/>
          <w:u w:val="single"/>
          <w:shd w:val="clear" w:color="auto" w:fill="FFFFFF"/>
        </w:rPr>
        <w:t>HIV transmission risk through condomless sex if HIV+ partner on suppressive ART: PARTNER study</w:t>
      </w:r>
      <w:r w:rsidRPr="00012F38">
        <w:rPr>
          <w:rFonts w:cs="Segoe UI"/>
          <w:i/>
          <w:iCs/>
          <w:color w:val="222222"/>
          <w:sz w:val="18"/>
          <w:szCs w:val="18"/>
          <w:shd w:val="clear" w:color="auto" w:fill="FFFFFF"/>
        </w:rPr>
        <w:t>. </w:t>
      </w:r>
      <w:r w:rsidRPr="00012F38">
        <w:rPr>
          <w:rFonts w:cs="Segoe UI"/>
          <w:color w:val="222222"/>
          <w:sz w:val="18"/>
          <w:szCs w:val="18"/>
          <w:shd w:val="clear" w:color="auto" w:fill="FFFFFF"/>
        </w:rPr>
        <w:t>21</w:t>
      </w:r>
      <w:r w:rsidRPr="0020450B">
        <w:rPr>
          <w:rFonts w:cs="Segoe UI"/>
          <w:color w:val="222222"/>
          <w:sz w:val="18"/>
          <w:szCs w:val="18"/>
          <w:shd w:val="clear" w:color="auto" w:fill="FFFFFF"/>
          <w:vertAlign w:val="superscript"/>
        </w:rPr>
        <w:t>st</w:t>
      </w:r>
      <w:r w:rsidRPr="00012F38">
        <w:rPr>
          <w:rFonts w:cs="Segoe UI"/>
          <w:color w:val="222222"/>
          <w:sz w:val="18"/>
          <w:szCs w:val="18"/>
          <w:shd w:val="clear" w:color="auto" w:fill="FFFFFF"/>
        </w:rPr>
        <w:t xml:space="preserve"> Conference on Retroviruses and Opportunistic Infe</w:t>
      </w:r>
      <w:r>
        <w:rPr>
          <w:rFonts w:cs="Segoe UI"/>
          <w:color w:val="222222"/>
          <w:sz w:val="18"/>
          <w:szCs w:val="18"/>
          <w:shd w:val="clear" w:color="auto" w:fill="FFFFFF"/>
        </w:rPr>
        <w:t>ctions, Boston, abstract 153LB.</w:t>
      </w:r>
    </w:p>
  </w:endnote>
  <w:endnote w:id="5">
    <w:p w14:paraId="2D291CEB" w14:textId="07F08FCC" w:rsidR="00BA4B48" w:rsidRPr="00012F38" w:rsidRDefault="00BA4B48" w:rsidP="002A68F0">
      <w:pPr>
        <w:pStyle w:val="EndnoteText"/>
        <w:spacing w:after="120"/>
        <w:rPr>
          <w:rFonts w:cs="Segoe UI"/>
          <w:sz w:val="18"/>
          <w:szCs w:val="18"/>
        </w:rPr>
      </w:pPr>
      <w:r w:rsidRPr="00012F38">
        <w:rPr>
          <w:rStyle w:val="EndnoteReference"/>
          <w:rFonts w:cs="Segoe UI"/>
          <w:sz w:val="18"/>
          <w:szCs w:val="18"/>
        </w:rPr>
        <w:endnoteRef/>
      </w:r>
      <w:r w:rsidRPr="00012F38">
        <w:rPr>
          <w:rFonts w:cs="Segoe UI"/>
          <w:sz w:val="18"/>
          <w:szCs w:val="18"/>
        </w:rPr>
        <w:t xml:space="preserve"> The Kirby Institute. </w:t>
      </w:r>
      <w:r>
        <w:rPr>
          <w:rFonts w:cs="Segoe UI"/>
          <w:sz w:val="18"/>
          <w:szCs w:val="18"/>
        </w:rPr>
        <w:t xml:space="preserve">(2017). </w:t>
      </w:r>
      <w:r w:rsidRPr="00012F38">
        <w:rPr>
          <w:rFonts w:cs="Segoe UI"/>
          <w:sz w:val="18"/>
          <w:szCs w:val="18"/>
          <w:u w:val="single"/>
        </w:rPr>
        <w:t>Promising news for HIV treatment as prevention: study finds HIV transmission rare in couples when an HIV positive partner is receiving treatment</w:t>
      </w:r>
      <w:r w:rsidRPr="00012F38">
        <w:rPr>
          <w:rFonts w:cs="Segoe UI"/>
          <w:sz w:val="18"/>
          <w:szCs w:val="18"/>
        </w:rPr>
        <w:t>. Acce</w:t>
      </w:r>
      <w:r>
        <w:rPr>
          <w:rFonts w:cs="Segoe UI"/>
          <w:sz w:val="18"/>
          <w:szCs w:val="18"/>
        </w:rPr>
        <w:t xml:space="preserve">ssed 29 November 2017 at: </w:t>
      </w:r>
      <w:hyperlink r:id="rId1" w:tooltip="Kirby" w:history="1">
        <w:r w:rsidRPr="00012F38">
          <w:rPr>
            <w:rStyle w:val="Hyperlink"/>
            <w:rFonts w:cs="Segoe UI"/>
            <w:sz w:val="18"/>
            <w:szCs w:val="18"/>
          </w:rPr>
          <w:t xml:space="preserve">https://kirby.unsw.edu.au/news/promising-news-hiv-treatment-prevention-study-finds-hiv-transmission-rare-couples-when-hiv </w:t>
        </w:r>
      </w:hyperlink>
    </w:p>
  </w:endnote>
  <w:endnote w:id="6">
    <w:p w14:paraId="1D4730A0" w14:textId="0F403670" w:rsidR="00BA4B48" w:rsidRPr="00012F38" w:rsidRDefault="00BA4B48" w:rsidP="002A68F0">
      <w:pPr>
        <w:pStyle w:val="EndnoteText"/>
        <w:spacing w:after="120"/>
        <w:rPr>
          <w:rFonts w:cs="Segoe UI"/>
          <w:sz w:val="18"/>
          <w:szCs w:val="18"/>
        </w:rPr>
      </w:pPr>
      <w:r w:rsidRPr="00012F38">
        <w:rPr>
          <w:rStyle w:val="EndnoteReference"/>
          <w:rFonts w:cs="Segoe UI"/>
          <w:sz w:val="18"/>
          <w:szCs w:val="18"/>
        </w:rPr>
        <w:endnoteRef/>
      </w:r>
      <w:r w:rsidRPr="00012F38">
        <w:rPr>
          <w:rFonts w:cs="Segoe UI"/>
          <w:sz w:val="18"/>
          <w:szCs w:val="18"/>
        </w:rPr>
        <w:t xml:space="preserve"> HIV Prevention Trials Network. </w:t>
      </w:r>
      <w:r>
        <w:rPr>
          <w:rFonts w:cs="Segoe UI"/>
          <w:sz w:val="18"/>
          <w:szCs w:val="18"/>
        </w:rPr>
        <w:t>(2017)</w:t>
      </w:r>
      <w:r w:rsidRPr="00012F38">
        <w:rPr>
          <w:rFonts w:cs="Segoe UI"/>
          <w:sz w:val="18"/>
          <w:szCs w:val="18"/>
        </w:rPr>
        <w:t>.</w:t>
      </w:r>
      <w:r w:rsidRPr="00012F38">
        <w:rPr>
          <w:rFonts w:cs="Segoe UI"/>
          <w:sz w:val="18"/>
          <w:szCs w:val="18"/>
          <w:u w:val="single"/>
        </w:rPr>
        <w:t xml:space="preserve"> HIV Prevention Trial (HPTN 052) Releases New Findings: Early initiation of ART leads to 96% reduction in HIV transmission according to study conducted by HIV Prevention Trials Network</w:t>
      </w:r>
      <w:r w:rsidRPr="00027F59">
        <w:rPr>
          <w:rFonts w:cs="Segoe UI"/>
          <w:sz w:val="18"/>
          <w:szCs w:val="18"/>
        </w:rPr>
        <w:t xml:space="preserve"> [press release].</w:t>
      </w:r>
      <w:r w:rsidRPr="00012F38">
        <w:rPr>
          <w:rFonts w:cs="Segoe UI"/>
          <w:sz w:val="18"/>
          <w:szCs w:val="18"/>
        </w:rPr>
        <w:t xml:space="preserve"> Accessed 29 November 2017 at: </w:t>
      </w:r>
      <w:hyperlink r:id="rId2" w:tooltip="HIV Prevention Trials Network" w:history="1">
        <w:r w:rsidRPr="00012F38">
          <w:rPr>
            <w:rStyle w:val="Hyperlink"/>
            <w:rFonts w:cs="Segoe UI"/>
            <w:bCs/>
            <w:sz w:val="18"/>
            <w:szCs w:val="18"/>
          </w:rPr>
          <w:t>https://hptn.org/sites/default/files/inline-files/HPTN052PressReleaseIASJul2011final.pdf</w:t>
        </w:r>
      </w:hyperlink>
      <w:r w:rsidRPr="00012F38">
        <w:rPr>
          <w:rStyle w:val="Hyperlink"/>
          <w:rFonts w:cs="Segoe UI"/>
          <w:bCs/>
          <w:color w:val="auto"/>
          <w:sz w:val="18"/>
          <w:szCs w:val="18"/>
          <w:u w:val="none"/>
        </w:rPr>
        <w:t xml:space="preserve"> </w:t>
      </w:r>
    </w:p>
  </w:endnote>
  <w:endnote w:id="7">
    <w:p w14:paraId="3F305D12" w14:textId="68758CFA" w:rsidR="00BA4B48" w:rsidRPr="00C843AB" w:rsidRDefault="00BA4B48" w:rsidP="00431391">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The Kirby Institute</w:t>
      </w:r>
      <w:r>
        <w:rPr>
          <w:rFonts w:cs="Segoe UI"/>
          <w:sz w:val="18"/>
          <w:szCs w:val="18"/>
        </w:rPr>
        <w:t>.</w:t>
      </w:r>
      <w:r w:rsidRPr="00C843AB">
        <w:rPr>
          <w:rFonts w:cs="Segoe UI"/>
          <w:sz w:val="18"/>
          <w:szCs w:val="18"/>
        </w:rPr>
        <w:t xml:space="preserve"> (2017). </w:t>
      </w:r>
      <w:r w:rsidRPr="00C843AB">
        <w:rPr>
          <w:rFonts w:cs="Segoe UI"/>
          <w:sz w:val="18"/>
          <w:szCs w:val="18"/>
          <w:u w:val="single"/>
        </w:rPr>
        <w:t>Bloodborne viral and sexually transmissible infections in Aboriginal and Torres Strait Islander people: Annual Surveillance Report 2017</w:t>
      </w:r>
      <w:r w:rsidRPr="00C843AB">
        <w:rPr>
          <w:rFonts w:cs="Segoe UI"/>
          <w:sz w:val="18"/>
          <w:szCs w:val="18"/>
        </w:rPr>
        <w:t>. University of New South Wales (UNSW) Sydney: Sydney.</w:t>
      </w:r>
    </w:p>
  </w:endnote>
  <w:endnote w:id="8">
    <w:p w14:paraId="2CD1557A" w14:textId="25F04C91" w:rsidR="00BA4B48" w:rsidRPr="00C843AB" w:rsidRDefault="00BA4B48" w:rsidP="000B7574">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Biggs, K., J, Walsh, and C</w:t>
      </w:r>
      <w:r>
        <w:rPr>
          <w:rFonts w:cs="Segoe UI"/>
          <w:sz w:val="18"/>
          <w:szCs w:val="18"/>
        </w:rPr>
        <w:t>.</w:t>
      </w:r>
      <w:r w:rsidRPr="00C843AB">
        <w:rPr>
          <w:rFonts w:cs="Segoe UI"/>
          <w:sz w:val="18"/>
          <w:szCs w:val="18"/>
        </w:rPr>
        <w:t xml:space="preserve"> Ooi. (2016)</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Deadly Liver Mob: opening the door</w:t>
      </w:r>
      <w:r>
        <w:rPr>
          <w:rFonts w:cs="Segoe UI"/>
          <w:sz w:val="18"/>
          <w:szCs w:val="18"/>
        </w:rPr>
        <w:t>—</w:t>
      </w:r>
      <w:r w:rsidRPr="00C843AB">
        <w:rPr>
          <w:rFonts w:cs="Segoe UI"/>
          <w:sz w:val="18"/>
          <w:szCs w:val="18"/>
        </w:rPr>
        <w:t>improving sexual health pathways for Aboriginal people in Western Sydney.</w:t>
      </w:r>
      <w:r>
        <w:rPr>
          <w:rFonts w:cs="Segoe UI"/>
          <w:sz w:val="18"/>
          <w:szCs w:val="18"/>
        </w:rPr>
        <w:t>’</w:t>
      </w:r>
      <w:r w:rsidRPr="00C843AB">
        <w:rPr>
          <w:rFonts w:cs="Segoe UI"/>
          <w:sz w:val="18"/>
          <w:szCs w:val="18"/>
        </w:rPr>
        <w:t xml:space="preserve"> </w:t>
      </w:r>
      <w:r w:rsidRPr="0020450B">
        <w:rPr>
          <w:rFonts w:cs="Segoe UI"/>
          <w:sz w:val="18"/>
          <w:szCs w:val="18"/>
          <w:u w:val="single"/>
        </w:rPr>
        <w:t>Sexual Health</w:t>
      </w:r>
      <w:r w:rsidRPr="00C843AB">
        <w:rPr>
          <w:rFonts w:cs="Segoe UI"/>
          <w:sz w:val="18"/>
          <w:szCs w:val="18"/>
        </w:rPr>
        <w:t xml:space="preserve">, </w:t>
      </w:r>
      <w:r w:rsidRPr="0020450B">
        <w:rPr>
          <w:rFonts w:cs="Segoe UI"/>
          <w:b/>
          <w:sz w:val="18"/>
          <w:szCs w:val="18"/>
        </w:rPr>
        <w:t>13</w:t>
      </w:r>
      <w:r w:rsidRPr="00C843AB">
        <w:rPr>
          <w:rFonts w:cs="Segoe UI"/>
          <w:sz w:val="18"/>
          <w:szCs w:val="18"/>
        </w:rPr>
        <w:t>(5)</w:t>
      </w:r>
      <w:r>
        <w:rPr>
          <w:rFonts w:cs="Segoe UI"/>
          <w:sz w:val="18"/>
          <w:szCs w:val="18"/>
        </w:rPr>
        <w:t>,</w:t>
      </w:r>
      <w:r w:rsidRPr="00C843AB">
        <w:rPr>
          <w:rFonts w:cs="Segoe UI"/>
          <w:sz w:val="18"/>
          <w:szCs w:val="18"/>
        </w:rPr>
        <w:t>457</w:t>
      </w:r>
      <w:r>
        <w:rPr>
          <w:rFonts w:cs="Segoe UI"/>
          <w:sz w:val="18"/>
          <w:szCs w:val="18"/>
        </w:rPr>
        <w:t>–4</w:t>
      </w:r>
      <w:r w:rsidRPr="00C843AB">
        <w:rPr>
          <w:rFonts w:cs="Segoe UI"/>
          <w:sz w:val="18"/>
          <w:szCs w:val="18"/>
        </w:rPr>
        <w:t>64.</w:t>
      </w:r>
    </w:p>
  </w:endnote>
  <w:endnote w:id="9">
    <w:p w14:paraId="75C8E81B" w14:textId="1DFBBC6F" w:rsidR="00BA4B48" w:rsidRPr="00C843AB" w:rsidRDefault="00BA4B48" w:rsidP="000B7574">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The Kirby Institute.</w:t>
      </w:r>
      <w:r>
        <w:rPr>
          <w:rFonts w:cs="Segoe UI"/>
          <w:sz w:val="18"/>
          <w:szCs w:val="18"/>
        </w:rPr>
        <w:t xml:space="preserve"> (2015) </w:t>
      </w:r>
      <w:r w:rsidRPr="00C843AB">
        <w:rPr>
          <w:rFonts w:cs="Segoe UI"/>
          <w:sz w:val="18"/>
          <w:szCs w:val="18"/>
          <w:u w:val="single"/>
        </w:rPr>
        <w:t>Evaluation of the NSW Aboriginal Sexual and Reproductive Health Program</w:t>
      </w:r>
      <w:r w:rsidRPr="00C843AB">
        <w:rPr>
          <w:rFonts w:cs="Segoe UI"/>
          <w:sz w:val="18"/>
          <w:szCs w:val="18"/>
        </w:rPr>
        <w:t>. UNSW Sydney</w:t>
      </w:r>
      <w:r>
        <w:rPr>
          <w:rFonts w:cs="Segoe UI"/>
          <w:sz w:val="18"/>
          <w:szCs w:val="18"/>
        </w:rPr>
        <w:t xml:space="preserve">: </w:t>
      </w:r>
      <w:r w:rsidRPr="00C843AB">
        <w:rPr>
          <w:rFonts w:cs="Segoe UI"/>
          <w:sz w:val="18"/>
          <w:szCs w:val="18"/>
        </w:rPr>
        <w:t>Sydney.</w:t>
      </w:r>
    </w:p>
  </w:endnote>
  <w:endnote w:id="10">
    <w:p w14:paraId="377D5C41" w14:textId="1FEA28F2" w:rsidR="00BA4B48" w:rsidRPr="00C843AB" w:rsidRDefault="00BA4B48" w:rsidP="000B7574">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Ward, J</w:t>
      </w:r>
      <w:r>
        <w:rPr>
          <w:rFonts w:cs="Segoe UI"/>
          <w:sz w:val="18"/>
          <w:szCs w:val="18"/>
        </w:rPr>
        <w:t>.</w:t>
      </w:r>
      <w:r w:rsidRPr="00C843AB">
        <w:rPr>
          <w:rFonts w:cs="Segoe UI"/>
          <w:sz w:val="18"/>
          <w:szCs w:val="18"/>
        </w:rPr>
        <w:t xml:space="preserve"> (2015). </w:t>
      </w:r>
      <w:r w:rsidRPr="00C843AB">
        <w:rPr>
          <w:rFonts w:cs="Segoe UI"/>
          <w:sz w:val="18"/>
          <w:szCs w:val="18"/>
          <w:u w:val="single"/>
        </w:rPr>
        <w:t>Supporting primary health care services to address endemic rates of STIs: findings from the STRIVE trial</w:t>
      </w:r>
      <w:r w:rsidRPr="00C843AB">
        <w:rPr>
          <w:rFonts w:cs="Segoe UI"/>
          <w:sz w:val="18"/>
          <w:szCs w:val="18"/>
        </w:rPr>
        <w:t>.  Australasian HIV &amp; AIDS Conference; 2015; Brisbane, Q</w:t>
      </w:r>
      <w:r>
        <w:rPr>
          <w:rFonts w:cs="Segoe UI"/>
          <w:sz w:val="18"/>
          <w:szCs w:val="18"/>
        </w:rPr>
        <w:t>ld</w:t>
      </w:r>
      <w:r w:rsidRPr="00C843AB">
        <w:rPr>
          <w:rFonts w:cs="Segoe UI"/>
          <w:sz w:val="18"/>
          <w:szCs w:val="18"/>
        </w:rPr>
        <w:t>, Australia.</w:t>
      </w:r>
    </w:p>
  </w:endnote>
  <w:endnote w:id="11">
    <w:p w14:paraId="5F48FA9C" w14:textId="753189BA" w:rsidR="00BA4B48" w:rsidRPr="00C843AB" w:rsidRDefault="00BA4B48" w:rsidP="000B7574">
      <w:pPr>
        <w:pStyle w:val="EndnoteText"/>
        <w:spacing w:after="120"/>
        <w:rPr>
          <w:sz w:val="18"/>
          <w:szCs w:val="18"/>
        </w:rPr>
      </w:pPr>
      <w:r w:rsidRPr="00C843AB">
        <w:rPr>
          <w:rStyle w:val="EndnoteReference"/>
          <w:sz w:val="18"/>
          <w:szCs w:val="18"/>
        </w:rPr>
        <w:endnoteRef/>
      </w:r>
      <w:r w:rsidRPr="00C843AB">
        <w:rPr>
          <w:sz w:val="18"/>
          <w:szCs w:val="18"/>
        </w:rPr>
        <w:t xml:space="preserve"> The </w:t>
      </w:r>
      <w:r w:rsidRPr="00C843AB">
        <w:rPr>
          <w:rFonts w:cs="Segoe UI"/>
          <w:sz w:val="18"/>
          <w:szCs w:val="18"/>
        </w:rPr>
        <w:t xml:space="preserve">Kirby Institute. (2017). </w:t>
      </w:r>
      <w:r w:rsidRPr="00C843AB">
        <w:rPr>
          <w:rFonts w:cs="Segoe UI"/>
          <w:sz w:val="18"/>
          <w:szCs w:val="18"/>
          <w:u w:val="single"/>
        </w:rPr>
        <w:t>Australian Needle Syringe Program Survey National Data Report 2012</w:t>
      </w:r>
      <w:r>
        <w:rPr>
          <w:rFonts w:cs="Segoe UI"/>
          <w:sz w:val="18"/>
          <w:szCs w:val="18"/>
          <w:u w:val="single"/>
        </w:rPr>
        <w:t>–</w:t>
      </w:r>
      <w:r w:rsidRPr="00C843AB">
        <w:rPr>
          <w:rFonts w:cs="Segoe UI"/>
          <w:sz w:val="18"/>
          <w:szCs w:val="18"/>
          <w:u w:val="single"/>
        </w:rPr>
        <w:t>2016: Prevalence of HIV, hepatitis C and injecting and sexual behaviour among NSP attendees</w:t>
      </w:r>
      <w:r w:rsidRPr="00C843AB">
        <w:rPr>
          <w:rFonts w:cs="Segoe UI"/>
          <w:sz w:val="18"/>
          <w:szCs w:val="18"/>
        </w:rPr>
        <w:t>. UNSW Sydney: Sydney.</w:t>
      </w:r>
    </w:p>
  </w:endnote>
  <w:endnote w:id="12">
    <w:p w14:paraId="0DC31A14" w14:textId="564F7B4D" w:rsidR="00BA4B48" w:rsidRPr="00C843AB" w:rsidRDefault="00BA4B48" w:rsidP="00AE0EBB">
      <w:pPr>
        <w:pStyle w:val="EndnoteText"/>
        <w:spacing w:after="120"/>
        <w:rPr>
          <w:sz w:val="18"/>
          <w:szCs w:val="18"/>
        </w:rPr>
      </w:pPr>
      <w:r w:rsidRPr="00C843AB">
        <w:rPr>
          <w:rStyle w:val="EndnoteReference"/>
          <w:sz w:val="18"/>
          <w:szCs w:val="18"/>
        </w:rPr>
        <w:endnoteRef/>
      </w:r>
      <w:r w:rsidRPr="00C843AB">
        <w:rPr>
          <w:sz w:val="18"/>
          <w:szCs w:val="18"/>
        </w:rPr>
        <w:t xml:space="preserve"> Einsiedel, L., T. Spelman, E. Goeman, O. Cassar, M. Arundell</w:t>
      </w:r>
      <w:r>
        <w:rPr>
          <w:sz w:val="18"/>
          <w:szCs w:val="18"/>
        </w:rPr>
        <w:t>,</w:t>
      </w:r>
      <w:r w:rsidRPr="00C843AB">
        <w:rPr>
          <w:sz w:val="18"/>
          <w:szCs w:val="18"/>
        </w:rPr>
        <w:t xml:space="preserve"> and A. Gessain. (2014). </w:t>
      </w:r>
      <w:r>
        <w:rPr>
          <w:sz w:val="18"/>
          <w:szCs w:val="18"/>
        </w:rPr>
        <w:t>‘</w:t>
      </w:r>
      <w:r w:rsidRPr="00C843AB">
        <w:rPr>
          <w:sz w:val="18"/>
          <w:szCs w:val="18"/>
        </w:rPr>
        <w:t>Clinical associations of human T-lymphotropic virus type 1 infection in an Indigenous Australian population.</w:t>
      </w:r>
      <w:r>
        <w:rPr>
          <w:sz w:val="18"/>
          <w:szCs w:val="18"/>
        </w:rPr>
        <w:t>’</w:t>
      </w:r>
      <w:r w:rsidRPr="00C843AB">
        <w:rPr>
          <w:sz w:val="18"/>
          <w:szCs w:val="18"/>
        </w:rPr>
        <w:t xml:space="preserve"> </w:t>
      </w:r>
      <w:r w:rsidRPr="0020450B">
        <w:rPr>
          <w:sz w:val="18"/>
          <w:szCs w:val="18"/>
          <w:u w:val="single"/>
        </w:rPr>
        <w:t>PLOS Neglected Tropical Diseases</w:t>
      </w:r>
      <w:r w:rsidRPr="00C843AB">
        <w:rPr>
          <w:i/>
          <w:sz w:val="18"/>
          <w:szCs w:val="18"/>
        </w:rPr>
        <w:t>,</w:t>
      </w:r>
      <w:r w:rsidRPr="00C843AB">
        <w:rPr>
          <w:sz w:val="18"/>
          <w:szCs w:val="18"/>
        </w:rPr>
        <w:t xml:space="preserve"> </w:t>
      </w:r>
      <w:r w:rsidRPr="0020450B">
        <w:rPr>
          <w:b/>
          <w:sz w:val="18"/>
          <w:szCs w:val="18"/>
        </w:rPr>
        <w:t>8</w:t>
      </w:r>
      <w:r w:rsidRPr="00C843AB">
        <w:rPr>
          <w:sz w:val="18"/>
          <w:szCs w:val="18"/>
        </w:rPr>
        <w:t>(1):e2643</w:t>
      </w:r>
    </w:p>
  </w:endnote>
  <w:endnote w:id="13">
    <w:p w14:paraId="10CC17DB" w14:textId="60EAA8F2" w:rsidR="00BA4B48" w:rsidRPr="00C843AB" w:rsidRDefault="00BA4B48" w:rsidP="00AE0EBB">
      <w:pPr>
        <w:pStyle w:val="EndnoteText"/>
        <w:spacing w:after="120"/>
        <w:rPr>
          <w:sz w:val="18"/>
          <w:szCs w:val="18"/>
        </w:rPr>
      </w:pPr>
      <w:r w:rsidRPr="00C843AB">
        <w:rPr>
          <w:rStyle w:val="EndnoteReference"/>
          <w:sz w:val="18"/>
          <w:szCs w:val="18"/>
        </w:rPr>
        <w:endnoteRef/>
      </w:r>
      <w:r w:rsidRPr="00C843AB">
        <w:rPr>
          <w:sz w:val="18"/>
          <w:szCs w:val="18"/>
        </w:rPr>
        <w:t xml:space="preserve"> Einsiedel, L. J., H. Pham, R. J. Woodman, C. Pepperill</w:t>
      </w:r>
      <w:r>
        <w:rPr>
          <w:sz w:val="18"/>
          <w:szCs w:val="18"/>
        </w:rPr>
        <w:t>,</w:t>
      </w:r>
      <w:r w:rsidRPr="00C843AB">
        <w:rPr>
          <w:sz w:val="18"/>
          <w:szCs w:val="18"/>
        </w:rPr>
        <w:t xml:space="preserve"> and K. A. Taylor. (2016) </w:t>
      </w:r>
      <w:r>
        <w:rPr>
          <w:sz w:val="18"/>
          <w:szCs w:val="18"/>
        </w:rPr>
        <w:t>‘</w:t>
      </w:r>
      <w:r w:rsidRPr="00C843AB">
        <w:rPr>
          <w:sz w:val="18"/>
          <w:szCs w:val="18"/>
        </w:rPr>
        <w:t>The prevalence and clinical associations of HTLV-1 infection in a remote Indigenous community.</w:t>
      </w:r>
      <w:r>
        <w:rPr>
          <w:sz w:val="18"/>
          <w:szCs w:val="18"/>
        </w:rPr>
        <w:t>’</w:t>
      </w:r>
      <w:r w:rsidRPr="00C843AB">
        <w:rPr>
          <w:sz w:val="18"/>
          <w:szCs w:val="18"/>
        </w:rPr>
        <w:t xml:space="preserve"> </w:t>
      </w:r>
      <w:r w:rsidRPr="0020450B">
        <w:rPr>
          <w:sz w:val="18"/>
          <w:szCs w:val="18"/>
          <w:u w:val="single"/>
        </w:rPr>
        <w:t>Medical Journal of Australia</w:t>
      </w:r>
      <w:r w:rsidRPr="00C843AB">
        <w:rPr>
          <w:i/>
          <w:sz w:val="18"/>
          <w:szCs w:val="18"/>
        </w:rPr>
        <w:t>,</w:t>
      </w:r>
      <w:r w:rsidRPr="00C843AB">
        <w:rPr>
          <w:sz w:val="18"/>
          <w:szCs w:val="18"/>
        </w:rPr>
        <w:t xml:space="preserve"> </w:t>
      </w:r>
      <w:r w:rsidRPr="0020450B">
        <w:rPr>
          <w:b/>
          <w:sz w:val="18"/>
          <w:szCs w:val="18"/>
        </w:rPr>
        <w:t>205</w:t>
      </w:r>
      <w:r w:rsidRPr="00C843AB">
        <w:rPr>
          <w:sz w:val="18"/>
          <w:szCs w:val="18"/>
        </w:rPr>
        <w:t>(7):305</w:t>
      </w:r>
      <w:r>
        <w:rPr>
          <w:sz w:val="18"/>
          <w:szCs w:val="18"/>
        </w:rPr>
        <w:t>–</w:t>
      </w:r>
      <w:r w:rsidRPr="00C843AB">
        <w:rPr>
          <w:sz w:val="18"/>
          <w:szCs w:val="18"/>
        </w:rPr>
        <w:t>309</w:t>
      </w:r>
      <w:r>
        <w:rPr>
          <w:sz w:val="18"/>
          <w:szCs w:val="18"/>
        </w:rPr>
        <w:t>.</w:t>
      </w:r>
    </w:p>
  </w:endnote>
  <w:endnote w:id="14">
    <w:p w14:paraId="00BBF4F2" w14:textId="492C135C" w:rsidR="00BA4B48" w:rsidRPr="00C843AB" w:rsidRDefault="00BA4B48" w:rsidP="00AE0EBB">
      <w:pPr>
        <w:pStyle w:val="EndnoteText"/>
        <w:spacing w:after="120"/>
        <w:rPr>
          <w:sz w:val="18"/>
          <w:szCs w:val="18"/>
        </w:rPr>
      </w:pPr>
      <w:r w:rsidRPr="00C843AB">
        <w:rPr>
          <w:rStyle w:val="EndnoteReference"/>
          <w:sz w:val="18"/>
          <w:szCs w:val="18"/>
        </w:rPr>
        <w:endnoteRef/>
      </w:r>
      <w:r w:rsidRPr="00C843AB">
        <w:rPr>
          <w:sz w:val="18"/>
          <w:szCs w:val="18"/>
        </w:rPr>
        <w:t xml:space="preserve"> Verdonck, K. E</w:t>
      </w:r>
      <w:r>
        <w:rPr>
          <w:sz w:val="18"/>
          <w:szCs w:val="18"/>
        </w:rPr>
        <w:t>.</w:t>
      </w:r>
      <w:r w:rsidRPr="00C843AB">
        <w:rPr>
          <w:sz w:val="18"/>
          <w:szCs w:val="18"/>
        </w:rPr>
        <w:t xml:space="preserve">, </w:t>
      </w:r>
      <w:r>
        <w:rPr>
          <w:sz w:val="18"/>
          <w:szCs w:val="18"/>
        </w:rPr>
        <w:t xml:space="preserve">S. </w:t>
      </w:r>
      <w:r w:rsidRPr="00C843AB">
        <w:rPr>
          <w:sz w:val="18"/>
          <w:szCs w:val="18"/>
        </w:rPr>
        <w:t xml:space="preserve">González, </w:t>
      </w:r>
      <w:r>
        <w:rPr>
          <w:sz w:val="18"/>
          <w:szCs w:val="18"/>
        </w:rPr>
        <w:t xml:space="preserve">A. </w:t>
      </w:r>
      <w:r w:rsidRPr="00C843AB">
        <w:rPr>
          <w:sz w:val="18"/>
          <w:szCs w:val="18"/>
        </w:rPr>
        <w:t>Van Dooren</w:t>
      </w:r>
      <w:r>
        <w:rPr>
          <w:sz w:val="18"/>
          <w:szCs w:val="18"/>
        </w:rPr>
        <w:t>,</w:t>
      </w:r>
      <w:r w:rsidRPr="00C843AB">
        <w:rPr>
          <w:sz w:val="18"/>
          <w:szCs w:val="18"/>
        </w:rPr>
        <w:t xml:space="preserve"> </w:t>
      </w:r>
      <w:r>
        <w:rPr>
          <w:sz w:val="18"/>
          <w:szCs w:val="18"/>
        </w:rPr>
        <w:t xml:space="preserve">G. </w:t>
      </w:r>
      <w:r w:rsidRPr="00C843AB">
        <w:rPr>
          <w:sz w:val="18"/>
          <w:szCs w:val="18"/>
        </w:rPr>
        <w:t xml:space="preserve">Vandamme, </w:t>
      </w:r>
      <w:r>
        <w:rPr>
          <w:sz w:val="18"/>
          <w:szCs w:val="18"/>
        </w:rPr>
        <w:t xml:space="preserve">E. </w:t>
      </w:r>
      <w:r w:rsidRPr="00C843AB">
        <w:rPr>
          <w:sz w:val="18"/>
          <w:szCs w:val="18"/>
        </w:rPr>
        <w:t xml:space="preserve">Vanham, </w:t>
      </w:r>
      <w:r>
        <w:rPr>
          <w:sz w:val="18"/>
          <w:szCs w:val="18"/>
        </w:rPr>
        <w:t xml:space="preserve">and E. </w:t>
      </w:r>
      <w:r w:rsidRPr="00C843AB">
        <w:rPr>
          <w:sz w:val="18"/>
          <w:szCs w:val="18"/>
        </w:rPr>
        <w:t>Gotuzzo. (2007)</w:t>
      </w:r>
      <w:r>
        <w:rPr>
          <w:sz w:val="18"/>
          <w:szCs w:val="18"/>
        </w:rPr>
        <w:t>.</w:t>
      </w:r>
      <w:r w:rsidRPr="00C843AB">
        <w:rPr>
          <w:sz w:val="18"/>
          <w:szCs w:val="18"/>
        </w:rPr>
        <w:t xml:space="preserve"> </w:t>
      </w:r>
      <w:r>
        <w:rPr>
          <w:sz w:val="18"/>
          <w:szCs w:val="18"/>
        </w:rPr>
        <w:t>‘</w:t>
      </w:r>
      <w:r w:rsidRPr="00C843AB">
        <w:rPr>
          <w:sz w:val="18"/>
          <w:szCs w:val="18"/>
        </w:rPr>
        <w:t>Human T-lymphotropic virus 1: recent knowledge about an ancient infection.</w:t>
      </w:r>
      <w:r>
        <w:rPr>
          <w:sz w:val="18"/>
          <w:szCs w:val="18"/>
        </w:rPr>
        <w:t>’</w:t>
      </w:r>
      <w:r w:rsidRPr="00C843AB">
        <w:rPr>
          <w:sz w:val="18"/>
          <w:szCs w:val="18"/>
        </w:rPr>
        <w:t xml:space="preserve"> </w:t>
      </w:r>
      <w:r w:rsidRPr="0020450B">
        <w:rPr>
          <w:sz w:val="18"/>
          <w:szCs w:val="18"/>
          <w:u w:val="single"/>
        </w:rPr>
        <w:t>Lancet Infectious Diseases</w:t>
      </w:r>
      <w:r>
        <w:rPr>
          <w:sz w:val="18"/>
          <w:szCs w:val="18"/>
          <w:u w:val="single"/>
        </w:rPr>
        <w:t>,</w:t>
      </w:r>
      <w:r w:rsidRPr="00C843AB">
        <w:rPr>
          <w:i/>
          <w:sz w:val="18"/>
          <w:szCs w:val="18"/>
        </w:rPr>
        <w:t xml:space="preserve"> </w:t>
      </w:r>
      <w:r w:rsidRPr="0020450B">
        <w:rPr>
          <w:b/>
          <w:sz w:val="18"/>
          <w:szCs w:val="18"/>
        </w:rPr>
        <w:t>7</w:t>
      </w:r>
      <w:r w:rsidRPr="00C843AB">
        <w:rPr>
          <w:sz w:val="18"/>
          <w:szCs w:val="18"/>
        </w:rPr>
        <w:t>:266–</w:t>
      </w:r>
      <w:r>
        <w:rPr>
          <w:sz w:val="18"/>
          <w:szCs w:val="18"/>
        </w:rPr>
        <w:t>2</w:t>
      </w:r>
      <w:r w:rsidRPr="00C843AB">
        <w:rPr>
          <w:sz w:val="18"/>
          <w:szCs w:val="18"/>
        </w:rPr>
        <w:t>81</w:t>
      </w:r>
      <w:r>
        <w:rPr>
          <w:sz w:val="18"/>
          <w:szCs w:val="18"/>
        </w:rPr>
        <w:t>.</w:t>
      </w:r>
    </w:p>
  </w:endnote>
  <w:endnote w:id="15">
    <w:p w14:paraId="2016222F" w14:textId="77777777" w:rsidR="00BA4B48" w:rsidRDefault="00BA4B48" w:rsidP="00AE0EBB">
      <w:pPr>
        <w:pStyle w:val="EndnoteText"/>
        <w:spacing w:after="120"/>
        <w:rPr>
          <w:sz w:val="18"/>
          <w:szCs w:val="18"/>
        </w:rPr>
      </w:pPr>
      <w:r w:rsidRPr="00C843AB">
        <w:rPr>
          <w:rStyle w:val="EndnoteReference"/>
          <w:sz w:val="18"/>
          <w:szCs w:val="18"/>
        </w:rPr>
        <w:endnoteRef/>
      </w:r>
      <w:r w:rsidRPr="00C843AB">
        <w:rPr>
          <w:sz w:val="18"/>
          <w:szCs w:val="18"/>
        </w:rPr>
        <w:t xml:space="preserve"> Einsiedel L</w:t>
      </w:r>
      <w:r>
        <w:rPr>
          <w:sz w:val="18"/>
          <w:szCs w:val="18"/>
        </w:rPr>
        <w:t>.</w:t>
      </w:r>
      <w:r w:rsidRPr="00C843AB">
        <w:rPr>
          <w:sz w:val="18"/>
          <w:szCs w:val="18"/>
        </w:rPr>
        <w:t xml:space="preserve">, </w:t>
      </w:r>
      <w:r>
        <w:rPr>
          <w:sz w:val="18"/>
          <w:szCs w:val="18"/>
        </w:rPr>
        <w:t xml:space="preserve">O. </w:t>
      </w:r>
      <w:r w:rsidRPr="00C843AB">
        <w:rPr>
          <w:sz w:val="18"/>
          <w:szCs w:val="18"/>
        </w:rPr>
        <w:t xml:space="preserve">Cassar, </w:t>
      </w:r>
      <w:r>
        <w:rPr>
          <w:sz w:val="18"/>
          <w:szCs w:val="18"/>
        </w:rPr>
        <w:t xml:space="preserve">E. </w:t>
      </w:r>
      <w:r w:rsidRPr="00C843AB">
        <w:rPr>
          <w:sz w:val="18"/>
          <w:szCs w:val="18"/>
        </w:rPr>
        <w:t xml:space="preserve">Goeman </w:t>
      </w:r>
      <w:r w:rsidRPr="0020450B">
        <w:rPr>
          <w:i/>
          <w:sz w:val="18"/>
          <w:szCs w:val="18"/>
        </w:rPr>
        <w:t>et al.</w:t>
      </w:r>
      <w:r w:rsidRPr="00C843AB">
        <w:rPr>
          <w:sz w:val="18"/>
          <w:szCs w:val="18"/>
        </w:rPr>
        <w:t xml:space="preserve"> (2014)</w:t>
      </w:r>
      <w:r>
        <w:rPr>
          <w:sz w:val="18"/>
          <w:szCs w:val="18"/>
        </w:rPr>
        <w:t>.</w:t>
      </w:r>
      <w:r w:rsidRPr="00C843AB">
        <w:rPr>
          <w:sz w:val="18"/>
          <w:szCs w:val="18"/>
        </w:rPr>
        <w:t xml:space="preserve"> </w:t>
      </w:r>
      <w:r>
        <w:rPr>
          <w:sz w:val="18"/>
          <w:szCs w:val="18"/>
        </w:rPr>
        <w:t>‘</w:t>
      </w:r>
      <w:r w:rsidRPr="00C843AB">
        <w:rPr>
          <w:sz w:val="18"/>
          <w:szCs w:val="18"/>
        </w:rPr>
        <w:t>Higher human T-lymphotropic virus type 1 subtype C proviral loads are associated with bronchiectasis in Indigenous Australians: results of a case-control study.</w:t>
      </w:r>
      <w:r>
        <w:rPr>
          <w:sz w:val="18"/>
          <w:szCs w:val="18"/>
        </w:rPr>
        <w:t>’</w:t>
      </w:r>
      <w:r w:rsidRPr="00C843AB">
        <w:rPr>
          <w:sz w:val="18"/>
          <w:szCs w:val="18"/>
        </w:rPr>
        <w:t xml:space="preserve"> </w:t>
      </w:r>
      <w:r w:rsidRPr="0020450B">
        <w:rPr>
          <w:iCs/>
          <w:sz w:val="18"/>
          <w:szCs w:val="18"/>
          <w:u w:val="single"/>
        </w:rPr>
        <w:t>Open Forum Infect Dis</w:t>
      </w:r>
      <w:r>
        <w:rPr>
          <w:iCs/>
          <w:sz w:val="18"/>
          <w:szCs w:val="18"/>
          <w:u w:val="single"/>
        </w:rPr>
        <w:t>,</w:t>
      </w:r>
      <w:r w:rsidRPr="00C843AB">
        <w:rPr>
          <w:sz w:val="18"/>
          <w:szCs w:val="18"/>
        </w:rPr>
        <w:t xml:space="preserve"> </w:t>
      </w:r>
      <w:r w:rsidRPr="0020450B">
        <w:rPr>
          <w:b/>
          <w:sz w:val="18"/>
          <w:szCs w:val="18"/>
        </w:rPr>
        <w:t>1</w:t>
      </w:r>
      <w:r w:rsidRPr="00C843AB">
        <w:rPr>
          <w:sz w:val="18"/>
          <w:szCs w:val="18"/>
        </w:rPr>
        <w:t>:ofu023.</w:t>
      </w:r>
    </w:p>
    <w:p w14:paraId="45B086DC" w14:textId="0C2A394C" w:rsidR="00BA4B48" w:rsidRPr="00C843AB" w:rsidRDefault="00BA4B48" w:rsidP="00AE0EBB">
      <w:pPr>
        <w:pStyle w:val="EndnoteText"/>
        <w:spacing w:after="120"/>
        <w:rPr>
          <w:rFonts w:ascii="proxima-nova" w:hAnsi="proxima-nova" w:cs="Arial"/>
          <w:vanish/>
          <w:color w:val="0A0A0A"/>
          <w:sz w:val="18"/>
          <w:szCs w:val="18"/>
          <w:lang w:val="en"/>
        </w:rPr>
      </w:pPr>
      <w:r w:rsidRPr="00C843AB">
        <w:rPr>
          <w:rFonts w:ascii="proxima-nova" w:hAnsi="proxima-nova" w:cs="Arial"/>
          <w:vanish/>
          <w:color w:val="0A0A0A"/>
          <w:sz w:val="18"/>
          <w:szCs w:val="18"/>
          <w:lang w:val="en"/>
        </w:rPr>
        <w:t xml:space="preserve"> </w:t>
      </w:r>
    </w:p>
  </w:endnote>
  <w:endnote w:id="16">
    <w:p w14:paraId="2362696C" w14:textId="1894235B" w:rsidR="00BA4B48" w:rsidRPr="00C843AB" w:rsidRDefault="00BA4B48" w:rsidP="002E19E4">
      <w:pPr>
        <w:pStyle w:val="EndnoteText"/>
        <w:spacing w:after="120"/>
        <w:rPr>
          <w:sz w:val="18"/>
          <w:szCs w:val="18"/>
        </w:rPr>
      </w:pPr>
      <w:r w:rsidRPr="00C843AB">
        <w:rPr>
          <w:rStyle w:val="EndnoteReference"/>
          <w:sz w:val="18"/>
          <w:szCs w:val="18"/>
        </w:rPr>
        <w:endnoteRef/>
      </w:r>
      <w:r w:rsidRPr="00C843AB">
        <w:rPr>
          <w:sz w:val="18"/>
          <w:szCs w:val="18"/>
        </w:rPr>
        <w:t xml:space="preserve"> Einsiedel L</w:t>
      </w:r>
      <w:r>
        <w:rPr>
          <w:sz w:val="18"/>
          <w:szCs w:val="18"/>
        </w:rPr>
        <w:t>.</w:t>
      </w:r>
      <w:r w:rsidRPr="00C843AB">
        <w:rPr>
          <w:sz w:val="18"/>
          <w:szCs w:val="18"/>
        </w:rPr>
        <w:t xml:space="preserve">, </w:t>
      </w:r>
      <w:r>
        <w:rPr>
          <w:sz w:val="18"/>
          <w:szCs w:val="18"/>
        </w:rPr>
        <w:t xml:space="preserve">H. </w:t>
      </w:r>
      <w:r w:rsidRPr="00C843AB">
        <w:rPr>
          <w:sz w:val="18"/>
          <w:szCs w:val="18"/>
        </w:rPr>
        <w:t xml:space="preserve">Pham, </w:t>
      </w:r>
      <w:r>
        <w:rPr>
          <w:sz w:val="18"/>
          <w:szCs w:val="18"/>
        </w:rPr>
        <w:t xml:space="preserve">K. </w:t>
      </w:r>
      <w:r w:rsidRPr="00C843AB">
        <w:rPr>
          <w:sz w:val="18"/>
          <w:szCs w:val="18"/>
        </w:rPr>
        <w:t xml:space="preserve">Wilson, </w:t>
      </w:r>
      <w:r>
        <w:rPr>
          <w:sz w:val="18"/>
          <w:szCs w:val="18"/>
        </w:rPr>
        <w:t xml:space="preserve">R. </w:t>
      </w:r>
      <w:r w:rsidRPr="00C843AB">
        <w:rPr>
          <w:sz w:val="18"/>
          <w:szCs w:val="18"/>
        </w:rPr>
        <w:t>Walley,</w:t>
      </w:r>
      <w:r>
        <w:rPr>
          <w:sz w:val="18"/>
          <w:szCs w:val="18"/>
        </w:rPr>
        <w:t xml:space="preserve"> J. </w:t>
      </w:r>
      <w:r w:rsidRPr="00C843AB">
        <w:rPr>
          <w:sz w:val="18"/>
          <w:szCs w:val="18"/>
        </w:rPr>
        <w:t xml:space="preserve">Turpin, </w:t>
      </w:r>
      <w:r>
        <w:rPr>
          <w:sz w:val="18"/>
          <w:szCs w:val="18"/>
        </w:rPr>
        <w:t xml:space="preserve">C. </w:t>
      </w:r>
      <w:r w:rsidRPr="00C843AB">
        <w:rPr>
          <w:sz w:val="18"/>
          <w:szCs w:val="18"/>
        </w:rPr>
        <w:t xml:space="preserve">Bangham </w:t>
      </w:r>
      <w:r w:rsidRPr="0020450B">
        <w:rPr>
          <w:i/>
          <w:sz w:val="18"/>
          <w:szCs w:val="18"/>
        </w:rPr>
        <w:t>et al.</w:t>
      </w:r>
      <w:r w:rsidRPr="00C843AB">
        <w:rPr>
          <w:sz w:val="18"/>
          <w:szCs w:val="18"/>
        </w:rPr>
        <w:t xml:space="preserve"> (2018)</w:t>
      </w:r>
      <w:r>
        <w:rPr>
          <w:sz w:val="18"/>
          <w:szCs w:val="18"/>
        </w:rPr>
        <w:t>.</w:t>
      </w:r>
      <w:r w:rsidRPr="00C843AB">
        <w:rPr>
          <w:sz w:val="18"/>
          <w:szCs w:val="18"/>
        </w:rPr>
        <w:t xml:space="preserve"> </w:t>
      </w:r>
      <w:r>
        <w:rPr>
          <w:sz w:val="18"/>
          <w:szCs w:val="18"/>
        </w:rPr>
        <w:t>‘</w:t>
      </w:r>
      <w:r w:rsidRPr="00C843AB">
        <w:rPr>
          <w:sz w:val="18"/>
          <w:szCs w:val="18"/>
        </w:rPr>
        <w:t>Human T-Lymphotropic Virus type 1c subtype proviral loads, chronic lung disease and survival in a prospective cohort of Indigenous Australians.</w:t>
      </w:r>
      <w:r>
        <w:rPr>
          <w:sz w:val="18"/>
          <w:szCs w:val="18"/>
        </w:rPr>
        <w:t>’</w:t>
      </w:r>
      <w:r w:rsidRPr="00C843AB">
        <w:rPr>
          <w:sz w:val="18"/>
          <w:szCs w:val="18"/>
        </w:rPr>
        <w:t xml:space="preserve"> </w:t>
      </w:r>
      <w:r w:rsidRPr="0020450B">
        <w:rPr>
          <w:sz w:val="18"/>
          <w:szCs w:val="18"/>
          <w:u w:val="single"/>
        </w:rPr>
        <w:t>PLoS Negl Trop Dis</w:t>
      </w:r>
      <w:r w:rsidRPr="00C843AB">
        <w:rPr>
          <w:i/>
          <w:sz w:val="18"/>
          <w:szCs w:val="18"/>
        </w:rPr>
        <w:t xml:space="preserve"> </w:t>
      </w:r>
      <w:r w:rsidRPr="0020450B">
        <w:rPr>
          <w:b/>
          <w:sz w:val="18"/>
          <w:szCs w:val="18"/>
        </w:rPr>
        <w:t>12</w:t>
      </w:r>
      <w:r w:rsidRPr="00C843AB">
        <w:rPr>
          <w:sz w:val="18"/>
          <w:szCs w:val="18"/>
        </w:rPr>
        <w:t xml:space="preserve">(3):e0006281. </w:t>
      </w:r>
    </w:p>
  </w:endnote>
  <w:endnote w:id="17">
    <w:p w14:paraId="20328070" w14:textId="304E218A" w:rsidR="00BA4B48" w:rsidRPr="00C843AB" w:rsidRDefault="00BA4B48" w:rsidP="00930871">
      <w:pPr>
        <w:pStyle w:val="EndnoteText"/>
        <w:spacing w:after="120"/>
        <w:rPr>
          <w:sz w:val="18"/>
          <w:szCs w:val="18"/>
        </w:rPr>
      </w:pPr>
      <w:r w:rsidRPr="00C843AB">
        <w:rPr>
          <w:rStyle w:val="EndnoteReference"/>
          <w:sz w:val="18"/>
          <w:szCs w:val="18"/>
        </w:rPr>
        <w:endnoteRef/>
      </w:r>
      <w:r w:rsidRPr="00C843AB">
        <w:rPr>
          <w:sz w:val="18"/>
          <w:szCs w:val="18"/>
        </w:rPr>
        <w:t xml:space="preserve"> Graham, S., L. W. Smith, C. K. Fairley</w:t>
      </w:r>
      <w:r>
        <w:rPr>
          <w:sz w:val="18"/>
          <w:szCs w:val="18"/>
        </w:rPr>
        <w:t>,</w:t>
      </w:r>
      <w:r w:rsidRPr="00C843AB">
        <w:rPr>
          <w:sz w:val="18"/>
          <w:szCs w:val="18"/>
        </w:rPr>
        <w:t xml:space="preserve"> and J. Hocking. (2016)</w:t>
      </w:r>
      <w:r>
        <w:rPr>
          <w:sz w:val="18"/>
          <w:szCs w:val="18"/>
        </w:rPr>
        <w:t>.</w:t>
      </w:r>
      <w:r w:rsidRPr="00C843AB">
        <w:rPr>
          <w:sz w:val="18"/>
          <w:szCs w:val="18"/>
        </w:rPr>
        <w:t xml:space="preserve"> </w:t>
      </w:r>
      <w:r>
        <w:rPr>
          <w:sz w:val="18"/>
          <w:szCs w:val="18"/>
        </w:rPr>
        <w:t>‘</w:t>
      </w:r>
      <w:r w:rsidRPr="00C843AB">
        <w:rPr>
          <w:sz w:val="18"/>
          <w:szCs w:val="18"/>
        </w:rPr>
        <w:t>Prevalence of chlamydia, gonorrhoea, syphilis and trichomonas in Aboriginal and Torres Strait Islander Australians: a systematic review and meta-analysis.</w:t>
      </w:r>
      <w:r>
        <w:rPr>
          <w:sz w:val="18"/>
          <w:szCs w:val="18"/>
        </w:rPr>
        <w:t>’</w:t>
      </w:r>
      <w:r w:rsidRPr="00C843AB">
        <w:rPr>
          <w:sz w:val="18"/>
          <w:szCs w:val="18"/>
        </w:rPr>
        <w:t xml:space="preserve"> </w:t>
      </w:r>
      <w:r w:rsidRPr="0020450B">
        <w:rPr>
          <w:sz w:val="18"/>
          <w:szCs w:val="18"/>
          <w:u w:val="single"/>
        </w:rPr>
        <w:t>Sexual Health</w:t>
      </w:r>
      <w:r w:rsidRPr="0020450B">
        <w:rPr>
          <w:sz w:val="18"/>
          <w:szCs w:val="18"/>
        </w:rPr>
        <w:t>,</w:t>
      </w:r>
      <w:r w:rsidRPr="00C843AB">
        <w:rPr>
          <w:sz w:val="18"/>
          <w:szCs w:val="18"/>
        </w:rPr>
        <w:t xml:space="preserve"> </w:t>
      </w:r>
      <w:r w:rsidRPr="0020450B">
        <w:rPr>
          <w:b/>
          <w:sz w:val="18"/>
          <w:szCs w:val="18"/>
        </w:rPr>
        <w:t>13</w:t>
      </w:r>
      <w:r w:rsidRPr="00C843AB">
        <w:rPr>
          <w:sz w:val="18"/>
          <w:szCs w:val="18"/>
        </w:rPr>
        <w:t>:99</w:t>
      </w:r>
      <w:r>
        <w:rPr>
          <w:sz w:val="18"/>
          <w:szCs w:val="18"/>
        </w:rPr>
        <w:t>–</w:t>
      </w:r>
      <w:r w:rsidRPr="00C843AB">
        <w:rPr>
          <w:sz w:val="18"/>
          <w:szCs w:val="18"/>
        </w:rPr>
        <w:t>113.</w:t>
      </w:r>
    </w:p>
  </w:endnote>
  <w:endnote w:id="18">
    <w:p w14:paraId="4C7617D0" w14:textId="77777777" w:rsidR="00BA4B48" w:rsidRPr="00C843AB" w:rsidRDefault="00BA4B48" w:rsidP="00580C08">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Australian Institute of Health and Welfare (AIHW). (2015). </w:t>
      </w:r>
      <w:r w:rsidRPr="00C843AB">
        <w:rPr>
          <w:rFonts w:cs="Segoe UI"/>
          <w:sz w:val="18"/>
          <w:szCs w:val="18"/>
          <w:u w:val="single"/>
        </w:rPr>
        <w:t>The health of Australia’s prisoners 2015</w:t>
      </w:r>
      <w:r w:rsidRPr="00C843AB">
        <w:rPr>
          <w:rFonts w:cs="Segoe UI"/>
          <w:sz w:val="18"/>
          <w:szCs w:val="18"/>
        </w:rPr>
        <w:t>. AIHW: Canberra.</w:t>
      </w:r>
    </w:p>
  </w:endnote>
  <w:endnote w:id="19">
    <w:p w14:paraId="62772D81" w14:textId="40697F34" w:rsidR="00BA4B48" w:rsidRPr="00C843AB" w:rsidRDefault="00BA4B48" w:rsidP="00CA7F81">
      <w:pPr>
        <w:pStyle w:val="EndnoteText"/>
        <w:spacing w:after="120"/>
        <w:rPr>
          <w:sz w:val="18"/>
          <w:szCs w:val="18"/>
        </w:rPr>
      </w:pPr>
      <w:r w:rsidRPr="00C843AB">
        <w:rPr>
          <w:rStyle w:val="EndnoteReference"/>
          <w:sz w:val="18"/>
          <w:szCs w:val="18"/>
        </w:rPr>
        <w:endnoteRef/>
      </w:r>
      <w:r w:rsidRPr="00C843AB">
        <w:rPr>
          <w:sz w:val="18"/>
          <w:szCs w:val="18"/>
        </w:rPr>
        <w:t xml:space="preserve"> The </w:t>
      </w:r>
      <w:r w:rsidRPr="00C843AB">
        <w:rPr>
          <w:rFonts w:cs="Segoe UI"/>
          <w:sz w:val="18"/>
          <w:szCs w:val="18"/>
        </w:rPr>
        <w:t>Kirby Institute</w:t>
      </w:r>
      <w:r>
        <w:rPr>
          <w:rFonts w:cs="Segoe UI"/>
          <w:sz w:val="18"/>
          <w:szCs w:val="18"/>
        </w:rPr>
        <w:t>.</w:t>
      </w:r>
      <w:r w:rsidRPr="00C843AB">
        <w:rPr>
          <w:rFonts w:cs="Segoe UI"/>
          <w:sz w:val="18"/>
          <w:szCs w:val="18"/>
        </w:rPr>
        <w:t xml:space="preserve"> (2017). </w:t>
      </w:r>
      <w:r w:rsidRPr="00C843AB">
        <w:rPr>
          <w:rFonts w:cs="Segoe UI"/>
          <w:sz w:val="18"/>
          <w:szCs w:val="18"/>
          <w:u w:val="single"/>
        </w:rPr>
        <w:t>HIV, viral hepatitis and sexually transmissible infections in Australia, Annual Surveillance Report 2017</w:t>
      </w:r>
      <w:r w:rsidRPr="00C843AB">
        <w:rPr>
          <w:rFonts w:cs="Segoe UI"/>
          <w:sz w:val="18"/>
          <w:szCs w:val="18"/>
        </w:rPr>
        <w:t>. UNSW Sydney</w:t>
      </w:r>
      <w:r>
        <w:rPr>
          <w:rFonts w:cs="Segoe UI"/>
          <w:sz w:val="18"/>
          <w:szCs w:val="18"/>
        </w:rPr>
        <w:t xml:space="preserve">: </w:t>
      </w:r>
      <w:r w:rsidRPr="00C843AB">
        <w:rPr>
          <w:rFonts w:cs="Segoe UI"/>
          <w:sz w:val="18"/>
          <w:szCs w:val="18"/>
        </w:rPr>
        <w:t>Sydney.</w:t>
      </w:r>
    </w:p>
  </w:endnote>
  <w:endnote w:id="20">
    <w:p w14:paraId="1119933F" w14:textId="7C69E9C0" w:rsidR="00BA4B48" w:rsidRPr="00C843AB" w:rsidRDefault="00BA4B48" w:rsidP="00C87E8B">
      <w:pPr>
        <w:pStyle w:val="EndnoteText"/>
        <w:spacing w:after="120"/>
        <w:rPr>
          <w:rFonts w:cs="Segoe UI"/>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Christopher</w:t>
      </w:r>
      <w:r>
        <w:rPr>
          <w:rFonts w:cs="Segoe UI"/>
          <w:sz w:val="18"/>
          <w:szCs w:val="18"/>
        </w:rPr>
        <w:t>,</w:t>
      </w:r>
      <w:r w:rsidRPr="00C843AB">
        <w:rPr>
          <w:rFonts w:cs="Segoe UI"/>
          <w:sz w:val="18"/>
          <w:szCs w:val="18"/>
        </w:rPr>
        <w:t xml:space="preserve"> K., E</w:t>
      </w:r>
      <w:r>
        <w:rPr>
          <w:rFonts w:cs="Segoe UI"/>
          <w:sz w:val="18"/>
          <w:szCs w:val="18"/>
        </w:rPr>
        <w:t>.</w:t>
      </w:r>
      <w:r w:rsidRPr="00C843AB">
        <w:rPr>
          <w:rFonts w:cs="Segoe UI"/>
          <w:sz w:val="18"/>
          <w:szCs w:val="18"/>
        </w:rPr>
        <w:t xml:space="preserve"> Fairley, P.</w:t>
      </w:r>
      <w:r>
        <w:rPr>
          <w:rFonts w:cs="Segoe UI"/>
          <w:sz w:val="18"/>
          <w:szCs w:val="18"/>
        </w:rPr>
        <w:t xml:space="preserve"> </w:t>
      </w:r>
      <w:r w:rsidRPr="00C843AB">
        <w:rPr>
          <w:rFonts w:cs="Segoe UI"/>
          <w:sz w:val="18"/>
          <w:szCs w:val="18"/>
        </w:rPr>
        <w:t>F</w:t>
      </w:r>
      <w:r>
        <w:rPr>
          <w:rFonts w:cs="Segoe UI"/>
          <w:sz w:val="18"/>
          <w:szCs w:val="18"/>
        </w:rPr>
        <w:t>.</w:t>
      </w:r>
      <w:r w:rsidRPr="00C843AB">
        <w:rPr>
          <w:rFonts w:cs="Segoe UI"/>
          <w:sz w:val="18"/>
          <w:szCs w:val="18"/>
        </w:rPr>
        <w:t xml:space="preserve"> Chow., </w:t>
      </w:r>
      <w:r>
        <w:rPr>
          <w:rFonts w:cs="Segoe UI"/>
          <w:sz w:val="18"/>
          <w:szCs w:val="18"/>
        </w:rPr>
        <w:t xml:space="preserve">and </w:t>
      </w:r>
      <w:r w:rsidRPr="00C843AB">
        <w:rPr>
          <w:rFonts w:cs="Segoe UI"/>
          <w:sz w:val="18"/>
          <w:szCs w:val="18"/>
        </w:rPr>
        <w:t>J.</w:t>
      </w:r>
      <w:r>
        <w:rPr>
          <w:rFonts w:cs="Segoe UI"/>
          <w:sz w:val="18"/>
          <w:szCs w:val="18"/>
        </w:rPr>
        <w:t xml:space="preserve"> </w:t>
      </w:r>
      <w:r w:rsidRPr="00C843AB">
        <w:rPr>
          <w:rFonts w:cs="Segoe UI"/>
          <w:sz w:val="18"/>
          <w:szCs w:val="18"/>
        </w:rPr>
        <w:t>S. Hocking. (2015)</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Early presentation of symptomatic individuals is critical in controlling sexually transmissible infections.</w:t>
      </w:r>
      <w:r>
        <w:rPr>
          <w:rFonts w:cs="Segoe UI"/>
          <w:sz w:val="18"/>
          <w:szCs w:val="18"/>
        </w:rPr>
        <w:t>’</w:t>
      </w:r>
      <w:r w:rsidRPr="00C843AB">
        <w:rPr>
          <w:rFonts w:cs="Segoe UI"/>
          <w:sz w:val="18"/>
          <w:szCs w:val="18"/>
        </w:rPr>
        <w:t xml:space="preserve"> </w:t>
      </w:r>
      <w:r w:rsidRPr="00E01550">
        <w:rPr>
          <w:rFonts w:cs="Segoe UI"/>
          <w:sz w:val="18"/>
          <w:szCs w:val="18"/>
          <w:u w:val="single"/>
        </w:rPr>
        <w:t>Sexual Health</w:t>
      </w:r>
      <w:r w:rsidRPr="00C843AB">
        <w:rPr>
          <w:rFonts w:cs="Segoe UI"/>
          <w:sz w:val="18"/>
          <w:szCs w:val="18"/>
        </w:rPr>
        <w:t xml:space="preserve"> </w:t>
      </w:r>
      <w:r w:rsidRPr="00E01550">
        <w:rPr>
          <w:rFonts w:cs="Segoe UI"/>
          <w:b/>
          <w:sz w:val="18"/>
          <w:szCs w:val="18"/>
        </w:rPr>
        <w:t>12</w:t>
      </w:r>
      <w:r w:rsidRPr="00C843AB">
        <w:rPr>
          <w:rFonts w:cs="Segoe UI"/>
          <w:sz w:val="18"/>
          <w:szCs w:val="18"/>
        </w:rPr>
        <w:t>(3)</w:t>
      </w:r>
      <w:r>
        <w:rPr>
          <w:rFonts w:cs="Segoe UI"/>
          <w:sz w:val="18"/>
          <w:szCs w:val="18"/>
        </w:rPr>
        <w:t>:</w:t>
      </w:r>
      <w:r w:rsidRPr="00C843AB">
        <w:rPr>
          <w:rFonts w:cs="Segoe UI"/>
          <w:sz w:val="18"/>
          <w:szCs w:val="18"/>
        </w:rPr>
        <w:t>181</w:t>
      </w:r>
      <w:r>
        <w:rPr>
          <w:rFonts w:cs="Segoe UI"/>
          <w:sz w:val="18"/>
          <w:szCs w:val="18"/>
        </w:rPr>
        <w:t>–</w:t>
      </w:r>
      <w:r w:rsidRPr="00C843AB">
        <w:rPr>
          <w:rFonts w:cs="Segoe UI"/>
          <w:sz w:val="18"/>
          <w:szCs w:val="18"/>
        </w:rPr>
        <w:t>182</w:t>
      </w:r>
      <w:r>
        <w:rPr>
          <w:rFonts w:cs="Segoe UI"/>
          <w:sz w:val="18"/>
          <w:szCs w:val="18"/>
        </w:rPr>
        <w:t>.</w:t>
      </w:r>
      <w:r w:rsidRPr="00C843AB">
        <w:rPr>
          <w:rFonts w:cs="Segoe UI"/>
          <w:sz w:val="18"/>
          <w:szCs w:val="18"/>
        </w:rPr>
        <w:t xml:space="preserve"> </w:t>
      </w:r>
    </w:p>
  </w:endnote>
  <w:endnote w:id="21">
    <w:p w14:paraId="1D328226" w14:textId="19896A7F" w:rsidR="00BA4B48" w:rsidRPr="00C843AB" w:rsidRDefault="00BA4B48" w:rsidP="00CA7F81">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Bell, S., P. Aggleton, J. Ward</w:t>
      </w:r>
      <w:r>
        <w:rPr>
          <w:rFonts w:cs="Segoe UI"/>
          <w:sz w:val="18"/>
          <w:szCs w:val="18"/>
        </w:rPr>
        <w:t>,</w:t>
      </w:r>
      <w:r w:rsidRPr="00C843AB">
        <w:rPr>
          <w:rFonts w:cs="Segoe UI"/>
          <w:sz w:val="18"/>
          <w:szCs w:val="18"/>
        </w:rPr>
        <w:t xml:space="preserve"> and L. Maher</w:t>
      </w:r>
      <w:r>
        <w:rPr>
          <w:rFonts w:cs="Segoe UI"/>
          <w:sz w:val="18"/>
          <w:szCs w:val="18"/>
        </w:rPr>
        <w:t>.</w:t>
      </w:r>
      <w:r w:rsidRPr="00C843AB">
        <w:rPr>
          <w:rFonts w:cs="Segoe UI"/>
          <w:sz w:val="18"/>
          <w:szCs w:val="18"/>
        </w:rPr>
        <w:t xml:space="preserve"> (2017). </w:t>
      </w:r>
      <w:r>
        <w:rPr>
          <w:rFonts w:cs="Segoe UI"/>
          <w:sz w:val="18"/>
          <w:szCs w:val="18"/>
        </w:rPr>
        <w:t>‘</w:t>
      </w:r>
      <w:r w:rsidRPr="00C843AB">
        <w:rPr>
          <w:rFonts w:cs="Segoe UI"/>
          <w:sz w:val="18"/>
          <w:szCs w:val="18"/>
        </w:rPr>
        <w:t>Sexual agency, risk and vulnerability: a scoping review of young Indigenous Australians’ sexual health.</w:t>
      </w:r>
      <w:r>
        <w:rPr>
          <w:rFonts w:cs="Segoe UI"/>
          <w:sz w:val="18"/>
          <w:szCs w:val="18"/>
        </w:rPr>
        <w:t>’</w:t>
      </w:r>
      <w:r w:rsidRPr="00C843AB">
        <w:rPr>
          <w:rFonts w:cs="Segoe UI"/>
          <w:sz w:val="18"/>
          <w:szCs w:val="18"/>
        </w:rPr>
        <w:t xml:space="preserve"> </w:t>
      </w:r>
      <w:r w:rsidRPr="00E01550">
        <w:rPr>
          <w:rFonts w:cs="Segoe UI"/>
          <w:sz w:val="18"/>
          <w:szCs w:val="18"/>
          <w:u w:val="single"/>
        </w:rPr>
        <w:t>Journal of Youth Studies</w:t>
      </w:r>
      <w:r w:rsidRPr="00E01550">
        <w:rPr>
          <w:rFonts w:cs="Segoe UI"/>
          <w:sz w:val="18"/>
          <w:szCs w:val="18"/>
        </w:rPr>
        <w:t>,</w:t>
      </w:r>
      <w:r w:rsidRPr="00C843AB">
        <w:rPr>
          <w:rFonts w:cs="Segoe UI"/>
          <w:sz w:val="18"/>
          <w:szCs w:val="18"/>
        </w:rPr>
        <w:t xml:space="preserve"> </w:t>
      </w:r>
      <w:r w:rsidRPr="00E01550">
        <w:rPr>
          <w:rFonts w:cs="Segoe UI"/>
          <w:b/>
          <w:sz w:val="18"/>
          <w:szCs w:val="18"/>
        </w:rPr>
        <w:t>20</w:t>
      </w:r>
      <w:r w:rsidRPr="00C843AB">
        <w:rPr>
          <w:rFonts w:cs="Segoe UI"/>
          <w:sz w:val="18"/>
          <w:szCs w:val="18"/>
        </w:rPr>
        <w:t>(9):1208</w:t>
      </w:r>
      <w:r>
        <w:rPr>
          <w:rFonts w:cs="Segoe UI"/>
          <w:sz w:val="18"/>
          <w:szCs w:val="18"/>
        </w:rPr>
        <w:t>–</w:t>
      </w:r>
      <w:r w:rsidRPr="00C843AB">
        <w:rPr>
          <w:rFonts w:cs="Segoe UI"/>
          <w:sz w:val="18"/>
          <w:szCs w:val="18"/>
        </w:rPr>
        <w:t>1224.</w:t>
      </w:r>
    </w:p>
  </w:endnote>
  <w:endnote w:id="22">
    <w:p w14:paraId="35B7B05D" w14:textId="77777777" w:rsidR="00BA4B48" w:rsidRPr="00C843AB" w:rsidRDefault="00BA4B48" w:rsidP="00CA7F81">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Holloway, I.W., S. Dunlap, H.E. Del Pino, K. Hermanstyne, C. Pulsipher, and R.J. Landovitz (2014). “Online social networking, sexual risk and protective behaviors: considerations for clinicians and researchers.” </w:t>
      </w:r>
      <w:r w:rsidRPr="00C843AB">
        <w:rPr>
          <w:rFonts w:cs="Segoe UI"/>
          <w:i/>
          <w:sz w:val="18"/>
          <w:szCs w:val="18"/>
        </w:rPr>
        <w:t xml:space="preserve">Current Addiction Reports, </w:t>
      </w:r>
      <w:r w:rsidRPr="00C843AB">
        <w:rPr>
          <w:rFonts w:cs="Segoe UI"/>
          <w:sz w:val="18"/>
          <w:szCs w:val="18"/>
        </w:rPr>
        <w:t>1(3):220-8.</w:t>
      </w:r>
    </w:p>
  </w:endnote>
  <w:endnote w:id="23">
    <w:p w14:paraId="0907137B" w14:textId="0142C742" w:rsidR="00BA4B48" w:rsidRPr="00C843AB" w:rsidRDefault="00BA4B48" w:rsidP="004461FD">
      <w:pPr>
        <w:pStyle w:val="EndnoteText"/>
        <w:spacing w:after="120"/>
        <w:rPr>
          <w:sz w:val="18"/>
          <w:szCs w:val="18"/>
        </w:rPr>
      </w:pPr>
      <w:r w:rsidRPr="00C843AB">
        <w:rPr>
          <w:rStyle w:val="EndnoteReference"/>
          <w:sz w:val="18"/>
          <w:szCs w:val="18"/>
        </w:rPr>
        <w:endnoteRef/>
      </w:r>
      <w:r w:rsidRPr="00C843AB">
        <w:rPr>
          <w:sz w:val="18"/>
          <w:szCs w:val="18"/>
        </w:rPr>
        <w:t xml:space="preserve"> Mooney-Somers, J., E</w:t>
      </w:r>
      <w:r>
        <w:rPr>
          <w:sz w:val="18"/>
          <w:szCs w:val="18"/>
        </w:rPr>
        <w:t>.</w:t>
      </w:r>
      <w:r w:rsidRPr="00C843AB">
        <w:rPr>
          <w:sz w:val="18"/>
          <w:szCs w:val="18"/>
        </w:rPr>
        <w:t xml:space="preserve"> Wani, </w:t>
      </w:r>
      <w:r>
        <w:rPr>
          <w:sz w:val="18"/>
          <w:szCs w:val="18"/>
        </w:rPr>
        <w:t xml:space="preserve">R. </w:t>
      </w:r>
      <w:r w:rsidRPr="00C843AB">
        <w:rPr>
          <w:sz w:val="18"/>
          <w:szCs w:val="18"/>
        </w:rPr>
        <w:t xml:space="preserve">Scott, </w:t>
      </w:r>
      <w:r>
        <w:rPr>
          <w:sz w:val="18"/>
          <w:szCs w:val="18"/>
        </w:rPr>
        <w:t xml:space="preserve">A. </w:t>
      </w:r>
      <w:r w:rsidRPr="00C843AB">
        <w:rPr>
          <w:sz w:val="18"/>
          <w:szCs w:val="18"/>
        </w:rPr>
        <w:t xml:space="preserve">Akee, </w:t>
      </w:r>
      <w:r>
        <w:rPr>
          <w:sz w:val="18"/>
          <w:szCs w:val="18"/>
        </w:rPr>
        <w:t xml:space="preserve">J. </w:t>
      </w:r>
      <w:r w:rsidRPr="00C843AB">
        <w:rPr>
          <w:sz w:val="18"/>
          <w:szCs w:val="18"/>
        </w:rPr>
        <w:t xml:space="preserve">Kaldor, </w:t>
      </w:r>
      <w:r>
        <w:rPr>
          <w:sz w:val="18"/>
          <w:szCs w:val="18"/>
        </w:rPr>
        <w:t xml:space="preserve">and L. </w:t>
      </w:r>
      <w:r w:rsidRPr="00C843AB">
        <w:rPr>
          <w:sz w:val="18"/>
          <w:szCs w:val="18"/>
        </w:rPr>
        <w:t>Maher. (2009)</w:t>
      </w:r>
      <w:r>
        <w:rPr>
          <w:sz w:val="18"/>
          <w:szCs w:val="18"/>
        </w:rPr>
        <w:t>.</w:t>
      </w:r>
      <w:r w:rsidRPr="00C843AB">
        <w:rPr>
          <w:sz w:val="18"/>
          <w:szCs w:val="18"/>
        </w:rPr>
        <w:t xml:space="preserve"> </w:t>
      </w:r>
      <w:r>
        <w:rPr>
          <w:sz w:val="18"/>
          <w:szCs w:val="18"/>
        </w:rPr>
        <w:t>‘</w:t>
      </w:r>
      <w:r w:rsidRPr="00C843AB">
        <w:rPr>
          <w:sz w:val="18"/>
          <w:szCs w:val="18"/>
        </w:rPr>
        <w:t>Enhancing Aboriginal and Torres Strait Islander young people’s resilience to blood-borne and sexually transmitted  infections: findings from a community-based participatory research project.</w:t>
      </w:r>
      <w:r>
        <w:rPr>
          <w:sz w:val="18"/>
          <w:szCs w:val="18"/>
        </w:rPr>
        <w:t>’</w:t>
      </w:r>
      <w:r w:rsidRPr="00C843AB">
        <w:rPr>
          <w:sz w:val="18"/>
          <w:szCs w:val="18"/>
        </w:rPr>
        <w:t xml:space="preserve"> </w:t>
      </w:r>
      <w:r w:rsidRPr="004F0F15">
        <w:rPr>
          <w:sz w:val="18"/>
          <w:szCs w:val="18"/>
          <w:u w:val="single"/>
        </w:rPr>
        <w:t>Health Promotion Journal of Australia</w:t>
      </w:r>
      <w:r w:rsidRPr="004F0F15">
        <w:rPr>
          <w:sz w:val="18"/>
          <w:szCs w:val="18"/>
        </w:rPr>
        <w:t>,</w:t>
      </w:r>
      <w:r w:rsidRPr="00C843AB">
        <w:rPr>
          <w:sz w:val="18"/>
          <w:szCs w:val="18"/>
        </w:rPr>
        <w:t xml:space="preserve"> </w:t>
      </w:r>
      <w:r w:rsidRPr="004F0F15">
        <w:rPr>
          <w:b/>
          <w:sz w:val="18"/>
          <w:szCs w:val="18"/>
        </w:rPr>
        <w:t>20</w:t>
      </w:r>
      <w:r>
        <w:rPr>
          <w:sz w:val="18"/>
          <w:szCs w:val="18"/>
        </w:rPr>
        <w:t>:</w:t>
      </w:r>
      <w:r w:rsidRPr="00C843AB">
        <w:rPr>
          <w:sz w:val="18"/>
          <w:szCs w:val="18"/>
        </w:rPr>
        <w:t>195</w:t>
      </w:r>
      <w:r>
        <w:rPr>
          <w:sz w:val="18"/>
          <w:szCs w:val="18"/>
        </w:rPr>
        <w:t>–</w:t>
      </w:r>
      <w:r w:rsidRPr="00C843AB">
        <w:rPr>
          <w:sz w:val="18"/>
          <w:szCs w:val="18"/>
        </w:rPr>
        <w:t>201</w:t>
      </w:r>
      <w:r>
        <w:rPr>
          <w:sz w:val="18"/>
          <w:szCs w:val="18"/>
        </w:rPr>
        <w:t>.</w:t>
      </w:r>
    </w:p>
  </w:endnote>
  <w:endnote w:id="24">
    <w:p w14:paraId="6F83063C" w14:textId="161FB2DA" w:rsidR="00BA4B48" w:rsidRPr="00C843AB" w:rsidRDefault="00BA4B48" w:rsidP="004461FD">
      <w:pPr>
        <w:pStyle w:val="EndnoteText"/>
        <w:spacing w:after="120"/>
        <w:rPr>
          <w:sz w:val="18"/>
          <w:szCs w:val="18"/>
        </w:rPr>
      </w:pPr>
      <w:r w:rsidRPr="00177353">
        <w:rPr>
          <w:rStyle w:val="EndnoteReference"/>
          <w:sz w:val="18"/>
          <w:szCs w:val="18"/>
        </w:rPr>
        <w:endnoteRef/>
      </w:r>
      <w:r w:rsidRPr="00177353">
        <w:rPr>
          <w:sz w:val="18"/>
          <w:szCs w:val="18"/>
        </w:rPr>
        <w:t xml:space="preserve"> </w:t>
      </w:r>
      <w:r w:rsidRPr="00177353">
        <w:rPr>
          <w:rFonts w:cs="Segoe UI"/>
          <w:sz w:val="18"/>
          <w:szCs w:val="18"/>
        </w:rPr>
        <w:t>Ward</w:t>
      </w:r>
      <w:r>
        <w:rPr>
          <w:rFonts w:cs="Segoe UI"/>
          <w:sz w:val="18"/>
          <w:szCs w:val="18"/>
        </w:rPr>
        <w:t>, J.</w:t>
      </w:r>
      <w:r w:rsidRPr="00177353">
        <w:rPr>
          <w:rFonts w:cs="Segoe UI"/>
          <w:sz w:val="18"/>
          <w:szCs w:val="18"/>
        </w:rPr>
        <w:t>, J. Bryant, H. Worth, P. Hull, S. Solar (2013</w:t>
      </w:r>
      <w:r w:rsidRPr="00C843AB">
        <w:rPr>
          <w:rFonts w:cs="Segoe UI"/>
          <w:sz w:val="18"/>
          <w:szCs w:val="18"/>
        </w:rPr>
        <w:t>)</w:t>
      </w:r>
      <w:r>
        <w:rPr>
          <w:rFonts w:cs="Segoe UI"/>
          <w:sz w:val="18"/>
          <w:szCs w:val="18"/>
        </w:rPr>
        <w:t>.</w:t>
      </w:r>
      <w:r w:rsidRPr="00C843AB">
        <w:rPr>
          <w:sz w:val="18"/>
          <w:szCs w:val="18"/>
        </w:rPr>
        <w:t xml:space="preserve"> </w:t>
      </w:r>
      <w:r>
        <w:rPr>
          <w:sz w:val="18"/>
          <w:szCs w:val="18"/>
        </w:rPr>
        <w:t>‘</w:t>
      </w:r>
      <w:r w:rsidRPr="00C843AB">
        <w:rPr>
          <w:rFonts w:cs="Segoe UI"/>
          <w:sz w:val="18"/>
          <w:szCs w:val="18"/>
        </w:rPr>
        <w:t>Use of health services for sexually transmitted and blood-borne viral infections by young Aboriginal people in New South Wales.</w:t>
      </w:r>
      <w:r>
        <w:rPr>
          <w:rFonts w:cs="Segoe UI"/>
          <w:sz w:val="18"/>
          <w:szCs w:val="18"/>
        </w:rPr>
        <w:t>’</w:t>
      </w:r>
      <w:r w:rsidRPr="00C843AB">
        <w:rPr>
          <w:rFonts w:cs="Segoe UI"/>
          <w:sz w:val="18"/>
          <w:szCs w:val="18"/>
        </w:rPr>
        <w:t xml:space="preserve"> </w:t>
      </w:r>
      <w:r w:rsidRPr="004F0F15">
        <w:rPr>
          <w:rFonts w:cs="Segoe UI"/>
          <w:sz w:val="18"/>
          <w:szCs w:val="18"/>
          <w:u w:val="single"/>
        </w:rPr>
        <w:t>Australian Journal of Primary Health</w:t>
      </w:r>
      <w:r w:rsidRPr="004F0F15">
        <w:rPr>
          <w:rFonts w:cs="Segoe UI"/>
          <w:sz w:val="18"/>
          <w:szCs w:val="18"/>
        </w:rPr>
        <w:t>,</w:t>
      </w:r>
      <w:r w:rsidRPr="00C843AB">
        <w:rPr>
          <w:rFonts w:cs="Segoe UI"/>
          <w:sz w:val="18"/>
          <w:szCs w:val="18"/>
        </w:rPr>
        <w:t xml:space="preserve"> </w:t>
      </w:r>
      <w:r w:rsidRPr="004F0F15">
        <w:rPr>
          <w:rFonts w:cs="Segoe UI"/>
          <w:b/>
          <w:sz w:val="18"/>
          <w:szCs w:val="18"/>
        </w:rPr>
        <w:t>19</w:t>
      </w:r>
      <w:r>
        <w:rPr>
          <w:rFonts w:cs="Segoe UI"/>
          <w:sz w:val="18"/>
          <w:szCs w:val="18"/>
        </w:rPr>
        <w:t xml:space="preserve">: </w:t>
      </w:r>
      <w:r w:rsidRPr="00C843AB">
        <w:rPr>
          <w:rFonts w:cs="Segoe UI"/>
          <w:sz w:val="18"/>
          <w:szCs w:val="18"/>
        </w:rPr>
        <w:t>81–86</w:t>
      </w:r>
      <w:r>
        <w:rPr>
          <w:rFonts w:cs="Segoe UI"/>
          <w:sz w:val="18"/>
          <w:szCs w:val="18"/>
        </w:rPr>
        <w:t>.</w:t>
      </w:r>
    </w:p>
  </w:endnote>
  <w:endnote w:id="25">
    <w:p w14:paraId="7756E167" w14:textId="4ED50215" w:rsidR="00BA4B48" w:rsidRPr="00C843AB" w:rsidRDefault="00BA4B48" w:rsidP="004461FD">
      <w:pPr>
        <w:pStyle w:val="EndnoteText"/>
        <w:spacing w:after="120"/>
        <w:rPr>
          <w:sz w:val="18"/>
          <w:szCs w:val="18"/>
        </w:rPr>
      </w:pPr>
      <w:r>
        <w:rPr>
          <w:rStyle w:val="EndnoteReference"/>
        </w:rPr>
        <w:endnoteRef/>
      </w:r>
      <w:r>
        <w:t xml:space="preserve"> </w:t>
      </w:r>
      <w:r w:rsidRPr="00C843AB">
        <w:rPr>
          <w:sz w:val="18"/>
          <w:szCs w:val="18"/>
        </w:rPr>
        <w:t>MacPhail, C., and K. McKay. (2018)</w:t>
      </w:r>
      <w:r>
        <w:rPr>
          <w:sz w:val="18"/>
          <w:szCs w:val="18"/>
        </w:rPr>
        <w:t>.</w:t>
      </w:r>
      <w:r w:rsidRPr="00C843AB">
        <w:rPr>
          <w:sz w:val="18"/>
          <w:szCs w:val="18"/>
        </w:rPr>
        <w:t xml:space="preserve"> </w:t>
      </w:r>
      <w:r>
        <w:rPr>
          <w:sz w:val="18"/>
          <w:szCs w:val="18"/>
        </w:rPr>
        <w:t>‘</w:t>
      </w:r>
      <w:r w:rsidRPr="00C843AB">
        <w:rPr>
          <w:sz w:val="18"/>
          <w:szCs w:val="18"/>
        </w:rPr>
        <w:t>Social determinants in the sexual health of adolescent Aboriginal Australians: a systematic review.</w:t>
      </w:r>
      <w:r>
        <w:rPr>
          <w:sz w:val="18"/>
          <w:szCs w:val="18"/>
        </w:rPr>
        <w:t>’</w:t>
      </w:r>
      <w:r w:rsidRPr="00C843AB">
        <w:rPr>
          <w:sz w:val="18"/>
          <w:szCs w:val="18"/>
        </w:rPr>
        <w:t xml:space="preserve"> </w:t>
      </w:r>
      <w:r w:rsidRPr="004F0F15">
        <w:rPr>
          <w:sz w:val="18"/>
          <w:szCs w:val="18"/>
          <w:u w:val="single"/>
        </w:rPr>
        <w:t>Health and Social Care in the Community</w:t>
      </w:r>
      <w:r w:rsidRPr="004F0F15">
        <w:rPr>
          <w:sz w:val="18"/>
          <w:szCs w:val="18"/>
        </w:rPr>
        <w:t>,</w:t>
      </w:r>
      <w:r w:rsidRPr="00C843AB">
        <w:rPr>
          <w:sz w:val="18"/>
          <w:szCs w:val="18"/>
        </w:rPr>
        <w:t xml:space="preserve"> </w:t>
      </w:r>
      <w:r w:rsidRPr="004F0F15">
        <w:rPr>
          <w:b/>
          <w:sz w:val="18"/>
          <w:szCs w:val="18"/>
        </w:rPr>
        <w:t>26</w:t>
      </w:r>
      <w:r w:rsidRPr="00C843AB">
        <w:rPr>
          <w:sz w:val="18"/>
          <w:szCs w:val="18"/>
        </w:rPr>
        <w:t>(2)</w:t>
      </w:r>
      <w:r>
        <w:rPr>
          <w:sz w:val="18"/>
          <w:szCs w:val="18"/>
        </w:rPr>
        <w:t>:</w:t>
      </w:r>
      <w:r w:rsidRPr="00C843AB">
        <w:rPr>
          <w:sz w:val="18"/>
          <w:szCs w:val="18"/>
        </w:rPr>
        <w:t>131–146.</w:t>
      </w:r>
    </w:p>
  </w:endnote>
  <w:endnote w:id="26">
    <w:p w14:paraId="6063E2D2" w14:textId="1450A8D7" w:rsidR="00BA4B48" w:rsidRPr="00C843AB" w:rsidRDefault="00BA4B48" w:rsidP="00936054">
      <w:pPr>
        <w:pStyle w:val="EndnoteText"/>
        <w:spacing w:after="120"/>
        <w:rPr>
          <w:sz w:val="18"/>
          <w:szCs w:val="18"/>
          <w:lang w:val="en-US"/>
        </w:rPr>
      </w:pPr>
      <w:r w:rsidRPr="00C843AB">
        <w:rPr>
          <w:rStyle w:val="EndnoteReference"/>
          <w:sz w:val="18"/>
          <w:szCs w:val="18"/>
        </w:rPr>
        <w:endnoteRef/>
      </w:r>
      <w:r w:rsidRPr="00C843AB">
        <w:rPr>
          <w:sz w:val="18"/>
          <w:szCs w:val="18"/>
        </w:rPr>
        <w:t xml:space="preserve"> Wand, H., Bryant, J., Worth, H., Pitts, M., Kaldor, J.</w:t>
      </w:r>
      <w:r>
        <w:rPr>
          <w:sz w:val="18"/>
          <w:szCs w:val="18"/>
        </w:rPr>
        <w:t xml:space="preserve"> </w:t>
      </w:r>
      <w:r w:rsidRPr="00C843AB">
        <w:rPr>
          <w:sz w:val="18"/>
          <w:szCs w:val="18"/>
        </w:rPr>
        <w:t>M., Delaney-Thiele, D., and Ward, J. (2017)</w:t>
      </w:r>
      <w:r>
        <w:rPr>
          <w:sz w:val="18"/>
          <w:szCs w:val="18"/>
        </w:rPr>
        <w:t>.</w:t>
      </w:r>
      <w:r w:rsidRPr="00C843AB">
        <w:rPr>
          <w:sz w:val="18"/>
          <w:szCs w:val="18"/>
        </w:rPr>
        <w:t xml:space="preserve"> </w:t>
      </w:r>
      <w:r>
        <w:rPr>
          <w:sz w:val="18"/>
          <w:szCs w:val="18"/>
        </w:rPr>
        <w:t>‘</w:t>
      </w:r>
      <w:r w:rsidRPr="00C843AB">
        <w:rPr>
          <w:rFonts w:cs="Segoe UI"/>
          <w:sz w:val="18"/>
          <w:szCs w:val="18"/>
        </w:rPr>
        <w:t>Low education levels are associated with early age of sexual debut, drug use and risky sexual behaviours among young Indigenous Australians</w:t>
      </w:r>
      <w:r>
        <w:rPr>
          <w:rFonts w:cs="Segoe UI"/>
          <w:sz w:val="18"/>
          <w:szCs w:val="18"/>
        </w:rPr>
        <w:t>’.</w:t>
      </w:r>
      <w:r w:rsidRPr="00C843AB">
        <w:rPr>
          <w:rFonts w:cs="Segoe UI"/>
          <w:sz w:val="18"/>
          <w:szCs w:val="18"/>
        </w:rPr>
        <w:t xml:space="preserve"> </w:t>
      </w:r>
      <w:r w:rsidRPr="004F0F15">
        <w:rPr>
          <w:rFonts w:cs="Segoe UI"/>
          <w:sz w:val="18"/>
          <w:szCs w:val="18"/>
          <w:u w:val="single"/>
        </w:rPr>
        <w:t>Sexual Health</w:t>
      </w:r>
      <w:r w:rsidRPr="004F0F15">
        <w:rPr>
          <w:rFonts w:cs="Segoe UI"/>
          <w:sz w:val="18"/>
          <w:szCs w:val="18"/>
        </w:rPr>
        <w:t>,</w:t>
      </w:r>
      <w:r w:rsidRPr="00C843AB">
        <w:rPr>
          <w:rFonts w:cs="Segoe UI"/>
          <w:sz w:val="18"/>
          <w:szCs w:val="18"/>
        </w:rPr>
        <w:t xml:space="preserve"> </w:t>
      </w:r>
      <w:r w:rsidRPr="004F0F15">
        <w:rPr>
          <w:rFonts w:cs="Segoe UI"/>
          <w:b/>
          <w:sz w:val="18"/>
          <w:szCs w:val="18"/>
        </w:rPr>
        <w:t>15</w:t>
      </w:r>
      <w:r w:rsidRPr="00C843AB">
        <w:rPr>
          <w:rFonts w:cs="Segoe UI"/>
          <w:sz w:val="18"/>
          <w:szCs w:val="18"/>
        </w:rPr>
        <w:t>(1)</w:t>
      </w:r>
      <w:r>
        <w:rPr>
          <w:rFonts w:cs="Segoe UI"/>
          <w:sz w:val="18"/>
          <w:szCs w:val="18"/>
        </w:rPr>
        <w:t>:</w:t>
      </w:r>
      <w:r w:rsidRPr="00C843AB">
        <w:rPr>
          <w:rFonts w:cs="Segoe UI"/>
          <w:sz w:val="18"/>
          <w:szCs w:val="18"/>
        </w:rPr>
        <w:t>68</w:t>
      </w:r>
      <w:r>
        <w:rPr>
          <w:rFonts w:cs="Segoe UI"/>
          <w:sz w:val="18"/>
          <w:szCs w:val="18"/>
        </w:rPr>
        <w:t>–</w:t>
      </w:r>
      <w:r w:rsidRPr="00C843AB">
        <w:rPr>
          <w:rFonts w:cs="Segoe UI"/>
          <w:sz w:val="18"/>
          <w:szCs w:val="18"/>
        </w:rPr>
        <w:t>75</w:t>
      </w:r>
      <w:r>
        <w:rPr>
          <w:rFonts w:cs="Segoe UI"/>
          <w:sz w:val="18"/>
          <w:szCs w:val="18"/>
        </w:rPr>
        <w:t>.</w:t>
      </w:r>
    </w:p>
  </w:endnote>
  <w:endnote w:id="27">
    <w:p w14:paraId="317107B1" w14:textId="33EFEC3A" w:rsidR="00BA4B48" w:rsidRPr="00C843AB" w:rsidRDefault="00BA4B48" w:rsidP="00D35EAF">
      <w:pPr>
        <w:rPr>
          <w:sz w:val="18"/>
          <w:szCs w:val="18"/>
        </w:rPr>
      </w:pPr>
      <w:r w:rsidRPr="00C843AB">
        <w:rPr>
          <w:rStyle w:val="EndnoteReference"/>
          <w:sz w:val="18"/>
          <w:szCs w:val="18"/>
        </w:rPr>
        <w:endnoteRef/>
      </w:r>
      <w:r w:rsidRPr="00C843AB">
        <w:rPr>
          <w:sz w:val="18"/>
          <w:szCs w:val="18"/>
        </w:rPr>
        <w:t xml:space="preserve"> Data provided by the Kirby Institute, July 2018.</w:t>
      </w:r>
    </w:p>
  </w:endnote>
  <w:endnote w:id="28">
    <w:p w14:paraId="73016A8D" w14:textId="6A421EDC" w:rsidR="00BA4B48" w:rsidRPr="00C843AB" w:rsidRDefault="00BA4B48" w:rsidP="00D35EAF">
      <w:pPr>
        <w:pStyle w:val="EndnoteText"/>
        <w:spacing w:after="120"/>
        <w:rPr>
          <w:sz w:val="18"/>
          <w:szCs w:val="18"/>
        </w:rPr>
      </w:pPr>
      <w:r w:rsidRPr="00C843AB">
        <w:rPr>
          <w:rStyle w:val="EndnoteReference"/>
          <w:sz w:val="18"/>
          <w:szCs w:val="18"/>
        </w:rPr>
        <w:endnoteRef/>
      </w:r>
      <w:r w:rsidRPr="00C843AB">
        <w:rPr>
          <w:sz w:val="18"/>
          <w:szCs w:val="18"/>
        </w:rPr>
        <w:t xml:space="preserve"> Australian Bureau of Statistics</w:t>
      </w:r>
      <w:r>
        <w:rPr>
          <w:sz w:val="18"/>
          <w:szCs w:val="18"/>
        </w:rPr>
        <w:t>.</w:t>
      </w:r>
      <w:r w:rsidRPr="00C843AB">
        <w:rPr>
          <w:sz w:val="18"/>
          <w:szCs w:val="18"/>
        </w:rPr>
        <w:t xml:space="preserve"> (2016). </w:t>
      </w:r>
      <w:r w:rsidRPr="00C843AB">
        <w:rPr>
          <w:sz w:val="18"/>
          <w:szCs w:val="18"/>
          <w:lang w:val="en"/>
        </w:rPr>
        <w:t>2071.0</w:t>
      </w:r>
      <w:r>
        <w:rPr>
          <w:sz w:val="18"/>
          <w:szCs w:val="18"/>
          <w:lang w:val="en"/>
        </w:rPr>
        <w:t>—</w:t>
      </w:r>
      <w:r w:rsidRPr="00C843AB">
        <w:rPr>
          <w:sz w:val="18"/>
          <w:szCs w:val="18"/>
          <w:u w:val="single"/>
          <w:lang w:val="en"/>
        </w:rPr>
        <w:t>Census of Population and Housing: Reflecting Australia</w:t>
      </w:r>
      <w:r>
        <w:rPr>
          <w:sz w:val="18"/>
          <w:szCs w:val="18"/>
          <w:u w:val="single"/>
          <w:lang w:val="en"/>
        </w:rPr>
        <w:t>—</w:t>
      </w:r>
      <w:r w:rsidRPr="00C843AB">
        <w:rPr>
          <w:sz w:val="18"/>
          <w:szCs w:val="18"/>
          <w:u w:val="single"/>
          <w:lang w:val="en"/>
        </w:rPr>
        <w:t>Stories from the Census, 2016</w:t>
      </w:r>
      <w:r w:rsidRPr="00C843AB">
        <w:rPr>
          <w:sz w:val="18"/>
          <w:szCs w:val="18"/>
          <w:lang w:val="en"/>
        </w:rPr>
        <w:t xml:space="preserve">. </w:t>
      </w:r>
      <w:r>
        <w:rPr>
          <w:sz w:val="18"/>
          <w:szCs w:val="18"/>
          <w:lang w:val="en"/>
        </w:rPr>
        <w:t xml:space="preserve">Accessed 12 November 2018 at: </w:t>
      </w:r>
      <w:hyperlink r:id="rId3" w:tooltip="ABS" w:history="1">
        <w:r w:rsidRPr="00C843AB">
          <w:rPr>
            <w:rStyle w:val="Hyperlink"/>
            <w:sz w:val="18"/>
            <w:szCs w:val="18"/>
            <w:lang w:val="en"/>
          </w:rPr>
          <w:t>http://www.abs.gov.au/AUSSTATS/abs@.nsf/DetailsPage/2071.02016?OpenDocument</w:t>
        </w:r>
      </w:hyperlink>
    </w:p>
  </w:endnote>
  <w:endnote w:id="29">
    <w:p w14:paraId="1861A261" w14:textId="03949452" w:rsidR="00BA4B48" w:rsidRPr="00C843AB" w:rsidRDefault="00BA4B48" w:rsidP="00D35EAF">
      <w:pPr>
        <w:pStyle w:val="EndnoteText"/>
        <w:spacing w:after="120"/>
        <w:rPr>
          <w:sz w:val="18"/>
          <w:szCs w:val="18"/>
        </w:rPr>
      </w:pPr>
      <w:r w:rsidRPr="00C843AB">
        <w:rPr>
          <w:rStyle w:val="EndnoteReference"/>
          <w:sz w:val="18"/>
          <w:szCs w:val="18"/>
        </w:rPr>
        <w:endnoteRef/>
      </w:r>
      <w:r w:rsidRPr="00C843AB">
        <w:rPr>
          <w:sz w:val="18"/>
          <w:szCs w:val="18"/>
        </w:rPr>
        <w:t xml:space="preserve"> Northern Sydney Local Health District. </w:t>
      </w:r>
      <w:r>
        <w:rPr>
          <w:sz w:val="18"/>
          <w:szCs w:val="18"/>
        </w:rPr>
        <w:t xml:space="preserve">(2015). </w:t>
      </w:r>
      <w:r w:rsidRPr="00C843AB">
        <w:rPr>
          <w:sz w:val="18"/>
          <w:szCs w:val="18"/>
          <w:u w:val="single"/>
        </w:rPr>
        <w:t>Aboriginal Health Service Aboriginal and Torres Strait Islander Men’s Health Plan 2015</w:t>
      </w:r>
      <w:r>
        <w:rPr>
          <w:sz w:val="18"/>
          <w:szCs w:val="18"/>
          <w:u w:val="single"/>
        </w:rPr>
        <w:t>–</w:t>
      </w:r>
      <w:r w:rsidRPr="00C843AB">
        <w:rPr>
          <w:sz w:val="18"/>
          <w:szCs w:val="18"/>
          <w:u w:val="single"/>
        </w:rPr>
        <w:t>2020</w:t>
      </w:r>
      <w:r>
        <w:rPr>
          <w:sz w:val="18"/>
          <w:szCs w:val="18"/>
          <w:u w:val="single"/>
        </w:rPr>
        <w:t>.</w:t>
      </w:r>
      <w:r w:rsidRPr="00C843AB">
        <w:rPr>
          <w:sz w:val="18"/>
          <w:szCs w:val="18"/>
        </w:rPr>
        <w:t xml:space="preserve"> </w:t>
      </w:r>
      <w:r>
        <w:rPr>
          <w:sz w:val="18"/>
          <w:szCs w:val="18"/>
        </w:rPr>
        <w:t>A</w:t>
      </w:r>
      <w:r w:rsidRPr="00C843AB">
        <w:rPr>
          <w:sz w:val="18"/>
          <w:szCs w:val="18"/>
        </w:rPr>
        <w:t>ccessed 5 July 2018 at</w:t>
      </w:r>
      <w:r>
        <w:rPr>
          <w:sz w:val="18"/>
          <w:szCs w:val="18"/>
        </w:rPr>
        <w:t>:</w:t>
      </w:r>
      <w:r w:rsidRPr="00C843AB">
        <w:rPr>
          <w:sz w:val="18"/>
          <w:szCs w:val="18"/>
        </w:rPr>
        <w:t xml:space="preserve"> </w:t>
      </w:r>
      <w:hyperlink r:id="rId4" w:tooltip="NSLHD" w:history="1">
        <w:r w:rsidRPr="00C843AB">
          <w:rPr>
            <w:rStyle w:val="Hyperlink"/>
            <w:sz w:val="18"/>
            <w:szCs w:val="18"/>
          </w:rPr>
          <w:t>www.intranet.nslhd.health.nsw.gov.au</w:t>
        </w:r>
      </w:hyperlink>
      <w:r w:rsidRPr="00C843AB">
        <w:rPr>
          <w:sz w:val="18"/>
          <w:szCs w:val="18"/>
        </w:rPr>
        <w:t xml:space="preserve"> </w:t>
      </w:r>
    </w:p>
  </w:endnote>
  <w:endnote w:id="30">
    <w:p w14:paraId="17A16BDC" w14:textId="1416F110" w:rsidR="00BA4B48" w:rsidRPr="00C843AB" w:rsidRDefault="00BA4B48" w:rsidP="00D35EAF">
      <w:pPr>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Ward, J., H. Wand, J</w:t>
      </w:r>
      <w:r>
        <w:rPr>
          <w:rFonts w:cs="Segoe UI"/>
          <w:sz w:val="18"/>
          <w:szCs w:val="18"/>
        </w:rPr>
        <w:t>.</w:t>
      </w:r>
      <w:r w:rsidRPr="00C843AB">
        <w:rPr>
          <w:rFonts w:cs="Segoe UI"/>
          <w:sz w:val="18"/>
          <w:szCs w:val="18"/>
        </w:rPr>
        <w:t xml:space="preserve"> Bryant, D</w:t>
      </w:r>
      <w:r>
        <w:rPr>
          <w:rFonts w:cs="Segoe UI"/>
          <w:sz w:val="18"/>
          <w:szCs w:val="18"/>
        </w:rPr>
        <w:t>.</w:t>
      </w:r>
      <w:r w:rsidRPr="00C843AB">
        <w:rPr>
          <w:rFonts w:cs="Segoe UI"/>
          <w:sz w:val="18"/>
          <w:szCs w:val="18"/>
        </w:rPr>
        <w:t xml:space="preserve"> Delaney-Thiele, H</w:t>
      </w:r>
      <w:r>
        <w:rPr>
          <w:rFonts w:cs="Segoe UI"/>
          <w:sz w:val="18"/>
          <w:szCs w:val="18"/>
        </w:rPr>
        <w:t>.</w:t>
      </w:r>
      <w:r w:rsidRPr="00C843AB">
        <w:rPr>
          <w:rFonts w:cs="Segoe UI"/>
          <w:sz w:val="18"/>
          <w:szCs w:val="18"/>
        </w:rPr>
        <w:t xml:space="preserve"> Worth, M</w:t>
      </w:r>
      <w:r>
        <w:rPr>
          <w:rFonts w:cs="Segoe UI"/>
          <w:sz w:val="18"/>
          <w:szCs w:val="18"/>
        </w:rPr>
        <w:t>.</w:t>
      </w:r>
      <w:r w:rsidRPr="00C843AB">
        <w:rPr>
          <w:rFonts w:cs="Segoe UI"/>
          <w:sz w:val="18"/>
          <w:szCs w:val="18"/>
        </w:rPr>
        <w:t xml:space="preserve"> Pitts, K</w:t>
      </w:r>
      <w:r>
        <w:rPr>
          <w:rFonts w:cs="Segoe UI"/>
          <w:sz w:val="18"/>
          <w:szCs w:val="18"/>
        </w:rPr>
        <w:t>.</w:t>
      </w:r>
      <w:r w:rsidRPr="00C843AB">
        <w:rPr>
          <w:rFonts w:cs="Segoe UI"/>
          <w:sz w:val="18"/>
          <w:szCs w:val="18"/>
        </w:rPr>
        <w:t xml:space="preserve"> Byron, E</w:t>
      </w:r>
      <w:r>
        <w:rPr>
          <w:rFonts w:cs="Segoe UI"/>
          <w:sz w:val="18"/>
          <w:szCs w:val="18"/>
        </w:rPr>
        <w:t>.</w:t>
      </w:r>
      <w:r w:rsidRPr="00C843AB">
        <w:rPr>
          <w:rFonts w:cs="Segoe UI"/>
          <w:sz w:val="18"/>
          <w:szCs w:val="18"/>
        </w:rPr>
        <w:t xml:space="preserve"> Moore, B</w:t>
      </w:r>
      <w:r>
        <w:rPr>
          <w:rFonts w:cs="Segoe UI"/>
          <w:sz w:val="18"/>
          <w:szCs w:val="18"/>
        </w:rPr>
        <w:t>.</w:t>
      </w:r>
      <w:r w:rsidRPr="00C843AB">
        <w:rPr>
          <w:rFonts w:cs="Segoe UI"/>
          <w:sz w:val="18"/>
          <w:szCs w:val="18"/>
        </w:rPr>
        <w:t xml:space="preserve"> Donovan, </w:t>
      </w:r>
      <w:r>
        <w:rPr>
          <w:rFonts w:cs="Segoe UI"/>
          <w:sz w:val="18"/>
          <w:szCs w:val="18"/>
        </w:rPr>
        <w:t xml:space="preserve">and </w:t>
      </w:r>
      <w:r w:rsidRPr="00C843AB">
        <w:rPr>
          <w:rFonts w:cs="Segoe UI"/>
          <w:sz w:val="18"/>
          <w:szCs w:val="18"/>
        </w:rPr>
        <w:t>J</w:t>
      </w:r>
      <w:r>
        <w:rPr>
          <w:rFonts w:cs="Segoe UI"/>
          <w:sz w:val="18"/>
          <w:szCs w:val="18"/>
        </w:rPr>
        <w:t>.</w:t>
      </w:r>
      <w:r w:rsidRPr="00C843AB">
        <w:rPr>
          <w:rFonts w:cs="Segoe UI"/>
          <w:sz w:val="18"/>
          <w:szCs w:val="18"/>
        </w:rPr>
        <w:t xml:space="preserve"> Kaldor</w:t>
      </w:r>
      <w:r>
        <w:rPr>
          <w:rFonts w:cs="Segoe UI"/>
          <w:sz w:val="18"/>
          <w:szCs w:val="18"/>
        </w:rPr>
        <w:t>.</w:t>
      </w:r>
      <w:r w:rsidRPr="00C843AB">
        <w:rPr>
          <w:rFonts w:cs="Segoe UI"/>
          <w:sz w:val="18"/>
          <w:szCs w:val="18"/>
        </w:rPr>
        <w:t xml:space="preserve"> (2016)</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Prevalence and Correlates of a Diagnosis of Sexually Transmitted Infection Among Young Aboriginal and Torres Strait Islander People: A National Survey.</w:t>
      </w:r>
      <w:r>
        <w:rPr>
          <w:rFonts w:cs="Segoe UI"/>
          <w:sz w:val="18"/>
          <w:szCs w:val="18"/>
        </w:rPr>
        <w:t>’</w:t>
      </w:r>
      <w:r w:rsidRPr="00C843AB">
        <w:rPr>
          <w:rFonts w:cs="Segoe UI"/>
          <w:sz w:val="18"/>
          <w:szCs w:val="18"/>
        </w:rPr>
        <w:t xml:space="preserve"> </w:t>
      </w:r>
      <w:r w:rsidRPr="004F0F15">
        <w:rPr>
          <w:rFonts w:cs="Segoe UI"/>
          <w:sz w:val="18"/>
          <w:szCs w:val="18"/>
          <w:u w:val="single"/>
        </w:rPr>
        <w:t>Sexually Transmitted Diseases</w:t>
      </w:r>
      <w:r w:rsidRPr="004F0F15">
        <w:rPr>
          <w:rFonts w:cs="Segoe UI"/>
          <w:sz w:val="18"/>
          <w:szCs w:val="18"/>
        </w:rPr>
        <w:t>,</w:t>
      </w:r>
      <w:r w:rsidRPr="00C843AB">
        <w:rPr>
          <w:rFonts w:cs="Segoe UI"/>
          <w:i/>
          <w:sz w:val="18"/>
          <w:szCs w:val="18"/>
        </w:rPr>
        <w:t xml:space="preserve"> </w:t>
      </w:r>
      <w:hyperlink r:id="rId5" w:history="1">
        <w:r w:rsidRPr="004F0F15">
          <w:rPr>
            <w:rFonts w:cs="Segoe UI"/>
            <w:b/>
            <w:sz w:val="18"/>
            <w:szCs w:val="18"/>
          </w:rPr>
          <w:t>43</w:t>
        </w:r>
        <w:r w:rsidRPr="00C843AB">
          <w:rPr>
            <w:rFonts w:cs="Segoe UI"/>
            <w:sz w:val="18"/>
            <w:szCs w:val="18"/>
          </w:rPr>
          <w:t>(3)</w:t>
        </w:r>
        <w:r>
          <w:rPr>
            <w:rFonts w:cs="Segoe UI"/>
            <w:sz w:val="18"/>
            <w:szCs w:val="18"/>
          </w:rPr>
          <w:t>:</w:t>
        </w:r>
        <w:r w:rsidRPr="00C843AB">
          <w:rPr>
            <w:rFonts w:cs="Segoe UI"/>
            <w:sz w:val="18"/>
            <w:szCs w:val="18"/>
          </w:rPr>
          <w:t>177–184</w:t>
        </w:r>
      </w:hyperlink>
      <w:r w:rsidRPr="00C843AB">
        <w:rPr>
          <w:rFonts w:cs="Segoe UI"/>
          <w:sz w:val="18"/>
          <w:szCs w:val="18"/>
        </w:rPr>
        <w:t>.</w:t>
      </w:r>
    </w:p>
  </w:endnote>
  <w:endnote w:id="31">
    <w:p w14:paraId="26B39BC8" w14:textId="1B4F905D" w:rsidR="00BA4B48" w:rsidRPr="00C843AB" w:rsidRDefault="00BA4B48"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Shepard, C.</w:t>
      </w:r>
      <w:r>
        <w:rPr>
          <w:rFonts w:cs="Segoe UI"/>
          <w:sz w:val="18"/>
          <w:szCs w:val="18"/>
        </w:rPr>
        <w:t xml:space="preserve"> </w:t>
      </w:r>
      <w:r w:rsidRPr="00C843AB">
        <w:rPr>
          <w:rFonts w:cs="Segoe UI"/>
          <w:sz w:val="18"/>
          <w:szCs w:val="18"/>
        </w:rPr>
        <w:t>W</w:t>
      </w:r>
      <w:r>
        <w:rPr>
          <w:rFonts w:cs="Segoe UI"/>
          <w:sz w:val="18"/>
          <w:szCs w:val="18"/>
        </w:rPr>
        <w:t>.</w:t>
      </w:r>
      <w:r w:rsidRPr="00C843AB">
        <w:rPr>
          <w:rFonts w:cs="Segoe UI"/>
          <w:sz w:val="18"/>
          <w:szCs w:val="18"/>
        </w:rPr>
        <w:t>, E.</w:t>
      </w:r>
      <w:r>
        <w:rPr>
          <w:rFonts w:cs="Segoe UI"/>
          <w:sz w:val="18"/>
          <w:szCs w:val="18"/>
        </w:rPr>
        <w:t xml:space="preserve"> </w:t>
      </w:r>
      <w:r w:rsidRPr="00C843AB">
        <w:rPr>
          <w:rFonts w:cs="Segoe UI"/>
          <w:sz w:val="18"/>
          <w:szCs w:val="18"/>
        </w:rPr>
        <w:t>P. Simard, L. Finelli, A.</w:t>
      </w:r>
      <w:r>
        <w:rPr>
          <w:rFonts w:cs="Segoe UI"/>
          <w:sz w:val="18"/>
          <w:szCs w:val="18"/>
        </w:rPr>
        <w:t xml:space="preserve"> </w:t>
      </w:r>
      <w:r w:rsidRPr="00C843AB">
        <w:rPr>
          <w:rFonts w:cs="Segoe UI"/>
          <w:sz w:val="18"/>
          <w:szCs w:val="18"/>
        </w:rPr>
        <w:t>E. Fiore, and B.</w:t>
      </w:r>
      <w:r>
        <w:rPr>
          <w:rFonts w:cs="Segoe UI"/>
          <w:sz w:val="18"/>
          <w:szCs w:val="18"/>
        </w:rPr>
        <w:t xml:space="preserve"> </w:t>
      </w:r>
      <w:r w:rsidRPr="00C843AB">
        <w:rPr>
          <w:rFonts w:cs="Segoe UI"/>
          <w:sz w:val="18"/>
          <w:szCs w:val="18"/>
        </w:rPr>
        <w:t xml:space="preserve">P. Bell. (2006). </w:t>
      </w:r>
      <w:r>
        <w:rPr>
          <w:rFonts w:cs="Segoe UI"/>
          <w:sz w:val="18"/>
          <w:szCs w:val="18"/>
        </w:rPr>
        <w:t>‘</w:t>
      </w:r>
      <w:r w:rsidRPr="00C843AB">
        <w:rPr>
          <w:rFonts w:cs="Segoe UI"/>
          <w:sz w:val="18"/>
          <w:szCs w:val="18"/>
        </w:rPr>
        <w:t>Hepatitis B Virus Infection: Epidemiology and Vaccination.</w:t>
      </w:r>
      <w:r>
        <w:rPr>
          <w:rFonts w:cs="Segoe UI"/>
          <w:sz w:val="18"/>
          <w:szCs w:val="18"/>
        </w:rPr>
        <w:t>’</w:t>
      </w:r>
      <w:r w:rsidRPr="00C843AB">
        <w:rPr>
          <w:rFonts w:cs="Segoe UI"/>
          <w:sz w:val="18"/>
          <w:szCs w:val="18"/>
        </w:rPr>
        <w:t xml:space="preserve"> </w:t>
      </w:r>
      <w:r w:rsidRPr="004F0F15">
        <w:rPr>
          <w:rFonts w:cs="Segoe UI"/>
          <w:sz w:val="18"/>
          <w:szCs w:val="18"/>
          <w:u w:val="single"/>
        </w:rPr>
        <w:t>Epidemiologic Reviews</w:t>
      </w:r>
      <w:r w:rsidRPr="004F0F15">
        <w:rPr>
          <w:rFonts w:cs="Segoe UI"/>
          <w:sz w:val="18"/>
          <w:szCs w:val="18"/>
        </w:rPr>
        <w:t>,</w:t>
      </w:r>
      <w:r w:rsidRPr="00C843AB">
        <w:rPr>
          <w:rFonts w:cs="Segoe UI"/>
          <w:sz w:val="18"/>
          <w:szCs w:val="18"/>
        </w:rPr>
        <w:t xml:space="preserve"> </w:t>
      </w:r>
      <w:r w:rsidRPr="004F0F15">
        <w:rPr>
          <w:rFonts w:cs="Segoe UI"/>
          <w:b/>
          <w:sz w:val="18"/>
          <w:szCs w:val="18"/>
        </w:rPr>
        <w:t>28</w:t>
      </w:r>
      <w:r>
        <w:rPr>
          <w:rFonts w:cs="Segoe UI"/>
          <w:sz w:val="18"/>
          <w:szCs w:val="18"/>
        </w:rPr>
        <w:t>:</w:t>
      </w:r>
      <w:r w:rsidRPr="00C843AB">
        <w:rPr>
          <w:rFonts w:cs="Segoe UI"/>
          <w:sz w:val="18"/>
          <w:szCs w:val="18"/>
        </w:rPr>
        <w:t>112-25.</w:t>
      </w:r>
    </w:p>
  </w:endnote>
  <w:endnote w:id="32">
    <w:p w14:paraId="536C1EB9" w14:textId="0213FEF4" w:rsidR="00BA4B48" w:rsidRPr="00C843AB" w:rsidRDefault="00BA4B48" w:rsidP="00D35EAF">
      <w:pPr>
        <w:pStyle w:val="EndnoteText"/>
        <w:spacing w:after="120"/>
        <w:rPr>
          <w:sz w:val="18"/>
          <w:szCs w:val="18"/>
        </w:rPr>
      </w:pPr>
      <w:r w:rsidRPr="00C843AB">
        <w:rPr>
          <w:rStyle w:val="EndnoteReference"/>
          <w:sz w:val="18"/>
          <w:szCs w:val="18"/>
        </w:rPr>
        <w:endnoteRef/>
      </w:r>
      <w:r w:rsidRPr="00C843AB">
        <w:rPr>
          <w:sz w:val="18"/>
          <w:szCs w:val="18"/>
        </w:rPr>
        <w:t xml:space="preserve"> Center for Disease Control and Prevention. </w:t>
      </w:r>
      <w:r>
        <w:rPr>
          <w:sz w:val="18"/>
          <w:szCs w:val="18"/>
        </w:rPr>
        <w:t xml:space="preserve">(2016) </w:t>
      </w:r>
      <w:r w:rsidRPr="00C843AB">
        <w:rPr>
          <w:sz w:val="18"/>
          <w:szCs w:val="18"/>
          <w:u w:val="single"/>
        </w:rPr>
        <w:t>STDs during Pregnancy</w:t>
      </w:r>
      <w:r>
        <w:rPr>
          <w:sz w:val="18"/>
          <w:szCs w:val="18"/>
          <w:u w:val="single"/>
        </w:rPr>
        <w:t>—</w:t>
      </w:r>
      <w:r w:rsidRPr="00C843AB">
        <w:rPr>
          <w:sz w:val="18"/>
          <w:szCs w:val="18"/>
          <w:u w:val="single"/>
        </w:rPr>
        <w:t>CDC Fact Sheet (Detailed)</w:t>
      </w:r>
      <w:r w:rsidRPr="00C843AB">
        <w:rPr>
          <w:sz w:val="18"/>
          <w:szCs w:val="18"/>
        </w:rPr>
        <w:t>. Accessed 5 July 2018 at</w:t>
      </w:r>
      <w:r>
        <w:rPr>
          <w:sz w:val="18"/>
          <w:szCs w:val="18"/>
        </w:rPr>
        <w:t>:</w:t>
      </w:r>
      <w:r w:rsidRPr="00C843AB">
        <w:rPr>
          <w:sz w:val="18"/>
          <w:szCs w:val="18"/>
        </w:rPr>
        <w:t xml:space="preserve"> </w:t>
      </w:r>
      <w:hyperlink r:id="rId6" w:tooltip="CDC" w:history="1">
        <w:r w:rsidRPr="00C843AB">
          <w:rPr>
            <w:rStyle w:val="Hyperlink"/>
            <w:sz w:val="18"/>
            <w:szCs w:val="18"/>
          </w:rPr>
          <w:t>https://www.cdc.gov/std/pregnancy/stdfact-pregnancy-detailed.htm</w:t>
        </w:r>
      </w:hyperlink>
    </w:p>
  </w:endnote>
  <w:endnote w:id="33">
    <w:p w14:paraId="11C11813" w14:textId="3FEC8AD3" w:rsidR="00BA4B48" w:rsidRPr="00C843AB" w:rsidRDefault="00BA4B48" w:rsidP="00D35EAF">
      <w:pPr>
        <w:pStyle w:val="EndnoteText"/>
        <w:spacing w:after="120"/>
        <w:rPr>
          <w:sz w:val="18"/>
          <w:szCs w:val="18"/>
          <w:lang w:val="en-US"/>
        </w:rPr>
      </w:pPr>
      <w:r w:rsidRPr="00C843AB">
        <w:rPr>
          <w:rStyle w:val="EndnoteReference"/>
          <w:sz w:val="18"/>
          <w:szCs w:val="18"/>
        </w:rPr>
        <w:endnoteRef/>
      </w:r>
      <w:r w:rsidRPr="00C843AB">
        <w:rPr>
          <w:sz w:val="18"/>
          <w:szCs w:val="18"/>
        </w:rPr>
        <w:t xml:space="preserve"> </w:t>
      </w:r>
      <w:r w:rsidRPr="00C843AB">
        <w:rPr>
          <w:rFonts w:cs="Segoe UI"/>
          <w:sz w:val="18"/>
          <w:szCs w:val="18"/>
        </w:rPr>
        <w:t>Kerry, S. (2018)</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Payback: The Custom of Assault and Rape of Sistergirls and Brotherboys; Australia’s Trans and Sex/Gender Diverse First Peoples.</w:t>
      </w:r>
      <w:r>
        <w:rPr>
          <w:rFonts w:cs="Segoe UI"/>
          <w:sz w:val="18"/>
          <w:szCs w:val="18"/>
        </w:rPr>
        <w:t>’</w:t>
      </w:r>
      <w:r w:rsidRPr="00C843AB">
        <w:rPr>
          <w:rFonts w:cs="Segoe UI"/>
          <w:sz w:val="18"/>
          <w:szCs w:val="18"/>
        </w:rPr>
        <w:t xml:space="preserve"> </w:t>
      </w:r>
      <w:r w:rsidRPr="004F0F15">
        <w:rPr>
          <w:rFonts w:cs="Segoe UI"/>
          <w:sz w:val="18"/>
          <w:szCs w:val="18"/>
          <w:u w:val="single"/>
        </w:rPr>
        <w:t>Violence and Gender</w:t>
      </w:r>
      <w:r>
        <w:rPr>
          <w:rFonts w:cs="Segoe UI"/>
          <w:sz w:val="18"/>
          <w:szCs w:val="18"/>
        </w:rPr>
        <w:t>,</w:t>
      </w:r>
      <w:r w:rsidRPr="00C843AB">
        <w:rPr>
          <w:rFonts w:cs="Segoe UI"/>
          <w:sz w:val="18"/>
          <w:szCs w:val="18"/>
        </w:rPr>
        <w:t xml:space="preserve"> </w:t>
      </w:r>
      <w:r w:rsidRPr="004F0F15">
        <w:rPr>
          <w:rFonts w:cs="Segoe UI"/>
          <w:b/>
          <w:sz w:val="18"/>
          <w:szCs w:val="18"/>
        </w:rPr>
        <w:t>5</w:t>
      </w:r>
      <w:r w:rsidRPr="00C843AB">
        <w:rPr>
          <w:rFonts w:cs="Segoe UI"/>
          <w:sz w:val="18"/>
          <w:szCs w:val="18"/>
        </w:rPr>
        <w:t>(1)</w:t>
      </w:r>
      <w:r>
        <w:rPr>
          <w:rFonts w:cs="Segoe UI"/>
          <w:sz w:val="18"/>
          <w:szCs w:val="18"/>
        </w:rPr>
        <w:t>.</w:t>
      </w:r>
    </w:p>
  </w:endnote>
  <w:endnote w:id="34">
    <w:p w14:paraId="37C558E9" w14:textId="70968E93" w:rsidR="00BA4B48" w:rsidRPr="00C843AB" w:rsidRDefault="00BA4B48" w:rsidP="00D35EAF">
      <w:pPr>
        <w:pStyle w:val="CommentText"/>
        <w:rPr>
          <w:sz w:val="18"/>
          <w:szCs w:val="18"/>
        </w:rPr>
      </w:pPr>
      <w:r w:rsidRPr="00C843AB">
        <w:rPr>
          <w:rStyle w:val="EndnoteReference"/>
          <w:sz w:val="18"/>
          <w:szCs w:val="18"/>
        </w:rPr>
        <w:endnoteRef/>
      </w:r>
      <w:r w:rsidRPr="00C843AB">
        <w:rPr>
          <w:sz w:val="18"/>
          <w:szCs w:val="18"/>
        </w:rPr>
        <w:t xml:space="preserve"> Kerry, S. (2018)</w:t>
      </w:r>
      <w:r>
        <w:rPr>
          <w:sz w:val="18"/>
          <w:szCs w:val="18"/>
        </w:rPr>
        <w:t>.</w:t>
      </w:r>
      <w:r w:rsidRPr="00C843AB">
        <w:rPr>
          <w:sz w:val="18"/>
          <w:szCs w:val="18"/>
        </w:rPr>
        <w:t xml:space="preserve"> </w:t>
      </w:r>
      <w:r w:rsidRPr="00C843AB">
        <w:rPr>
          <w:rFonts w:cs="Segoe UI"/>
          <w:sz w:val="18"/>
          <w:szCs w:val="18"/>
          <w:u w:val="single"/>
        </w:rPr>
        <w:t>Trans Dilemmas: Living in Australia’s Remote Areas and in Aboriginal Communities</w:t>
      </w:r>
      <w:r w:rsidRPr="00C843AB">
        <w:rPr>
          <w:rFonts w:cs="Segoe UI"/>
          <w:sz w:val="18"/>
          <w:szCs w:val="18"/>
        </w:rPr>
        <w:t>. Routledge</w:t>
      </w:r>
      <w:r>
        <w:rPr>
          <w:rFonts w:cs="Segoe UI"/>
          <w:sz w:val="18"/>
          <w:szCs w:val="18"/>
        </w:rPr>
        <w:t xml:space="preserve">: </w:t>
      </w:r>
      <w:r w:rsidRPr="00C843AB">
        <w:rPr>
          <w:rFonts w:cs="Segoe UI"/>
          <w:sz w:val="18"/>
          <w:szCs w:val="18"/>
        </w:rPr>
        <w:t>New York</w:t>
      </w:r>
      <w:r>
        <w:rPr>
          <w:rFonts w:cs="Segoe UI"/>
          <w:sz w:val="18"/>
          <w:szCs w:val="18"/>
        </w:rPr>
        <w:t>.</w:t>
      </w:r>
    </w:p>
  </w:endnote>
  <w:endnote w:id="35">
    <w:p w14:paraId="33094EA3" w14:textId="3059C9B4" w:rsidR="00BA4B48" w:rsidRPr="00C843AB" w:rsidRDefault="00BA4B48"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American Addiction Centers. (2018). </w:t>
      </w:r>
      <w:r w:rsidRPr="00C843AB">
        <w:rPr>
          <w:rFonts w:cs="Segoe UI"/>
          <w:sz w:val="18"/>
          <w:szCs w:val="18"/>
          <w:u w:val="single"/>
        </w:rPr>
        <w:t>The Connection Between Substance Abuse &amp; HIV/AIDS</w:t>
      </w:r>
      <w:r w:rsidRPr="00C843AB">
        <w:rPr>
          <w:rFonts w:cs="Segoe UI"/>
          <w:sz w:val="18"/>
          <w:szCs w:val="18"/>
        </w:rPr>
        <w:t xml:space="preserve"> [online]. Accessed 1 May 2018 at</w:t>
      </w:r>
      <w:r>
        <w:rPr>
          <w:rFonts w:cs="Segoe UI"/>
          <w:sz w:val="18"/>
          <w:szCs w:val="18"/>
        </w:rPr>
        <w:t>:</w:t>
      </w:r>
      <w:r w:rsidRPr="00C843AB">
        <w:rPr>
          <w:rFonts w:cs="Segoe UI"/>
          <w:sz w:val="18"/>
          <w:szCs w:val="18"/>
        </w:rPr>
        <w:t xml:space="preserve"> </w:t>
      </w:r>
      <w:hyperlink r:id="rId7" w:tooltip="American Addiction Centres" w:history="1">
        <w:r w:rsidRPr="00C843AB">
          <w:rPr>
            <w:rStyle w:val="Hyperlink"/>
            <w:rFonts w:cs="Segoe UI"/>
            <w:sz w:val="18"/>
            <w:szCs w:val="18"/>
          </w:rPr>
          <w:t>https://americanaddictioncenters.org/substance-abuse-hiv/</w:t>
        </w:r>
      </w:hyperlink>
      <w:r w:rsidRPr="00C843AB">
        <w:rPr>
          <w:rFonts w:cs="Segoe UI"/>
          <w:sz w:val="18"/>
          <w:szCs w:val="18"/>
        </w:rPr>
        <w:t xml:space="preserve"> </w:t>
      </w:r>
    </w:p>
  </w:endnote>
  <w:endnote w:id="36">
    <w:p w14:paraId="071A8395" w14:textId="6B79FF76" w:rsidR="00BA4B48" w:rsidRPr="00C843AB" w:rsidRDefault="00BA4B48"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Wand, H, J. Ward, J. Bryant, D. Delaney-Thiele, H. Worth, M. Pitts</w:t>
      </w:r>
      <w:r>
        <w:rPr>
          <w:rFonts w:cs="Segoe UI"/>
          <w:sz w:val="18"/>
          <w:szCs w:val="18"/>
        </w:rPr>
        <w:t>,</w:t>
      </w:r>
      <w:r w:rsidRPr="00C843AB">
        <w:rPr>
          <w:rFonts w:cs="Segoe UI"/>
          <w:sz w:val="18"/>
          <w:szCs w:val="18"/>
        </w:rPr>
        <w:t xml:space="preserve"> and J.M. Kaldor. (2016). </w:t>
      </w:r>
      <w:r>
        <w:rPr>
          <w:rFonts w:cs="Segoe UI"/>
          <w:sz w:val="18"/>
          <w:szCs w:val="18"/>
        </w:rPr>
        <w:t>‘</w:t>
      </w:r>
      <w:r w:rsidRPr="00C843AB">
        <w:rPr>
          <w:rFonts w:cs="Segoe UI"/>
          <w:sz w:val="18"/>
          <w:szCs w:val="18"/>
        </w:rPr>
        <w:t>Individual and population level impacts of illicit drug use, sexual risk behaviours on sexually transmitted infections among young Aboriginal and Torres Strait Islander people: results from GOANNA survey.</w:t>
      </w:r>
      <w:r>
        <w:rPr>
          <w:rFonts w:cs="Segoe UI"/>
          <w:sz w:val="18"/>
          <w:szCs w:val="18"/>
        </w:rPr>
        <w:t>’</w:t>
      </w:r>
      <w:r w:rsidRPr="00C843AB">
        <w:rPr>
          <w:rFonts w:cs="Segoe UI"/>
          <w:sz w:val="18"/>
          <w:szCs w:val="18"/>
        </w:rPr>
        <w:t xml:space="preserve"> </w:t>
      </w:r>
      <w:r w:rsidRPr="00AE0D50">
        <w:rPr>
          <w:rFonts w:cs="Segoe UI"/>
          <w:sz w:val="18"/>
          <w:szCs w:val="18"/>
          <w:u w:val="single"/>
        </w:rPr>
        <w:t>BMC Public Health</w:t>
      </w:r>
      <w:r w:rsidRPr="00AE0D50">
        <w:rPr>
          <w:rFonts w:cs="Segoe UI"/>
          <w:sz w:val="18"/>
          <w:szCs w:val="18"/>
        </w:rPr>
        <w:t>,</w:t>
      </w:r>
      <w:r w:rsidRPr="00C843AB">
        <w:rPr>
          <w:rFonts w:cs="Segoe UI"/>
          <w:sz w:val="18"/>
          <w:szCs w:val="18"/>
        </w:rPr>
        <w:t xml:space="preserve"> </w:t>
      </w:r>
      <w:r w:rsidRPr="00AE0D50">
        <w:rPr>
          <w:rFonts w:cs="Segoe UI"/>
          <w:b/>
          <w:sz w:val="18"/>
          <w:szCs w:val="18"/>
        </w:rPr>
        <w:t>16</w:t>
      </w:r>
      <w:r>
        <w:rPr>
          <w:rFonts w:cs="Segoe UI"/>
          <w:sz w:val="18"/>
          <w:szCs w:val="18"/>
        </w:rPr>
        <w:t>:</w:t>
      </w:r>
      <w:r w:rsidRPr="00C843AB">
        <w:rPr>
          <w:rFonts w:cs="Segoe UI"/>
          <w:sz w:val="18"/>
          <w:szCs w:val="18"/>
        </w:rPr>
        <w:t>600.</w:t>
      </w:r>
    </w:p>
  </w:endnote>
  <w:endnote w:id="37">
    <w:p w14:paraId="1F369FBB" w14:textId="7720F1AA" w:rsidR="00BA4B48" w:rsidRPr="00C843AB" w:rsidRDefault="00BA4B48"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CDC. (2017).</w:t>
      </w:r>
      <w:r w:rsidRPr="00C843AB">
        <w:rPr>
          <w:rFonts w:cs="Segoe UI"/>
          <w:sz w:val="18"/>
          <w:szCs w:val="18"/>
          <w:u w:val="single"/>
        </w:rPr>
        <w:t xml:space="preserve"> STDS and HIV</w:t>
      </w:r>
      <w:r w:rsidRPr="00C843AB">
        <w:rPr>
          <w:rFonts w:cs="Segoe UI"/>
          <w:sz w:val="18"/>
          <w:szCs w:val="18"/>
        </w:rPr>
        <w:t>, CDC Fact Sheet [online]. Accessed 1 May 2018 at</w:t>
      </w:r>
      <w:r>
        <w:rPr>
          <w:rFonts w:cs="Segoe UI"/>
          <w:sz w:val="18"/>
          <w:szCs w:val="18"/>
        </w:rPr>
        <w:t>:</w:t>
      </w:r>
      <w:r w:rsidRPr="00C843AB">
        <w:rPr>
          <w:rFonts w:cs="Segoe UI"/>
          <w:sz w:val="18"/>
          <w:szCs w:val="18"/>
        </w:rPr>
        <w:t xml:space="preserve"> </w:t>
      </w:r>
      <w:hyperlink r:id="rId8" w:tooltip="CDC" w:history="1">
        <w:r w:rsidRPr="00C843AB">
          <w:rPr>
            <w:rStyle w:val="Hyperlink"/>
            <w:rFonts w:cs="Segoe UI"/>
            <w:sz w:val="18"/>
            <w:szCs w:val="18"/>
          </w:rPr>
          <w:t>https://www.cdc.gov/std/hiv/stdfact-std-hiv-detailed.htm</w:t>
        </w:r>
      </w:hyperlink>
      <w:r w:rsidRPr="00C843AB">
        <w:rPr>
          <w:rFonts w:cs="Segoe UI"/>
          <w:sz w:val="18"/>
          <w:szCs w:val="18"/>
        </w:rPr>
        <w:t xml:space="preserve"> </w:t>
      </w:r>
    </w:p>
  </w:endnote>
  <w:endnote w:id="38">
    <w:p w14:paraId="0D9A900B" w14:textId="0B56E057" w:rsidR="00BA4B48" w:rsidRPr="00C843AB" w:rsidRDefault="00BA4B48" w:rsidP="00EB0FF6">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Hutton, H. E., M. E. McCaul, P. B. Santora</w:t>
      </w:r>
      <w:r>
        <w:rPr>
          <w:rFonts w:cs="Segoe UI"/>
          <w:sz w:val="18"/>
          <w:szCs w:val="18"/>
        </w:rPr>
        <w:t>,</w:t>
      </w:r>
      <w:r w:rsidRPr="00C843AB">
        <w:rPr>
          <w:rFonts w:cs="Segoe UI"/>
          <w:sz w:val="18"/>
          <w:szCs w:val="18"/>
        </w:rPr>
        <w:t xml:space="preserve"> and E. J. Erbelding. (2008). </w:t>
      </w:r>
      <w:r>
        <w:rPr>
          <w:rFonts w:cs="Segoe UI"/>
          <w:sz w:val="18"/>
          <w:szCs w:val="18"/>
        </w:rPr>
        <w:t>‘</w:t>
      </w:r>
      <w:r w:rsidRPr="00C843AB">
        <w:rPr>
          <w:rFonts w:cs="Segoe UI"/>
          <w:sz w:val="18"/>
          <w:szCs w:val="18"/>
        </w:rPr>
        <w:t>The relationship between recent alcohol use and sexual behaviours.</w:t>
      </w:r>
      <w:r>
        <w:rPr>
          <w:rFonts w:cs="Segoe UI"/>
          <w:sz w:val="18"/>
          <w:szCs w:val="18"/>
        </w:rPr>
        <w:t>’</w:t>
      </w:r>
      <w:r w:rsidRPr="00C843AB">
        <w:rPr>
          <w:rFonts w:cs="Segoe UI"/>
          <w:sz w:val="18"/>
          <w:szCs w:val="18"/>
        </w:rPr>
        <w:t xml:space="preserve"> </w:t>
      </w:r>
      <w:r w:rsidRPr="00AE0D50">
        <w:rPr>
          <w:rFonts w:cs="Segoe UI"/>
          <w:sz w:val="18"/>
          <w:szCs w:val="18"/>
          <w:u w:val="single"/>
        </w:rPr>
        <w:t>Alcoholism: Clinical and Experimental Research</w:t>
      </w:r>
      <w:r w:rsidRPr="00AE0D50">
        <w:rPr>
          <w:rFonts w:cs="Segoe UI"/>
          <w:sz w:val="18"/>
          <w:szCs w:val="18"/>
        </w:rPr>
        <w:t>,</w:t>
      </w:r>
      <w:r w:rsidRPr="00C843AB">
        <w:rPr>
          <w:rFonts w:cs="Segoe UI"/>
          <w:sz w:val="18"/>
          <w:szCs w:val="18"/>
        </w:rPr>
        <w:t xml:space="preserve"> </w:t>
      </w:r>
      <w:r w:rsidRPr="00AE0D50">
        <w:rPr>
          <w:rFonts w:cs="Segoe UI"/>
          <w:b/>
          <w:sz w:val="18"/>
          <w:szCs w:val="18"/>
        </w:rPr>
        <w:t>32</w:t>
      </w:r>
      <w:r w:rsidRPr="00C843AB">
        <w:rPr>
          <w:rFonts w:cs="Segoe UI"/>
          <w:sz w:val="18"/>
          <w:szCs w:val="18"/>
        </w:rPr>
        <w:t xml:space="preserve">(11), </w:t>
      </w:r>
      <w:r w:rsidRPr="00177353">
        <w:rPr>
          <w:rFonts w:cs="Segoe UI"/>
          <w:sz w:val="18"/>
          <w:szCs w:val="18"/>
        </w:rPr>
        <w:t>2008–2015.</w:t>
      </w:r>
      <w:r w:rsidRPr="00C843AB">
        <w:rPr>
          <w:rFonts w:cs="Segoe UI"/>
          <w:sz w:val="18"/>
          <w:szCs w:val="18"/>
        </w:rPr>
        <w:t xml:space="preserve"> </w:t>
      </w:r>
    </w:p>
  </w:endnote>
  <w:endnote w:id="39">
    <w:p w14:paraId="7D94B7EE" w14:textId="79E215C9" w:rsidR="00BA4B48" w:rsidRPr="00C843AB" w:rsidRDefault="00BA4B48" w:rsidP="00EB0FF6">
      <w:pPr>
        <w:pStyle w:val="EndnoteText"/>
        <w:spacing w:after="120"/>
        <w:rPr>
          <w:sz w:val="18"/>
          <w:szCs w:val="18"/>
        </w:rPr>
      </w:pPr>
      <w:r w:rsidRPr="00C843AB">
        <w:rPr>
          <w:rStyle w:val="EndnoteReference"/>
          <w:sz w:val="18"/>
          <w:szCs w:val="18"/>
        </w:rPr>
        <w:endnoteRef/>
      </w:r>
      <w:r w:rsidRPr="00C843AB">
        <w:rPr>
          <w:sz w:val="18"/>
          <w:szCs w:val="18"/>
        </w:rPr>
        <w:t xml:space="preserve"> Jones, A. A., C. W. Striley</w:t>
      </w:r>
      <w:r>
        <w:rPr>
          <w:sz w:val="18"/>
          <w:szCs w:val="18"/>
        </w:rPr>
        <w:t>,</w:t>
      </w:r>
      <w:r w:rsidRPr="00C843AB">
        <w:rPr>
          <w:sz w:val="18"/>
          <w:szCs w:val="18"/>
        </w:rPr>
        <w:t xml:space="preserve"> and L. B. Cottler. (2016). </w:t>
      </w:r>
      <w:r>
        <w:rPr>
          <w:sz w:val="18"/>
          <w:szCs w:val="18"/>
        </w:rPr>
        <w:t>‘</w:t>
      </w:r>
      <w:r w:rsidRPr="00C843AB">
        <w:rPr>
          <w:sz w:val="18"/>
          <w:szCs w:val="18"/>
        </w:rPr>
        <w:t>Prescription opiod use, illicit drug use, and sexually transmitted infections among participants from ac community engagement program in North Central Florida</w:t>
      </w:r>
      <w:r w:rsidRPr="00C843AB">
        <w:rPr>
          <w:i/>
          <w:sz w:val="18"/>
          <w:szCs w:val="18"/>
        </w:rPr>
        <w:t>.</w:t>
      </w:r>
      <w:r>
        <w:rPr>
          <w:sz w:val="18"/>
          <w:szCs w:val="18"/>
        </w:rPr>
        <w:t>’</w:t>
      </w:r>
      <w:r w:rsidRPr="00C843AB">
        <w:rPr>
          <w:i/>
          <w:sz w:val="18"/>
          <w:szCs w:val="18"/>
        </w:rPr>
        <w:t xml:space="preserve"> </w:t>
      </w:r>
      <w:r w:rsidRPr="00AE0D50">
        <w:rPr>
          <w:sz w:val="18"/>
          <w:szCs w:val="18"/>
          <w:u w:val="single"/>
        </w:rPr>
        <w:t>Journal of Substance Use</w:t>
      </w:r>
      <w:r w:rsidRPr="00AE0D50">
        <w:rPr>
          <w:sz w:val="18"/>
          <w:szCs w:val="18"/>
        </w:rPr>
        <w:t>,</w:t>
      </w:r>
      <w:r w:rsidRPr="00C843AB">
        <w:rPr>
          <w:i/>
          <w:sz w:val="18"/>
          <w:szCs w:val="18"/>
        </w:rPr>
        <w:t xml:space="preserve"> </w:t>
      </w:r>
      <w:r w:rsidRPr="00AE0D50">
        <w:rPr>
          <w:b/>
          <w:sz w:val="18"/>
          <w:szCs w:val="18"/>
        </w:rPr>
        <w:t>22</w:t>
      </w:r>
      <w:r w:rsidRPr="00C843AB">
        <w:rPr>
          <w:sz w:val="18"/>
          <w:szCs w:val="18"/>
        </w:rPr>
        <w:t>(1):90</w:t>
      </w:r>
      <w:r>
        <w:rPr>
          <w:sz w:val="18"/>
          <w:szCs w:val="18"/>
        </w:rPr>
        <w:t>–</w:t>
      </w:r>
      <w:r w:rsidRPr="00C843AB">
        <w:rPr>
          <w:sz w:val="18"/>
          <w:szCs w:val="18"/>
        </w:rPr>
        <w:t>95</w:t>
      </w:r>
      <w:r>
        <w:rPr>
          <w:sz w:val="18"/>
          <w:szCs w:val="18"/>
        </w:rPr>
        <w:t>.</w:t>
      </w:r>
    </w:p>
  </w:endnote>
  <w:endnote w:id="40">
    <w:p w14:paraId="4D611FAB" w14:textId="25439491" w:rsidR="00BA4B48" w:rsidRPr="00C843AB" w:rsidRDefault="00BA4B48" w:rsidP="00EB0FF6">
      <w:pPr>
        <w:pStyle w:val="EndnoteText"/>
        <w:spacing w:after="120"/>
        <w:rPr>
          <w:sz w:val="18"/>
          <w:szCs w:val="18"/>
        </w:rPr>
      </w:pPr>
      <w:r w:rsidRPr="00C843AB">
        <w:rPr>
          <w:rStyle w:val="EndnoteReference"/>
          <w:sz w:val="18"/>
          <w:szCs w:val="18"/>
        </w:rPr>
        <w:endnoteRef/>
      </w:r>
      <w:r w:rsidRPr="00C843AB">
        <w:rPr>
          <w:sz w:val="18"/>
          <w:szCs w:val="18"/>
        </w:rPr>
        <w:t xml:space="preserve"> Semaan, S., D. C. Des Jarlais</w:t>
      </w:r>
      <w:r>
        <w:rPr>
          <w:sz w:val="18"/>
          <w:szCs w:val="18"/>
        </w:rPr>
        <w:t>,</w:t>
      </w:r>
      <w:r w:rsidRPr="00C843AB">
        <w:rPr>
          <w:sz w:val="18"/>
          <w:szCs w:val="18"/>
        </w:rPr>
        <w:t xml:space="preserve"> and R. M. Marlow. (2007). </w:t>
      </w:r>
      <w:r>
        <w:rPr>
          <w:sz w:val="18"/>
          <w:szCs w:val="18"/>
        </w:rPr>
        <w:t>‘</w:t>
      </w:r>
      <w:r w:rsidRPr="00C843AB">
        <w:rPr>
          <w:sz w:val="18"/>
          <w:szCs w:val="18"/>
        </w:rPr>
        <w:t>Sexually transmitted diseases among illicit drug users in the United States: the need for interventions.</w:t>
      </w:r>
      <w:r>
        <w:rPr>
          <w:sz w:val="18"/>
          <w:szCs w:val="18"/>
        </w:rPr>
        <w:t>’</w:t>
      </w:r>
      <w:r w:rsidRPr="00C843AB">
        <w:rPr>
          <w:sz w:val="18"/>
          <w:szCs w:val="18"/>
        </w:rPr>
        <w:t xml:space="preserve"> In: S. O. Aral and J. M. Douglas (editors). </w:t>
      </w:r>
      <w:r w:rsidRPr="00C843AB">
        <w:rPr>
          <w:sz w:val="18"/>
          <w:szCs w:val="18"/>
          <w:u w:val="single"/>
        </w:rPr>
        <w:t>Behavioural intervention for prevention and control of sexually transmitted diseases</w:t>
      </w:r>
      <w:r w:rsidRPr="00C843AB">
        <w:rPr>
          <w:sz w:val="18"/>
          <w:szCs w:val="18"/>
        </w:rPr>
        <w:t>, Chapter 17. Springer-SBM: New York.</w:t>
      </w:r>
    </w:p>
  </w:endnote>
  <w:endnote w:id="41">
    <w:p w14:paraId="2208C6DA" w14:textId="6383984C" w:rsidR="00BA4B48" w:rsidRPr="00C843AB" w:rsidRDefault="00BA4B48" w:rsidP="00EB0FF6">
      <w:pPr>
        <w:pStyle w:val="EndnoteText"/>
        <w:spacing w:after="120"/>
        <w:rPr>
          <w:sz w:val="18"/>
          <w:szCs w:val="18"/>
        </w:rPr>
      </w:pPr>
      <w:r w:rsidRPr="00C843AB">
        <w:rPr>
          <w:rStyle w:val="EndnoteReference"/>
          <w:sz w:val="18"/>
          <w:szCs w:val="18"/>
        </w:rPr>
        <w:endnoteRef/>
      </w:r>
      <w:r w:rsidRPr="00C843AB">
        <w:rPr>
          <w:sz w:val="18"/>
          <w:szCs w:val="18"/>
        </w:rPr>
        <w:t xml:space="preserve"> Ross, J. D.</w:t>
      </w:r>
      <w:r>
        <w:rPr>
          <w:sz w:val="18"/>
          <w:szCs w:val="18"/>
        </w:rPr>
        <w:t>,</w:t>
      </w:r>
      <w:r w:rsidRPr="00C843AB">
        <w:rPr>
          <w:sz w:val="18"/>
          <w:szCs w:val="18"/>
        </w:rPr>
        <w:t xml:space="preserve"> and </w:t>
      </w:r>
      <w:r>
        <w:rPr>
          <w:sz w:val="18"/>
          <w:szCs w:val="18"/>
        </w:rPr>
        <w:t xml:space="preserve">K. W. </w:t>
      </w:r>
      <w:r w:rsidRPr="00C843AB">
        <w:rPr>
          <w:sz w:val="18"/>
          <w:szCs w:val="18"/>
        </w:rPr>
        <w:t xml:space="preserve">Radcliffe. (2006). </w:t>
      </w:r>
      <w:r>
        <w:rPr>
          <w:sz w:val="18"/>
          <w:szCs w:val="18"/>
        </w:rPr>
        <w:t>‘</w:t>
      </w:r>
      <w:r w:rsidRPr="00C843AB">
        <w:rPr>
          <w:sz w:val="18"/>
          <w:szCs w:val="18"/>
        </w:rPr>
        <w:t>Why do those using illicit drugs have higher rates of sexually transmitted infection?</w:t>
      </w:r>
      <w:r>
        <w:rPr>
          <w:sz w:val="18"/>
          <w:szCs w:val="18"/>
        </w:rPr>
        <w:t>’</w:t>
      </w:r>
      <w:r w:rsidRPr="00C843AB">
        <w:rPr>
          <w:sz w:val="18"/>
          <w:szCs w:val="18"/>
        </w:rPr>
        <w:t xml:space="preserve"> </w:t>
      </w:r>
      <w:r w:rsidRPr="00AE0D50">
        <w:rPr>
          <w:sz w:val="18"/>
          <w:szCs w:val="18"/>
          <w:u w:val="single"/>
        </w:rPr>
        <w:t>International Journal of STD and AIDS</w:t>
      </w:r>
      <w:r w:rsidRPr="00AE0D50">
        <w:rPr>
          <w:sz w:val="18"/>
          <w:szCs w:val="18"/>
        </w:rPr>
        <w:t>,</w:t>
      </w:r>
      <w:r w:rsidRPr="00C843AB">
        <w:rPr>
          <w:sz w:val="18"/>
          <w:szCs w:val="18"/>
        </w:rPr>
        <w:t xml:space="preserve"> </w:t>
      </w:r>
      <w:r w:rsidRPr="00AE0D50">
        <w:rPr>
          <w:b/>
          <w:sz w:val="18"/>
          <w:szCs w:val="18"/>
        </w:rPr>
        <w:t>17</w:t>
      </w:r>
      <w:r w:rsidRPr="00C843AB">
        <w:rPr>
          <w:sz w:val="18"/>
          <w:szCs w:val="18"/>
        </w:rPr>
        <w:t>(4)</w:t>
      </w:r>
      <w:r>
        <w:rPr>
          <w:sz w:val="18"/>
          <w:szCs w:val="18"/>
        </w:rPr>
        <w:t>:</w:t>
      </w:r>
      <w:r w:rsidRPr="00C843AB">
        <w:rPr>
          <w:sz w:val="18"/>
          <w:szCs w:val="18"/>
        </w:rPr>
        <w:t>247</w:t>
      </w:r>
      <w:r>
        <w:rPr>
          <w:sz w:val="18"/>
          <w:szCs w:val="18"/>
        </w:rPr>
        <w:t>–2</w:t>
      </w:r>
      <w:r w:rsidRPr="00C843AB">
        <w:rPr>
          <w:sz w:val="18"/>
          <w:szCs w:val="18"/>
        </w:rPr>
        <w:t>53.</w:t>
      </w:r>
    </w:p>
  </w:endnote>
  <w:endnote w:id="42">
    <w:p w14:paraId="45C169F8" w14:textId="16AF995C" w:rsidR="00BA4B48" w:rsidRPr="00C843AB" w:rsidRDefault="00BA4B48" w:rsidP="00EB0FF6">
      <w:pPr>
        <w:pStyle w:val="EndnoteText"/>
        <w:rPr>
          <w:sz w:val="18"/>
          <w:szCs w:val="18"/>
        </w:rPr>
      </w:pPr>
      <w:r w:rsidRPr="00C843AB">
        <w:rPr>
          <w:rStyle w:val="EndnoteReference"/>
          <w:sz w:val="18"/>
          <w:szCs w:val="18"/>
        </w:rPr>
        <w:endnoteRef/>
      </w:r>
      <w:r w:rsidRPr="00C843AB">
        <w:rPr>
          <w:sz w:val="18"/>
          <w:szCs w:val="18"/>
        </w:rPr>
        <w:t xml:space="preserve"> Department of Health</w:t>
      </w:r>
      <w:r>
        <w:rPr>
          <w:sz w:val="18"/>
          <w:szCs w:val="18"/>
        </w:rPr>
        <w:t>.</w:t>
      </w:r>
      <w:r w:rsidRPr="00C843AB">
        <w:rPr>
          <w:sz w:val="18"/>
          <w:szCs w:val="18"/>
        </w:rPr>
        <w:t xml:space="preserve"> (2017)</w:t>
      </w:r>
      <w:r>
        <w:rPr>
          <w:sz w:val="18"/>
          <w:szCs w:val="18"/>
        </w:rPr>
        <w:t>.</w:t>
      </w:r>
      <w:r w:rsidRPr="00C843AB">
        <w:rPr>
          <w:sz w:val="18"/>
          <w:szCs w:val="18"/>
        </w:rPr>
        <w:t xml:space="preserve"> </w:t>
      </w:r>
      <w:r w:rsidRPr="00AE0D50">
        <w:rPr>
          <w:sz w:val="18"/>
          <w:szCs w:val="18"/>
          <w:u w:val="single"/>
        </w:rPr>
        <w:t>National Drug Strategy 2017</w:t>
      </w:r>
      <w:r>
        <w:rPr>
          <w:sz w:val="18"/>
          <w:szCs w:val="18"/>
          <w:u w:val="single"/>
        </w:rPr>
        <w:t>–</w:t>
      </w:r>
      <w:r w:rsidRPr="00AE0D50">
        <w:rPr>
          <w:sz w:val="18"/>
          <w:szCs w:val="18"/>
          <w:u w:val="single"/>
        </w:rPr>
        <w:t>2026</w:t>
      </w:r>
      <w:r w:rsidRPr="00C843AB">
        <w:rPr>
          <w:sz w:val="18"/>
          <w:szCs w:val="18"/>
        </w:rPr>
        <w:t>. Accessed</w:t>
      </w:r>
      <w:r>
        <w:rPr>
          <w:sz w:val="18"/>
          <w:szCs w:val="18"/>
        </w:rPr>
        <w:t xml:space="preserve"> 12 </w:t>
      </w:r>
      <w:r>
        <w:rPr>
          <w:sz w:val="18"/>
          <w:szCs w:val="18"/>
        </w:rPr>
        <w:tab/>
        <w:t xml:space="preserve">November 2018 </w:t>
      </w:r>
      <w:r w:rsidRPr="00C843AB">
        <w:rPr>
          <w:sz w:val="18"/>
          <w:szCs w:val="18"/>
        </w:rPr>
        <w:t xml:space="preserve">at: </w:t>
      </w:r>
      <w:hyperlink r:id="rId9" w:tooltip="Australian Department of Health" w:history="1">
        <w:r w:rsidRPr="00C843AB">
          <w:rPr>
            <w:rStyle w:val="Hyperlink"/>
            <w:rFonts w:cs="Segoe UI"/>
            <w:sz w:val="18"/>
            <w:szCs w:val="18"/>
          </w:rPr>
          <w:t>http://www.health.gov.au/internet/main/publishing.nsf/Content/55E4796388E9EDE5CA25808F00035035/$File/National-Drug-Strategy-2017-2026.pdf</w:t>
        </w:r>
      </w:hyperlink>
      <w:r w:rsidRPr="00C843AB">
        <w:rPr>
          <w:rFonts w:cs="Segoe UI"/>
          <w:sz w:val="18"/>
          <w:szCs w:val="18"/>
        </w:rPr>
        <w:t xml:space="preserve"> </w:t>
      </w:r>
    </w:p>
  </w:endnote>
  <w:endnote w:id="43">
    <w:p w14:paraId="280B2197" w14:textId="7250930B" w:rsidR="00BA4B48" w:rsidRPr="00C843AB" w:rsidRDefault="00BA4B48" w:rsidP="00CA7F81">
      <w:pPr>
        <w:pStyle w:val="EndnoteText"/>
        <w:spacing w:after="120"/>
        <w:rPr>
          <w:sz w:val="18"/>
          <w:szCs w:val="18"/>
        </w:rPr>
      </w:pPr>
      <w:r w:rsidRPr="00C843AB">
        <w:rPr>
          <w:rStyle w:val="EndnoteReference"/>
          <w:sz w:val="18"/>
          <w:szCs w:val="18"/>
        </w:rPr>
        <w:endnoteRef/>
      </w:r>
      <w:r w:rsidRPr="00C843AB">
        <w:rPr>
          <w:sz w:val="18"/>
          <w:szCs w:val="18"/>
        </w:rPr>
        <w:t xml:space="preserve"> Australian Bureau of Statistics</w:t>
      </w:r>
      <w:r>
        <w:rPr>
          <w:sz w:val="18"/>
          <w:szCs w:val="18"/>
        </w:rPr>
        <w:t>.</w:t>
      </w:r>
      <w:r w:rsidRPr="00C843AB">
        <w:rPr>
          <w:sz w:val="18"/>
          <w:szCs w:val="18"/>
        </w:rPr>
        <w:t xml:space="preserve"> (2017). </w:t>
      </w:r>
      <w:r w:rsidRPr="00AE0D50">
        <w:rPr>
          <w:sz w:val="18"/>
          <w:szCs w:val="18"/>
          <w:u w:val="single"/>
          <w:lang w:val="en"/>
        </w:rPr>
        <w:t>4517.0—</w:t>
      </w:r>
      <w:r w:rsidRPr="00C843AB">
        <w:rPr>
          <w:sz w:val="18"/>
          <w:szCs w:val="18"/>
          <w:u w:val="single"/>
          <w:lang w:val="en"/>
        </w:rPr>
        <w:t>Prisoners in Australia, 2017</w:t>
      </w:r>
      <w:r w:rsidRPr="00C843AB">
        <w:rPr>
          <w:sz w:val="18"/>
          <w:szCs w:val="18"/>
          <w:lang w:val="en"/>
        </w:rPr>
        <w:t xml:space="preserve">. Accessed 21 September 2018 at: </w:t>
      </w:r>
      <w:hyperlink r:id="rId10" w:tooltip="ABS" w:history="1">
        <w:r w:rsidRPr="00C843AB">
          <w:rPr>
            <w:rStyle w:val="Hyperlink"/>
            <w:sz w:val="18"/>
            <w:szCs w:val="18"/>
            <w:lang w:val="en"/>
          </w:rPr>
          <w:t>http://www.abs.gov.au/ausstats/abs@.nsf/mf/4517.0</w:t>
        </w:r>
      </w:hyperlink>
      <w:r w:rsidRPr="00C843AB">
        <w:rPr>
          <w:sz w:val="18"/>
          <w:szCs w:val="18"/>
          <w:lang w:val="en"/>
        </w:rPr>
        <w:t xml:space="preserve"> </w:t>
      </w:r>
    </w:p>
  </w:endnote>
  <w:endnote w:id="44">
    <w:p w14:paraId="4E14772B" w14:textId="321AAB47" w:rsidR="00BA4B48" w:rsidRPr="00C843AB" w:rsidRDefault="00BA4B48" w:rsidP="00F21BBA">
      <w:pPr>
        <w:pStyle w:val="EndnoteText"/>
        <w:spacing w:after="120"/>
        <w:rPr>
          <w:sz w:val="18"/>
          <w:szCs w:val="18"/>
        </w:rPr>
      </w:pPr>
      <w:r>
        <w:rPr>
          <w:rStyle w:val="EndnoteReference"/>
        </w:rPr>
        <w:endnoteRef/>
      </w:r>
      <w:r>
        <w:t xml:space="preserve"> </w:t>
      </w:r>
      <w:r w:rsidRPr="00C843AB">
        <w:rPr>
          <w:rFonts w:cs="Segoe UI"/>
          <w:sz w:val="18"/>
          <w:szCs w:val="18"/>
        </w:rPr>
        <w:t>Australian Institute of Health and Welfare (AIHW)</w:t>
      </w:r>
      <w:r>
        <w:rPr>
          <w:rFonts w:cs="Segoe UI"/>
          <w:sz w:val="18"/>
          <w:szCs w:val="18"/>
        </w:rPr>
        <w:t>.</w:t>
      </w:r>
      <w:r w:rsidRPr="00C843AB">
        <w:rPr>
          <w:rFonts w:cs="Segoe UI"/>
          <w:sz w:val="18"/>
          <w:szCs w:val="18"/>
        </w:rPr>
        <w:t xml:space="preserve"> (2017)</w:t>
      </w:r>
      <w:r>
        <w:rPr>
          <w:rFonts w:cs="Segoe UI"/>
          <w:sz w:val="18"/>
          <w:szCs w:val="18"/>
        </w:rPr>
        <w:t>.</w:t>
      </w:r>
      <w:r w:rsidRPr="00C843AB">
        <w:rPr>
          <w:rFonts w:cs="Segoe UI"/>
          <w:sz w:val="18"/>
          <w:szCs w:val="18"/>
        </w:rPr>
        <w:t xml:space="preserve"> </w:t>
      </w:r>
      <w:r w:rsidRPr="00F742F1">
        <w:rPr>
          <w:rFonts w:cs="Segoe UI"/>
          <w:sz w:val="18"/>
          <w:szCs w:val="18"/>
          <w:u w:val="single"/>
        </w:rPr>
        <w:t>Youth detention population in Australia, 2017</w:t>
      </w:r>
      <w:r w:rsidRPr="00C843AB">
        <w:rPr>
          <w:rFonts w:cs="Segoe UI"/>
          <w:sz w:val="18"/>
          <w:szCs w:val="18"/>
        </w:rPr>
        <w:t>. AIHW, Canberra. Bulletin 143, Dec</w:t>
      </w:r>
      <w:r>
        <w:rPr>
          <w:rFonts w:cs="Segoe UI"/>
          <w:sz w:val="18"/>
          <w:szCs w:val="18"/>
        </w:rPr>
        <w:t>ember</w:t>
      </w:r>
      <w:r w:rsidRPr="00C843AB">
        <w:rPr>
          <w:rFonts w:cs="Segoe UI"/>
          <w:sz w:val="18"/>
          <w:szCs w:val="18"/>
        </w:rPr>
        <w:t xml:space="preserve"> 2017. Accessed 30 August 2018 at: </w:t>
      </w:r>
      <w:hyperlink r:id="rId11" w:tooltip="AIHW" w:history="1">
        <w:r w:rsidRPr="00C843AB">
          <w:rPr>
            <w:rStyle w:val="Hyperlink"/>
            <w:rFonts w:cs="Segoe UI"/>
            <w:sz w:val="18"/>
            <w:szCs w:val="18"/>
          </w:rPr>
          <w:t>https://www.aihw.gov.au/getmedia/0a735742-42c0-49af-a910-4a56a8211007/aihw-aus-220.pdf.aspx?inline=true</w:t>
        </w:r>
      </w:hyperlink>
    </w:p>
  </w:endnote>
  <w:endnote w:id="45">
    <w:p w14:paraId="04260C67" w14:textId="5504C487" w:rsidR="00BA4B48" w:rsidRPr="00C843AB" w:rsidRDefault="00BA4B48" w:rsidP="00CA7F81">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 xml:space="preserve">Butler, T. and </w:t>
      </w:r>
      <w:r>
        <w:rPr>
          <w:rFonts w:cs="Segoe UI"/>
          <w:sz w:val="18"/>
          <w:szCs w:val="18"/>
        </w:rPr>
        <w:t xml:space="preserve">M. </w:t>
      </w:r>
      <w:r w:rsidRPr="00C843AB">
        <w:rPr>
          <w:rFonts w:cs="Segoe UI"/>
          <w:sz w:val="18"/>
          <w:szCs w:val="18"/>
        </w:rPr>
        <w:t xml:space="preserve">Simpson. </w:t>
      </w:r>
      <w:r w:rsidRPr="00C843AB">
        <w:rPr>
          <w:rFonts w:cs="Segoe UI"/>
          <w:sz w:val="18"/>
          <w:szCs w:val="18"/>
          <w:u w:val="single"/>
        </w:rPr>
        <w:t>National Prison Entrants’ Blood-borne Virus Survey Report 2004, 2007, 2010, 2013, and 2016</w:t>
      </w:r>
      <w:r w:rsidRPr="00C843AB">
        <w:rPr>
          <w:rFonts w:cs="Segoe UI"/>
          <w:sz w:val="18"/>
          <w:szCs w:val="18"/>
        </w:rPr>
        <w:t>. Kirby Institute (UNSW Sydney). 2017. ISBN-13: 978-0-7334-3772-4.</w:t>
      </w:r>
    </w:p>
  </w:endnote>
  <w:endnote w:id="46">
    <w:p w14:paraId="42B670A9" w14:textId="09A1EB0F" w:rsidR="00BA4B48" w:rsidRPr="00C843AB" w:rsidRDefault="00BA4B48" w:rsidP="00CA7F81">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Dolan, K</w:t>
      </w:r>
      <w:r>
        <w:rPr>
          <w:rFonts w:cs="Segoe UI"/>
          <w:sz w:val="18"/>
          <w:szCs w:val="18"/>
        </w:rPr>
        <w:t>.</w:t>
      </w:r>
      <w:r w:rsidRPr="00C843AB">
        <w:rPr>
          <w:rFonts w:cs="Segoe UI"/>
          <w:sz w:val="18"/>
          <w:szCs w:val="18"/>
        </w:rPr>
        <w:t>, B. Moazen, A. Noori, S. Rahimzadeh, F. Farzadfar</w:t>
      </w:r>
      <w:r>
        <w:rPr>
          <w:rFonts w:cs="Segoe UI"/>
          <w:sz w:val="18"/>
          <w:szCs w:val="18"/>
        </w:rPr>
        <w:t>,</w:t>
      </w:r>
      <w:r w:rsidRPr="00C843AB">
        <w:rPr>
          <w:rFonts w:cs="Segoe UI"/>
          <w:sz w:val="18"/>
          <w:szCs w:val="18"/>
        </w:rPr>
        <w:t xml:space="preserve"> and F. Hariga. (2015). </w:t>
      </w:r>
      <w:r>
        <w:rPr>
          <w:rFonts w:cs="Segoe UI"/>
          <w:sz w:val="18"/>
          <w:szCs w:val="18"/>
        </w:rPr>
        <w:t>‘</w:t>
      </w:r>
      <w:r w:rsidRPr="00C843AB">
        <w:rPr>
          <w:rFonts w:cs="Segoe UI"/>
          <w:sz w:val="18"/>
          <w:szCs w:val="18"/>
        </w:rPr>
        <w:t>People who inject drugs in prison: HIV prevalence, transmission and prevention.</w:t>
      </w:r>
      <w:r>
        <w:rPr>
          <w:rFonts w:cs="Segoe UI"/>
          <w:sz w:val="18"/>
          <w:szCs w:val="18"/>
        </w:rPr>
        <w:t>’</w:t>
      </w:r>
      <w:r w:rsidRPr="00C843AB">
        <w:rPr>
          <w:rFonts w:cs="Segoe UI"/>
          <w:sz w:val="18"/>
          <w:szCs w:val="18"/>
        </w:rPr>
        <w:t xml:space="preserve"> </w:t>
      </w:r>
      <w:r w:rsidRPr="00F742F1">
        <w:rPr>
          <w:rFonts w:cs="Segoe UI"/>
          <w:sz w:val="18"/>
          <w:szCs w:val="18"/>
          <w:u w:val="single"/>
        </w:rPr>
        <w:t>International Journal of Drug Policy</w:t>
      </w:r>
      <w:r w:rsidRPr="00F742F1">
        <w:rPr>
          <w:rFonts w:cs="Segoe UI"/>
          <w:sz w:val="18"/>
          <w:szCs w:val="18"/>
        </w:rPr>
        <w:t>,</w:t>
      </w:r>
      <w:r w:rsidRPr="00C843AB">
        <w:rPr>
          <w:rFonts w:cs="Segoe UI"/>
          <w:sz w:val="18"/>
          <w:szCs w:val="18"/>
        </w:rPr>
        <w:t xml:space="preserve"> </w:t>
      </w:r>
      <w:r w:rsidRPr="00F742F1">
        <w:rPr>
          <w:rFonts w:cs="Segoe UI"/>
          <w:b/>
          <w:sz w:val="18"/>
          <w:szCs w:val="18"/>
        </w:rPr>
        <w:t>26</w:t>
      </w:r>
      <w:r>
        <w:rPr>
          <w:rFonts w:cs="Segoe UI"/>
          <w:sz w:val="18"/>
          <w:szCs w:val="18"/>
        </w:rPr>
        <w:t>:</w:t>
      </w:r>
      <w:r w:rsidRPr="00C843AB">
        <w:rPr>
          <w:rFonts w:cs="Segoe UI"/>
          <w:sz w:val="18"/>
          <w:szCs w:val="18"/>
        </w:rPr>
        <w:t>S12</w:t>
      </w:r>
      <w:r>
        <w:rPr>
          <w:rFonts w:cs="Segoe UI"/>
          <w:sz w:val="18"/>
          <w:szCs w:val="18"/>
        </w:rPr>
        <w:t>–</w:t>
      </w:r>
      <w:r w:rsidRPr="00C843AB">
        <w:rPr>
          <w:rFonts w:cs="Segoe UI"/>
          <w:sz w:val="18"/>
          <w:szCs w:val="18"/>
        </w:rPr>
        <w:t>S15.</w:t>
      </w:r>
    </w:p>
  </w:endnote>
  <w:endnote w:id="47">
    <w:p w14:paraId="6C0CD86D" w14:textId="3FCF98E5" w:rsidR="00BA4B48" w:rsidRPr="00C843AB" w:rsidRDefault="00BA4B48" w:rsidP="00CA7F81">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Hellard, M. E.</w:t>
      </w:r>
      <w:r>
        <w:rPr>
          <w:rFonts w:cs="Segoe UI"/>
          <w:sz w:val="18"/>
          <w:szCs w:val="18"/>
        </w:rPr>
        <w:t>,</w:t>
      </w:r>
      <w:r w:rsidRPr="00C843AB">
        <w:rPr>
          <w:rFonts w:cs="Segoe UI"/>
          <w:sz w:val="18"/>
          <w:szCs w:val="18"/>
        </w:rPr>
        <w:t xml:space="preserve"> and C. K. Aitken. (2004). </w:t>
      </w:r>
      <w:r>
        <w:rPr>
          <w:rFonts w:cs="Segoe UI"/>
          <w:sz w:val="18"/>
          <w:szCs w:val="18"/>
        </w:rPr>
        <w:t>‘</w:t>
      </w:r>
      <w:r w:rsidRPr="00C843AB">
        <w:rPr>
          <w:rFonts w:cs="Segoe UI"/>
          <w:sz w:val="18"/>
          <w:szCs w:val="18"/>
        </w:rPr>
        <w:t>HIV in prison: what are the risks and what can be done?</w:t>
      </w:r>
      <w:r>
        <w:rPr>
          <w:rFonts w:cs="Segoe UI"/>
          <w:sz w:val="18"/>
          <w:szCs w:val="18"/>
        </w:rPr>
        <w:t>’</w:t>
      </w:r>
      <w:r w:rsidRPr="00C843AB">
        <w:rPr>
          <w:rFonts w:cs="Segoe UI"/>
          <w:sz w:val="18"/>
          <w:szCs w:val="18"/>
        </w:rPr>
        <w:t xml:space="preserve"> </w:t>
      </w:r>
      <w:r w:rsidRPr="00F742F1">
        <w:rPr>
          <w:rFonts w:cs="Segoe UI"/>
          <w:sz w:val="18"/>
          <w:szCs w:val="18"/>
          <w:u w:val="single"/>
        </w:rPr>
        <w:t>Sexual Health</w:t>
      </w:r>
      <w:r w:rsidRPr="00F742F1">
        <w:rPr>
          <w:rFonts w:cs="Segoe UI"/>
          <w:sz w:val="18"/>
          <w:szCs w:val="18"/>
        </w:rPr>
        <w:t>,</w:t>
      </w:r>
      <w:r w:rsidRPr="00C843AB">
        <w:rPr>
          <w:rFonts w:cs="Segoe UI"/>
          <w:sz w:val="18"/>
          <w:szCs w:val="18"/>
        </w:rPr>
        <w:t xml:space="preserve"> </w:t>
      </w:r>
      <w:r>
        <w:rPr>
          <w:rFonts w:cs="Segoe UI"/>
          <w:sz w:val="18"/>
          <w:szCs w:val="18"/>
        </w:rPr>
        <w:br/>
      </w:r>
      <w:r w:rsidRPr="00F742F1">
        <w:rPr>
          <w:rFonts w:cs="Segoe UI"/>
          <w:b/>
          <w:sz w:val="18"/>
          <w:szCs w:val="18"/>
        </w:rPr>
        <w:t>1</w:t>
      </w:r>
      <w:r>
        <w:rPr>
          <w:rFonts w:cs="Segoe UI"/>
          <w:sz w:val="18"/>
          <w:szCs w:val="18"/>
        </w:rPr>
        <w:t>:</w:t>
      </w:r>
      <w:r w:rsidRPr="00C843AB">
        <w:rPr>
          <w:rFonts w:cs="Segoe UI"/>
          <w:sz w:val="18"/>
          <w:szCs w:val="18"/>
        </w:rPr>
        <w:t>107</w:t>
      </w:r>
      <w:r>
        <w:rPr>
          <w:rFonts w:cs="Segoe UI"/>
          <w:sz w:val="18"/>
          <w:szCs w:val="18"/>
        </w:rPr>
        <w:t>–</w:t>
      </w:r>
      <w:r w:rsidRPr="00C843AB">
        <w:rPr>
          <w:rFonts w:cs="Segoe UI"/>
          <w:sz w:val="18"/>
          <w:szCs w:val="18"/>
        </w:rPr>
        <w:t>113.</w:t>
      </w:r>
    </w:p>
  </w:endnote>
  <w:endnote w:id="48">
    <w:p w14:paraId="43D7C4BC" w14:textId="5A702C16" w:rsidR="00BA4B48" w:rsidRPr="00C843AB" w:rsidRDefault="00BA4B48" w:rsidP="000846B1">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ASHM</w:t>
      </w:r>
      <w:r>
        <w:rPr>
          <w:rFonts w:cs="Segoe UI"/>
          <w:sz w:val="18"/>
          <w:szCs w:val="18"/>
        </w:rPr>
        <w:t>. (</w:t>
      </w:r>
      <w:r w:rsidRPr="00C843AB">
        <w:rPr>
          <w:rFonts w:cs="Segoe UI"/>
          <w:sz w:val="18"/>
          <w:szCs w:val="18"/>
        </w:rPr>
        <w:t xml:space="preserve">2018). </w:t>
      </w:r>
      <w:r w:rsidRPr="00F742F1">
        <w:rPr>
          <w:rFonts w:cs="Segoe UI"/>
          <w:sz w:val="18"/>
          <w:szCs w:val="18"/>
          <w:u w:val="single"/>
        </w:rPr>
        <w:t>Guide to Australian HIV laws and policies for healthcare professionals</w:t>
      </w:r>
      <w:r w:rsidRPr="00C843AB">
        <w:rPr>
          <w:rFonts w:cs="Segoe UI"/>
          <w:sz w:val="18"/>
          <w:szCs w:val="18"/>
        </w:rPr>
        <w:t>. Accessed 23 February 2018 at</w:t>
      </w:r>
      <w:r>
        <w:rPr>
          <w:rFonts w:cs="Segoe UI"/>
          <w:sz w:val="18"/>
          <w:szCs w:val="18"/>
        </w:rPr>
        <w:t>:</w:t>
      </w:r>
      <w:r w:rsidRPr="00C843AB">
        <w:rPr>
          <w:rFonts w:cs="Segoe UI"/>
          <w:sz w:val="18"/>
          <w:szCs w:val="18"/>
        </w:rPr>
        <w:t xml:space="preserve"> </w:t>
      </w:r>
      <w:hyperlink r:id="rId12" w:tooltip="ASHM" w:history="1">
        <w:r w:rsidRPr="00C843AB">
          <w:rPr>
            <w:rStyle w:val="Hyperlink"/>
            <w:rFonts w:cs="Segoe UI"/>
            <w:sz w:val="18"/>
            <w:szCs w:val="18"/>
          </w:rPr>
          <w:t>http://hivlegal.ashm.org.au/index.php/guide-to-australian-hiv-laws-and-policies-for-healthcare-professionals</w:t>
        </w:r>
      </w:hyperlink>
      <w:r w:rsidRPr="00C843AB">
        <w:rPr>
          <w:rFonts w:cs="Segoe UI"/>
          <w:sz w:val="18"/>
          <w:szCs w:val="18"/>
        </w:rPr>
        <w:t xml:space="preserve"> </w:t>
      </w:r>
    </w:p>
  </w:endnote>
  <w:endnote w:id="49">
    <w:p w14:paraId="47A332F1" w14:textId="5D075385" w:rsidR="00BA4B48" w:rsidRPr="00C843AB" w:rsidRDefault="00BA4B48" w:rsidP="000846B1">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Shannon, K., S. A. Strathdee, S. M. Goldenberg </w:t>
      </w:r>
      <w:r w:rsidRPr="00C843AB">
        <w:rPr>
          <w:rFonts w:cs="Segoe UI"/>
          <w:i/>
          <w:sz w:val="18"/>
          <w:szCs w:val="18"/>
        </w:rPr>
        <w:t>et al</w:t>
      </w:r>
      <w:r w:rsidRPr="00C843AB">
        <w:rPr>
          <w:rFonts w:cs="Segoe UI"/>
          <w:sz w:val="18"/>
          <w:szCs w:val="18"/>
        </w:rPr>
        <w:t xml:space="preserve">. (2015). </w:t>
      </w:r>
      <w:r>
        <w:rPr>
          <w:rFonts w:cs="Segoe UI"/>
          <w:sz w:val="18"/>
          <w:szCs w:val="18"/>
        </w:rPr>
        <w:t>‘</w:t>
      </w:r>
      <w:r w:rsidRPr="00C843AB">
        <w:rPr>
          <w:rFonts w:cs="Segoe UI"/>
          <w:sz w:val="18"/>
          <w:szCs w:val="18"/>
        </w:rPr>
        <w:t>Global epidemiology of HIV among female sex workers: influence of structural determinants.</w:t>
      </w:r>
      <w:r>
        <w:rPr>
          <w:rFonts w:cs="Segoe UI"/>
          <w:sz w:val="18"/>
          <w:szCs w:val="18"/>
        </w:rPr>
        <w:t>’</w:t>
      </w:r>
      <w:r w:rsidRPr="00C843AB">
        <w:rPr>
          <w:rFonts w:cs="Segoe UI"/>
          <w:sz w:val="18"/>
          <w:szCs w:val="18"/>
        </w:rPr>
        <w:t xml:space="preserve"> </w:t>
      </w:r>
      <w:r w:rsidRPr="00F742F1">
        <w:rPr>
          <w:rFonts w:cs="Segoe UI"/>
          <w:sz w:val="18"/>
          <w:szCs w:val="18"/>
          <w:u w:val="single"/>
        </w:rPr>
        <w:t>The Lancet</w:t>
      </w:r>
      <w:r w:rsidRPr="00F742F1">
        <w:rPr>
          <w:rFonts w:cs="Segoe UI"/>
          <w:sz w:val="18"/>
          <w:szCs w:val="18"/>
        </w:rPr>
        <w:t>,</w:t>
      </w:r>
      <w:r w:rsidRPr="00C843AB">
        <w:rPr>
          <w:rFonts w:cs="Segoe UI"/>
          <w:b/>
          <w:sz w:val="18"/>
          <w:szCs w:val="18"/>
        </w:rPr>
        <w:t xml:space="preserve"> </w:t>
      </w:r>
      <w:r w:rsidRPr="00F742F1">
        <w:rPr>
          <w:rFonts w:cs="Segoe UI"/>
          <w:b/>
          <w:sz w:val="18"/>
          <w:szCs w:val="18"/>
        </w:rPr>
        <w:t>385</w:t>
      </w:r>
      <w:r w:rsidRPr="00C843AB">
        <w:rPr>
          <w:rFonts w:cs="Segoe UI"/>
          <w:sz w:val="18"/>
          <w:szCs w:val="18"/>
        </w:rPr>
        <w:t>(9962)</w:t>
      </w:r>
      <w:r>
        <w:rPr>
          <w:rFonts w:cs="Segoe UI"/>
          <w:sz w:val="18"/>
          <w:szCs w:val="18"/>
        </w:rPr>
        <w:t>:</w:t>
      </w:r>
      <w:r w:rsidRPr="00C843AB">
        <w:rPr>
          <w:rFonts w:cs="Segoe UI"/>
          <w:sz w:val="18"/>
          <w:szCs w:val="18"/>
        </w:rPr>
        <w:t>55</w:t>
      </w:r>
      <w:r>
        <w:rPr>
          <w:rFonts w:cs="Segoe UI"/>
          <w:sz w:val="18"/>
          <w:szCs w:val="18"/>
        </w:rPr>
        <w:t>–</w:t>
      </w:r>
      <w:r w:rsidRPr="00C843AB">
        <w:rPr>
          <w:rFonts w:cs="Segoe UI"/>
          <w:sz w:val="18"/>
          <w:szCs w:val="18"/>
        </w:rPr>
        <w:t>71.</w:t>
      </w:r>
    </w:p>
  </w:endnote>
  <w:endnote w:id="50">
    <w:p w14:paraId="5AE62ECD" w14:textId="6F788CA6" w:rsidR="00BA4B48" w:rsidRPr="00C843AB" w:rsidRDefault="00BA4B48" w:rsidP="00D95AF6">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Roxburgh, A.</w:t>
      </w:r>
      <w:r>
        <w:rPr>
          <w:rFonts w:cs="Segoe UI"/>
          <w:sz w:val="18"/>
          <w:szCs w:val="18"/>
        </w:rPr>
        <w:t xml:space="preserve">, </w:t>
      </w:r>
      <w:r w:rsidRPr="00C843AB">
        <w:rPr>
          <w:rFonts w:cs="Segoe UI"/>
          <w:sz w:val="18"/>
          <w:szCs w:val="18"/>
        </w:rPr>
        <w:t>L</w:t>
      </w:r>
      <w:r>
        <w:rPr>
          <w:rFonts w:cs="Segoe UI"/>
          <w:sz w:val="18"/>
          <w:szCs w:val="18"/>
        </w:rPr>
        <w:t>.</w:t>
      </w:r>
      <w:r w:rsidRPr="00C843AB">
        <w:rPr>
          <w:rFonts w:cs="Segoe UI"/>
          <w:sz w:val="18"/>
          <w:szCs w:val="18"/>
        </w:rPr>
        <w:t xml:space="preserve"> Degenhardt</w:t>
      </w:r>
      <w:r>
        <w:rPr>
          <w:rFonts w:cs="Segoe UI"/>
          <w:sz w:val="18"/>
          <w:szCs w:val="18"/>
        </w:rPr>
        <w:t>,</w:t>
      </w:r>
      <w:r w:rsidRPr="00C843AB">
        <w:rPr>
          <w:rFonts w:cs="Segoe UI"/>
          <w:sz w:val="18"/>
          <w:szCs w:val="18"/>
        </w:rPr>
        <w:t xml:space="preserve"> B</w:t>
      </w:r>
      <w:r>
        <w:rPr>
          <w:rFonts w:cs="Segoe UI"/>
          <w:sz w:val="18"/>
          <w:szCs w:val="18"/>
        </w:rPr>
        <w:t>.</w:t>
      </w:r>
      <w:r w:rsidRPr="00C843AB">
        <w:rPr>
          <w:rFonts w:cs="Segoe UI"/>
          <w:sz w:val="18"/>
          <w:szCs w:val="18"/>
        </w:rPr>
        <w:t xml:space="preserve"> Larance</w:t>
      </w:r>
      <w:r>
        <w:rPr>
          <w:rFonts w:cs="Segoe UI"/>
          <w:sz w:val="18"/>
          <w:szCs w:val="18"/>
        </w:rPr>
        <w:t>,</w:t>
      </w:r>
      <w:r w:rsidRPr="00C843AB">
        <w:rPr>
          <w:rFonts w:cs="Segoe UI"/>
          <w:sz w:val="18"/>
          <w:szCs w:val="18"/>
        </w:rPr>
        <w:t xml:space="preserve"> and J</w:t>
      </w:r>
      <w:r>
        <w:rPr>
          <w:rFonts w:cs="Segoe UI"/>
          <w:sz w:val="18"/>
          <w:szCs w:val="18"/>
        </w:rPr>
        <w:t>.</w:t>
      </w:r>
      <w:r w:rsidRPr="00C843AB">
        <w:rPr>
          <w:rFonts w:cs="Segoe UI"/>
          <w:sz w:val="18"/>
          <w:szCs w:val="18"/>
        </w:rPr>
        <w:t xml:space="preserve"> Copeland. (2005). </w:t>
      </w:r>
      <w:r>
        <w:rPr>
          <w:rFonts w:cs="Segoe UI"/>
          <w:sz w:val="18"/>
          <w:szCs w:val="18"/>
        </w:rPr>
        <w:t>‘</w:t>
      </w:r>
      <w:r w:rsidRPr="00C843AB">
        <w:rPr>
          <w:rFonts w:cs="Segoe UI"/>
          <w:sz w:val="18"/>
          <w:szCs w:val="18"/>
        </w:rPr>
        <w:t>Mental Health, drug use and risk among female street-based sex workers in greater Sydney.</w:t>
      </w:r>
      <w:r>
        <w:rPr>
          <w:rFonts w:cs="Segoe UI"/>
          <w:sz w:val="18"/>
          <w:szCs w:val="18"/>
        </w:rPr>
        <w:t>’</w:t>
      </w:r>
      <w:r w:rsidRPr="00C843AB">
        <w:rPr>
          <w:rFonts w:cs="Segoe UI"/>
          <w:sz w:val="18"/>
          <w:szCs w:val="18"/>
        </w:rPr>
        <w:t xml:space="preserve"> </w:t>
      </w:r>
      <w:r w:rsidRPr="00C843AB">
        <w:rPr>
          <w:rFonts w:cs="Segoe UI"/>
          <w:sz w:val="18"/>
          <w:szCs w:val="18"/>
          <w:u w:val="single"/>
        </w:rPr>
        <w:t>National Drug and Alcohol Research Centre (NDARC): Technical Report No. 237</w:t>
      </w:r>
      <w:r w:rsidRPr="00C843AB">
        <w:rPr>
          <w:rFonts w:cs="Segoe UI"/>
          <w:sz w:val="18"/>
          <w:szCs w:val="18"/>
        </w:rPr>
        <w:t>. NDARD, UNSW: Sydney.</w:t>
      </w:r>
    </w:p>
  </w:endnote>
  <w:endnote w:id="51">
    <w:p w14:paraId="4B9E53DA" w14:textId="36AD6840" w:rsidR="00BA4B48" w:rsidRPr="00C843AB" w:rsidRDefault="00BA4B48" w:rsidP="00CA7F81">
      <w:pPr>
        <w:pStyle w:val="EndnoteText"/>
        <w:spacing w:after="120"/>
        <w:rPr>
          <w:rStyle w:val="Hyperlink"/>
          <w:rFonts w:cs="Segoe UI"/>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 xml:space="preserve">Vallely, A., </w:t>
      </w:r>
      <w:r>
        <w:rPr>
          <w:rFonts w:cs="Segoe UI"/>
          <w:sz w:val="18"/>
          <w:szCs w:val="18"/>
        </w:rPr>
        <w:t xml:space="preserve">A. </w:t>
      </w:r>
      <w:r w:rsidRPr="00C843AB">
        <w:rPr>
          <w:rFonts w:cs="Segoe UI"/>
          <w:sz w:val="18"/>
          <w:szCs w:val="18"/>
        </w:rPr>
        <w:t xml:space="preserve">Page, </w:t>
      </w:r>
      <w:r>
        <w:rPr>
          <w:rFonts w:cs="Segoe UI"/>
          <w:sz w:val="18"/>
          <w:szCs w:val="18"/>
        </w:rPr>
        <w:t xml:space="preserve">S. </w:t>
      </w:r>
      <w:r w:rsidRPr="00C843AB">
        <w:rPr>
          <w:rFonts w:cs="Segoe UI"/>
          <w:sz w:val="18"/>
          <w:szCs w:val="18"/>
        </w:rPr>
        <w:t>Dias</w:t>
      </w:r>
      <w:r>
        <w:rPr>
          <w:rFonts w:cs="Segoe UI"/>
          <w:sz w:val="18"/>
          <w:szCs w:val="18"/>
        </w:rPr>
        <w:t xml:space="preserve"> </w:t>
      </w:r>
      <w:r w:rsidRPr="00F742F1">
        <w:rPr>
          <w:rFonts w:cs="Segoe UI"/>
          <w:i/>
          <w:sz w:val="18"/>
          <w:szCs w:val="18"/>
        </w:rPr>
        <w:t>et al.</w:t>
      </w:r>
      <w:r w:rsidRPr="00C843AB">
        <w:rPr>
          <w:rFonts w:cs="Segoe UI"/>
          <w:sz w:val="18"/>
          <w:szCs w:val="18"/>
        </w:rPr>
        <w:t xml:space="preserve"> (2010)</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The Prevalence of Sexually Transmitted Infections in Papua New Guinea: A Systematic Review and Meta-Analysis</w:t>
      </w:r>
      <w:r w:rsidRPr="00F742F1">
        <w:rPr>
          <w:rFonts w:cs="Segoe UI"/>
          <w:i/>
          <w:sz w:val="18"/>
          <w:szCs w:val="18"/>
        </w:rPr>
        <w:t>.</w:t>
      </w:r>
      <w:r w:rsidRPr="00F742F1">
        <w:rPr>
          <w:rFonts w:cs="Segoe UI"/>
          <w:sz w:val="18"/>
          <w:szCs w:val="18"/>
        </w:rPr>
        <w:t>’</w:t>
      </w:r>
      <w:r>
        <w:rPr>
          <w:rFonts w:cs="Segoe UI"/>
          <w:sz w:val="18"/>
          <w:szCs w:val="18"/>
          <w:u w:val="single"/>
        </w:rPr>
        <w:t xml:space="preserve"> </w:t>
      </w:r>
      <w:hyperlink r:id="rId13" w:history="1">
        <w:r w:rsidRPr="00F742F1">
          <w:rPr>
            <w:rFonts w:cs="Segoe UI"/>
            <w:sz w:val="18"/>
            <w:szCs w:val="18"/>
            <w:u w:val="single"/>
          </w:rPr>
          <w:t>PLoS One</w:t>
        </w:r>
      </w:hyperlink>
      <w:r>
        <w:rPr>
          <w:rFonts w:cs="Segoe UI"/>
          <w:sz w:val="18"/>
          <w:szCs w:val="18"/>
        </w:rPr>
        <w:t>,</w:t>
      </w:r>
      <w:r w:rsidRPr="00C843AB">
        <w:rPr>
          <w:rFonts w:cs="Segoe UI"/>
          <w:sz w:val="18"/>
          <w:szCs w:val="18"/>
        </w:rPr>
        <w:t xml:space="preserve"> </w:t>
      </w:r>
      <w:r w:rsidRPr="00F742F1">
        <w:rPr>
          <w:rFonts w:cs="Segoe UI"/>
          <w:b/>
          <w:sz w:val="18"/>
          <w:szCs w:val="18"/>
        </w:rPr>
        <w:t>5</w:t>
      </w:r>
      <w:r w:rsidRPr="00C843AB">
        <w:rPr>
          <w:rFonts w:cs="Segoe UI"/>
          <w:sz w:val="18"/>
          <w:szCs w:val="18"/>
        </w:rPr>
        <w:t>(12)</w:t>
      </w:r>
      <w:r>
        <w:rPr>
          <w:rFonts w:cs="Segoe UI"/>
          <w:sz w:val="18"/>
          <w:szCs w:val="18"/>
        </w:rPr>
        <w:t>:</w:t>
      </w:r>
      <w:r w:rsidRPr="00C843AB">
        <w:rPr>
          <w:rFonts w:cs="Segoe UI"/>
          <w:sz w:val="18"/>
          <w:szCs w:val="18"/>
        </w:rPr>
        <w:t xml:space="preserve">e15586. </w:t>
      </w:r>
    </w:p>
  </w:endnote>
  <w:endnote w:id="52">
    <w:p w14:paraId="1403A2D2" w14:textId="449A6843" w:rsidR="00BA4B48" w:rsidRPr="00C843AB" w:rsidRDefault="00BA4B48" w:rsidP="00CA7F81">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 xml:space="preserve">Kelly-Hanku, A., </w:t>
      </w:r>
      <w:r>
        <w:rPr>
          <w:rFonts w:cs="Segoe UI"/>
          <w:sz w:val="18"/>
          <w:szCs w:val="18"/>
        </w:rPr>
        <w:t xml:space="preserve">A. </w:t>
      </w:r>
      <w:r w:rsidRPr="00C843AB">
        <w:rPr>
          <w:rFonts w:cs="Segoe UI"/>
          <w:sz w:val="18"/>
          <w:szCs w:val="18"/>
        </w:rPr>
        <w:t xml:space="preserve">Amos-Kuma, </w:t>
      </w:r>
      <w:r>
        <w:rPr>
          <w:rFonts w:cs="Segoe UI"/>
          <w:sz w:val="18"/>
          <w:szCs w:val="18"/>
        </w:rPr>
        <w:t xml:space="preserve">S. G. </w:t>
      </w:r>
      <w:r w:rsidRPr="00C843AB">
        <w:rPr>
          <w:rFonts w:cs="Segoe UI"/>
          <w:sz w:val="18"/>
          <w:szCs w:val="18"/>
        </w:rPr>
        <w:t>Badman</w:t>
      </w:r>
      <w:r>
        <w:rPr>
          <w:rFonts w:cs="Segoe UI"/>
          <w:sz w:val="18"/>
          <w:szCs w:val="18"/>
        </w:rPr>
        <w:t xml:space="preserve"> </w:t>
      </w:r>
      <w:r w:rsidRPr="00F742F1">
        <w:rPr>
          <w:rFonts w:cs="Segoe UI"/>
          <w:i/>
          <w:sz w:val="18"/>
          <w:szCs w:val="18"/>
        </w:rPr>
        <w:t>et al.</w:t>
      </w:r>
      <w:r>
        <w:rPr>
          <w:rFonts w:cs="Segoe UI"/>
          <w:sz w:val="18"/>
          <w:szCs w:val="18"/>
        </w:rPr>
        <w:t xml:space="preserve"> </w:t>
      </w:r>
      <w:r w:rsidRPr="00C843AB">
        <w:rPr>
          <w:rFonts w:cs="Segoe UI"/>
          <w:sz w:val="18"/>
          <w:szCs w:val="18"/>
        </w:rPr>
        <w:t>(2017)</w:t>
      </w:r>
      <w:r>
        <w:rPr>
          <w:rFonts w:cs="Segoe UI"/>
          <w:sz w:val="18"/>
          <w:szCs w:val="18"/>
        </w:rPr>
        <w:t>.</w:t>
      </w:r>
      <w:r w:rsidRPr="00C843AB">
        <w:rPr>
          <w:rFonts w:cs="Segoe UI"/>
          <w:sz w:val="18"/>
          <w:szCs w:val="18"/>
        </w:rPr>
        <w:t xml:space="preserve"> </w:t>
      </w:r>
      <w:r w:rsidRPr="00F742F1">
        <w:rPr>
          <w:rFonts w:cs="Segoe UI"/>
          <w:sz w:val="18"/>
          <w:szCs w:val="18"/>
          <w:u w:val="single"/>
        </w:rPr>
        <w:t>Kauntim mi tu – Port Moresby: Key ﬁndings from the Key Population Integrated Bio-Behavioural Survey</w:t>
      </w:r>
      <w:r w:rsidRPr="00C843AB">
        <w:rPr>
          <w:rFonts w:cs="Segoe UI"/>
          <w:sz w:val="18"/>
          <w:szCs w:val="18"/>
        </w:rPr>
        <w:t>, Port Moresby, Papua New Guinea. Papua New Guinea Institute of Medical Research and Kirby Institute, UNSW Sydney: Goroka, Papua New Guinea.</w:t>
      </w:r>
      <w:r w:rsidRPr="00C843AB" w:rsidDel="001F53F1">
        <w:rPr>
          <w:sz w:val="18"/>
          <w:szCs w:val="18"/>
        </w:rPr>
        <w:t xml:space="preserve"> </w:t>
      </w:r>
      <w:r w:rsidRPr="00C843AB">
        <w:rPr>
          <w:sz w:val="18"/>
          <w:szCs w:val="18"/>
        </w:rPr>
        <w:t>Accessed</w:t>
      </w:r>
      <w:r>
        <w:rPr>
          <w:sz w:val="18"/>
          <w:szCs w:val="18"/>
        </w:rPr>
        <w:t xml:space="preserve"> 12 November 2018 </w:t>
      </w:r>
      <w:r w:rsidRPr="00C843AB">
        <w:rPr>
          <w:sz w:val="18"/>
          <w:szCs w:val="18"/>
        </w:rPr>
        <w:t xml:space="preserve">at: </w:t>
      </w:r>
      <w:hyperlink r:id="rId14" w:tooltip="AIDS Data Hub" w:history="1">
        <w:r w:rsidRPr="003A32FD">
          <w:rPr>
            <w:rStyle w:val="Hyperlink"/>
            <w:sz w:val="18"/>
            <w:szCs w:val="18"/>
          </w:rPr>
          <w:t>https://www.aidsdatahub.org/kauntim-mi-tu-%E2%80%93-port-moresby-key-findings-key-population-integrated-bio-behavioural-survey-port</w:t>
        </w:r>
      </w:hyperlink>
      <w:r>
        <w:t xml:space="preserve"> </w:t>
      </w:r>
    </w:p>
  </w:endnote>
  <w:endnote w:id="53">
    <w:p w14:paraId="6A8A16D9" w14:textId="5B80A325" w:rsidR="00BA4B48" w:rsidRPr="00C843AB" w:rsidRDefault="00BA4B48" w:rsidP="002F376C">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Strobel, N</w:t>
      </w:r>
      <w:r>
        <w:rPr>
          <w:rFonts w:cs="Segoe UI"/>
          <w:sz w:val="18"/>
          <w:szCs w:val="18"/>
        </w:rPr>
        <w:t>.,</w:t>
      </w:r>
      <w:r w:rsidRPr="00C843AB">
        <w:rPr>
          <w:rFonts w:cs="Segoe UI"/>
          <w:sz w:val="18"/>
          <w:szCs w:val="18"/>
        </w:rPr>
        <w:t xml:space="preserve"> and J</w:t>
      </w:r>
      <w:r>
        <w:rPr>
          <w:rFonts w:cs="Segoe UI"/>
          <w:sz w:val="18"/>
          <w:szCs w:val="18"/>
        </w:rPr>
        <w:t>.</w:t>
      </w:r>
      <w:r w:rsidRPr="00C843AB">
        <w:rPr>
          <w:rFonts w:cs="Segoe UI"/>
          <w:sz w:val="18"/>
          <w:szCs w:val="18"/>
        </w:rPr>
        <w:t xml:space="preserve"> Ward</w:t>
      </w:r>
      <w:r>
        <w:rPr>
          <w:rFonts w:cs="Segoe UI"/>
          <w:sz w:val="18"/>
          <w:szCs w:val="18"/>
        </w:rPr>
        <w:t>.</w:t>
      </w:r>
      <w:r w:rsidRPr="00C843AB">
        <w:rPr>
          <w:rFonts w:cs="Segoe UI"/>
          <w:sz w:val="18"/>
          <w:szCs w:val="18"/>
        </w:rPr>
        <w:t xml:space="preserve"> (2012)</w:t>
      </w:r>
      <w:r>
        <w:rPr>
          <w:rFonts w:cs="Segoe UI"/>
          <w:sz w:val="18"/>
          <w:szCs w:val="18"/>
        </w:rPr>
        <w:t>.</w:t>
      </w:r>
      <w:r w:rsidRPr="00C843AB">
        <w:rPr>
          <w:rFonts w:cs="Segoe UI"/>
          <w:sz w:val="18"/>
          <w:szCs w:val="18"/>
        </w:rPr>
        <w:t xml:space="preserve"> </w:t>
      </w:r>
      <w:r w:rsidRPr="00916F1C">
        <w:rPr>
          <w:rFonts w:cs="Segoe UI"/>
          <w:sz w:val="18"/>
          <w:szCs w:val="18"/>
          <w:u w:val="single"/>
        </w:rPr>
        <w:t>Education programs for Indigenous Australians about sexually transmitted infections and bloodborne viruses</w:t>
      </w:r>
      <w:r w:rsidRPr="00C843AB">
        <w:rPr>
          <w:rFonts w:cs="Segoe UI"/>
          <w:sz w:val="18"/>
          <w:szCs w:val="18"/>
        </w:rPr>
        <w:t xml:space="preserve">, Resource sheet no. 14 for the Closing the Gap Clearinghouse. Accessed 9 August 2018 at: </w:t>
      </w:r>
      <w:hyperlink r:id="rId15" w:tooltip="AIHW" w:history="1">
        <w:r w:rsidRPr="00C843AB">
          <w:rPr>
            <w:rStyle w:val="Hyperlink"/>
            <w:rFonts w:cs="Segoe UI"/>
            <w:sz w:val="18"/>
            <w:szCs w:val="18"/>
          </w:rPr>
          <w:t>https://www.aihw.gov.au/getmedia/00250e14-7b83-4da8-994e-723a25d96ab7/ctgc-rs14.pdf.aspx?inline=true</w:t>
        </w:r>
      </w:hyperlink>
      <w:r w:rsidRPr="00C843AB">
        <w:rPr>
          <w:rFonts w:cs="Segoe UI"/>
          <w:sz w:val="18"/>
          <w:szCs w:val="18"/>
        </w:rPr>
        <w:t xml:space="preserve"> </w:t>
      </w:r>
    </w:p>
  </w:endnote>
  <w:endnote w:id="54">
    <w:p w14:paraId="4E9B6463" w14:textId="7751001F" w:rsidR="00BA4B48" w:rsidRPr="00C843AB" w:rsidRDefault="00BA4B48" w:rsidP="002178CB">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eastAsia="Times New Roman" w:cs="Segoe UI"/>
          <w:sz w:val="18"/>
          <w:szCs w:val="18"/>
          <w:lang w:val="en-US"/>
        </w:rPr>
        <w:t>Miller</w:t>
      </w:r>
      <w:r>
        <w:rPr>
          <w:rFonts w:eastAsia="Times New Roman" w:cs="Segoe UI"/>
          <w:sz w:val="18"/>
          <w:szCs w:val="18"/>
          <w:lang w:val="en-US"/>
        </w:rPr>
        <w:t>,</w:t>
      </w:r>
      <w:r w:rsidRPr="00C843AB">
        <w:rPr>
          <w:rFonts w:eastAsia="Times New Roman" w:cs="Segoe UI"/>
          <w:sz w:val="18"/>
          <w:szCs w:val="18"/>
          <w:lang w:val="en-US"/>
        </w:rPr>
        <w:t xml:space="preserve"> P</w:t>
      </w:r>
      <w:r>
        <w:rPr>
          <w:rFonts w:eastAsia="Times New Roman" w:cs="Segoe UI"/>
          <w:sz w:val="18"/>
          <w:szCs w:val="18"/>
          <w:lang w:val="en-US"/>
        </w:rPr>
        <w:t>.</w:t>
      </w:r>
      <w:r w:rsidRPr="00C843AB">
        <w:rPr>
          <w:rFonts w:eastAsia="Times New Roman" w:cs="Segoe UI"/>
          <w:sz w:val="18"/>
          <w:szCs w:val="18"/>
          <w:lang w:val="en-US"/>
        </w:rPr>
        <w:t>J</w:t>
      </w:r>
      <w:r>
        <w:rPr>
          <w:rFonts w:eastAsia="Times New Roman" w:cs="Segoe UI"/>
          <w:sz w:val="18"/>
          <w:szCs w:val="18"/>
          <w:lang w:val="en-US"/>
        </w:rPr>
        <w:t>.</w:t>
      </w:r>
      <w:r w:rsidRPr="00C843AB">
        <w:rPr>
          <w:rFonts w:eastAsia="Times New Roman" w:cs="Segoe UI"/>
          <w:sz w:val="18"/>
          <w:szCs w:val="18"/>
          <w:lang w:val="en-US"/>
        </w:rPr>
        <w:t xml:space="preserve">, </w:t>
      </w:r>
      <w:r>
        <w:rPr>
          <w:rFonts w:eastAsia="Times New Roman" w:cs="Segoe UI"/>
          <w:sz w:val="18"/>
          <w:szCs w:val="18"/>
          <w:lang w:val="en-US"/>
        </w:rPr>
        <w:t xml:space="preserve">M. </w:t>
      </w:r>
      <w:r w:rsidRPr="00C843AB">
        <w:rPr>
          <w:rFonts w:eastAsia="Times New Roman" w:cs="Segoe UI"/>
          <w:sz w:val="18"/>
          <w:szCs w:val="18"/>
          <w:lang w:val="en-US"/>
        </w:rPr>
        <w:t xml:space="preserve">Law, </w:t>
      </w:r>
      <w:r>
        <w:rPr>
          <w:rFonts w:eastAsia="Times New Roman" w:cs="Segoe UI"/>
          <w:sz w:val="18"/>
          <w:szCs w:val="18"/>
          <w:lang w:val="en-US"/>
        </w:rPr>
        <w:t xml:space="preserve">P. J. </w:t>
      </w:r>
      <w:r w:rsidRPr="00C843AB">
        <w:rPr>
          <w:rFonts w:eastAsia="Times New Roman" w:cs="Segoe UI"/>
          <w:sz w:val="18"/>
          <w:szCs w:val="18"/>
          <w:lang w:val="en-US"/>
        </w:rPr>
        <w:t>Torzillo</w:t>
      </w:r>
      <w:r w:rsidRPr="00C843AB">
        <w:rPr>
          <w:rFonts w:eastAsia="Times New Roman" w:cs="Segoe UI"/>
          <w:iCs/>
          <w:sz w:val="18"/>
          <w:szCs w:val="18"/>
          <w:lang w:val="en-US"/>
        </w:rPr>
        <w:t xml:space="preserve">, </w:t>
      </w:r>
      <w:r>
        <w:rPr>
          <w:rFonts w:eastAsia="Times New Roman" w:cs="Segoe UI"/>
          <w:iCs/>
          <w:sz w:val="18"/>
          <w:szCs w:val="18"/>
          <w:lang w:val="en-US"/>
        </w:rPr>
        <w:t xml:space="preserve">and J. </w:t>
      </w:r>
      <w:r w:rsidRPr="00C843AB">
        <w:rPr>
          <w:rFonts w:eastAsia="Times New Roman" w:cs="Segoe UI"/>
          <w:iCs/>
          <w:sz w:val="18"/>
          <w:szCs w:val="18"/>
          <w:lang w:val="en-US"/>
        </w:rPr>
        <w:t>Kaldor.</w:t>
      </w:r>
      <w:r w:rsidRPr="00C843AB">
        <w:rPr>
          <w:rFonts w:eastAsia="Times New Roman" w:cs="Segoe UI"/>
          <w:i/>
          <w:iCs/>
          <w:sz w:val="18"/>
          <w:szCs w:val="18"/>
          <w:lang w:val="en-US"/>
        </w:rPr>
        <w:t xml:space="preserve"> </w:t>
      </w:r>
      <w:r w:rsidRPr="00C843AB">
        <w:rPr>
          <w:rFonts w:eastAsia="Times New Roman" w:cs="Segoe UI"/>
          <w:iCs/>
          <w:sz w:val="18"/>
          <w:szCs w:val="18"/>
          <w:lang w:val="en-US"/>
        </w:rPr>
        <w:t>(2001)</w:t>
      </w:r>
      <w:r>
        <w:rPr>
          <w:rFonts w:eastAsia="Times New Roman" w:cs="Segoe UI"/>
          <w:iCs/>
          <w:sz w:val="18"/>
          <w:szCs w:val="18"/>
          <w:lang w:val="en-US"/>
        </w:rPr>
        <w:t>.</w:t>
      </w:r>
      <w:r w:rsidRPr="00C843AB">
        <w:rPr>
          <w:rFonts w:eastAsia="Times New Roman" w:cs="Segoe UI"/>
          <w:i/>
          <w:iCs/>
          <w:sz w:val="18"/>
          <w:szCs w:val="18"/>
          <w:lang w:val="en-US"/>
        </w:rPr>
        <w:t xml:space="preserve"> </w:t>
      </w:r>
      <w:r>
        <w:rPr>
          <w:rFonts w:eastAsia="Times New Roman" w:cs="Segoe UI"/>
          <w:iCs/>
          <w:sz w:val="18"/>
          <w:szCs w:val="18"/>
          <w:lang w:val="en-US"/>
        </w:rPr>
        <w:t>‘</w:t>
      </w:r>
      <w:r w:rsidRPr="00C843AB">
        <w:rPr>
          <w:rFonts w:eastAsia="Times New Roman" w:cs="Segoe UI"/>
          <w:sz w:val="18"/>
          <w:szCs w:val="18"/>
          <w:lang w:val="en-US"/>
        </w:rPr>
        <w:t>Incident sexually transmitted infections and their risk factors in an Aboriginal community in Australia: a population based cohort study.</w:t>
      </w:r>
      <w:r>
        <w:rPr>
          <w:rFonts w:eastAsia="Times New Roman" w:cs="Segoe UI"/>
          <w:sz w:val="18"/>
          <w:szCs w:val="18"/>
          <w:lang w:val="en-US"/>
        </w:rPr>
        <w:t>’</w:t>
      </w:r>
      <w:r w:rsidRPr="00C843AB">
        <w:rPr>
          <w:rFonts w:eastAsia="Times New Roman" w:cs="Segoe UI"/>
          <w:sz w:val="18"/>
          <w:szCs w:val="18"/>
          <w:lang w:val="en-US"/>
        </w:rPr>
        <w:t xml:space="preserve"> </w:t>
      </w:r>
      <w:r w:rsidRPr="00916F1C">
        <w:rPr>
          <w:rFonts w:eastAsia="Times New Roman" w:cs="Segoe UI"/>
          <w:iCs/>
          <w:sz w:val="18"/>
          <w:szCs w:val="18"/>
          <w:u w:val="single"/>
          <w:lang w:val="en-US"/>
        </w:rPr>
        <w:t>Sexually Transmitted Infections</w:t>
      </w:r>
      <w:r w:rsidRPr="00916F1C">
        <w:rPr>
          <w:rFonts w:eastAsia="Times New Roman" w:cs="Segoe UI"/>
          <w:iCs/>
          <w:sz w:val="18"/>
          <w:szCs w:val="18"/>
          <w:lang w:val="en-US"/>
        </w:rPr>
        <w:t>,</w:t>
      </w:r>
      <w:r w:rsidRPr="00C843AB">
        <w:rPr>
          <w:rFonts w:eastAsia="Times New Roman" w:cs="Segoe UI"/>
          <w:i/>
          <w:iCs/>
          <w:sz w:val="18"/>
          <w:szCs w:val="18"/>
          <w:lang w:val="en-US"/>
        </w:rPr>
        <w:t xml:space="preserve"> </w:t>
      </w:r>
      <w:r w:rsidRPr="00916F1C">
        <w:rPr>
          <w:rFonts w:eastAsia="Times New Roman" w:cs="Segoe UI"/>
          <w:b/>
          <w:bCs/>
          <w:sz w:val="18"/>
          <w:szCs w:val="18"/>
          <w:lang w:val="en-US"/>
        </w:rPr>
        <w:t>77</w:t>
      </w:r>
      <w:r>
        <w:rPr>
          <w:rFonts w:eastAsia="Times New Roman" w:cs="Segoe UI"/>
          <w:sz w:val="18"/>
          <w:szCs w:val="18"/>
          <w:lang w:val="en-US"/>
        </w:rPr>
        <w:t>:</w:t>
      </w:r>
      <w:r w:rsidRPr="00C843AB">
        <w:rPr>
          <w:rFonts w:eastAsia="Times New Roman" w:cs="Segoe UI"/>
          <w:sz w:val="18"/>
          <w:szCs w:val="18"/>
          <w:lang w:val="en-US"/>
        </w:rPr>
        <w:t>21</w:t>
      </w:r>
      <w:r>
        <w:rPr>
          <w:rFonts w:eastAsia="Times New Roman" w:cs="Segoe UI"/>
          <w:sz w:val="18"/>
          <w:szCs w:val="18"/>
          <w:lang w:val="en-US"/>
        </w:rPr>
        <w:t>–</w:t>
      </w:r>
      <w:r w:rsidRPr="00C843AB">
        <w:rPr>
          <w:rFonts w:eastAsia="Times New Roman" w:cs="Segoe UI"/>
          <w:sz w:val="18"/>
          <w:szCs w:val="18"/>
          <w:lang w:val="en-US"/>
        </w:rPr>
        <w:t>25.</w:t>
      </w:r>
    </w:p>
  </w:endnote>
  <w:endnote w:id="55">
    <w:p w14:paraId="3A6716D6" w14:textId="73F87602" w:rsidR="00BA4B48" w:rsidRPr="00C843AB" w:rsidRDefault="00BA4B48" w:rsidP="002A5009">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 xml:space="preserve">South Australian Health and Medical Research Institute. </w:t>
      </w:r>
      <w:r>
        <w:rPr>
          <w:rFonts w:cs="Segoe UI"/>
          <w:sz w:val="18"/>
          <w:szCs w:val="18"/>
        </w:rPr>
        <w:t>(2017).</w:t>
      </w:r>
      <w:r w:rsidRPr="00916F1C">
        <w:rPr>
          <w:rFonts w:cs="Segoe UI"/>
          <w:sz w:val="18"/>
          <w:szCs w:val="18"/>
          <w:u w:val="single"/>
        </w:rPr>
        <w:t>The Remote STI and BBV Project</w:t>
      </w:r>
      <w:r w:rsidRPr="00C843AB">
        <w:rPr>
          <w:rFonts w:cs="Segoe UI"/>
          <w:sz w:val="18"/>
          <w:szCs w:val="18"/>
        </w:rPr>
        <w:t xml:space="preserve">. South Australian Health and Medical Research Institute. </w:t>
      </w:r>
      <w:r>
        <w:rPr>
          <w:rFonts w:cs="Segoe UI"/>
          <w:sz w:val="18"/>
          <w:szCs w:val="18"/>
        </w:rPr>
        <w:t>Accessed 12 November 2018 at</w:t>
      </w:r>
      <w:r w:rsidRPr="00C843AB">
        <w:rPr>
          <w:rFonts w:cs="Segoe UI"/>
          <w:sz w:val="18"/>
          <w:szCs w:val="18"/>
        </w:rPr>
        <w:t xml:space="preserve">: </w:t>
      </w:r>
      <w:hyperlink r:id="rId16" w:tooltip="SAHMRI" w:history="1">
        <w:r w:rsidRPr="00B17472">
          <w:rPr>
            <w:rStyle w:val="Hyperlink"/>
            <w:rFonts w:cs="Segoe UI"/>
            <w:sz w:val="18"/>
            <w:szCs w:val="18"/>
          </w:rPr>
          <w:t>https://youngdeadlyfree.org.au/about-us/the-remote-sti-and-bbv-project</w:t>
        </w:r>
      </w:hyperlink>
      <w:r>
        <w:rPr>
          <w:rFonts w:cs="Segoe UI"/>
          <w:sz w:val="18"/>
          <w:szCs w:val="18"/>
        </w:rPr>
        <w:t xml:space="preserve"> </w:t>
      </w:r>
    </w:p>
  </w:endnote>
  <w:endnote w:id="56">
    <w:p w14:paraId="4F0024F3" w14:textId="3BAB2E9A" w:rsidR="00BA4B48" w:rsidRPr="00C843AB" w:rsidRDefault="00BA4B48" w:rsidP="002A5009">
      <w:pPr>
        <w:pStyle w:val="EndnoteText"/>
        <w:spacing w:after="120"/>
        <w:rPr>
          <w:sz w:val="18"/>
          <w:szCs w:val="18"/>
        </w:rPr>
      </w:pPr>
      <w:r w:rsidRPr="00C843AB">
        <w:rPr>
          <w:rStyle w:val="EndnoteReference"/>
          <w:sz w:val="18"/>
          <w:szCs w:val="18"/>
        </w:rPr>
        <w:endnoteRef/>
      </w:r>
      <w:r w:rsidRPr="00C843AB">
        <w:rPr>
          <w:sz w:val="18"/>
          <w:szCs w:val="18"/>
        </w:rPr>
        <w:t xml:space="preserve"> Graham, S., R. Guy., </w:t>
      </w:r>
      <w:r>
        <w:rPr>
          <w:sz w:val="18"/>
          <w:szCs w:val="18"/>
        </w:rPr>
        <w:t xml:space="preserve">and </w:t>
      </w:r>
      <w:r w:rsidRPr="00C843AB">
        <w:rPr>
          <w:sz w:val="18"/>
          <w:szCs w:val="18"/>
        </w:rPr>
        <w:t>H. Wand. (2015)</w:t>
      </w:r>
      <w:r>
        <w:rPr>
          <w:sz w:val="18"/>
          <w:szCs w:val="18"/>
        </w:rPr>
        <w:t>.</w:t>
      </w:r>
      <w:r w:rsidRPr="00C843AB">
        <w:rPr>
          <w:sz w:val="18"/>
          <w:szCs w:val="18"/>
        </w:rPr>
        <w:t xml:space="preserve"> </w:t>
      </w:r>
      <w:r>
        <w:rPr>
          <w:sz w:val="18"/>
          <w:szCs w:val="18"/>
        </w:rPr>
        <w:t>‘</w:t>
      </w:r>
      <w:r w:rsidRPr="00C843AB">
        <w:rPr>
          <w:rFonts w:eastAsia="Times New Roman" w:cs="Segoe UI"/>
          <w:sz w:val="18"/>
          <w:szCs w:val="18"/>
          <w:lang w:val="en-US"/>
        </w:rPr>
        <w:t>A sexual health quality improvement program (SHIMMER) triples chlamydia and gonorrhoea testing rates among young people attending Aboriginal primary health care services in Australia.</w:t>
      </w:r>
      <w:r>
        <w:rPr>
          <w:rFonts w:eastAsia="Times New Roman" w:cs="Segoe UI"/>
          <w:sz w:val="18"/>
          <w:szCs w:val="18"/>
          <w:lang w:val="en-US"/>
        </w:rPr>
        <w:t>’</w:t>
      </w:r>
      <w:r w:rsidRPr="00C843AB">
        <w:rPr>
          <w:rFonts w:eastAsia="Times New Roman" w:cs="Segoe UI"/>
          <w:sz w:val="18"/>
          <w:szCs w:val="18"/>
          <w:lang w:val="en-US"/>
        </w:rPr>
        <w:t xml:space="preserve"> </w:t>
      </w:r>
      <w:r w:rsidRPr="00916F1C">
        <w:rPr>
          <w:rFonts w:eastAsia="Times New Roman" w:cs="Segoe UI"/>
          <w:iCs/>
          <w:sz w:val="18"/>
          <w:szCs w:val="18"/>
          <w:u w:val="single"/>
          <w:lang w:val="en-US"/>
        </w:rPr>
        <w:t>BMC Infectious Diseases</w:t>
      </w:r>
      <w:r w:rsidRPr="00916F1C">
        <w:rPr>
          <w:rFonts w:eastAsia="Times New Roman" w:cs="Segoe UI"/>
          <w:iCs/>
          <w:sz w:val="18"/>
          <w:szCs w:val="18"/>
          <w:lang w:val="en-US"/>
        </w:rPr>
        <w:t>,</w:t>
      </w:r>
      <w:r w:rsidRPr="00C843AB">
        <w:rPr>
          <w:rFonts w:eastAsia="Times New Roman" w:cs="Segoe UI"/>
          <w:i/>
          <w:iCs/>
          <w:sz w:val="18"/>
          <w:szCs w:val="18"/>
          <w:lang w:val="en-US"/>
        </w:rPr>
        <w:t xml:space="preserve"> </w:t>
      </w:r>
      <w:r w:rsidRPr="00916F1C">
        <w:rPr>
          <w:rFonts w:eastAsia="Times New Roman" w:cs="Segoe UI"/>
          <w:b/>
          <w:bCs/>
          <w:sz w:val="18"/>
          <w:szCs w:val="18"/>
          <w:lang w:val="en-US"/>
        </w:rPr>
        <w:t>15</w:t>
      </w:r>
      <w:r>
        <w:rPr>
          <w:rFonts w:eastAsia="Times New Roman" w:cs="Segoe UI"/>
          <w:sz w:val="18"/>
          <w:szCs w:val="18"/>
          <w:lang w:val="en-US"/>
        </w:rPr>
        <w:t>:</w:t>
      </w:r>
      <w:r w:rsidRPr="00C843AB">
        <w:rPr>
          <w:rFonts w:eastAsia="Times New Roman" w:cs="Segoe UI"/>
          <w:sz w:val="18"/>
          <w:szCs w:val="18"/>
          <w:lang w:val="en-US"/>
        </w:rPr>
        <w:t>370</w:t>
      </w:r>
      <w:r>
        <w:rPr>
          <w:rFonts w:eastAsia="Times New Roman" w:cs="Segoe UI"/>
          <w:sz w:val="18"/>
          <w:szCs w:val="18"/>
          <w:lang w:val="en-US"/>
        </w:rPr>
        <w:t>.</w:t>
      </w:r>
      <w:r w:rsidRPr="00C843AB">
        <w:rPr>
          <w:rFonts w:eastAsia="Times New Roman" w:cs="Segoe UI"/>
          <w:sz w:val="18"/>
          <w:szCs w:val="18"/>
          <w:lang w:val="en-US"/>
        </w:rPr>
        <w:t xml:space="preserve"> </w:t>
      </w:r>
    </w:p>
  </w:endnote>
  <w:endnote w:id="57">
    <w:p w14:paraId="541DEA13" w14:textId="66298EE3" w:rsidR="00BA4B48" w:rsidRPr="00C843AB" w:rsidRDefault="00BA4B48" w:rsidP="008E1D13">
      <w:pPr>
        <w:pStyle w:val="EndnoteText"/>
        <w:spacing w:after="120"/>
        <w:rPr>
          <w:sz w:val="18"/>
          <w:szCs w:val="18"/>
        </w:rPr>
      </w:pPr>
      <w:r w:rsidRPr="00C843AB">
        <w:rPr>
          <w:rStyle w:val="EndnoteReference"/>
          <w:sz w:val="18"/>
          <w:szCs w:val="18"/>
        </w:rPr>
        <w:endnoteRef/>
      </w:r>
      <w:r w:rsidRPr="00C843AB">
        <w:rPr>
          <w:sz w:val="18"/>
          <w:szCs w:val="18"/>
        </w:rPr>
        <w:t xml:space="preserve"> </w:t>
      </w:r>
      <w:r w:rsidRPr="00916F1C">
        <w:rPr>
          <w:rStyle w:val="Emphasis"/>
          <w:i w:val="0"/>
          <w:sz w:val="18"/>
          <w:szCs w:val="18"/>
          <w:lang w:val="en-US"/>
        </w:rPr>
        <w:t>Young Deadly Free</w:t>
      </w:r>
      <w:r>
        <w:rPr>
          <w:rStyle w:val="Emphasis"/>
          <w:i w:val="0"/>
          <w:sz w:val="18"/>
          <w:szCs w:val="18"/>
          <w:lang w:val="en-US"/>
        </w:rPr>
        <w:t>. (2018)</w:t>
      </w:r>
      <w:r w:rsidRPr="00C843AB">
        <w:rPr>
          <w:sz w:val="18"/>
          <w:szCs w:val="18"/>
          <w:lang w:val="en-US"/>
        </w:rPr>
        <w:t xml:space="preserve"> </w:t>
      </w:r>
      <w:r w:rsidRPr="00916F1C">
        <w:rPr>
          <w:sz w:val="18"/>
          <w:szCs w:val="18"/>
          <w:u w:val="single"/>
          <w:lang w:val="en-US"/>
        </w:rPr>
        <w:t>Peer</w:t>
      </w:r>
      <w:r w:rsidRPr="00916F1C">
        <w:rPr>
          <w:sz w:val="18"/>
          <w:szCs w:val="18"/>
          <w:u w:val="single"/>
        </w:rPr>
        <w:t xml:space="preserve"> Education Program</w:t>
      </w:r>
      <w:r w:rsidRPr="00C843AB">
        <w:rPr>
          <w:sz w:val="18"/>
          <w:szCs w:val="18"/>
        </w:rPr>
        <w:t xml:space="preserve">. Accessed 20 September 2018 at: </w:t>
      </w:r>
      <w:hyperlink r:id="rId17" w:tooltip="Young Deadly Free" w:history="1">
        <w:r w:rsidRPr="00C843AB">
          <w:rPr>
            <w:rStyle w:val="Hyperlink"/>
            <w:sz w:val="18"/>
            <w:szCs w:val="18"/>
          </w:rPr>
          <w:t>http://youngdeadlyfree.org.au/for-young-people/peer-education/</w:t>
        </w:r>
      </w:hyperlink>
      <w:r w:rsidRPr="00C843AB">
        <w:rPr>
          <w:sz w:val="18"/>
          <w:szCs w:val="18"/>
        </w:rPr>
        <w:t xml:space="preserve"> </w:t>
      </w:r>
    </w:p>
  </w:endnote>
  <w:endnote w:id="58">
    <w:p w14:paraId="58B80467" w14:textId="760361FA" w:rsidR="00BA4B48" w:rsidRDefault="00BA4B48" w:rsidP="00250F4B">
      <w:r w:rsidRPr="00C843AB">
        <w:rPr>
          <w:rStyle w:val="EndnoteReference"/>
          <w:sz w:val="18"/>
          <w:szCs w:val="18"/>
        </w:rPr>
        <w:endnoteRef/>
      </w:r>
      <w:r w:rsidRPr="00C843AB">
        <w:rPr>
          <w:sz w:val="18"/>
          <w:szCs w:val="18"/>
        </w:rPr>
        <w:t xml:space="preserve"> Queensland Health. </w:t>
      </w:r>
      <w:r>
        <w:rPr>
          <w:sz w:val="18"/>
          <w:szCs w:val="18"/>
        </w:rPr>
        <w:t xml:space="preserve">(2015). </w:t>
      </w:r>
      <w:r w:rsidRPr="0069456E">
        <w:rPr>
          <w:sz w:val="18"/>
          <w:szCs w:val="18"/>
          <w:u w:val="single"/>
        </w:rPr>
        <w:t>Aboriginal and Torres Strait Islander adolescent sexual health guideline</w:t>
      </w:r>
      <w:r>
        <w:rPr>
          <w:sz w:val="18"/>
          <w:szCs w:val="18"/>
          <w:u w:val="single"/>
        </w:rPr>
        <w:t>.</w:t>
      </w:r>
      <w:r w:rsidRPr="00C843AB">
        <w:rPr>
          <w:sz w:val="18"/>
          <w:szCs w:val="18"/>
        </w:rPr>
        <w:t xml:space="preserve"> Accessed 20 September 2018 at: </w:t>
      </w:r>
      <w:hyperlink r:id="rId18" w:tooltip="Queensland Health" w:history="1">
        <w:r w:rsidRPr="00C843AB">
          <w:rPr>
            <w:rStyle w:val="Hyperlink"/>
            <w:sz w:val="18"/>
            <w:szCs w:val="18"/>
          </w:rPr>
          <w:t>https://www.health.qld.gov.au/__data/assets/pdf_file/0018/161541/adolescent_sexual_health_guideline.pdf</w:t>
        </w:r>
      </w:hyperlink>
      <w:r>
        <w:rPr>
          <w:color w:val="000000"/>
        </w:rPr>
        <w:t xml:space="preserve"> </w:t>
      </w:r>
    </w:p>
  </w:endnote>
  <w:endnote w:id="59">
    <w:p w14:paraId="436BE367" w14:textId="7FDB263E" w:rsidR="00BA4B48" w:rsidRPr="00C843AB" w:rsidRDefault="00BA4B48" w:rsidP="008D53C2">
      <w:pPr>
        <w:pStyle w:val="EndnoteText"/>
        <w:spacing w:after="120"/>
        <w:rPr>
          <w:sz w:val="18"/>
          <w:szCs w:val="18"/>
        </w:rPr>
      </w:pPr>
      <w:r>
        <w:rPr>
          <w:rStyle w:val="EndnoteReference"/>
        </w:rPr>
        <w:endnoteRef/>
      </w:r>
      <w:r>
        <w:t xml:space="preserve"> </w:t>
      </w:r>
      <w:r w:rsidRPr="00C843AB">
        <w:rPr>
          <w:sz w:val="18"/>
          <w:szCs w:val="18"/>
        </w:rPr>
        <w:t>Kelly</w:t>
      </w:r>
      <w:r>
        <w:rPr>
          <w:sz w:val="18"/>
          <w:szCs w:val="18"/>
        </w:rPr>
        <w:t>,</w:t>
      </w:r>
      <w:r w:rsidRPr="00C843AB">
        <w:rPr>
          <w:sz w:val="18"/>
          <w:szCs w:val="18"/>
        </w:rPr>
        <w:t xml:space="preserve"> J</w:t>
      </w:r>
      <w:r>
        <w:rPr>
          <w:sz w:val="18"/>
          <w:szCs w:val="18"/>
        </w:rPr>
        <w:t>.</w:t>
      </w:r>
      <w:r w:rsidRPr="00C843AB">
        <w:rPr>
          <w:sz w:val="18"/>
          <w:szCs w:val="18"/>
        </w:rPr>
        <w:t xml:space="preserve">, </w:t>
      </w:r>
      <w:r>
        <w:rPr>
          <w:sz w:val="18"/>
          <w:szCs w:val="18"/>
        </w:rPr>
        <w:t xml:space="preserve">and Y. </w:t>
      </w:r>
      <w:r w:rsidRPr="00C843AB">
        <w:rPr>
          <w:sz w:val="18"/>
          <w:szCs w:val="18"/>
        </w:rPr>
        <w:t xml:space="preserve">Luxford. </w:t>
      </w:r>
      <w:r>
        <w:rPr>
          <w:sz w:val="18"/>
          <w:szCs w:val="18"/>
        </w:rPr>
        <w:t>(2017). ‘</w:t>
      </w:r>
      <w:r w:rsidRPr="00C843AB">
        <w:rPr>
          <w:sz w:val="18"/>
          <w:szCs w:val="18"/>
        </w:rPr>
        <w:t>Yaitya Tirka Madlanna Warratinna: exploring what sexual health nurses need to know and do in order to meet the sexual health needs of young Aboriginal women in Adelaide.</w:t>
      </w:r>
      <w:r>
        <w:rPr>
          <w:sz w:val="18"/>
          <w:szCs w:val="18"/>
        </w:rPr>
        <w:t>’</w:t>
      </w:r>
      <w:r w:rsidRPr="00C843AB">
        <w:rPr>
          <w:sz w:val="18"/>
          <w:szCs w:val="18"/>
        </w:rPr>
        <w:t xml:space="preserve"> </w:t>
      </w:r>
      <w:r w:rsidRPr="0069456E">
        <w:rPr>
          <w:sz w:val="18"/>
          <w:szCs w:val="18"/>
          <w:u w:val="single"/>
        </w:rPr>
        <w:t>Collegian</w:t>
      </w:r>
      <w:r>
        <w:rPr>
          <w:sz w:val="18"/>
          <w:szCs w:val="18"/>
        </w:rPr>
        <w:t>,</w:t>
      </w:r>
      <w:r w:rsidRPr="00C843AB">
        <w:rPr>
          <w:sz w:val="18"/>
          <w:szCs w:val="18"/>
        </w:rPr>
        <w:t xml:space="preserve"> </w:t>
      </w:r>
      <w:r w:rsidRPr="0069456E">
        <w:rPr>
          <w:b/>
          <w:sz w:val="18"/>
          <w:szCs w:val="18"/>
        </w:rPr>
        <w:t>14</w:t>
      </w:r>
      <w:r w:rsidRPr="00C843AB">
        <w:rPr>
          <w:sz w:val="18"/>
          <w:szCs w:val="18"/>
        </w:rPr>
        <w:t>(3</w:t>
      </w:r>
      <w:r>
        <w:rPr>
          <w:sz w:val="18"/>
          <w:szCs w:val="18"/>
        </w:rPr>
        <w:t>)</w:t>
      </w:r>
      <w:r w:rsidRPr="00C843AB">
        <w:rPr>
          <w:sz w:val="18"/>
          <w:szCs w:val="18"/>
        </w:rPr>
        <w:t>:15</w:t>
      </w:r>
      <w:r>
        <w:rPr>
          <w:sz w:val="18"/>
          <w:szCs w:val="18"/>
        </w:rPr>
        <w:t>–</w:t>
      </w:r>
      <w:r w:rsidRPr="00C843AB">
        <w:rPr>
          <w:sz w:val="18"/>
          <w:szCs w:val="18"/>
        </w:rPr>
        <w:t>20.</w:t>
      </w:r>
    </w:p>
  </w:endnote>
  <w:endnote w:id="60">
    <w:p w14:paraId="53966E98" w14:textId="52AEBDA0" w:rsidR="00BA4B48" w:rsidRPr="00C843AB" w:rsidRDefault="00BA4B48" w:rsidP="00930037">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Mitchell, A., K. Patrick, W. Heywood, P. Blackman</w:t>
      </w:r>
      <w:r>
        <w:rPr>
          <w:rFonts w:cs="Segoe UI"/>
          <w:sz w:val="18"/>
          <w:szCs w:val="18"/>
        </w:rPr>
        <w:t>,</w:t>
      </w:r>
      <w:r w:rsidRPr="00C843AB">
        <w:rPr>
          <w:rFonts w:cs="Segoe UI"/>
          <w:sz w:val="18"/>
          <w:szCs w:val="18"/>
        </w:rPr>
        <w:t xml:space="preserve"> and M. Pitts</w:t>
      </w:r>
      <w:r>
        <w:rPr>
          <w:rFonts w:cs="Segoe UI"/>
          <w:sz w:val="18"/>
          <w:szCs w:val="18"/>
        </w:rPr>
        <w:t>.</w:t>
      </w:r>
      <w:r w:rsidRPr="00C843AB">
        <w:rPr>
          <w:rFonts w:cs="Segoe UI"/>
          <w:sz w:val="18"/>
          <w:szCs w:val="18"/>
        </w:rPr>
        <w:t xml:space="preserve"> (2014). </w:t>
      </w:r>
      <w:r w:rsidRPr="00C843AB">
        <w:rPr>
          <w:rFonts w:cs="Segoe UI"/>
          <w:sz w:val="18"/>
          <w:szCs w:val="18"/>
          <w:u w:val="single"/>
        </w:rPr>
        <w:t>5</w:t>
      </w:r>
      <w:r w:rsidRPr="00C843AB">
        <w:rPr>
          <w:rFonts w:cs="Segoe UI"/>
          <w:sz w:val="18"/>
          <w:szCs w:val="18"/>
          <w:u w:val="single"/>
          <w:vertAlign w:val="superscript"/>
        </w:rPr>
        <w:t>th</w:t>
      </w:r>
      <w:r w:rsidRPr="00C843AB">
        <w:rPr>
          <w:rFonts w:cs="Segoe UI"/>
          <w:sz w:val="18"/>
          <w:szCs w:val="18"/>
          <w:u w:val="single"/>
        </w:rPr>
        <w:t xml:space="preserve"> National Survey of Australian Secondary Students and Sexual Health 2013</w:t>
      </w:r>
      <w:r w:rsidRPr="00C843AB">
        <w:rPr>
          <w:rFonts w:cs="Segoe UI"/>
          <w:sz w:val="18"/>
          <w:szCs w:val="18"/>
        </w:rPr>
        <w:t>. Australian Research Centre in Sex Health and Society, La Trobe University: Melbourne.</w:t>
      </w:r>
    </w:p>
  </w:endnote>
  <w:endnote w:id="61">
    <w:p w14:paraId="4D1DA1C6" w14:textId="20123A50" w:rsidR="00BA4B48" w:rsidRPr="00C843AB" w:rsidRDefault="00BA4B48" w:rsidP="00930037">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Johnson, B., L. Harrison, D. Ollis, J. Flentje, P. Arnold</w:t>
      </w:r>
      <w:r>
        <w:rPr>
          <w:rFonts w:cs="Segoe UI"/>
          <w:sz w:val="18"/>
          <w:szCs w:val="18"/>
        </w:rPr>
        <w:t>,</w:t>
      </w:r>
      <w:r w:rsidRPr="00C843AB">
        <w:rPr>
          <w:rFonts w:cs="Segoe UI"/>
          <w:sz w:val="18"/>
          <w:szCs w:val="18"/>
        </w:rPr>
        <w:t xml:space="preserve"> and C. Bartholomaeus</w:t>
      </w:r>
      <w:r>
        <w:rPr>
          <w:rFonts w:cs="Segoe UI"/>
          <w:sz w:val="18"/>
          <w:szCs w:val="18"/>
        </w:rPr>
        <w:t>.</w:t>
      </w:r>
      <w:r w:rsidRPr="00C843AB">
        <w:rPr>
          <w:rFonts w:cs="Segoe UI"/>
          <w:sz w:val="18"/>
          <w:szCs w:val="18"/>
        </w:rPr>
        <w:t xml:space="preserve"> (2016). </w:t>
      </w:r>
      <w:r>
        <w:rPr>
          <w:rFonts w:cs="Segoe UI"/>
          <w:sz w:val="18"/>
          <w:szCs w:val="18"/>
        </w:rPr>
        <w:t>‘“</w:t>
      </w:r>
      <w:r w:rsidRPr="00C843AB">
        <w:rPr>
          <w:rFonts w:cs="Segoe UI"/>
          <w:sz w:val="18"/>
          <w:szCs w:val="18"/>
        </w:rPr>
        <w:t>It is not all about sex</w:t>
      </w:r>
      <w:r>
        <w:rPr>
          <w:rFonts w:cs="Segoe UI"/>
          <w:sz w:val="18"/>
          <w:szCs w:val="18"/>
        </w:rPr>
        <w:t>”</w:t>
      </w:r>
      <w:r w:rsidRPr="00C843AB">
        <w:rPr>
          <w:rFonts w:cs="Segoe UI"/>
          <w:sz w:val="18"/>
          <w:szCs w:val="18"/>
        </w:rPr>
        <w:t>: Young people’s views about sexuality and relationships education.</w:t>
      </w:r>
      <w:r>
        <w:rPr>
          <w:rFonts w:cs="Segoe UI"/>
          <w:sz w:val="18"/>
          <w:szCs w:val="18"/>
        </w:rPr>
        <w:t>’</w:t>
      </w:r>
      <w:r w:rsidRPr="00C843AB">
        <w:rPr>
          <w:rFonts w:cs="Segoe UI"/>
          <w:sz w:val="18"/>
          <w:szCs w:val="18"/>
        </w:rPr>
        <w:t xml:space="preserve"> </w:t>
      </w:r>
      <w:r w:rsidRPr="00C843AB">
        <w:rPr>
          <w:rFonts w:cs="Segoe UI"/>
          <w:sz w:val="18"/>
          <w:szCs w:val="18"/>
          <w:u w:val="single"/>
        </w:rPr>
        <w:t>Report of Stage 1 of the Engaging Young People in Sexuality Education Research Project</w:t>
      </w:r>
      <w:r w:rsidRPr="00C843AB">
        <w:rPr>
          <w:rFonts w:cs="Segoe UI"/>
          <w:sz w:val="18"/>
          <w:szCs w:val="18"/>
        </w:rPr>
        <w:t>. University of South Australia</w:t>
      </w:r>
      <w:r>
        <w:rPr>
          <w:rFonts w:cs="Segoe UI"/>
          <w:sz w:val="18"/>
          <w:szCs w:val="18"/>
        </w:rPr>
        <w:t xml:space="preserve">: </w:t>
      </w:r>
      <w:r w:rsidRPr="00C843AB">
        <w:rPr>
          <w:rFonts w:cs="Segoe UI"/>
          <w:sz w:val="18"/>
          <w:szCs w:val="18"/>
        </w:rPr>
        <w:t>Adelaide.</w:t>
      </w:r>
    </w:p>
  </w:endnote>
  <w:endnote w:id="62">
    <w:p w14:paraId="531C6104" w14:textId="52D26808" w:rsidR="00BA4B48" w:rsidRPr="00C843AB" w:rsidRDefault="00BA4B48" w:rsidP="00970548">
      <w:pPr>
        <w:pStyle w:val="EndnoteText"/>
        <w:spacing w:after="120"/>
        <w:rPr>
          <w:rFonts w:cs="Segoe UI"/>
          <w:sz w:val="18"/>
          <w:szCs w:val="18"/>
        </w:rPr>
      </w:pPr>
      <w:r w:rsidRPr="00C843AB">
        <w:rPr>
          <w:rStyle w:val="EndnoteReference"/>
          <w:sz w:val="18"/>
          <w:szCs w:val="18"/>
        </w:rPr>
        <w:endnoteRef/>
      </w:r>
      <w:r w:rsidRPr="00C843AB">
        <w:rPr>
          <w:sz w:val="18"/>
          <w:szCs w:val="18"/>
        </w:rPr>
        <w:t xml:space="preserve"> Wand, H.</w:t>
      </w:r>
      <w:r>
        <w:rPr>
          <w:sz w:val="18"/>
          <w:szCs w:val="18"/>
        </w:rPr>
        <w:t>,</w:t>
      </w:r>
      <w:r w:rsidRPr="00C843AB">
        <w:rPr>
          <w:sz w:val="18"/>
          <w:szCs w:val="18"/>
        </w:rPr>
        <w:t xml:space="preserve"> J</w:t>
      </w:r>
      <w:r>
        <w:rPr>
          <w:sz w:val="18"/>
          <w:szCs w:val="18"/>
        </w:rPr>
        <w:t>.</w:t>
      </w:r>
      <w:r w:rsidRPr="00C843AB">
        <w:rPr>
          <w:sz w:val="18"/>
          <w:szCs w:val="18"/>
        </w:rPr>
        <w:t xml:space="preserve"> Ward</w:t>
      </w:r>
      <w:r>
        <w:rPr>
          <w:sz w:val="18"/>
          <w:szCs w:val="18"/>
        </w:rPr>
        <w:t>,</w:t>
      </w:r>
      <w:r w:rsidRPr="00C843AB">
        <w:rPr>
          <w:sz w:val="18"/>
          <w:szCs w:val="18"/>
        </w:rPr>
        <w:t xml:space="preserve"> J</w:t>
      </w:r>
      <w:r>
        <w:rPr>
          <w:sz w:val="18"/>
          <w:szCs w:val="18"/>
        </w:rPr>
        <w:t>.</w:t>
      </w:r>
      <w:r w:rsidRPr="00C843AB">
        <w:rPr>
          <w:sz w:val="18"/>
          <w:szCs w:val="18"/>
        </w:rPr>
        <w:t xml:space="preserve"> Bryant</w:t>
      </w:r>
      <w:r>
        <w:rPr>
          <w:sz w:val="18"/>
          <w:szCs w:val="18"/>
        </w:rPr>
        <w:t>,</w:t>
      </w:r>
      <w:r w:rsidRPr="00C843AB">
        <w:rPr>
          <w:sz w:val="18"/>
          <w:szCs w:val="18"/>
        </w:rPr>
        <w:t xml:space="preserve"> D</w:t>
      </w:r>
      <w:r>
        <w:rPr>
          <w:sz w:val="18"/>
          <w:szCs w:val="18"/>
        </w:rPr>
        <w:t>.</w:t>
      </w:r>
      <w:r w:rsidRPr="00C843AB">
        <w:rPr>
          <w:sz w:val="18"/>
          <w:szCs w:val="18"/>
        </w:rPr>
        <w:t xml:space="preserve"> Delaney-Thiele</w:t>
      </w:r>
      <w:r>
        <w:rPr>
          <w:sz w:val="18"/>
          <w:szCs w:val="18"/>
        </w:rPr>
        <w:t>,</w:t>
      </w:r>
      <w:r w:rsidRPr="00C843AB">
        <w:rPr>
          <w:sz w:val="18"/>
          <w:szCs w:val="18"/>
        </w:rPr>
        <w:t xml:space="preserve"> H</w:t>
      </w:r>
      <w:r>
        <w:rPr>
          <w:sz w:val="18"/>
          <w:szCs w:val="18"/>
        </w:rPr>
        <w:t>.</w:t>
      </w:r>
      <w:r w:rsidRPr="00C843AB">
        <w:rPr>
          <w:sz w:val="18"/>
          <w:szCs w:val="18"/>
        </w:rPr>
        <w:t xml:space="preserve"> Worth</w:t>
      </w:r>
      <w:r>
        <w:rPr>
          <w:sz w:val="18"/>
          <w:szCs w:val="18"/>
        </w:rPr>
        <w:t>,</w:t>
      </w:r>
      <w:r w:rsidRPr="00C843AB">
        <w:rPr>
          <w:sz w:val="18"/>
          <w:szCs w:val="18"/>
        </w:rPr>
        <w:t xml:space="preserve"> M</w:t>
      </w:r>
      <w:r>
        <w:rPr>
          <w:sz w:val="18"/>
          <w:szCs w:val="18"/>
        </w:rPr>
        <w:t>.</w:t>
      </w:r>
      <w:r w:rsidRPr="00C843AB">
        <w:rPr>
          <w:sz w:val="18"/>
          <w:szCs w:val="18"/>
        </w:rPr>
        <w:t xml:space="preserve"> Pitts</w:t>
      </w:r>
      <w:r>
        <w:rPr>
          <w:sz w:val="18"/>
          <w:szCs w:val="18"/>
        </w:rPr>
        <w:t>,</w:t>
      </w:r>
      <w:r w:rsidRPr="00C843AB">
        <w:rPr>
          <w:sz w:val="18"/>
          <w:szCs w:val="18"/>
        </w:rPr>
        <w:t xml:space="preserve"> and J</w:t>
      </w:r>
      <w:r>
        <w:rPr>
          <w:sz w:val="18"/>
          <w:szCs w:val="18"/>
        </w:rPr>
        <w:t xml:space="preserve">. </w:t>
      </w:r>
      <w:r w:rsidRPr="00C843AB">
        <w:rPr>
          <w:sz w:val="18"/>
          <w:szCs w:val="18"/>
        </w:rPr>
        <w:t>M</w:t>
      </w:r>
      <w:r>
        <w:rPr>
          <w:sz w:val="18"/>
          <w:szCs w:val="18"/>
        </w:rPr>
        <w:t>.</w:t>
      </w:r>
      <w:r w:rsidRPr="00C843AB">
        <w:rPr>
          <w:sz w:val="18"/>
          <w:szCs w:val="18"/>
        </w:rPr>
        <w:t xml:space="preserve"> Kaldor</w:t>
      </w:r>
      <w:r>
        <w:rPr>
          <w:sz w:val="18"/>
          <w:szCs w:val="18"/>
        </w:rPr>
        <w:t>.</w:t>
      </w:r>
      <w:r w:rsidRPr="00C843AB">
        <w:rPr>
          <w:sz w:val="18"/>
          <w:szCs w:val="18"/>
        </w:rPr>
        <w:t xml:space="preserve"> (2016). </w:t>
      </w:r>
      <w:r>
        <w:rPr>
          <w:sz w:val="18"/>
          <w:szCs w:val="18"/>
        </w:rPr>
        <w:t>‘</w:t>
      </w:r>
      <w:r w:rsidRPr="00C843AB">
        <w:rPr>
          <w:sz w:val="18"/>
          <w:szCs w:val="18"/>
        </w:rPr>
        <w:t>Individual and population level impacts of illicit drug use</w:t>
      </w:r>
      <w:r w:rsidRPr="00C843AB">
        <w:rPr>
          <w:rFonts w:cs="Segoe UI"/>
          <w:sz w:val="18"/>
          <w:szCs w:val="18"/>
        </w:rPr>
        <w:t>, sexual risk behaviours on sexually transmitted infections among young Aboriginal and Torres Strait Islander people: results from the GOANNA survey.</w:t>
      </w:r>
      <w:r>
        <w:rPr>
          <w:rFonts w:cs="Segoe UI"/>
          <w:sz w:val="18"/>
          <w:szCs w:val="18"/>
        </w:rPr>
        <w:t>’</w:t>
      </w:r>
      <w:r w:rsidRPr="00C843AB">
        <w:rPr>
          <w:rFonts w:cs="Segoe UI"/>
          <w:sz w:val="18"/>
          <w:szCs w:val="18"/>
        </w:rPr>
        <w:t xml:space="preserve"> </w:t>
      </w:r>
      <w:r w:rsidRPr="00C55F53">
        <w:rPr>
          <w:rFonts w:cs="Segoe UI"/>
          <w:sz w:val="18"/>
          <w:szCs w:val="18"/>
          <w:u w:val="single"/>
        </w:rPr>
        <w:t>BMC Public Health</w:t>
      </w:r>
      <w:r w:rsidRPr="00C55F53">
        <w:rPr>
          <w:rFonts w:cs="Segoe UI"/>
          <w:sz w:val="18"/>
          <w:szCs w:val="18"/>
        </w:rPr>
        <w:t>,</w:t>
      </w:r>
      <w:r w:rsidRPr="00C843AB">
        <w:rPr>
          <w:rFonts w:cs="Segoe UI"/>
          <w:sz w:val="18"/>
          <w:szCs w:val="18"/>
        </w:rPr>
        <w:t xml:space="preserve"> </w:t>
      </w:r>
      <w:r w:rsidRPr="00C843AB">
        <w:rPr>
          <w:rFonts w:cs="Segoe UI"/>
          <w:b/>
          <w:sz w:val="18"/>
          <w:szCs w:val="18"/>
        </w:rPr>
        <w:t>16</w:t>
      </w:r>
      <w:r w:rsidRPr="00C843AB">
        <w:rPr>
          <w:rFonts w:cs="Segoe UI"/>
          <w:sz w:val="18"/>
          <w:szCs w:val="18"/>
        </w:rPr>
        <w:t>:600</w:t>
      </w:r>
      <w:r>
        <w:rPr>
          <w:rFonts w:cs="Segoe UI"/>
          <w:sz w:val="18"/>
          <w:szCs w:val="18"/>
        </w:rPr>
        <w:t>.</w:t>
      </w:r>
    </w:p>
  </w:endnote>
  <w:endnote w:id="63">
    <w:p w14:paraId="02C2B3E5" w14:textId="332FD3B0" w:rsidR="00BA4B48" w:rsidRPr="00C843AB" w:rsidRDefault="00BA4B48" w:rsidP="007105DC">
      <w:pPr>
        <w:pStyle w:val="EndnoteText"/>
        <w:spacing w:after="120"/>
        <w:rPr>
          <w:sz w:val="18"/>
          <w:szCs w:val="18"/>
        </w:rPr>
      </w:pPr>
      <w:r w:rsidRPr="00C843AB">
        <w:rPr>
          <w:rStyle w:val="EndnoteReference"/>
          <w:rFonts w:cs="Segoe UI"/>
          <w:sz w:val="18"/>
          <w:szCs w:val="18"/>
        </w:rPr>
        <w:endnoteRef/>
      </w:r>
      <w:r w:rsidRPr="00C843AB">
        <w:rPr>
          <w:rFonts w:cs="Segoe UI"/>
          <w:sz w:val="18"/>
          <w:szCs w:val="18"/>
        </w:rPr>
        <w:t xml:space="preserve"> </w:t>
      </w:r>
      <w:r w:rsidRPr="00C843AB">
        <w:rPr>
          <w:sz w:val="18"/>
          <w:szCs w:val="18"/>
        </w:rPr>
        <w:t>Graham, S., C</w:t>
      </w:r>
      <w:r>
        <w:rPr>
          <w:sz w:val="18"/>
          <w:szCs w:val="18"/>
        </w:rPr>
        <w:t>.</w:t>
      </w:r>
      <w:r w:rsidRPr="00C843AB">
        <w:rPr>
          <w:sz w:val="18"/>
          <w:szCs w:val="18"/>
        </w:rPr>
        <w:t xml:space="preserve"> O’Connor, S</w:t>
      </w:r>
      <w:r>
        <w:rPr>
          <w:sz w:val="18"/>
          <w:szCs w:val="18"/>
        </w:rPr>
        <w:t>.</w:t>
      </w:r>
      <w:r w:rsidRPr="00C843AB">
        <w:rPr>
          <w:sz w:val="18"/>
          <w:szCs w:val="18"/>
        </w:rPr>
        <w:t xml:space="preserve"> Morgan, C</w:t>
      </w:r>
      <w:r>
        <w:rPr>
          <w:sz w:val="18"/>
          <w:szCs w:val="18"/>
        </w:rPr>
        <w:t>.</w:t>
      </w:r>
      <w:r w:rsidRPr="00C843AB">
        <w:rPr>
          <w:sz w:val="18"/>
          <w:szCs w:val="18"/>
        </w:rPr>
        <w:t xml:space="preserve"> Chamberlain, and J</w:t>
      </w:r>
      <w:r>
        <w:rPr>
          <w:sz w:val="18"/>
          <w:szCs w:val="18"/>
        </w:rPr>
        <w:t>.</w:t>
      </w:r>
      <w:r w:rsidRPr="00C843AB">
        <w:rPr>
          <w:sz w:val="18"/>
          <w:szCs w:val="18"/>
        </w:rPr>
        <w:t xml:space="preserve"> Hocking. (2017)</w:t>
      </w:r>
      <w:r>
        <w:rPr>
          <w:sz w:val="18"/>
          <w:szCs w:val="18"/>
        </w:rPr>
        <w:t>.</w:t>
      </w:r>
      <w:r w:rsidRPr="00C843AB">
        <w:rPr>
          <w:sz w:val="18"/>
          <w:szCs w:val="18"/>
        </w:rPr>
        <w:t xml:space="preserve"> </w:t>
      </w:r>
      <w:r>
        <w:rPr>
          <w:sz w:val="18"/>
          <w:szCs w:val="18"/>
        </w:rPr>
        <w:t>‘</w:t>
      </w:r>
      <w:r w:rsidRPr="00C843AB">
        <w:rPr>
          <w:sz w:val="18"/>
          <w:szCs w:val="18"/>
        </w:rPr>
        <w:t>Prevalence of HIV among Aboriginal and Torres Strait Islander Australians: a systematic review and meta-analysis.</w:t>
      </w:r>
      <w:r>
        <w:rPr>
          <w:sz w:val="18"/>
          <w:szCs w:val="18"/>
        </w:rPr>
        <w:t>’</w:t>
      </w:r>
      <w:r w:rsidRPr="00C843AB">
        <w:rPr>
          <w:sz w:val="18"/>
          <w:szCs w:val="18"/>
        </w:rPr>
        <w:t xml:space="preserve"> </w:t>
      </w:r>
      <w:r w:rsidRPr="00C55F53">
        <w:rPr>
          <w:sz w:val="18"/>
          <w:szCs w:val="18"/>
          <w:u w:val="single"/>
        </w:rPr>
        <w:t>Sexual Health</w:t>
      </w:r>
      <w:r>
        <w:rPr>
          <w:sz w:val="18"/>
          <w:szCs w:val="18"/>
        </w:rPr>
        <w:t>,</w:t>
      </w:r>
      <w:r w:rsidRPr="00C843AB">
        <w:rPr>
          <w:sz w:val="18"/>
          <w:szCs w:val="18"/>
        </w:rPr>
        <w:t xml:space="preserve"> </w:t>
      </w:r>
      <w:r w:rsidRPr="00C843AB">
        <w:rPr>
          <w:b/>
          <w:sz w:val="18"/>
          <w:szCs w:val="18"/>
        </w:rPr>
        <w:t>14</w:t>
      </w:r>
      <w:r w:rsidRPr="00C843AB">
        <w:rPr>
          <w:sz w:val="18"/>
          <w:szCs w:val="18"/>
        </w:rPr>
        <w:t>(3)</w:t>
      </w:r>
      <w:r>
        <w:rPr>
          <w:sz w:val="18"/>
          <w:szCs w:val="18"/>
        </w:rPr>
        <w:t>:</w:t>
      </w:r>
      <w:r w:rsidRPr="00C843AB">
        <w:rPr>
          <w:sz w:val="18"/>
          <w:szCs w:val="18"/>
        </w:rPr>
        <w:t>201</w:t>
      </w:r>
      <w:r>
        <w:rPr>
          <w:sz w:val="18"/>
          <w:szCs w:val="18"/>
        </w:rPr>
        <w:t>–</w:t>
      </w:r>
      <w:r w:rsidRPr="00C843AB">
        <w:rPr>
          <w:sz w:val="18"/>
          <w:szCs w:val="18"/>
        </w:rPr>
        <w:t>207.</w:t>
      </w:r>
    </w:p>
  </w:endnote>
  <w:endnote w:id="64">
    <w:p w14:paraId="027BF8B7" w14:textId="7728EBFF" w:rsidR="00BA4B48" w:rsidRPr="00C843AB" w:rsidRDefault="00BA4B48" w:rsidP="00167A06">
      <w:pPr>
        <w:pStyle w:val="EndnoteText"/>
        <w:spacing w:after="120"/>
        <w:rPr>
          <w:sz w:val="18"/>
          <w:szCs w:val="18"/>
        </w:rPr>
      </w:pPr>
      <w:r w:rsidRPr="00C843AB">
        <w:rPr>
          <w:rStyle w:val="EndnoteReference"/>
          <w:sz w:val="18"/>
          <w:szCs w:val="18"/>
        </w:rPr>
        <w:endnoteRef/>
      </w:r>
      <w:r w:rsidRPr="00C843AB">
        <w:rPr>
          <w:sz w:val="18"/>
          <w:szCs w:val="18"/>
        </w:rPr>
        <w:t xml:space="preserve"> </w:t>
      </w:r>
      <w:r>
        <w:rPr>
          <w:sz w:val="18"/>
          <w:szCs w:val="18"/>
        </w:rPr>
        <w:t xml:space="preserve">J. </w:t>
      </w:r>
      <w:r w:rsidRPr="00C843AB">
        <w:rPr>
          <w:sz w:val="18"/>
          <w:szCs w:val="18"/>
        </w:rPr>
        <w:t>S</w:t>
      </w:r>
      <w:r>
        <w:rPr>
          <w:sz w:val="18"/>
          <w:szCs w:val="18"/>
        </w:rPr>
        <w:t>.</w:t>
      </w:r>
      <w:r w:rsidRPr="00C843AB">
        <w:rPr>
          <w:sz w:val="18"/>
          <w:szCs w:val="18"/>
        </w:rPr>
        <w:t xml:space="preserve"> Ward, </w:t>
      </w:r>
      <w:r>
        <w:rPr>
          <w:sz w:val="18"/>
          <w:szCs w:val="18"/>
        </w:rPr>
        <w:t xml:space="preserve">K. </w:t>
      </w:r>
      <w:r w:rsidRPr="00C843AB">
        <w:rPr>
          <w:sz w:val="18"/>
          <w:szCs w:val="18"/>
        </w:rPr>
        <w:t>Hawke</w:t>
      </w:r>
      <w:r>
        <w:rPr>
          <w:sz w:val="18"/>
          <w:szCs w:val="18"/>
        </w:rPr>
        <w:t>,</w:t>
      </w:r>
      <w:r w:rsidRPr="00C843AB">
        <w:rPr>
          <w:sz w:val="18"/>
          <w:szCs w:val="18"/>
        </w:rPr>
        <w:t xml:space="preserve"> and </w:t>
      </w:r>
      <w:r>
        <w:rPr>
          <w:sz w:val="18"/>
          <w:szCs w:val="18"/>
        </w:rPr>
        <w:t xml:space="preserve">R. </w:t>
      </w:r>
      <w:r w:rsidRPr="00C843AB">
        <w:rPr>
          <w:sz w:val="18"/>
          <w:szCs w:val="18"/>
        </w:rPr>
        <w:t>J</w:t>
      </w:r>
      <w:r>
        <w:rPr>
          <w:sz w:val="18"/>
          <w:szCs w:val="18"/>
        </w:rPr>
        <w:t>.</w:t>
      </w:r>
      <w:r w:rsidRPr="00C843AB">
        <w:rPr>
          <w:sz w:val="18"/>
          <w:szCs w:val="18"/>
        </w:rPr>
        <w:t xml:space="preserve"> Guy. (2018)</w:t>
      </w:r>
      <w:r>
        <w:rPr>
          <w:sz w:val="18"/>
          <w:szCs w:val="18"/>
        </w:rPr>
        <w:t>.</w:t>
      </w:r>
      <w:r w:rsidRPr="00C843AB">
        <w:rPr>
          <w:sz w:val="18"/>
          <w:szCs w:val="18"/>
        </w:rPr>
        <w:t xml:space="preserve"> </w:t>
      </w:r>
      <w:r>
        <w:rPr>
          <w:sz w:val="18"/>
          <w:szCs w:val="18"/>
        </w:rPr>
        <w:t>‘</w:t>
      </w:r>
      <w:r w:rsidRPr="00C843AB">
        <w:rPr>
          <w:sz w:val="18"/>
          <w:szCs w:val="18"/>
        </w:rPr>
        <w:t>Priorities for preventing a concentrated HIV epidemic among Aboriginal and Torres Strait Islander Australians.</w:t>
      </w:r>
      <w:r>
        <w:rPr>
          <w:sz w:val="18"/>
          <w:szCs w:val="18"/>
        </w:rPr>
        <w:t>’</w:t>
      </w:r>
      <w:r w:rsidRPr="00C843AB">
        <w:rPr>
          <w:sz w:val="18"/>
          <w:szCs w:val="18"/>
        </w:rPr>
        <w:t xml:space="preserve"> </w:t>
      </w:r>
      <w:r w:rsidRPr="00C55F53">
        <w:rPr>
          <w:sz w:val="18"/>
          <w:szCs w:val="18"/>
          <w:u w:val="single"/>
        </w:rPr>
        <w:t>Med J Aust</w:t>
      </w:r>
      <w:r>
        <w:rPr>
          <w:sz w:val="18"/>
          <w:szCs w:val="18"/>
          <w:u w:val="single"/>
        </w:rPr>
        <w:t>,</w:t>
      </w:r>
      <w:r w:rsidRPr="00C843AB">
        <w:rPr>
          <w:i/>
          <w:sz w:val="18"/>
          <w:szCs w:val="18"/>
        </w:rPr>
        <w:t xml:space="preserve"> </w:t>
      </w:r>
      <w:r w:rsidRPr="00C55F53">
        <w:rPr>
          <w:b/>
          <w:sz w:val="18"/>
          <w:szCs w:val="18"/>
        </w:rPr>
        <w:t>209</w:t>
      </w:r>
      <w:r w:rsidRPr="00C843AB">
        <w:rPr>
          <w:sz w:val="18"/>
          <w:szCs w:val="18"/>
        </w:rPr>
        <w:t>(1):56</w:t>
      </w:r>
      <w:r>
        <w:rPr>
          <w:sz w:val="18"/>
          <w:szCs w:val="18"/>
        </w:rPr>
        <w:t xml:space="preserve">, </w:t>
      </w:r>
      <w:r w:rsidRPr="00C843AB">
        <w:rPr>
          <w:sz w:val="18"/>
          <w:szCs w:val="18"/>
        </w:rPr>
        <w:t>doi:10.5694/mja17.01071</w:t>
      </w:r>
      <w:r>
        <w:rPr>
          <w:sz w:val="18"/>
          <w:szCs w:val="18"/>
        </w:rPr>
        <w:t>. Accessed 12 November 2018 at:</w:t>
      </w:r>
      <w:r w:rsidRPr="00C843AB">
        <w:rPr>
          <w:sz w:val="18"/>
          <w:szCs w:val="18"/>
        </w:rPr>
        <w:t xml:space="preserve"> </w:t>
      </w:r>
      <w:hyperlink r:id="rId19" w:tooltip="MJA" w:history="1">
        <w:r w:rsidRPr="00C843AB">
          <w:rPr>
            <w:rStyle w:val="Hyperlink"/>
            <w:sz w:val="18"/>
            <w:szCs w:val="18"/>
          </w:rPr>
          <w:t>https://www.mja.com.au/journal/2018/209/1/priorities-preventing-concentrated-hiv-epidemic-among-aboriginal-and-torres</w:t>
        </w:r>
      </w:hyperlink>
    </w:p>
  </w:endnote>
  <w:endnote w:id="65">
    <w:p w14:paraId="69013183" w14:textId="171FEBD8" w:rsidR="00BA4B48" w:rsidRPr="00C843AB" w:rsidRDefault="00BA4B48" w:rsidP="00557937">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Hamlyn, E.</w:t>
      </w:r>
      <w:r>
        <w:rPr>
          <w:rFonts w:cs="Segoe UI"/>
          <w:sz w:val="18"/>
          <w:szCs w:val="18"/>
        </w:rPr>
        <w:t>,</w:t>
      </w:r>
      <w:r w:rsidRPr="00C843AB">
        <w:rPr>
          <w:rFonts w:cs="Segoe UI"/>
          <w:sz w:val="18"/>
          <w:szCs w:val="18"/>
        </w:rPr>
        <w:t xml:space="preserve"> and P. Easterbrook. (2007). </w:t>
      </w:r>
      <w:r>
        <w:rPr>
          <w:rFonts w:cs="Segoe UI"/>
          <w:sz w:val="18"/>
          <w:szCs w:val="18"/>
        </w:rPr>
        <w:t>‘</w:t>
      </w:r>
      <w:r w:rsidRPr="00C843AB">
        <w:rPr>
          <w:rFonts w:cs="Segoe UI"/>
          <w:sz w:val="18"/>
          <w:szCs w:val="18"/>
        </w:rPr>
        <w:t>Occupational exposure to HIV and the use of post-exposure prophylaxis.</w:t>
      </w:r>
      <w:r>
        <w:rPr>
          <w:rFonts w:cs="Segoe UI"/>
          <w:sz w:val="18"/>
          <w:szCs w:val="18"/>
        </w:rPr>
        <w:t>’</w:t>
      </w:r>
      <w:r w:rsidRPr="00C843AB">
        <w:rPr>
          <w:rFonts w:cs="Segoe UI"/>
          <w:sz w:val="18"/>
          <w:szCs w:val="18"/>
        </w:rPr>
        <w:t xml:space="preserve"> </w:t>
      </w:r>
      <w:r w:rsidRPr="006E28AB">
        <w:rPr>
          <w:rFonts w:cs="Segoe UI"/>
          <w:sz w:val="18"/>
          <w:szCs w:val="18"/>
          <w:u w:val="single"/>
        </w:rPr>
        <w:t>Occupational Medicine</w:t>
      </w:r>
      <w:r w:rsidRPr="006E28AB">
        <w:rPr>
          <w:rFonts w:cs="Segoe UI"/>
          <w:sz w:val="18"/>
          <w:szCs w:val="18"/>
        </w:rPr>
        <w:t>,</w:t>
      </w:r>
      <w:r w:rsidRPr="00C843AB">
        <w:rPr>
          <w:rFonts w:cs="Segoe UI"/>
          <w:sz w:val="18"/>
          <w:szCs w:val="18"/>
        </w:rPr>
        <w:t xml:space="preserve"> </w:t>
      </w:r>
      <w:r w:rsidRPr="00C843AB">
        <w:rPr>
          <w:rFonts w:cs="Segoe UI"/>
          <w:b/>
          <w:sz w:val="18"/>
          <w:szCs w:val="18"/>
        </w:rPr>
        <w:t>57</w:t>
      </w:r>
      <w:r w:rsidRPr="00C843AB">
        <w:rPr>
          <w:rFonts w:cs="Segoe UI"/>
          <w:sz w:val="18"/>
          <w:szCs w:val="18"/>
        </w:rPr>
        <w:t>(5):329</w:t>
      </w:r>
      <w:r>
        <w:rPr>
          <w:rFonts w:cs="Segoe UI"/>
          <w:sz w:val="18"/>
          <w:szCs w:val="18"/>
        </w:rPr>
        <w:t>–</w:t>
      </w:r>
      <w:r w:rsidRPr="00C843AB">
        <w:rPr>
          <w:rFonts w:cs="Segoe UI"/>
          <w:sz w:val="18"/>
          <w:szCs w:val="18"/>
        </w:rPr>
        <w:t>336.</w:t>
      </w:r>
    </w:p>
  </w:endnote>
  <w:endnote w:id="66">
    <w:p w14:paraId="6DD565CB" w14:textId="76A9AC82" w:rsidR="00BA4B48" w:rsidRPr="00C843AB" w:rsidRDefault="00BA4B48" w:rsidP="00557937">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ASHM. (2016). </w:t>
      </w:r>
      <w:r w:rsidRPr="00C843AB">
        <w:rPr>
          <w:rFonts w:cs="Segoe UI"/>
          <w:sz w:val="18"/>
          <w:szCs w:val="18"/>
          <w:u w:val="single"/>
        </w:rPr>
        <w:t>National guidelines for post-exposure prophylaxis after non-occupational and occupational exposure to HIV</w:t>
      </w:r>
      <w:r w:rsidRPr="00C843AB">
        <w:rPr>
          <w:rFonts w:cs="Segoe UI"/>
          <w:sz w:val="18"/>
          <w:szCs w:val="18"/>
        </w:rPr>
        <w:t>. Accessed 26 March 2018 at</w:t>
      </w:r>
      <w:r>
        <w:rPr>
          <w:rFonts w:cs="Segoe UI"/>
          <w:sz w:val="18"/>
          <w:szCs w:val="18"/>
        </w:rPr>
        <w:t>:</w:t>
      </w:r>
      <w:r w:rsidRPr="00C843AB">
        <w:rPr>
          <w:rFonts w:cs="Segoe UI"/>
          <w:sz w:val="18"/>
          <w:szCs w:val="18"/>
        </w:rPr>
        <w:t xml:space="preserve"> </w:t>
      </w:r>
      <w:hyperlink r:id="rId20" w:tooltip="ASHM" w:history="1">
        <w:r w:rsidRPr="00C843AB">
          <w:rPr>
            <w:rFonts w:cs="Segoe UI"/>
            <w:color w:val="1A0DAB"/>
            <w:sz w:val="18"/>
            <w:szCs w:val="18"/>
          </w:rPr>
          <w:t>http://www.ashm.org.au/resources/PEP_GUIDELINES_2016.FINAL_ONLINE_VERSION.pdf</w:t>
        </w:r>
      </w:hyperlink>
    </w:p>
  </w:endnote>
  <w:endnote w:id="67">
    <w:p w14:paraId="2EAF14EF" w14:textId="4E5A0FC1" w:rsidR="00BA4B48" w:rsidRPr="00C843AB" w:rsidRDefault="00BA4B48" w:rsidP="00D85D1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Wallace, J., M. Pitts, J. Ward</w:t>
      </w:r>
      <w:r>
        <w:rPr>
          <w:rFonts w:cs="Segoe UI"/>
          <w:sz w:val="18"/>
          <w:szCs w:val="18"/>
        </w:rPr>
        <w:t>,</w:t>
      </w:r>
      <w:r w:rsidRPr="00C843AB">
        <w:rPr>
          <w:rFonts w:cs="Segoe UI"/>
          <w:sz w:val="18"/>
          <w:szCs w:val="18"/>
        </w:rPr>
        <w:t xml:space="preserve"> and S. McNally</w:t>
      </w:r>
      <w:r>
        <w:rPr>
          <w:rFonts w:cs="Segoe UI"/>
          <w:sz w:val="18"/>
          <w:szCs w:val="18"/>
        </w:rPr>
        <w:t>.</w:t>
      </w:r>
      <w:r w:rsidRPr="00C843AB">
        <w:rPr>
          <w:rFonts w:cs="Segoe UI"/>
          <w:sz w:val="18"/>
          <w:szCs w:val="18"/>
        </w:rPr>
        <w:t xml:space="preserve"> (2014). </w:t>
      </w:r>
      <w:r>
        <w:rPr>
          <w:rFonts w:cs="Segoe UI"/>
          <w:sz w:val="18"/>
          <w:szCs w:val="18"/>
        </w:rPr>
        <w:t>‘</w:t>
      </w:r>
      <w:r w:rsidRPr="00C843AB">
        <w:rPr>
          <w:rFonts w:cs="Segoe UI"/>
          <w:sz w:val="18"/>
          <w:szCs w:val="18"/>
        </w:rPr>
        <w:t>Management of chronic hepatitis B in the Torres Strait Islands: an identified need for a comprehensive public health approach to chronic hepatitis B in remote Australian Indigenous communities.</w:t>
      </w:r>
      <w:r>
        <w:rPr>
          <w:rFonts w:cs="Segoe UI"/>
          <w:sz w:val="18"/>
          <w:szCs w:val="18"/>
        </w:rPr>
        <w:t>’</w:t>
      </w:r>
      <w:r w:rsidRPr="00C843AB">
        <w:rPr>
          <w:rFonts w:cs="Segoe UI"/>
          <w:sz w:val="18"/>
          <w:szCs w:val="18"/>
        </w:rPr>
        <w:t xml:space="preserve"> </w:t>
      </w:r>
      <w:r w:rsidRPr="006E28AB">
        <w:rPr>
          <w:rFonts w:cs="Segoe UI"/>
          <w:sz w:val="18"/>
          <w:szCs w:val="18"/>
          <w:u w:val="single"/>
        </w:rPr>
        <w:t>Australian Journal of Primary Health</w:t>
      </w:r>
      <w:r w:rsidRPr="006E28AB">
        <w:rPr>
          <w:rFonts w:cs="Segoe UI"/>
          <w:sz w:val="18"/>
          <w:szCs w:val="18"/>
        </w:rPr>
        <w:t>,</w:t>
      </w:r>
      <w:r w:rsidRPr="00C843AB">
        <w:rPr>
          <w:rFonts w:cs="Segoe UI"/>
          <w:sz w:val="18"/>
          <w:szCs w:val="18"/>
        </w:rPr>
        <w:t xml:space="preserve"> </w:t>
      </w:r>
      <w:r w:rsidRPr="00C843AB">
        <w:rPr>
          <w:rFonts w:cs="Segoe UI"/>
          <w:b/>
          <w:sz w:val="18"/>
          <w:szCs w:val="18"/>
        </w:rPr>
        <w:t>20</w:t>
      </w:r>
      <w:r w:rsidRPr="00C843AB">
        <w:rPr>
          <w:rFonts w:cs="Segoe UI"/>
          <w:sz w:val="18"/>
          <w:szCs w:val="18"/>
        </w:rPr>
        <w:t>(3):273</w:t>
      </w:r>
      <w:r>
        <w:rPr>
          <w:rFonts w:cs="Segoe UI"/>
          <w:sz w:val="18"/>
          <w:szCs w:val="18"/>
        </w:rPr>
        <w:t>–27</w:t>
      </w:r>
      <w:r w:rsidRPr="00C843AB">
        <w:rPr>
          <w:rFonts w:cs="Segoe UI"/>
          <w:sz w:val="18"/>
          <w:szCs w:val="18"/>
        </w:rPr>
        <w:t>7.</w:t>
      </w:r>
    </w:p>
  </w:endnote>
  <w:endnote w:id="68">
    <w:p w14:paraId="0DC2D5CA" w14:textId="613C07E4" w:rsidR="00BA4B48" w:rsidRPr="00C843AB" w:rsidRDefault="00BA4B48" w:rsidP="00D85D1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Wattiaux, A.</w:t>
      </w:r>
      <w:r>
        <w:rPr>
          <w:rFonts w:cs="Segoe UI"/>
          <w:sz w:val="18"/>
          <w:szCs w:val="18"/>
        </w:rPr>
        <w:t xml:space="preserve"> </w:t>
      </w:r>
      <w:r w:rsidRPr="00C843AB">
        <w:rPr>
          <w:rFonts w:cs="Segoe UI"/>
          <w:sz w:val="18"/>
          <w:szCs w:val="18"/>
        </w:rPr>
        <w:t>L., J.</w:t>
      </w:r>
      <w:r>
        <w:rPr>
          <w:rFonts w:cs="Segoe UI"/>
          <w:sz w:val="18"/>
          <w:szCs w:val="18"/>
        </w:rPr>
        <w:t xml:space="preserve"> </w:t>
      </w:r>
      <w:r w:rsidRPr="00C843AB">
        <w:rPr>
          <w:rFonts w:cs="Segoe UI"/>
          <w:sz w:val="18"/>
          <w:szCs w:val="18"/>
        </w:rPr>
        <w:t>K. Yin, F. Beard, S. Wesselingh, B. Cowie, J. Ward</w:t>
      </w:r>
      <w:r>
        <w:rPr>
          <w:rFonts w:cs="Segoe UI"/>
          <w:sz w:val="18"/>
          <w:szCs w:val="18"/>
        </w:rPr>
        <w:t>,</w:t>
      </w:r>
      <w:r w:rsidRPr="00C843AB">
        <w:rPr>
          <w:rFonts w:cs="Segoe UI"/>
          <w:sz w:val="18"/>
          <w:szCs w:val="18"/>
        </w:rPr>
        <w:t xml:space="preserve"> and K. Macartney</w:t>
      </w:r>
      <w:r>
        <w:rPr>
          <w:rFonts w:cs="Segoe UI"/>
          <w:sz w:val="18"/>
          <w:szCs w:val="18"/>
        </w:rPr>
        <w:t>.</w:t>
      </w:r>
      <w:r w:rsidRPr="00C843AB">
        <w:rPr>
          <w:rFonts w:cs="Segoe UI"/>
          <w:sz w:val="18"/>
          <w:szCs w:val="18"/>
        </w:rPr>
        <w:t xml:space="preserve"> (2016). </w:t>
      </w:r>
      <w:r>
        <w:rPr>
          <w:rFonts w:cs="Segoe UI"/>
          <w:sz w:val="18"/>
          <w:szCs w:val="18"/>
        </w:rPr>
        <w:t>‘</w:t>
      </w:r>
      <w:r w:rsidRPr="00C843AB">
        <w:rPr>
          <w:rFonts w:cs="Segoe UI"/>
          <w:sz w:val="18"/>
          <w:szCs w:val="18"/>
        </w:rPr>
        <w:t>Hepatitis B immunization for indigenous adults, Australia</w:t>
      </w:r>
      <w:r w:rsidRPr="00C843AB">
        <w:rPr>
          <w:rFonts w:cs="Segoe UI"/>
          <w:i/>
          <w:sz w:val="18"/>
          <w:szCs w:val="18"/>
        </w:rPr>
        <w:t>.</w:t>
      </w:r>
      <w:r>
        <w:rPr>
          <w:rFonts w:cs="Segoe UI"/>
          <w:sz w:val="18"/>
          <w:szCs w:val="18"/>
        </w:rPr>
        <w:t>’</w:t>
      </w:r>
      <w:r w:rsidRPr="00C843AB">
        <w:rPr>
          <w:rFonts w:cs="Segoe UI"/>
          <w:i/>
          <w:sz w:val="18"/>
          <w:szCs w:val="18"/>
        </w:rPr>
        <w:t xml:space="preserve"> </w:t>
      </w:r>
      <w:r w:rsidRPr="006E28AB">
        <w:rPr>
          <w:rFonts w:cs="Segoe UI"/>
          <w:sz w:val="18"/>
          <w:szCs w:val="18"/>
          <w:u w:val="single"/>
        </w:rPr>
        <w:t>Bulletin of the World Health Organisation</w:t>
      </w:r>
      <w:r w:rsidRPr="006E28AB">
        <w:rPr>
          <w:rFonts w:cs="Segoe UI"/>
          <w:sz w:val="18"/>
          <w:szCs w:val="18"/>
        </w:rPr>
        <w:t>,</w:t>
      </w:r>
      <w:r w:rsidRPr="00C843AB">
        <w:rPr>
          <w:rFonts w:cs="Segoe UI"/>
          <w:sz w:val="18"/>
          <w:szCs w:val="18"/>
        </w:rPr>
        <w:t xml:space="preserve"> </w:t>
      </w:r>
      <w:r w:rsidRPr="00C843AB">
        <w:rPr>
          <w:rFonts w:cs="Segoe UI"/>
          <w:b/>
          <w:sz w:val="18"/>
          <w:szCs w:val="18"/>
        </w:rPr>
        <w:t>94</w:t>
      </w:r>
      <w:r w:rsidRPr="00C843AB">
        <w:rPr>
          <w:rFonts w:cs="Segoe UI"/>
          <w:sz w:val="18"/>
          <w:szCs w:val="18"/>
        </w:rPr>
        <w:t>(11):826</w:t>
      </w:r>
      <w:r>
        <w:rPr>
          <w:rFonts w:cs="Segoe UI"/>
          <w:sz w:val="18"/>
          <w:szCs w:val="18"/>
        </w:rPr>
        <w:t>–</w:t>
      </w:r>
      <w:r w:rsidRPr="00C843AB">
        <w:rPr>
          <w:rFonts w:cs="Segoe UI"/>
          <w:sz w:val="18"/>
          <w:szCs w:val="18"/>
        </w:rPr>
        <w:t>834A.</w:t>
      </w:r>
    </w:p>
  </w:endnote>
  <w:endnote w:id="69">
    <w:p w14:paraId="06906C5F" w14:textId="5C800739" w:rsidR="00BA4B48" w:rsidRPr="00C843AB" w:rsidRDefault="00BA4B48" w:rsidP="00857ABA">
      <w:pPr>
        <w:pStyle w:val="EndnoteText"/>
        <w:spacing w:after="120"/>
        <w:rPr>
          <w:sz w:val="18"/>
          <w:szCs w:val="18"/>
        </w:rPr>
      </w:pPr>
      <w:r w:rsidRPr="00C843AB">
        <w:rPr>
          <w:rStyle w:val="EndnoteReference"/>
          <w:sz w:val="18"/>
          <w:szCs w:val="18"/>
        </w:rPr>
        <w:endnoteRef/>
      </w:r>
      <w:r w:rsidRPr="00C843AB">
        <w:rPr>
          <w:sz w:val="18"/>
          <w:szCs w:val="18"/>
        </w:rPr>
        <w:t xml:space="preserve"> McGregor, S., </w:t>
      </w:r>
      <w:r>
        <w:rPr>
          <w:sz w:val="18"/>
          <w:szCs w:val="18"/>
        </w:rPr>
        <w:t xml:space="preserve">D. </w:t>
      </w:r>
      <w:r w:rsidRPr="00C843AB">
        <w:rPr>
          <w:sz w:val="18"/>
          <w:szCs w:val="18"/>
        </w:rPr>
        <w:t xml:space="preserve">Saulo, </w:t>
      </w:r>
      <w:r>
        <w:rPr>
          <w:sz w:val="18"/>
          <w:szCs w:val="18"/>
        </w:rPr>
        <w:t xml:space="preserve">J. </w:t>
      </w:r>
      <w:r w:rsidRPr="00C843AB">
        <w:rPr>
          <w:sz w:val="18"/>
          <w:szCs w:val="18"/>
        </w:rPr>
        <w:t>Brotherton</w:t>
      </w:r>
      <w:r>
        <w:rPr>
          <w:sz w:val="18"/>
          <w:szCs w:val="18"/>
        </w:rPr>
        <w:t xml:space="preserve"> </w:t>
      </w:r>
      <w:r w:rsidRPr="006E28AB">
        <w:rPr>
          <w:i/>
          <w:sz w:val="18"/>
          <w:szCs w:val="18"/>
        </w:rPr>
        <w:t>et al.</w:t>
      </w:r>
      <w:r>
        <w:rPr>
          <w:sz w:val="18"/>
          <w:szCs w:val="18"/>
        </w:rPr>
        <w:t xml:space="preserve"> </w:t>
      </w:r>
      <w:r w:rsidRPr="00C843AB">
        <w:rPr>
          <w:sz w:val="18"/>
          <w:szCs w:val="18"/>
        </w:rPr>
        <w:t>(2018)</w:t>
      </w:r>
      <w:r>
        <w:rPr>
          <w:sz w:val="18"/>
          <w:szCs w:val="18"/>
        </w:rPr>
        <w:t>.</w:t>
      </w:r>
      <w:r w:rsidRPr="00C843AB">
        <w:rPr>
          <w:sz w:val="18"/>
          <w:szCs w:val="18"/>
        </w:rPr>
        <w:t xml:space="preserve"> </w:t>
      </w:r>
      <w:r>
        <w:rPr>
          <w:sz w:val="18"/>
          <w:szCs w:val="18"/>
        </w:rPr>
        <w:t>‘</w:t>
      </w:r>
      <w:r w:rsidRPr="00C843AB">
        <w:rPr>
          <w:sz w:val="18"/>
          <w:szCs w:val="18"/>
        </w:rPr>
        <w:t xml:space="preserve">Decline in prevalence of human papillomavirus infections following vaccintation among Australian Indigenous women, a population at higher risk of cervical cancer: </w:t>
      </w:r>
      <w:r>
        <w:rPr>
          <w:sz w:val="18"/>
          <w:szCs w:val="18"/>
        </w:rPr>
        <w:t>t</w:t>
      </w:r>
      <w:r w:rsidRPr="00C843AB">
        <w:rPr>
          <w:sz w:val="18"/>
          <w:szCs w:val="18"/>
        </w:rPr>
        <w:t>he VIP-I study.</w:t>
      </w:r>
      <w:r>
        <w:rPr>
          <w:sz w:val="18"/>
          <w:szCs w:val="18"/>
        </w:rPr>
        <w:t>’</w:t>
      </w:r>
      <w:r w:rsidRPr="00C843AB">
        <w:rPr>
          <w:sz w:val="18"/>
          <w:szCs w:val="18"/>
        </w:rPr>
        <w:t xml:space="preserve"> </w:t>
      </w:r>
      <w:r w:rsidRPr="006E28AB">
        <w:rPr>
          <w:sz w:val="18"/>
          <w:szCs w:val="18"/>
          <w:u w:val="single"/>
        </w:rPr>
        <w:t>Vaccine</w:t>
      </w:r>
      <w:r w:rsidRPr="006E28AB">
        <w:rPr>
          <w:sz w:val="18"/>
          <w:szCs w:val="18"/>
        </w:rPr>
        <w:t>,</w:t>
      </w:r>
      <w:r w:rsidRPr="00C843AB">
        <w:rPr>
          <w:sz w:val="18"/>
          <w:szCs w:val="18"/>
        </w:rPr>
        <w:t xml:space="preserve"> </w:t>
      </w:r>
      <w:r w:rsidRPr="006E28AB">
        <w:rPr>
          <w:b/>
          <w:sz w:val="18"/>
          <w:szCs w:val="18"/>
        </w:rPr>
        <w:t>36</w:t>
      </w:r>
      <w:r w:rsidRPr="00C843AB">
        <w:rPr>
          <w:sz w:val="18"/>
          <w:szCs w:val="18"/>
        </w:rPr>
        <w:t>(29)</w:t>
      </w:r>
      <w:r>
        <w:rPr>
          <w:sz w:val="18"/>
          <w:szCs w:val="18"/>
        </w:rPr>
        <w:t>:</w:t>
      </w:r>
      <w:r w:rsidRPr="00C843AB">
        <w:rPr>
          <w:sz w:val="18"/>
          <w:szCs w:val="18"/>
        </w:rPr>
        <w:t>4311</w:t>
      </w:r>
      <w:r>
        <w:rPr>
          <w:sz w:val="18"/>
          <w:szCs w:val="18"/>
        </w:rPr>
        <w:t>–</w:t>
      </w:r>
      <w:r w:rsidRPr="00C843AB">
        <w:rPr>
          <w:sz w:val="18"/>
          <w:szCs w:val="18"/>
        </w:rPr>
        <w:t>4316</w:t>
      </w:r>
      <w:r>
        <w:rPr>
          <w:sz w:val="18"/>
          <w:szCs w:val="18"/>
        </w:rPr>
        <w:t>.</w:t>
      </w:r>
    </w:p>
  </w:endnote>
  <w:endnote w:id="70">
    <w:p w14:paraId="6D9A1EA6" w14:textId="37E2ADDF" w:rsidR="00BA4B48" w:rsidRPr="00C843AB" w:rsidRDefault="00BA4B48" w:rsidP="00A739C7">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Australian Government. (2017). </w:t>
      </w:r>
      <w:r w:rsidRPr="00C843AB">
        <w:rPr>
          <w:rFonts w:cs="Segoe UI"/>
          <w:sz w:val="18"/>
          <w:szCs w:val="18"/>
          <w:u w:val="single"/>
        </w:rPr>
        <w:t>Announcement of the addition of Gardasil 9 to the National Immunisation Program. Office of the Prime Minister, Malcolm Turnbull</w:t>
      </w:r>
      <w:r w:rsidRPr="00C843AB">
        <w:rPr>
          <w:rFonts w:cs="Segoe UI"/>
          <w:sz w:val="18"/>
          <w:szCs w:val="18"/>
        </w:rPr>
        <w:t xml:space="preserve">. Accessed 1 May 2018 at: </w:t>
      </w:r>
      <w:hyperlink r:id="rId21" w:tooltip="Australian Government" w:history="1">
        <w:r w:rsidRPr="00C843AB">
          <w:rPr>
            <w:rStyle w:val="Hyperlink"/>
            <w:rFonts w:cs="Segoe UI"/>
            <w:sz w:val="18"/>
            <w:szCs w:val="18"/>
          </w:rPr>
          <w:t>https://www.malcolmturnbull.com.au/media/announcement-of-the-addition-of-gardasil-9-to-the-national-immunisation-pro</w:t>
        </w:r>
      </w:hyperlink>
      <w:r w:rsidRPr="00C843AB">
        <w:rPr>
          <w:rFonts w:cs="Segoe UI"/>
          <w:sz w:val="18"/>
          <w:szCs w:val="18"/>
        </w:rPr>
        <w:t xml:space="preserve"> </w:t>
      </w:r>
    </w:p>
  </w:endnote>
  <w:endnote w:id="71">
    <w:p w14:paraId="4C96B19A" w14:textId="64C615EB" w:rsidR="00BA4B48" w:rsidRPr="00C843AB" w:rsidRDefault="00BA4B48" w:rsidP="00857ABA">
      <w:pPr>
        <w:pStyle w:val="EndnoteText"/>
        <w:spacing w:after="120"/>
        <w:rPr>
          <w:sz w:val="18"/>
          <w:szCs w:val="18"/>
        </w:rPr>
      </w:pPr>
      <w:r w:rsidRPr="00C843AB">
        <w:rPr>
          <w:rStyle w:val="EndnoteReference"/>
          <w:sz w:val="18"/>
          <w:szCs w:val="18"/>
        </w:rPr>
        <w:endnoteRef/>
      </w:r>
      <w:r w:rsidRPr="00C843AB">
        <w:rPr>
          <w:sz w:val="18"/>
          <w:szCs w:val="18"/>
        </w:rPr>
        <w:t xml:space="preserve"> Ali, H., </w:t>
      </w:r>
      <w:r>
        <w:rPr>
          <w:sz w:val="18"/>
          <w:szCs w:val="18"/>
        </w:rPr>
        <w:t xml:space="preserve">H. </w:t>
      </w:r>
      <w:r w:rsidRPr="00C843AB">
        <w:rPr>
          <w:sz w:val="18"/>
          <w:szCs w:val="18"/>
        </w:rPr>
        <w:t xml:space="preserve">McManus, </w:t>
      </w:r>
      <w:r>
        <w:rPr>
          <w:sz w:val="18"/>
          <w:szCs w:val="18"/>
        </w:rPr>
        <w:t xml:space="preserve">C. C. </w:t>
      </w:r>
      <w:r w:rsidRPr="00C843AB">
        <w:rPr>
          <w:sz w:val="18"/>
          <w:szCs w:val="18"/>
        </w:rPr>
        <w:t xml:space="preserve">O’Connor, </w:t>
      </w:r>
      <w:r>
        <w:rPr>
          <w:sz w:val="18"/>
          <w:szCs w:val="18"/>
        </w:rPr>
        <w:t xml:space="preserve">D. </w:t>
      </w:r>
      <w:r w:rsidRPr="00C843AB">
        <w:rPr>
          <w:sz w:val="18"/>
          <w:szCs w:val="18"/>
        </w:rPr>
        <w:t>Callander</w:t>
      </w:r>
      <w:r>
        <w:rPr>
          <w:sz w:val="18"/>
          <w:szCs w:val="18"/>
        </w:rPr>
        <w:t xml:space="preserve"> </w:t>
      </w:r>
      <w:r w:rsidRPr="006E28AB">
        <w:rPr>
          <w:i/>
          <w:sz w:val="18"/>
          <w:szCs w:val="18"/>
        </w:rPr>
        <w:t>et al.</w:t>
      </w:r>
      <w:r>
        <w:rPr>
          <w:sz w:val="18"/>
          <w:szCs w:val="18"/>
        </w:rPr>
        <w:t xml:space="preserve"> </w:t>
      </w:r>
      <w:r w:rsidRPr="00C843AB">
        <w:rPr>
          <w:sz w:val="18"/>
          <w:szCs w:val="18"/>
        </w:rPr>
        <w:t>(2017)</w:t>
      </w:r>
      <w:r>
        <w:rPr>
          <w:sz w:val="18"/>
          <w:szCs w:val="18"/>
        </w:rPr>
        <w:t>.</w:t>
      </w:r>
      <w:r w:rsidRPr="00C843AB">
        <w:rPr>
          <w:sz w:val="18"/>
          <w:szCs w:val="18"/>
        </w:rPr>
        <w:t xml:space="preserve"> </w:t>
      </w:r>
      <w:r>
        <w:rPr>
          <w:sz w:val="18"/>
          <w:szCs w:val="18"/>
        </w:rPr>
        <w:t>‘</w:t>
      </w:r>
      <w:r w:rsidRPr="00C843AB">
        <w:rPr>
          <w:sz w:val="18"/>
          <w:szCs w:val="18"/>
        </w:rPr>
        <w:t>Human papillomavirus vaccination and genital warts in young Indigenous Australians: national sentinel surveillance data.</w:t>
      </w:r>
      <w:r>
        <w:rPr>
          <w:sz w:val="18"/>
          <w:szCs w:val="18"/>
        </w:rPr>
        <w:t>’</w:t>
      </w:r>
      <w:r w:rsidRPr="00C843AB">
        <w:rPr>
          <w:sz w:val="18"/>
          <w:szCs w:val="18"/>
        </w:rPr>
        <w:t xml:space="preserve"> </w:t>
      </w:r>
      <w:r w:rsidRPr="006E28AB">
        <w:rPr>
          <w:sz w:val="18"/>
          <w:szCs w:val="18"/>
          <w:u w:val="single"/>
        </w:rPr>
        <w:t>MJA</w:t>
      </w:r>
      <w:r>
        <w:rPr>
          <w:sz w:val="18"/>
          <w:szCs w:val="18"/>
          <w:u w:val="single"/>
        </w:rPr>
        <w:t>,</w:t>
      </w:r>
      <w:r w:rsidRPr="00C843AB">
        <w:rPr>
          <w:sz w:val="18"/>
          <w:szCs w:val="18"/>
        </w:rPr>
        <w:t xml:space="preserve"> </w:t>
      </w:r>
      <w:r w:rsidRPr="006E28AB">
        <w:rPr>
          <w:b/>
          <w:sz w:val="18"/>
          <w:szCs w:val="18"/>
        </w:rPr>
        <w:t>206</w:t>
      </w:r>
      <w:r w:rsidRPr="00C843AB">
        <w:rPr>
          <w:sz w:val="18"/>
          <w:szCs w:val="18"/>
        </w:rPr>
        <w:t>(5)</w:t>
      </w:r>
      <w:r>
        <w:rPr>
          <w:sz w:val="18"/>
          <w:szCs w:val="18"/>
        </w:rPr>
        <w:t>:</w:t>
      </w:r>
      <w:r w:rsidRPr="00C843AB">
        <w:rPr>
          <w:sz w:val="18"/>
          <w:szCs w:val="18"/>
        </w:rPr>
        <w:t>204</w:t>
      </w:r>
      <w:r>
        <w:rPr>
          <w:sz w:val="18"/>
          <w:szCs w:val="18"/>
        </w:rPr>
        <w:t>–</w:t>
      </w:r>
      <w:r w:rsidRPr="00C843AB">
        <w:rPr>
          <w:sz w:val="18"/>
          <w:szCs w:val="18"/>
        </w:rPr>
        <w:t>209</w:t>
      </w:r>
      <w:r>
        <w:rPr>
          <w:sz w:val="18"/>
          <w:szCs w:val="18"/>
        </w:rPr>
        <w:t>.</w:t>
      </w:r>
    </w:p>
  </w:endnote>
  <w:endnote w:id="72">
    <w:p w14:paraId="4C283EFB" w14:textId="1D36A381" w:rsidR="00BA4B48" w:rsidRPr="00C843AB" w:rsidRDefault="00BA4B48" w:rsidP="00D85D1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Kwon, J.A., J. Anderson, C.C. Kerry</w:t>
      </w:r>
      <w:r>
        <w:rPr>
          <w:rFonts w:cs="Segoe UI"/>
          <w:sz w:val="18"/>
          <w:szCs w:val="18"/>
        </w:rPr>
        <w:t xml:space="preserve"> </w:t>
      </w:r>
      <w:r w:rsidRPr="006E28AB">
        <w:rPr>
          <w:rFonts w:cs="Segoe UI"/>
          <w:i/>
          <w:sz w:val="18"/>
          <w:szCs w:val="18"/>
        </w:rPr>
        <w:t>et al.</w:t>
      </w:r>
      <w:r>
        <w:rPr>
          <w:rFonts w:cs="Segoe UI"/>
          <w:sz w:val="18"/>
          <w:szCs w:val="18"/>
        </w:rPr>
        <w:t xml:space="preserve"> </w:t>
      </w:r>
      <w:r w:rsidRPr="00C843AB">
        <w:rPr>
          <w:rFonts w:cs="Segoe UI"/>
          <w:sz w:val="18"/>
          <w:szCs w:val="18"/>
        </w:rPr>
        <w:t xml:space="preserve">(2012). </w:t>
      </w:r>
      <w:r>
        <w:rPr>
          <w:rFonts w:cs="Segoe UI"/>
          <w:sz w:val="18"/>
          <w:szCs w:val="18"/>
        </w:rPr>
        <w:t>‘</w:t>
      </w:r>
      <w:r w:rsidRPr="00C843AB">
        <w:rPr>
          <w:rFonts w:cs="Segoe UI"/>
          <w:sz w:val="18"/>
          <w:szCs w:val="18"/>
        </w:rPr>
        <w:t>Estimating the cost-effectiveness of needle-syringe programs in Australia.</w:t>
      </w:r>
      <w:r>
        <w:rPr>
          <w:rFonts w:cs="Segoe UI"/>
          <w:sz w:val="18"/>
          <w:szCs w:val="18"/>
        </w:rPr>
        <w:t>’</w:t>
      </w:r>
      <w:r w:rsidRPr="00C843AB">
        <w:rPr>
          <w:rFonts w:cs="Segoe UI"/>
          <w:sz w:val="18"/>
          <w:szCs w:val="18"/>
        </w:rPr>
        <w:t xml:space="preserve"> </w:t>
      </w:r>
      <w:r w:rsidRPr="006E28AB">
        <w:rPr>
          <w:rFonts w:cs="Segoe UI"/>
          <w:sz w:val="18"/>
          <w:szCs w:val="18"/>
          <w:u w:val="single"/>
        </w:rPr>
        <w:t>AIDS</w:t>
      </w:r>
      <w:r w:rsidRPr="006E28AB">
        <w:rPr>
          <w:rFonts w:cs="Segoe UI"/>
          <w:sz w:val="18"/>
          <w:szCs w:val="18"/>
        </w:rPr>
        <w:t>,</w:t>
      </w:r>
      <w:r w:rsidRPr="00C843AB">
        <w:rPr>
          <w:rFonts w:cs="Segoe UI"/>
          <w:sz w:val="18"/>
          <w:szCs w:val="18"/>
        </w:rPr>
        <w:t xml:space="preserve"> </w:t>
      </w:r>
      <w:r w:rsidRPr="00C843AB">
        <w:rPr>
          <w:rFonts w:cs="Segoe UI"/>
          <w:b/>
          <w:sz w:val="18"/>
          <w:szCs w:val="18"/>
        </w:rPr>
        <w:t>26</w:t>
      </w:r>
      <w:r w:rsidRPr="00C843AB">
        <w:rPr>
          <w:rFonts w:cs="Segoe UI"/>
          <w:sz w:val="18"/>
          <w:szCs w:val="18"/>
        </w:rPr>
        <w:t>(17):2201</w:t>
      </w:r>
      <w:r>
        <w:rPr>
          <w:rFonts w:cs="Segoe UI"/>
          <w:sz w:val="18"/>
          <w:szCs w:val="18"/>
        </w:rPr>
        <w:t>–22</w:t>
      </w:r>
      <w:r w:rsidRPr="00C843AB">
        <w:rPr>
          <w:rFonts w:cs="Segoe UI"/>
          <w:sz w:val="18"/>
          <w:szCs w:val="18"/>
        </w:rPr>
        <w:t>10.</w:t>
      </w:r>
    </w:p>
  </w:endnote>
  <w:endnote w:id="73">
    <w:p w14:paraId="3F04FB73" w14:textId="1F00A68A" w:rsidR="00BA4B48" w:rsidRPr="00C843AB" w:rsidRDefault="00BA4B48" w:rsidP="00D85D1F">
      <w:pPr>
        <w:pStyle w:val="EndnoteText"/>
        <w:spacing w:after="120"/>
        <w:rPr>
          <w:rFonts w:cs="Segoe UI"/>
          <w:sz w:val="18"/>
          <w:szCs w:val="18"/>
        </w:rPr>
      </w:pPr>
      <w:r w:rsidRPr="005534F5">
        <w:rPr>
          <w:rStyle w:val="EndnoteReference"/>
          <w:rFonts w:cs="Segoe UI"/>
          <w:sz w:val="18"/>
          <w:szCs w:val="18"/>
        </w:rPr>
        <w:endnoteRef/>
      </w:r>
      <w:r w:rsidRPr="005534F5">
        <w:rPr>
          <w:rFonts w:cs="Segoe UI"/>
          <w:sz w:val="18"/>
          <w:szCs w:val="18"/>
        </w:rPr>
        <w:t xml:space="preserve"> </w:t>
      </w:r>
      <w:r w:rsidRPr="00C843AB">
        <w:rPr>
          <w:rFonts w:cs="Segoe UI"/>
          <w:sz w:val="18"/>
          <w:szCs w:val="18"/>
        </w:rPr>
        <w:t xml:space="preserve">Ward, J. (2016). </w:t>
      </w:r>
      <w:r w:rsidRPr="006E28AB">
        <w:rPr>
          <w:rFonts w:cs="Segoe UI"/>
          <w:sz w:val="18"/>
          <w:szCs w:val="18"/>
          <w:u w:val="single"/>
        </w:rPr>
        <w:t>Injecting Drug Use Among Aboriginal Communities—a critical and emerging issue</w:t>
      </w:r>
      <w:r w:rsidRPr="00C843AB">
        <w:rPr>
          <w:rFonts w:cs="Segoe UI"/>
          <w:sz w:val="18"/>
          <w:szCs w:val="18"/>
        </w:rPr>
        <w:t xml:space="preserve">. </w:t>
      </w:r>
      <w:r w:rsidRPr="006E28AB">
        <w:rPr>
          <w:rFonts w:cs="Segoe UI"/>
          <w:sz w:val="18"/>
          <w:szCs w:val="18"/>
        </w:rPr>
        <w:t>Presentation at the 2016 National Indigenous Drug and Alcohol Conference</w:t>
      </w:r>
      <w:r w:rsidRPr="00C843AB">
        <w:rPr>
          <w:rFonts w:cs="Segoe UI"/>
          <w:sz w:val="18"/>
          <w:szCs w:val="18"/>
        </w:rPr>
        <w:t>. South Australian Health &amp; Medical Research Institute.</w:t>
      </w:r>
    </w:p>
  </w:endnote>
  <w:endnote w:id="74">
    <w:p w14:paraId="06772957" w14:textId="34D006CA" w:rsidR="00BA4B48" w:rsidRPr="00C843AB" w:rsidRDefault="00BA4B48" w:rsidP="00D35EAF">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sz w:val="18"/>
          <w:szCs w:val="18"/>
          <w:lang w:eastAsia="en-AU"/>
        </w:rPr>
        <w:t>Fagan, P. (2013)</w:t>
      </w:r>
      <w:r>
        <w:rPr>
          <w:sz w:val="18"/>
          <w:szCs w:val="18"/>
          <w:lang w:eastAsia="en-AU"/>
        </w:rPr>
        <w:t>.</w:t>
      </w:r>
      <w:r w:rsidRPr="00C843AB">
        <w:rPr>
          <w:sz w:val="18"/>
          <w:szCs w:val="18"/>
          <w:lang w:eastAsia="en-AU"/>
        </w:rPr>
        <w:t xml:space="preserve"> </w:t>
      </w:r>
      <w:r>
        <w:rPr>
          <w:sz w:val="18"/>
          <w:szCs w:val="18"/>
          <w:lang w:eastAsia="en-AU"/>
        </w:rPr>
        <w:t>‘</w:t>
      </w:r>
      <w:r w:rsidRPr="00C843AB">
        <w:rPr>
          <w:sz w:val="18"/>
          <w:szCs w:val="18"/>
          <w:lang w:eastAsia="en-AU"/>
        </w:rPr>
        <w:t>Enhanced surveillance for gonorrhoea in two diverse settings in Queensland in the 2000s: comparative epidemiology and selected management outcomes.</w:t>
      </w:r>
      <w:r>
        <w:rPr>
          <w:sz w:val="18"/>
          <w:szCs w:val="18"/>
          <w:lang w:eastAsia="en-AU"/>
        </w:rPr>
        <w:t>’</w:t>
      </w:r>
      <w:r w:rsidRPr="00C843AB">
        <w:rPr>
          <w:sz w:val="18"/>
          <w:szCs w:val="18"/>
          <w:lang w:eastAsia="en-AU"/>
        </w:rPr>
        <w:t xml:space="preserve"> </w:t>
      </w:r>
      <w:r w:rsidRPr="006E28AB">
        <w:rPr>
          <w:sz w:val="18"/>
          <w:szCs w:val="18"/>
          <w:u w:val="single"/>
          <w:lang w:eastAsia="en-AU"/>
        </w:rPr>
        <w:t>Communicable Diseases Intelligence</w:t>
      </w:r>
      <w:r>
        <w:rPr>
          <w:sz w:val="18"/>
          <w:szCs w:val="18"/>
          <w:lang w:eastAsia="en-AU"/>
        </w:rPr>
        <w:t>,</w:t>
      </w:r>
      <w:r w:rsidRPr="00C843AB">
        <w:rPr>
          <w:sz w:val="18"/>
          <w:szCs w:val="18"/>
          <w:lang w:eastAsia="en-AU"/>
        </w:rPr>
        <w:t xml:space="preserve"> </w:t>
      </w:r>
      <w:r w:rsidRPr="006E28AB">
        <w:rPr>
          <w:b/>
          <w:sz w:val="18"/>
          <w:szCs w:val="18"/>
          <w:lang w:eastAsia="en-AU"/>
        </w:rPr>
        <w:t>37</w:t>
      </w:r>
      <w:r w:rsidRPr="00C843AB">
        <w:rPr>
          <w:sz w:val="18"/>
          <w:szCs w:val="18"/>
          <w:lang w:eastAsia="en-AU"/>
        </w:rPr>
        <w:t>(3)</w:t>
      </w:r>
      <w:r>
        <w:rPr>
          <w:sz w:val="18"/>
          <w:szCs w:val="18"/>
          <w:lang w:eastAsia="en-AU"/>
        </w:rPr>
        <w:t>.</w:t>
      </w:r>
    </w:p>
  </w:endnote>
  <w:endnote w:id="75">
    <w:p w14:paraId="3D2F4391" w14:textId="77777777" w:rsidR="00BA4B48" w:rsidRPr="00C843AB" w:rsidRDefault="00BA4B48"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The Royal Australian College of General Practitioners (RACGP). (2016). </w:t>
      </w:r>
      <w:r w:rsidRPr="00C843AB">
        <w:rPr>
          <w:rFonts w:cs="Segoe UI"/>
          <w:sz w:val="18"/>
          <w:szCs w:val="18"/>
          <w:u w:val="single"/>
        </w:rPr>
        <w:t>Guidelines for preventive activities in general practice</w:t>
      </w:r>
      <w:r w:rsidRPr="00C843AB">
        <w:rPr>
          <w:rFonts w:cs="Segoe UI"/>
          <w:sz w:val="18"/>
          <w:szCs w:val="18"/>
        </w:rPr>
        <w:t>, 9</w:t>
      </w:r>
      <w:r w:rsidRPr="00C843AB">
        <w:rPr>
          <w:rFonts w:cs="Segoe UI"/>
          <w:sz w:val="18"/>
          <w:szCs w:val="18"/>
          <w:vertAlign w:val="superscript"/>
        </w:rPr>
        <w:t xml:space="preserve">th </w:t>
      </w:r>
      <w:r w:rsidRPr="00C843AB">
        <w:rPr>
          <w:rFonts w:cs="Segoe UI"/>
          <w:sz w:val="18"/>
          <w:szCs w:val="18"/>
        </w:rPr>
        <w:t xml:space="preserve">edition. RACGP: East Melbourne. </w:t>
      </w:r>
    </w:p>
  </w:endnote>
  <w:endnote w:id="76">
    <w:p w14:paraId="593FF4E1" w14:textId="77D975AD" w:rsidR="00BA4B48" w:rsidRPr="00C843AB" w:rsidRDefault="00BA4B48" w:rsidP="00D35EAF">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 xml:space="preserve">Australian Sexual Health Alliance. (2016). </w:t>
      </w:r>
      <w:r w:rsidRPr="00C843AB">
        <w:rPr>
          <w:rFonts w:cs="Segoe UI"/>
          <w:sz w:val="18"/>
          <w:szCs w:val="18"/>
          <w:u w:val="single"/>
        </w:rPr>
        <w:t>Australian STI Management Guidelines for use in Primary Care</w:t>
      </w:r>
      <w:r w:rsidRPr="00C843AB">
        <w:rPr>
          <w:rFonts w:cs="Segoe UI"/>
          <w:sz w:val="18"/>
          <w:szCs w:val="18"/>
        </w:rPr>
        <w:t>. Accessed 1 May 2018 at</w:t>
      </w:r>
      <w:r>
        <w:rPr>
          <w:rFonts w:cs="Segoe UI"/>
          <w:sz w:val="18"/>
          <w:szCs w:val="18"/>
        </w:rPr>
        <w:t>:</w:t>
      </w:r>
      <w:r w:rsidRPr="00C843AB">
        <w:rPr>
          <w:rFonts w:cs="Segoe UI"/>
          <w:sz w:val="18"/>
          <w:szCs w:val="18"/>
        </w:rPr>
        <w:t xml:space="preserve"> </w:t>
      </w:r>
      <w:hyperlink r:id="rId22" w:tooltip="Australian Sexual Health Alliance " w:history="1">
        <w:r w:rsidRPr="00C843AB">
          <w:rPr>
            <w:rStyle w:val="Hyperlink"/>
            <w:rFonts w:cs="Segoe UI"/>
            <w:sz w:val="18"/>
            <w:szCs w:val="18"/>
          </w:rPr>
          <w:t>http://www.sti.guidelines.org.au/</w:t>
        </w:r>
      </w:hyperlink>
    </w:p>
  </w:endnote>
  <w:endnote w:id="77">
    <w:p w14:paraId="05A24877" w14:textId="5B15B1B0" w:rsidR="00BA4B48" w:rsidRPr="00C843AB" w:rsidRDefault="00BA4B48"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Hui, B.B., D.P. Wilson, J.S. Ward </w:t>
      </w:r>
      <w:r w:rsidRPr="006E28AB">
        <w:rPr>
          <w:rFonts w:cs="Segoe UI"/>
          <w:i/>
          <w:sz w:val="18"/>
          <w:szCs w:val="18"/>
        </w:rPr>
        <w:t>et al.</w:t>
      </w:r>
      <w:r>
        <w:rPr>
          <w:rFonts w:cs="Segoe UI"/>
          <w:sz w:val="18"/>
          <w:szCs w:val="18"/>
        </w:rPr>
        <w:t xml:space="preserve"> </w:t>
      </w:r>
      <w:r w:rsidRPr="00C843AB">
        <w:rPr>
          <w:rFonts w:cs="Segoe UI"/>
          <w:sz w:val="18"/>
          <w:szCs w:val="18"/>
        </w:rPr>
        <w:t xml:space="preserve">(2013). </w:t>
      </w:r>
      <w:r>
        <w:rPr>
          <w:rFonts w:cs="Segoe UI"/>
          <w:sz w:val="18"/>
          <w:szCs w:val="18"/>
        </w:rPr>
        <w:t>‘</w:t>
      </w:r>
      <w:r w:rsidRPr="00C843AB">
        <w:rPr>
          <w:rFonts w:cs="Segoe UI"/>
          <w:sz w:val="18"/>
          <w:szCs w:val="18"/>
        </w:rPr>
        <w:t>The potential impact of new generation molecular point-of-care tests on gonorrhoea and chlamydia in a setting of high endemic prevalence.</w:t>
      </w:r>
      <w:r>
        <w:rPr>
          <w:rFonts w:cs="Segoe UI"/>
          <w:sz w:val="18"/>
          <w:szCs w:val="18"/>
        </w:rPr>
        <w:t>’</w:t>
      </w:r>
      <w:r w:rsidRPr="00C843AB">
        <w:rPr>
          <w:rFonts w:cs="Segoe UI"/>
          <w:sz w:val="18"/>
          <w:szCs w:val="18"/>
        </w:rPr>
        <w:t xml:space="preserve"> </w:t>
      </w:r>
      <w:r w:rsidRPr="006E28AB">
        <w:rPr>
          <w:rFonts w:cs="Segoe UI"/>
          <w:sz w:val="18"/>
          <w:szCs w:val="18"/>
          <w:u w:val="single"/>
        </w:rPr>
        <w:t>Sexual Health</w:t>
      </w:r>
      <w:r w:rsidRPr="006E28AB">
        <w:rPr>
          <w:rFonts w:cs="Segoe UI"/>
          <w:sz w:val="18"/>
          <w:szCs w:val="18"/>
        </w:rPr>
        <w:t>,</w:t>
      </w:r>
      <w:r w:rsidRPr="00C843AB">
        <w:rPr>
          <w:rFonts w:cs="Segoe UI"/>
          <w:sz w:val="18"/>
          <w:szCs w:val="18"/>
        </w:rPr>
        <w:t xml:space="preserve"> </w:t>
      </w:r>
      <w:r w:rsidRPr="006E28AB">
        <w:rPr>
          <w:rFonts w:cs="Segoe UI"/>
          <w:b/>
          <w:sz w:val="18"/>
          <w:szCs w:val="18"/>
        </w:rPr>
        <w:t>10</w:t>
      </w:r>
      <w:r w:rsidRPr="00C843AB">
        <w:rPr>
          <w:rFonts w:cs="Segoe UI"/>
          <w:sz w:val="18"/>
          <w:szCs w:val="18"/>
        </w:rPr>
        <w:t>(4):348</w:t>
      </w:r>
      <w:r>
        <w:rPr>
          <w:rFonts w:cs="Segoe UI"/>
          <w:sz w:val="18"/>
          <w:szCs w:val="18"/>
        </w:rPr>
        <w:t>–3</w:t>
      </w:r>
      <w:r w:rsidRPr="00C843AB">
        <w:rPr>
          <w:rFonts w:cs="Segoe UI"/>
          <w:sz w:val="18"/>
          <w:szCs w:val="18"/>
        </w:rPr>
        <w:t>56.</w:t>
      </w:r>
    </w:p>
  </w:endnote>
  <w:endnote w:id="78">
    <w:p w14:paraId="3DC29FD9" w14:textId="04D3148A" w:rsidR="00BA4B48" w:rsidRPr="00C843AB" w:rsidRDefault="00BA4B48"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Nattabi, B., V. Matthews, J. Bailie</w:t>
      </w:r>
      <w:r>
        <w:rPr>
          <w:rFonts w:cs="Segoe UI"/>
          <w:sz w:val="18"/>
          <w:szCs w:val="18"/>
        </w:rPr>
        <w:t xml:space="preserve"> </w:t>
      </w:r>
      <w:r w:rsidRPr="006E28AB">
        <w:rPr>
          <w:rFonts w:cs="Segoe UI"/>
          <w:i/>
          <w:sz w:val="18"/>
          <w:szCs w:val="18"/>
        </w:rPr>
        <w:t>et al.</w:t>
      </w:r>
      <w:r>
        <w:rPr>
          <w:rFonts w:cs="Segoe UI"/>
          <w:sz w:val="18"/>
          <w:szCs w:val="18"/>
        </w:rPr>
        <w:t xml:space="preserve"> </w:t>
      </w:r>
      <w:r w:rsidRPr="00C843AB">
        <w:rPr>
          <w:rFonts w:cs="Segoe UI"/>
          <w:sz w:val="18"/>
          <w:szCs w:val="18"/>
        </w:rPr>
        <w:t xml:space="preserve">(2017). </w:t>
      </w:r>
      <w:r>
        <w:rPr>
          <w:rFonts w:cs="Segoe UI"/>
          <w:sz w:val="18"/>
          <w:szCs w:val="18"/>
        </w:rPr>
        <w:t>‘</w:t>
      </w:r>
      <w:r w:rsidRPr="00C843AB">
        <w:rPr>
          <w:rFonts w:cs="Segoe UI"/>
          <w:sz w:val="18"/>
          <w:szCs w:val="18"/>
        </w:rPr>
        <w:t>Wide variation in sexually transmitted infection testing and counselling at Aboriginal primary health care centres in Australia: analysis of longitudinal continuous quality improvement data.</w:t>
      </w:r>
      <w:r>
        <w:rPr>
          <w:rFonts w:cs="Segoe UI"/>
          <w:sz w:val="18"/>
          <w:szCs w:val="18"/>
        </w:rPr>
        <w:t>’</w:t>
      </w:r>
      <w:r w:rsidRPr="00C843AB">
        <w:rPr>
          <w:rFonts w:cs="Segoe UI"/>
          <w:sz w:val="18"/>
          <w:szCs w:val="18"/>
        </w:rPr>
        <w:t xml:space="preserve"> </w:t>
      </w:r>
      <w:r w:rsidRPr="006E28AB">
        <w:rPr>
          <w:rFonts w:cs="Segoe UI"/>
          <w:sz w:val="18"/>
          <w:szCs w:val="18"/>
          <w:u w:val="single"/>
        </w:rPr>
        <w:t>BMC Infectious Diseases</w:t>
      </w:r>
      <w:r w:rsidRPr="006E28AB">
        <w:rPr>
          <w:rFonts w:cs="Segoe UI"/>
          <w:sz w:val="18"/>
          <w:szCs w:val="18"/>
        </w:rPr>
        <w:t>,</w:t>
      </w:r>
      <w:r w:rsidRPr="00C843AB">
        <w:rPr>
          <w:rFonts w:cs="Segoe UI"/>
          <w:sz w:val="18"/>
          <w:szCs w:val="18"/>
        </w:rPr>
        <w:t xml:space="preserve"> </w:t>
      </w:r>
      <w:r w:rsidRPr="006E28AB">
        <w:rPr>
          <w:rFonts w:cs="Segoe UI"/>
          <w:b/>
          <w:sz w:val="18"/>
          <w:szCs w:val="18"/>
        </w:rPr>
        <w:t>17</w:t>
      </w:r>
      <w:r w:rsidRPr="00C843AB">
        <w:rPr>
          <w:rFonts w:cs="Segoe UI"/>
          <w:sz w:val="18"/>
          <w:szCs w:val="18"/>
        </w:rPr>
        <w:t>(1):148.</w:t>
      </w:r>
    </w:p>
  </w:endnote>
  <w:endnote w:id="79">
    <w:p w14:paraId="6E7B1E86" w14:textId="45483AB3" w:rsidR="00BA4B48" w:rsidRPr="00C843AB" w:rsidRDefault="00BA4B48" w:rsidP="00D35EAF">
      <w:pPr>
        <w:pStyle w:val="EndnoteText"/>
        <w:spacing w:after="120"/>
        <w:rPr>
          <w:sz w:val="18"/>
          <w:szCs w:val="18"/>
        </w:rPr>
      </w:pPr>
      <w:r w:rsidRPr="00C843AB">
        <w:rPr>
          <w:rStyle w:val="EndnoteReference"/>
          <w:sz w:val="18"/>
          <w:szCs w:val="18"/>
        </w:rPr>
        <w:endnoteRef/>
      </w:r>
      <w:r w:rsidRPr="00C843AB">
        <w:rPr>
          <w:sz w:val="18"/>
          <w:szCs w:val="18"/>
        </w:rPr>
        <w:t xml:space="preserve"> </w:t>
      </w:r>
      <w:r w:rsidRPr="006E28AB">
        <w:rPr>
          <w:rFonts w:cs="Segoe UI"/>
          <w:sz w:val="18"/>
          <w:szCs w:val="18"/>
        </w:rPr>
        <w:t xml:space="preserve">Silver, B., J. M, Kaldor, A. Rumbold </w:t>
      </w:r>
      <w:r w:rsidRPr="006E28AB">
        <w:rPr>
          <w:rFonts w:cs="Segoe UI"/>
          <w:i/>
          <w:sz w:val="18"/>
          <w:szCs w:val="18"/>
        </w:rPr>
        <w:t>et al.</w:t>
      </w:r>
      <w:r w:rsidRPr="006E28AB">
        <w:rPr>
          <w:rFonts w:cs="Segoe UI"/>
          <w:sz w:val="18"/>
          <w:szCs w:val="18"/>
        </w:rPr>
        <w:t xml:space="preserve"> </w:t>
      </w:r>
      <w:r>
        <w:rPr>
          <w:rFonts w:cs="Segoe UI"/>
          <w:sz w:val="18"/>
          <w:szCs w:val="18"/>
        </w:rPr>
        <w:t>‘</w:t>
      </w:r>
      <w:r w:rsidRPr="00C843AB">
        <w:rPr>
          <w:rFonts w:cs="Segoe UI"/>
          <w:sz w:val="18"/>
          <w:szCs w:val="18"/>
        </w:rPr>
        <w:t>Community and clinic-based screening for curable sexually transmissible infections in a high prevalence setting in Australia: a retrospective longitudinal analysis of clinical service data from 2006 to 2009.</w:t>
      </w:r>
      <w:r>
        <w:rPr>
          <w:rFonts w:cs="Segoe UI"/>
          <w:sz w:val="18"/>
          <w:szCs w:val="18"/>
        </w:rPr>
        <w:t>’</w:t>
      </w:r>
      <w:r w:rsidRPr="00C843AB">
        <w:rPr>
          <w:rFonts w:cs="Segoe UI"/>
          <w:sz w:val="18"/>
          <w:szCs w:val="18"/>
        </w:rPr>
        <w:t xml:space="preserve"> </w:t>
      </w:r>
      <w:hyperlink r:id="rId23" w:history="1">
        <w:r w:rsidRPr="006E28AB">
          <w:rPr>
            <w:rFonts w:cs="Segoe UI"/>
            <w:sz w:val="18"/>
            <w:szCs w:val="18"/>
            <w:u w:val="single"/>
          </w:rPr>
          <w:t>Sexual Health</w:t>
        </w:r>
        <w:r>
          <w:rPr>
            <w:rFonts w:cs="Segoe UI"/>
            <w:sz w:val="18"/>
            <w:szCs w:val="18"/>
          </w:rPr>
          <w:t>,</w:t>
        </w:r>
        <w:r w:rsidRPr="00C843AB">
          <w:rPr>
            <w:rFonts w:cs="Segoe UI"/>
            <w:sz w:val="18"/>
            <w:szCs w:val="18"/>
          </w:rPr>
          <w:t xml:space="preserve"> </w:t>
        </w:r>
        <w:r w:rsidRPr="006E28AB">
          <w:rPr>
            <w:rFonts w:cs="Segoe UI"/>
            <w:b/>
            <w:sz w:val="18"/>
            <w:szCs w:val="18"/>
          </w:rPr>
          <w:t>13</w:t>
        </w:r>
        <w:r w:rsidRPr="00C843AB">
          <w:rPr>
            <w:rFonts w:cs="Segoe UI"/>
            <w:sz w:val="18"/>
            <w:szCs w:val="18"/>
          </w:rPr>
          <w:t>(2)</w:t>
        </w:r>
        <w:r>
          <w:rPr>
            <w:rFonts w:cs="Segoe UI"/>
            <w:sz w:val="18"/>
            <w:szCs w:val="18"/>
          </w:rPr>
          <w:t>:</w:t>
        </w:r>
        <w:r w:rsidRPr="00C843AB">
          <w:rPr>
            <w:rFonts w:cs="Segoe UI"/>
            <w:sz w:val="18"/>
            <w:szCs w:val="18"/>
          </w:rPr>
          <w:t>140</w:t>
        </w:r>
        <w:r>
          <w:rPr>
            <w:rFonts w:cs="Segoe UI"/>
            <w:sz w:val="18"/>
            <w:szCs w:val="18"/>
          </w:rPr>
          <w:t>–</w:t>
        </w:r>
        <w:r w:rsidRPr="00C843AB">
          <w:rPr>
            <w:rFonts w:cs="Segoe UI"/>
            <w:sz w:val="18"/>
            <w:szCs w:val="18"/>
          </w:rPr>
          <w:t>147</w:t>
        </w:r>
      </w:hyperlink>
      <w:r>
        <w:rPr>
          <w:rFonts w:cs="Segoe UI"/>
          <w:sz w:val="18"/>
          <w:szCs w:val="18"/>
        </w:rPr>
        <w:t>.</w:t>
      </w:r>
    </w:p>
  </w:endnote>
  <w:endnote w:id="80">
    <w:p w14:paraId="044EDA98" w14:textId="5E6C7404" w:rsidR="00BA4B48" w:rsidRPr="00C843AB" w:rsidRDefault="00BA4B48" w:rsidP="00454F26">
      <w:pPr>
        <w:spacing w:before="180" w:after="180"/>
        <w:rPr>
          <w:sz w:val="18"/>
          <w:szCs w:val="18"/>
        </w:rPr>
      </w:pPr>
      <w:r w:rsidRPr="00C843AB">
        <w:rPr>
          <w:rStyle w:val="EndnoteReference"/>
          <w:sz w:val="18"/>
          <w:szCs w:val="18"/>
        </w:rPr>
        <w:endnoteRef/>
      </w:r>
      <w:r w:rsidRPr="00C843AB">
        <w:rPr>
          <w:sz w:val="18"/>
          <w:szCs w:val="18"/>
        </w:rPr>
        <w:t xml:space="preserve"> ASHM.</w:t>
      </w:r>
      <w:r>
        <w:rPr>
          <w:sz w:val="18"/>
          <w:szCs w:val="18"/>
        </w:rPr>
        <w:t xml:space="preserve"> (2017) </w:t>
      </w:r>
      <w:r w:rsidRPr="00C843AB">
        <w:rPr>
          <w:sz w:val="18"/>
          <w:szCs w:val="18"/>
          <w:u w:val="single"/>
        </w:rPr>
        <w:t>National Testing Policies Portal</w:t>
      </w:r>
      <w:r w:rsidRPr="00C843AB">
        <w:rPr>
          <w:sz w:val="18"/>
          <w:szCs w:val="18"/>
        </w:rPr>
        <w:t xml:space="preserve">. Accessed 4 October 2018 at: </w:t>
      </w:r>
      <w:hyperlink w:history="1">
        <w:r w:rsidRPr="00C843AB">
          <w:rPr>
            <w:rStyle w:val="Hyperlink"/>
            <w:rFonts w:cs="Segoe UI"/>
            <w:sz w:val="18"/>
            <w:szCs w:val="18"/>
          </w:rPr>
          <w:t xml:space="preserve">http://testingportal.ashm.org.au </w:t>
        </w:r>
      </w:hyperlink>
      <w:r w:rsidRPr="00C843AB">
        <w:rPr>
          <w:rFonts w:cs="Segoe UI"/>
          <w:sz w:val="18"/>
          <w:szCs w:val="18"/>
        </w:rPr>
        <w:t xml:space="preserve"> </w:t>
      </w:r>
    </w:p>
  </w:endnote>
  <w:endnote w:id="81">
    <w:p w14:paraId="7283AA9E" w14:textId="06F535D2" w:rsidR="00BA4B48" w:rsidRPr="00C843AB" w:rsidRDefault="00BA4B48" w:rsidP="00D35EAF">
      <w:pPr>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Downing</w:t>
      </w:r>
      <w:r>
        <w:rPr>
          <w:rFonts w:cs="Segoe UI"/>
          <w:sz w:val="18"/>
          <w:szCs w:val="18"/>
        </w:rPr>
        <w:t>,</w:t>
      </w:r>
      <w:r w:rsidRPr="00C843AB">
        <w:rPr>
          <w:rFonts w:cs="Segoe UI"/>
          <w:sz w:val="18"/>
          <w:szCs w:val="18"/>
        </w:rPr>
        <w:t xml:space="preserve"> S</w:t>
      </w:r>
      <w:r>
        <w:rPr>
          <w:rFonts w:cs="Segoe UI"/>
          <w:sz w:val="18"/>
          <w:szCs w:val="18"/>
        </w:rPr>
        <w:t>.</w:t>
      </w:r>
      <w:r w:rsidRPr="00C843AB">
        <w:rPr>
          <w:rFonts w:cs="Segoe UI"/>
          <w:sz w:val="18"/>
          <w:szCs w:val="18"/>
        </w:rPr>
        <w:t>G</w:t>
      </w:r>
      <w:r>
        <w:rPr>
          <w:rFonts w:cs="Segoe UI"/>
          <w:sz w:val="18"/>
          <w:szCs w:val="18"/>
        </w:rPr>
        <w:t>.</w:t>
      </w:r>
      <w:r w:rsidRPr="00C843AB">
        <w:rPr>
          <w:rFonts w:cs="Segoe UI"/>
          <w:sz w:val="18"/>
          <w:szCs w:val="18"/>
        </w:rPr>
        <w:t xml:space="preserve">, </w:t>
      </w:r>
      <w:r>
        <w:rPr>
          <w:rFonts w:cs="Segoe UI"/>
          <w:sz w:val="18"/>
          <w:szCs w:val="18"/>
        </w:rPr>
        <w:t xml:space="preserve">C. </w:t>
      </w:r>
      <w:r w:rsidRPr="00C843AB">
        <w:rPr>
          <w:rFonts w:cs="Segoe UI"/>
          <w:sz w:val="18"/>
          <w:szCs w:val="18"/>
        </w:rPr>
        <w:t xml:space="preserve">Cashman, </w:t>
      </w:r>
      <w:r>
        <w:rPr>
          <w:rFonts w:cs="Segoe UI"/>
          <w:sz w:val="18"/>
          <w:szCs w:val="18"/>
        </w:rPr>
        <w:t xml:space="preserve">H. </w:t>
      </w:r>
      <w:r w:rsidRPr="00C843AB">
        <w:rPr>
          <w:rFonts w:cs="Segoe UI"/>
          <w:sz w:val="18"/>
          <w:szCs w:val="18"/>
        </w:rPr>
        <w:t>McNamee</w:t>
      </w:r>
      <w:r>
        <w:rPr>
          <w:rFonts w:cs="Segoe UI"/>
          <w:sz w:val="18"/>
          <w:szCs w:val="18"/>
        </w:rPr>
        <w:t xml:space="preserve"> </w:t>
      </w:r>
      <w:r w:rsidRPr="0092447E">
        <w:rPr>
          <w:rFonts w:cs="Segoe UI"/>
          <w:i/>
          <w:sz w:val="18"/>
          <w:szCs w:val="18"/>
        </w:rPr>
        <w:t>et al.</w:t>
      </w:r>
      <w:r>
        <w:rPr>
          <w:rFonts w:cs="Segoe UI"/>
          <w:sz w:val="18"/>
          <w:szCs w:val="18"/>
        </w:rPr>
        <w:t xml:space="preserve"> </w:t>
      </w:r>
      <w:r w:rsidRPr="00C843AB">
        <w:rPr>
          <w:rFonts w:cs="Segoe UI"/>
          <w:sz w:val="18"/>
          <w:szCs w:val="18"/>
        </w:rPr>
        <w:t>(2013)</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Increasing chlamydia test of re-infection rates using SMS reminders and incentives.</w:t>
      </w:r>
      <w:r>
        <w:rPr>
          <w:rFonts w:cs="Segoe UI"/>
          <w:sz w:val="18"/>
          <w:szCs w:val="18"/>
        </w:rPr>
        <w:t>’</w:t>
      </w:r>
      <w:r w:rsidRPr="00C843AB">
        <w:rPr>
          <w:rFonts w:cs="Segoe UI"/>
          <w:sz w:val="18"/>
          <w:szCs w:val="18"/>
        </w:rPr>
        <w:t xml:space="preserve"> </w:t>
      </w:r>
      <w:r w:rsidRPr="0092447E">
        <w:rPr>
          <w:rFonts w:cs="Segoe UI"/>
          <w:sz w:val="18"/>
          <w:szCs w:val="18"/>
          <w:u w:val="single"/>
        </w:rPr>
        <w:t>Sex Transm Infect</w:t>
      </w:r>
      <w:r>
        <w:rPr>
          <w:rFonts w:cs="Segoe UI"/>
          <w:sz w:val="18"/>
          <w:szCs w:val="18"/>
        </w:rPr>
        <w:t>,</w:t>
      </w:r>
      <w:r w:rsidRPr="00C843AB">
        <w:rPr>
          <w:rFonts w:cs="Segoe UI"/>
          <w:sz w:val="18"/>
          <w:szCs w:val="18"/>
        </w:rPr>
        <w:t xml:space="preserve"> </w:t>
      </w:r>
      <w:r w:rsidRPr="0092447E">
        <w:rPr>
          <w:rFonts w:cs="Segoe UI"/>
          <w:b/>
          <w:sz w:val="18"/>
          <w:szCs w:val="18"/>
        </w:rPr>
        <w:t>89</w:t>
      </w:r>
      <w:r w:rsidRPr="00C843AB">
        <w:rPr>
          <w:rFonts w:cs="Segoe UI"/>
          <w:sz w:val="18"/>
          <w:szCs w:val="18"/>
        </w:rPr>
        <w:t>(1):16–</w:t>
      </w:r>
      <w:r>
        <w:rPr>
          <w:rFonts w:cs="Segoe UI"/>
          <w:sz w:val="18"/>
          <w:szCs w:val="18"/>
        </w:rPr>
        <w:t>1</w:t>
      </w:r>
      <w:r w:rsidRPr="00C843AB">
        <w:rPr>
          <w:rFonts w:cs="Segoe UI"/>
          <w:sz w:val="18"/>
          <w:szCs w:val="18"/>
        </w:rPr>
        <w:t>9.</w:t>
      </w:r>
    </w:p>
  </w:endnote>
  <w:endnote w:id="82">
    <w:p w14:paraId="4035773E" w14:textId="4AB066E9" w:rsidR="00BA4B48" w:rsidRPr="00C843AB" w:rsidRDefault="00BA4B48" w:rsidP="00D35EAF">
      <w:pPr>
        <w:rPr>
          <w:sz w:val="18"/>
          <w:szCs w:val="18"/>
        </w:rPr>
      </w:pPr>
      <w:r w:rsidRPr="00C843AB">
        <w:rPr>
          <w:rStyle w:val="EndnoteReference"/>
          <w:sz w:val="18"/>
          <w:szCs w:val="18"/>
        </w:rPr>
        <w:endnoteRef/>
      </w:r>
      <w:r w:rsidRPr="00C843AB">
        <w:rPr>
          <w:rFonts w:cs="Segoe UI"/>
          <w:sz w:val="18"/>
          <w:szCs w:val="18"/>
        </w:rPr>
        <w:t xml:space="preserve"> Parker</w:t>
      </w:r>
      <w:r>
        <w:rPr>
          <w:rFonts w:cs="Segoe UI"/>
          <w:sz w:val="18"/>
          <w:szCs w:val="18"/>
        </w:rPr>
        <w:t>,</w:t>
      </w:r>
      <w:r w:rsidRPr="00C843AB">
        <w:rPr>
          <w:rFonts w:cs="Segoe UI"/>
          <w:sz w:val="18"/>
          <w:szCs w:val="18"/>
        </w:rPr>
        <w:t xml:space="preserve"> R</w:t>
      </w:r>
      <w:r>
        <w:rPr>
          <w:rFonts w:cs="Segoe UI"/>
          <w:sz w:val="18"/>
          <w:szCs w:val="18"/>
        </w:rPr>
        <w:t>.</w:t>
      </w:r>
      <w:r w:rsidRPr="00C843AB">
        <w:rPr>
          <w:rFonts w:cs="Segoe UI"/>
          <w:sz w:val="18"/>
          <w:szCs w:val="18"/>
        </w:rPr>
        <w:t>M</w:t>
      </w:r>
      <w:r>
        <w:rPr>
          <w:rFonts w:cs="Segoe UI"/>
          <w:sz w:val="18"/>
          <w:szCs w:val="18"/>
        </w:rPr>
        <w:t>.</w:t>
      </w:r>
      <w:r w:rsidRPr="00C843AB">
        <w:rPr>
          <w:rFonts w:cs="Segoe UI"/>
          <w:sz w:val="18"/>
          <w:szCs w:val="18"/>
        </w:rPr>
        <w:t xml:space="preserve">, </w:t>
      </w:r>
      <w:r>
        <w:rPr>
          <w:rFonts w:cs="Segoe UI"/>
          <w:sz w:val="18"/>
          <w:szCs w:val="18"/>
        </w:rPr>
        <w:t xml:space="preserve">A. </w:t>
      </w:r>
      <w:r w:rsidRPr="00C843AB">
        <w:rPr>
          <w:rFonts w:cs="Segoe UI"/>
          <w:sz w:val="18"/>
          <w:szCs w:val="18"/>
        </w:rPr>
        <w:t xml:space="preserve">Bell, </w:t>
      </w:r>
      <w:r>
        <w:rPr>
          <w:rFonts w:cs="Segoe UI"/>
          <w:sz w:val="18"/>
          <w:szCs w:val="18"/>
        </w:rPr>
        <w:t xml:space="preserve">M. J. </w:t>
      </w:r>
      <w:r w:rsidRPr="00C843AB">
        <w:rPr>
          <w:rFonts w:cs="Segoe UI"/>
          <w:sz w:val="18"/>
          <w:szCs w:val="18"/>
        </w:rPr>
        <w:t>Currie</w:t>
      </w:r>
      <w:r>
        <w:rPr>
          <w:rFonts w:cs="Segoe UI"/>
          <w:sz w:val="18"/>
          <w:szCs w:val="18"/>
        </w:rPr>
        <w:t xml:space="preserve"> </w:t>
      </w:r>
      <w:r w:rsidRPr="0092447E">
        <w:rPr>
          <w:rFonts w:cs="Segoe UI"/>
          <w:i/>
          <w:sz w:val="18"/>
          <w:szCs w:val="18"/>
        </w:rPr>
        <w:t>et al.</w:t>
      </w:r>
      <w:r w:rsidRPr="00C843AB">
        <w:rPr>
          <w:rFonts w:cs="Segoe UI"/>
          <w:sz w:val="18"/>
          <w:szCs w:val="18"/>
        </w:rPr>
        <w:t xml:space="preserve"> (2015) </w:t>
      </w:r>
      <w:r>
        <w:rPr>
          <w:rFonts w:cs="Segoe UI"/>
          <w:sz w:val="18"/>
          <w:szCs w:val="18"/>
        </w:rPr>
        <w:t>‘“</w:t>
      </w:r>
      <w:r w:rsidRPr="00C843AB">
        <w:rPr>
          <w:rFonts w:cs="Segoe UI"/>
          <w:sz w:val="18"/>
          <w:szCs w:val="18"/>
        </w:rPr>
        <w:t>Catching chlamydia</w:t>
      </w:r>
      <w:r>
        <w:rPr>
          <w:rFonts w:cs="Segoe UI"/>
          <w:sz w:val="18"/>
          <w:szCs w:val="18"/>
        </w:rPr>
        <w:t>”</w:t>
      </w:r>
      <w:r w:rsidRPr="00C843AB">
        <w:rPr>
          <w:rFonts w:cs="Segoe UI"/>
          <w:sz w:val="18"/>
          <w:szCs w:val="18"/>
        </w:rPr>
        <w:t>: combining cash incentives and community pharmacy access for increased chlamydia screening, the view of young people.</w:t>
      </w:r>
      <w:r>
        <w:rPr>
          <w:rFonts w:cs="Segoe UI"/>
          <w:sz w:val="18"/>
          <w:szCs w:val="18"/>
        </w:rPr>
        <w:t>’</w:t>
      </w:r>
      <w:r w:rsidRPr="00C843AB">
        <w:rPr>
          <w:rFonts w:cs="Segoe UI"/>
          <w:sz w:val="18"/>
          <w:szCs w:val="18"/>
        </w:rPr>
        <w:t xml:space="preserve"> </w:t>
      </w:r>
      <w:r w:rsidRPr="0092447E">
        <w:rPr>
          <w:rFonts w:cs="Segoe UI"/>
          <w:sz w:val="18"/>
          <w:szCs w:val="18"/>
          <w:u w:val="single"/>
        </w:rPr>
        <w:t>Australian Journal of Primary Health</w:t>
      </w:r>
      <w:r>
        <w:rPr>
          <w:rFonts w:cs="Segoe UI"/>
          <w:sz w:val="18"/>
          <w:szCs w:val="18"/>
        </w:rPr>
        <w:t>,</w:t>
      </w:r>
      <w:r w:rsidRPr="00C843AB">
        <w:rPr>
          <w:rFonts w:cs="Segoe UI"/>
          <w:sz w:val="18"/>
          <w:szCs w:val="18"/>
        </w:rPr>
        <w:t xml:space="preserve"> </w:t>
      </w:r>
      <w:r w:rsidRPr="0092447E">
        <w:rPr>
          <w:rFonts w:cs="Segoe UI"/>
          <w:b/>
          <w:sz w:val="18"/>
          <w:szCs w:val="18"/>
        </w:rPr>
        <w:t>21</w:t>
      </w:r>
      <w:r w:rsidRPr="00C843AB">
        <w:rPr>
          <w:rFonts w:cs="Segoe UI"/>
          <w:sz w:val="18"/>
          <w:szCs w:val="18"/>
        </w:rPr>
        <w:t xml:space="preserve">(1):79–83. </w:t>
      </w:r>
    </w:p>
  </w:endnote>
  <w:endnote w:id="83">
    <w:p w14:paraId="5E2C6B80" w14:textId="4015E8EF" w:rsidR="00BA4B48" w:rsidRPr="00C843AB" w:rsidRDefault="00BA4B48" w:rsidP="00D35EAF">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Fagan</w:t>
      </w:r>
      <w:r>
        <w:rPr>
          <w:rFonts w:cs="Segoe UI"/>
          <w:sz w:val="18"/>
          <w:szCs w:val="18"/>
        </w:rPr>
        <w:t>,</w:t>
      </w:r>
      <w:r w:rsidRPr="00C843AB">
        <w:rPr>
          <w:rFonts w:cs="Segoe UI"/>
          <w:sz w:val="18"/>
          <w:szCs w:val="18"/>
        </w:rPr>
        <w:t xml:space="preserve"> P</w:t>
      </w:r>
      <w:r>
        <w:rPr>
          <w:rFonts w:cs="Segoe UI"/>
          <w:sz w:val="18"/>
          <w:szCs w:val="18"/>
        </w:rPr>
        <w:t>.</w:t>
      </w:r>
      <w:r w:rsidRPr="00C843AB">
        <w:rPr>
          <w:rFonts w:cs="Segoe UI"/>
          <w:sz w:val="18"/>
          <w:szCs w:val="18"/>
        </w:rPr>
        <w:t xml:space="preserve">, </w:t>
      </w:r>
      <w:r>
        <w:rPr>
          <w:rFonts w:cs="Segoe UI"/>
          <w:sz w:val="18"/>
          <w:szCs w:val="18"/>
        </w:rPr>
        <w:t xml:space="preserve">F. </w:t>
      </w:r>
      <w:r w:rsidRPr="00C843AB">
        <w:rPr>
          <w:rFonts w:cs="Segoe UI"/>
          <w:sz w:val="18"/>
          <w:szCs w:val="18"/>
        </w:rPr>
        <w:t xml:space="preserve">Cannon, </w:t>
      </w:r>
      <w:r>
        <w:rPr>
          <w:rFonts w:cs="Segoe UI"/>
          <w:sz w:val="18"/>
          <w:szCs w:val="18"/>
        </w:rPr>
        <w:t xml:space="preserve">and A. </w:t>
      </w:r>
      <w:r w:rsidRPr="00C843AB">
        <w:rPr>
          <w:rFonts w:cs="Segoe UI"/>
          <w:sz w:val="18"/>
          <w:szCs w:val="18"/>
        </w:rPr>
        <w:t>Crouch. (2013)</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The young person check: screening for sexually transmitted infections and chronic disease risk in remote Aboriginal and Torres Strait islander youth.</w:t>
      </w:r>
      <w:r>
        <w:rPr>
          <w:rFonts w:cs="Segoe UI"/>
          <w:sz w:val="18"/>
          <w:szCs w:val="18"/>
        </w:rPr>
        <w:t>’</w:t>
      </w:r>
      <w:r w:rsidRPr="00C843AB">
        <w:rPr>
          <w:rFonts w:cs="Segoe UI"/>
          <w:sz w:val="18"/>
          <w:szCs w:val="18"/>
        </w:rPr>
        <w:t xml:space="preserve"> </w:t>
      </w:r>
      <w:r w:rsidRPr="0092447E">
        <w:rPr>
          <w:rFonts w:cs="Segoe UI"/>
          <w:sz w:val="18"/>
          <w:szCs w:val="18"/>
          <w:u w:val="single"/>
        </w:rPr>
        <w:t>Aust N Z J Public Health</w:t>
      </w:r>
      <w:r>
        <w:rPr>
          <w:rFonts w:cs="Segoe UI"/>
          <w:sz w:val="18"/>
          <w:szCs w:val="18"/>
        </w:rPr>
        <w:t>,</w:t>
      </w:r>
      <w:r w:rsidRPr="00C843AB">
        <w:rPr>
          <w:rFonts w:cs="Segoe UI"/>
          <w:sz w:val="18"/>
          <w:szCs w:val="18"/>
        </w:rPr>
        <w:t xml:space="preserve"> </w:t>
      </w:r>
      <w:r w:rsidRPr="0092447E">
        <w:rPr>
          <w:rFonts w:cs="Segoe UI"/>
          <w:b/>
          <w:sz w:val="18"/>
          <w:szCs w:val="18"/>
        </w:rPr>
        <w:t>37</w:t>
      </w:r>
      <w:r w:rsidRPr="00C843AB">
        <w:rPr>
          <w:rFonts w:cs="Segoe UI"/>
          <w:sz w:val="18"/>
          <w:szCs w:val="18"/>
        </w:rPr>
        <w:t>(4):316–</w:t>
      </w:r>
      <w:r>
        <w:rPr>
          <w:rFonts w:cs="Segoe UI"/>
          <w:sz w:val="18"/>
          <w:szCs w:val="18"/>
        </w:rPr>
        <w:t>3</w:t>
      </w:r>
      <w:r w:rsidRPr="00C843AB">
        <w:rPr>
          <w:rFonts w:cs="Segoe UI"/>
          <w:sz w:val="18"/>
          <w:szCs w:val="18"/>
        </w:rPr>
        <w:t xml:space="preserve">21. </w:t>
      </w:r>
    </w:p>
  </w:endnote>
  <w:endnote w:id="84">
    <w:p w14:paraId="6924EF81" w14:textId="2673ED3F" w:rsidR="00BA4B48" w:rsidRPr="00C843AB" w:rsidRDefault="00BA4B48" w:rsidP="00D35EAF">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Topp</w:t>
      </w:r>
      <w:r>
        <w:rPr>
          <w:rFonts w:cs="Segoe UI"/>
          <w:sz w:val="18"/>
          <w:szCs w:val="18"/>
        </w:rPr>
        <w:t>,</w:t>
      </w:r>
      <w:r w:rsidRPr="00C843AB">
        <w:rPr>
          <w:rFonts w:cs="Segoe UI"/>
          <w:sz w:val="18"/>
          <w:szCs w:val="18"/>
        </w:rPr>
        <w:t xml:space="preserve"> L</w:t>
      </w:r>
      <w:r>
        <w:rPr>
          <w:rFonts w:cs="Segoe UI"/>
          <w:sz w:val="18"/>
          <w:szCs w:val="18"/>
        </w:rPr>
        <w:t>.</w:t>
      </w:r>
      <w:r w:rsidRPr="00C843AB">
        <w:rPr>
          <w:rFonts w:cs="Segoe UI"/>
          <w:sz w:val="18"/>
          <w:szCs w:val="18"/>
        </w:rPr>
        <w:t xml:space="preserve">, </w:t>
      </w:r>
      <w:r>
        <w:rPr>
          <w:rFonts w:cs="Segoe UI"/>
          <w:sz w:val="18"/>
          <w:szCs w:val="18"/>
        </w:rPr>
        <w:t xml:space="preserve">C. A. </w:t>
      </w:r>
      <w:r w:rsidRPr="00C843AB">
        <w:rPr>
          <w:rFonts w:cs="Segoe UI"/>
          <w:sz w:val="18"/>
          <w:szCs w:val="18"/>
        </w:rPr>
        <w:t xml:space="preserve">Day, </w:t>
      </w:r>
      <w:r>
        <w:rPr>
          <w:rFonts w:cs="Segoe UI"/>
          <w:sz w:val="18"/>
          <w:szCs w:val="18"/>
        </w:rPr>
        <w:t xml:space="preserve">H. </w:t>
      </w:r>
      <w:r w:rsidRPr="00C843AB">
        <w:rPr>
          <w:rFonts w:cs="Segoe UI"/>
          <w:sz w:val="18"/>
          <w:szCs w:val="18"/>
        </w:rPr>
        <w:t xml:space="preserve">Wand </w:t>
      </w:r>
      <w:r w:rsidRPr="0092447E">
        <w:rPr>
          <w:rFonts w:cs="Segoe UI"/>
          <w:i/>
          <w:sz w:val="18"/>
          <w:szCs w:val="18"/>
        </w:rPr>
        <w:t>et al.</w:t>
      </w:r>
      <w:r w:rsidRPr="00C843AB">
        <w:rPr>
          <w:rFonts w:cs="Segoe UI"/>
          <w:sz w:val="18"/>
          <w:szCs w:val="18"/>
        </w:rPr>
        <w:t xml:space="preserve"> (2013)</w:t>
      </w:r>
      <w:r>
        <w:rPr>
          <w:rFonts w:cs="Segoe UI"/>
          <w:sz w:val="18"/>
          <w:szCs w:val="18"/>
        </w:rPr>
        <w:t>.</w:t>
      </w:r>
      <w:r w:rsidRPr="00C843AB">
        <w:rPr>
          <w:rFonts w:cs="Segoe UI"/>
          <w:sz w:val="18"/>
          <w:szCs w:val="18"/>
        </w:rPr>
        <w:t xml:space="preserve"> </w:t>
      </w:r>
      <w:r>
        <w:rPr>
          <w:rFonts w:cs="Segoe UI"/>
          <w:sz w:val="18"/>
          <w:szCs w:val="18"/>
        </w:rPr>
        <w:t>‘</w:t>
      </w:r>
      <w:r w:rsidRPr="00C843AB">
        <w:rPr>
          <w:rFonts w:cs="Segoe UI"/>
          <w:sz w:val="18"/>
          <w:szCs w:val="18"/>
        </w:rPr>
        <w:t>A randomised controlled trial of financial incentives to increase hepatitis B vaccination completion among people who inject drugs in Australia.</w:t>
      </w:r>
      <w:r>
        <w:rPr>
          <w:rFonts w:cs="Segoe UI"/>
          <w:sz w:val="18"/>
          <w:szCs w:val="18"/>
        </w:rPr>
        <w:t>’</w:t>
      </w:r>
      <w:r w:rsidRPr="00C843AB">
        <w:rPr>
          <w:rFonts w:cs="Segoe UI"/>
          <w:sz w:val="18"/>
          <w:szCs w:val="18"/>
        </w:rPr>
        <w:t xml:space="preserve"> </w:t>
      </w:r>
      <w:r w:rsidRPr="0092447E">
        <w:rPr>
          <w:rFonts w:cs="Segoe UI"/>
          <w:sz w:val="18"/>
          <w:szCs w:val="18"/>
          <w:u w:val="single"/>
        </w:rPr>
        <w:t>Prev Med</w:t>
      </w:r>
      <w:r>
        <w:rPr>
          <w:rFonts w:cs="Segoe UI"/>
          <w:sz w:val="18"/>
          <w:szCs w:val="18"/>
        </w:rPr>
        <w:t>,</w:t>
      </w:r>
      <w:r w:rsidRPr="00C843AB">
        <w:rPr>
          <w:rFonts w:cs="Segoe UI"/>
          <w:sz w:val="18"/>
          <w:szCs w:val="18"/>
        </w:rPr>
        <w:t xml:space="preserve"> </w:t>
      </w:r>
      <w:r w:rsidRPr="0092447E">
        <w:rPr>
          <w:rFonts w:cs="Segoe UI"/>
          <w:b/>
          <w:sz w:val="18"/>
          <w:szCs w:val="18"/>
        </w:rPr>
        <w:t>57</w:t>
      </w:r>
      <w:r w:rsidRPr="00C843AB">
        <w:rPr>
          <w:rFonts w:cs="Segoe UI"/>
          <w:sz w:val="18"/>
          <w:szCs w:val="18"/>
        </w:rPr>
        <w:t>(4):297–303</w:t>
      </w:r>
      <w:r>
        <w:rPr>
          <w:rFonts w:cs="Segoe UI"/>
          <w:sz w:val="18"/>
          <w:szCs w:val="18"/>
        </w:rPr>
        <w:t>.</w:t>
      </w:r>
    </w:p>
  </w:endnote>
  <w:endnote w:id="85">
    <w:p w14:paraId="4905182E" w14:textId="4AA6B67A" w:rsidR="00BA4B48" w:rsidRPr="00C843AB" w:rsidRDefault="00BA4B48" w:rsidP="00A138E9">
      <w:pPr>
        <w:pStyle w:val="EndnoteText"/>
        <w:spacing w:after="120"/>
        <w:rPr>
          <w:sz w:val="18"/>
          <w:szCs w:val="18"/>
        </w:rPr>
      </w:pPr>
      <w:r w:rsidRPr="00C843AB">
        <w:rPr>
          <w:rStyle w:val="EndnoteReference"/>
          <w:sz w:val="18"/>
          <w:szCs w:val="18"/>
        </w:rPr>
        <w:endnoteRef/>
      </w:r>
      <w:r w:rsidRPr="00C843AB">
        <w:rPr>
          <w:sz w:val="18"/>
          <w:szCs w:val="18"/>
        </w:rPr>
        <w:t xml:space="preserve"> Dempsey, M., </w:t>
      </w:r>
      <w:r>
        <w:rPr>
          <w:sz w:val="18"/>
          <w:szCs w:val="18"/>
        </w:rPr>
        <w:t xml:space="preserve">R. </w:t>
      </w:r>
      <w:r w:rsidRPr="00C843AB">
        <w:rPr>
          <w:sz w:val="18"/>
          <w:szCs w:val="18"/>
        </w:rPr>
        <w:t xml:space="preserve">Lewis, </w:t>
      </w:r>
      <w:r>
        <w:rPr>
          <w:sz w:val="18"/>
          <w:szCs w:val="18"/>
        </w:rPr>
        <w:t xml:space="preserve">V. </w:t>
      </w:r>
      <w:r w:rsidRPr="00C843AB">
        <w:rPr>
          <w:sz w:val="18"/>
          <w:szCs w:val="18"/>
        </w:rPr>
        <w:t>Towell</w:t>
      </w:r>
      <w:r>
        <w:rPr>
          <w:sz w:val="18"/>
          <w:szCs w:val="18"/>
        </w:rPr>
        <w:t xml:space="preserve"> </w:t>
      </w:r>
      <w:r w:rsidRPr="0092447E">
        <w:rPr>
          <w:i/>
          <w:sz w:val="18"/>
          <w:szCs w:val="18"/>
        </w:rPr>
        <w:t>et al.</w:t>
      </w:r>
      <w:r>
        <w:rPr>
          <w:sz w:val="18"/>
          <w:szCs w:val="18"/>
        </w:rPr>
        <w:t xml:space="preserve"> </w:t>
      </w:r>
      <w:r w:rsidRPr="00C843AB">
        <w:rPr>
          <w:sz w:val="18"/>
          <w:szCs w:val="18"/>
        </w:rPr>
        <w:t xml:space="preserve">(2018). </w:t>
      </w:r>
      <w:r w:rsidRPr="0092447E">
        <w:rPr>
          <w:sz w:val="18"/>
          <w:szCs w:val="18"/>
          <w:u w:val="single"/>
        </w:rPr>
        <w:t>Far North Queensland Liver Champions</w:t>
      </w:r>
      <w:r w:rsidRPr="00C843AB">
        <w:rPr>
          <w:sz w:val="18"/>
          <w:szCs w:val="18"/>
        </w:rPr>
        <w:t>. Presentation at the</w:t>
      </w:r>
      <w:r w:rsidRPr="00C843AB">
        <w:rPr>
          <w:sz w:val="18"/>
          <w:szCs w:val="18"/>
          <w:u w:val="single"/>
        </w:rPr>
        <w:t xml:space="preserve"> </w:t>
      </w:r>
      <w:r w:rsidRPr="0092447E">
        <w:rPr>
          <w:sz w:val="18"/>
          <w:szCs w:val="18"/>
        </w:rPr>
        <w:t>2018 Australasian Viral Hepatitis Conference.</w:t>
      </w:r>
      <w:r w:rsidRPr="00C843AB">
        <w:rPr>
          <w:sz w:val="18"/>
          <w:szCs w:val="18"/>
          <w:u w:val="single"/>
        </w:rPr>
        <w:t xml:space="preserve"> </w:t>
      </w:r>
      <w:r w:rsidRPr="00C843AB">
        <w:rPr>
          <w:sz w:val="18"/>
          <w:szCs w:val="18"/>
        </w:rPr>
        <w:t xml:space="preserve">Accessed 4 October at: </w:t>
      </w:r>
      <w:r w:rsidRPr="00C843AB">
        <w:rPr>
          <w:rStyle w:val="Hyperlink"/>
          <w:rFonts w:cs="Segoe UI"/>
          <w:sz w:val="18"/>
          <w:szCs w:val="18"/>
        </w:rPr>
        <w:t>https://az659834.vo.msecnd.net/eventsairaueprod/production-ashm-public/9ff60cf714894ad0894c8926ff9a978d</w:t>
      </w:r>
    </w:p>
  </w:endnote>
  <w:endnote w:id="86">
    <w:p w14:paraId="637D8143" w14:textId="77A4136F" w:rsidR="00BA4B48" w:rsidRPr="00C843AB" w:rsidRDefault="00BA4B48" w:rsidP="00A138E9">
      <w:pPr>
        <w:pStyle w:val="EndnoteText"/>
        <w:spacing w:after="120"/>
        <w:rPr>
          <w:sz w:val="18"/>
          <w:szCs w:val="18"/>
          <w:lang w:val="en-US"/>
        </w:rPr>
      </w:pPr>
      <w:r w:rsidRPr="00C843AB">
        <w:rPr>
          <w:rStyle w:val="EndnoteReference"/>
          <w:sz w:val="18"/>
          <w:szCs w:val="18"/>
        </w:rPr>
        <w:endnoteRef/>
      </w:r>
      <w:r w:rsidRPr="00C843AB">
        <w:rPr>
          <w:sz w:val="18"/>
          <w:szCs w:val="18"/>
        </w:rPr>
        <w:t xml:space="preserve"> Leadbeatter, K. (2018)</w:t>
      </w:r>
      <w:r>
        <w:rPr>
          <w:sz w:val="18"/>
          <w:szCs w:val="18"/>
        </w:rPr>
        <w:t>.</w:t>
      </w:r>
      <w:r w:rsidRPr="00C843AB">
        <w:rPr>
          <w:sz w:val="18"/>
          <w:szCs w:val="18"/>
        </w:rPr>
        <w:t xml:space="preserve"> </w:t>
      </w:r>
      <w:r w:rsidRPr="0092447E">
        <w:rPr>
          <w:sz w:val="18"/>
          <w:szCs w:val="18"/>
          <w:u w:val="single"/>
        </w:rPr>
        <w:t>Partnering Hepatology nurses and peer workers to increase treatment among marginalised people</w:t>
      </w:r>
      <w:r w:rsidRPr="00C843AB">
        <w:rPr>
          <w:sz w:val="18"/>
          <w:szCs w:val="18"/>
        </w:rPr>
        <w:t xml:space="preserve">. Presentation at the </w:t>
      </w:r>
      <w:r w:rsidRPr="0092447E">
        <w:rPr>
          <w:sz w:val="18"/>
          <w:szCs w:val="18"/>
        </w:rPr>
        <w:t>2018 Australasian Viral Hepatitis Conference</w:t>
      </w:r>
      <w:r w:rsidRPr="00C843AB">
        <w:rPr>
          <w:sz w:val="18"/>
          <w:szCs w:val="18"/>
        </w:rPr>
        <w:t xml:space="preserve">. Accessed 4 October at: </w:t>
      </w:r>
      <w:r w:rsidRPr="00C843AB">
        <w:rPr>
          <w:rStyle w:val="Hyperlink"/>
          <w:rFonts w:cs="Segoe UI"/>
          <w:sz w:val="18"/>
          <w:szCs w:val="18"/>
        </w:rPr>
        <w:t>https://az659834.vo.msecnd.net/eventsairaueprod/production-ashm-public/02632dfb32344bfc81ba6214542cb8dd</w:t>
      </w:r>
    </w:p>
  </w:endnote>
  <w:endnote w:id="87">
    <w:p w14:paraId="60D4DE66" w14:textId="06EC6C1C" w:rsidR="00BA4B48" w:rsidRPr="00C843AB" w:rsidRDefault="00BA4B48" w:rsidP="00D85D1F">
      <w:pPr>
        <w:pStyle w:val="EndnoteText"/>
        <w:spacing w:after="120"/>
        <w:rPr>
          <w:sz w:val="18"/>
          <w:szCs w:val="18"/>
        </w:rPr>
      </w:pPr>
      <w:r w:rsidRPr="00C843AB">
        <w:rPr>
          <w:rStyle w:val="EndnoteReference"/>
          <w:sz w:val="18"/>
          <w:szCs w:val="18"/>
        </w:rPr>
        <w:endnoteRef/>
      </w:r>
      <w:r w:rsidRPr="00C843AB">
        <w:rPr>
          <w:sz w:val="18"/>
          <w:szCs w:val="18"/>
        </w:rPr>
        <w:t xml:space="preserve"> Lloyd, A. R., J. Clegg</w:t>
      </w:r>
      <w:r>
        <w:rPr>
          <w:sz w:val="18"/>
          <w:szCs w:val="18"/>
        </w:rPr>
        <w:t>,</w:t>
      </w:r>
      <w:r w:rsidRPr="00C843AB">
        <w:rPr>
          <w:sz w:val="18"/>
          <w:szCs w:val="18"/>
        </w:rPr>
        <w:t xml:space="preserve"> J. Lange </w:t>
      </w:r>
      <w:r w:rsidRPr="00C843AB">
        <w:rPr>
          <w:i/>
          <w:sz w:val="18"/>
          <w:szCs w:val="18"/>
        </w:rPr>
        <w:t>et al.</w:t>
      </w:r>
      <w:r w:rsidRPr="00C843AB">
        <w:rPr>
          <w:sz w:val="18"/>
          <w:szCs w:val="18"/>
        </w:rPr>
        <w:t xml:space="preserve"> (2013). </w:t>
      </w:r>
      <w:r>
        <w:rPr>
          <w:sz w:val="18"/>
          <w:szCs w:val="18"/>
        </w:rPr>
        <w:t>‘</w:t>
      </w:r>
      <w:r w:rsidRPr="00C843AB">
        <w:rPr>
          <w:sz w:val="18"/>
          <w:szCs w:val="18"/>
        </w:rPr>
        <w:t>Safety and effectiveness of a nurse-led outreach program for assessment and treatment of chronic hepatitis C in the custodial setting.</w:t>
      </w:r>
      <w:r>
        <w:rPr>
          <w:sz w:val="18"/>
          <w:szCs w:val="18"/>
        </w:rPr>
        <w:t>’</w:t>
      </w:r>
      <w:r w:rsidRPr="00C843AB">
        <w:rPr>
          <w:sz w:val="18"/>
          <w:szCs w:val="18"/>
        </w:rPr>
        <w:t xml:space="preserve"> </w:t>
      </w:r>
      <w:r w:rsidRPr="0092447E">
        <w:rPr>
          <w:sz w:val="18"/>
          <w:szCs w:val="18"/>
          <w:u w:val="single"/>
        </w:rPr>
        <w:t>Clinical Infectious Diseases</w:t>
      </w:r>
      <w:r w:rsidRPr="0092447E">
        <w:rPr>
          <w:sz w:val="18"/>
          <w:szCs w:val="18"/>
        </w:rPr>
        <w:t>,</w:t>
      </w:r>
      <w:r w:rsidRPr="00C843AB">
        <w:rPr>
          <w:sz w:val="18"/>
          <w:szCs w:val="18"/>
        </w:rPr>
        <w:t xml:space="preserve"> </w:t>
      </w:r>
      <w:r w:rsidRPr="0092447E">
        <w:rPr>
          <w:b/>
          <w:sz w:val="18"/>
          <w:szCs w:val="18"/>
        </w:rPr>
        <w:t>56</w:t>
      </w:r>
      <w:r w:rsidRPr="00C843AB">
        <w:rPr>
          <w:sz w:val="18"/>
          <w:szCs w:val="18"/>
        </w:rPr>
        <w:t>(9):1078</w:t>
      </w:r>
      <w:r>
        <w:rPr>
          <w:sz w:val="18"/>
          <w:szCs w:val="18"/>
        </w:rPr>
        <w:t>–</w:t>
      </w:r>
      <w:r w:rsidRPr="00C843AB">
        <w:rPr>
          <w:sz w:val="18"/>
          <w:szCs w:val="18"/>
        </w:rPr>
        <w:t>1084.</w:t>
      </w:r>
    </w:p>
  </w:endnote>
  <w:endnote w:id="88">
    <w:p w14:paraId="6164E0F2" w14:textId="08AF9527" w:rsidR="00BA4B48" w:rsidRPr="00C843AB" w:rsidRDefault="00BA4B48" w:rsidP="00D85D1F">
      <w:pPr>
        <w:pStyle w:val="EndnoteText"/>
        <w:spacing w:after="120"/>
        <w:rPr>
          <w:sz w:val="18"/>
          <w:szCs w:val="18"/>
        </w:rPr>
      </w:pPr>
      <w:r w:rsidRPr="00C843AB">
        <w:rPr>
          <w:rStyle w:val="EndnoteReference"/>
          <w:sz w:val="18"/>
          <w:szCs w:val="18"/>
        </w:rPr>
        <w:endnoteRef/>
      </w:r>
      <w:r w:rsidRPr="00C843AB">
        <w:rPr>
          <w:rFonts w:cs="Segoe UI"/>
          <w:sz w:val="18"/>
          <w:szCs w:val="18"/>
        </w:rPr>
        <w:t xml:space="preserve">ACT Government. (2017). </w:t>
      </w:r>
      <w:r w:rsidRPr="00C843AB">
        <w:rPr>
          <w:rFonts w:cs="Segoe UI"/>
          <w:sz w:val="18"/>
          <w:szCs w:val="18"/>
          <w:u w:val="single"/>
        </w:rPr>
        <w:t>World Hepatitis Day 2017: Effective treatment reducing Hepatitis C rates in AMC.</w:t>
      </w:r>
      <w:r w:rsidRPr="00C843AB">
        <w:rPr>
          <w:rFonts w:cs="Segoe UI"/>
          <w:sz w:val="18"/>
          <w:szCs w:val="18"/>
        </w:rPr>
        <w:t xml:space="preserve"> Accessed 27 February 2017 at: </w:t>
      </w:r>
      <w:hyperlink r:id="rId24" w:tooltip="CMTEDD" w:history="1">
        <w:r w:rsidRPr="00C843AB">
          <w:rPr>
            <w:rStyle w:val="Hyperlink"/>
            <w:rFonts w:cs="Segoe UI"/>
            <w:sz w:val="18"/>
            <w:szCs w:val="18"/>
          </w:rPr>
          <w:t>https://www.cmtedd.act.gov.au/open_government/inform/act_government_media_releases/rattenbury/2017/world-hepatitis-day-2017-effective-treatment-reducing-hepatitis-c-rates-in-amc</w:t>
        </w:r>
      </w:hyperlink>
      <w:r w:rsidRPr="00C843AB">
        <w:rPr>
          <w:rFonts w:cs="Segoe UI"/>
          <w:sz w:val="18"/>
          <w:szCs w:val="18"/>
        </w:rPr>
        <w:t xml:space="preserve">. </w:t>
      </w:r>
    </w:p>
  </w:endnote>
  <w:endnote w:id="89">
    <w:p w14:paraId="579377CB" w14:textId="2C140AA9" w:rsidR="00BA4B48" w:rsidRPr="00C843AB" w:rsidRDefault="00BA4B48" w:rsidP="00D35EAF">
      <w:pPr>
        <w:pStyle w:val="EndnoteText"/>
        <w:spacing w:after="120"/>
        <w:rPr>
          <w:sz w:val="18"/>
          <w:szCs w:val="18"/>
        </w:rPr>
      </w:pPr>
      <w:r w:rsidRPr="00C843AB">
        <w:rPr>
          <w:rStyle w:val="EndnoteReference"/>
          <w:sz w:val="18"/>
          <w:szCs w:val="18"/>
        </w:rPr>
        <w:endnoteRef/>
      </w:r>
      <w:r w:rsidRPr="00C843AB">
        <w:rPr>
          <w:sz w:val="18"/>
          <w:szCs w:val="18"/>
        </w:rPr>
        <w:t xml:space="preserve"> Russell, D. B., P. Fox, H. Cabatingan</w:t>
      </w:r>
      <w:r>
        <w:rPr>
          <w:sz w:val="18"/>
          <w:szCs w:val="18"/>
        </w:rPr>
        <w:t xml:space="preserve"> </w:t>
      </w:r>
      <w:r w:rsidRPr="0092447E">
        <w:rPr>
          <w:i/>
          <w:sz w:val="18"/>
          <w:szCs w:val="18"/>
        </w:rPr>
        <w:t>et al.</w:t>
      </w:r>
      <w:r>
        <w:rPr>
          <w:sz w:val="18"/>
          <w:szCs w:val="18"/>
        </w:rPr>
        <w:t xml:space="preserve"> </w:t>
      </w:r>
      <w:r w:rsidRPr="00C843AB">
        <w:rPr>
          <w:sz w:val="18"/>
          <w:szCs w:val="18"/>
        </w:rPr>
        <w:t xml:space="preserve">(2017). </w:t>
      </w:r>
      <w:r w:rsidRPr="0092447E">
        <w:rPr>
          <w:sz w:val="18"/>
          <w:szCs w:val="18"/>
          <w:u w:val="single"/>
        </w:rPr>
        <w:t>A regional prison cleared of hepatitis C in less than 12 months</w:t>
      </w:r>
      <w:r w:rsidRPr="00C843AB">
        <w:rPr>
          <w:sz w:val="18"/>
          <w:szCs w:val="18"/>
        </w:rPr>
        <w:t xml:space="preserve">. Keynote presentation at the </w:t>
      </w:r>
      <w:r w:rsidRPr="0092447E">
        <w:rPr>
          <w:sz w:val="18"/>
          <w:szCs w:val="18"/>
        </w:rPr>
        <w:t>Australian Viral Hepatitis Elimination Conference 2017</w:t>
      </w:r>
      <w:r w:rsidRPr="00C843AB">
        <w:rPr>
          <w:sz w:val="18"/>
          <w:szCs w:val="18"/>
        </w:rPr>
        <w:t xml:space="preserve">, 10 August 2017. </w:t>
      </w:r>
    </w:p>
  </w:endnote>
  <w:endnote w:id="90">
    <w:p w14:paraId="6D87A14F" w14:textId="2B7DC6B7" w:rsidR="00BA4B48" w:rsidRPr="00C843AB" w:rsidRDefault="00BA4B48" w:rsidP="00D35EAF">
      <w:pPr>
        <w:rPr>
          <w:sz w:val="18"/>
          <w:szCs w:val="18"/>
        </w:rPr>
      </w:pPr>
    </w:p>
  </w:endnote>
  <w:endnote w:id="91">
    <w:p w14:paraId="074441D9" w14:textId="26DE0F7F" w:rsidR="00BA4B48" w:rsidRPr="00C843AB" w:rsidRDefault="00BA4B48" w:rsidP="00D35EAF">
      <w:pPr>
        <w:pStyle w:val="EndnoteText"/>
        <w:spacing w:after="120"/>
        <w:rPr>
          <w:sz w:val="18"/>
          <w:szCs w:val="18"/>
        </w:rPr>
      </w:pPr>
      <w:r w:rsidRPr="00C843AB">
        <w:rPr>
          <w:rStyle w:val="EndnoteReference"/>
          <w:sz w:val="18"/>
          <w:szCs w:val="18"/>
        </w:rPr>
        <w:endnoteRef/>
      </w:r>
      <w:r w:rsidRPr="00C843AB">
        <w:rPr>
          <w:sz w:val="18"/>
          <w:szCs w:val="18"/>
        </w:rPr>
        <w:t xml:space="preserve"> Kelaher, M. A., </w:t>
      </w:r>
      <w:r>
        <w:rPr>
          <w:sz w:val="18"/>
          <w:szCs w:val="18"/>
        </w:rPr>
        <w:t xml:space="preserve">A. S. </w:t>
      </w:r>
      <w:r w:rsidRPr="00C843AB">
        <w:rPr>
          <w:sz w:val="18"/>
          <w:szCs w:val="18"/>
        </w:rPr>
        <w:t xml:space="preserve">Ferdinand, and </w:t>
      </w:r>
      <w:r>
        <w:rPr>
          <w:sz w:val="18"/>
          <w:szCs w:val="18"/>
        </w:rPr>
        <w:t xml:space="preserve">Y. </w:t>
      </w:r>
      <w:r w:rsidRPr="00C843AB">
        <w:rPr>
          <w:sz w:val="18"/>
          <w:szCs w:val="18"/>
        </w:rPr>
        <w:t>Paradies. (2014)</w:t>
      </w:r>
      <w:r>
        <w:rPr>
          <w:sz w:val="18"/>
          <w:szCs w:val="18"/>
        </w:rPr>
        <w:t>.</w:t>
      </w:r>
      <w:r w:rsidRPr="00C843AB">
        <w:rPr>
          <w:sz w:val="18"/>
          <w:szCs w:val="18"/>
        </w:rPr>
        <w:t xml:space="preserve"> </w:t>
      </w:r>
      <w:r>
        <w:rPr>
          <w:sz w:val="18"/>
          <w:szCs w:val="18"/>
        </w:rPr>
        <w:t>‘</w:t>
      </w:r>
      <w:r w:rsidRPr="00C843AB">
        <w:rPr>
          <w:sz w:val="18"/>
          <w:szCs w:val="18"/>
        </w:rPr>
        <w:t>Experiencing racism in health care: the mental health impacts for Victorian Aboriginal communities.</w:t>
      </w:r>
      <w:r>
        <w:rPr>
          <w:sz w:val="18"/>
          <w:szCs w:val="18"/>
        </w:rPr>
        <w:t>’</w:t>
      </w:r>
      <w:r w:rsidRPr="00C843AB">
        <w:rPr>
          <w:sz w:val="18"/>
          <w:szCs w:val="18"/>
        </w:rPr>
        <w:t xml:space="preserve"> </w:t>
      </w:r>
      <w:r w:rsidRPr="0092447E">
        <w:rPr>
          <w:sz w:val="18"/>
          <w:szCs w:val="18"/>
          <w:u w:val="single"/>
        </w:rPr>
        <w:t>Medical Journal of Australia</w:t>
      </w:r>
      <w:r w:rsidRPr="0092447E">
        <w:rPr>
          <w:sz w:val="18"/>
          <w:szCs w:val="18"/>
        </w:rPr>
        <w:t xml:space="preserve">, </w:t>
      </w:r>
      <w:r w:rsidRPr="0092447E">
        <w:rPr>
          <w:b/>
          <w:sz w:val="18"/>
          <w:szCs w:val="18"/>
        </w:rPr>
        <w:t>201</w:t>
      </w:r>
      <w:r w:rsidRPr="0092447E">
        <w:rPr>
          <w:sz w:val="18"/>
          <w:szCs w:val="18"/>
        </w:rPr>
        <w:t>(1)</w:t>
      </w:r>
      <w:r>
        <w:rPr>
          <w:sz w:val="18"/>
          <w:szCs w:val="18"/>
        </w:rPr>
        <w:t>:</w:t>
      </w:r>
      <w:r w:rsidRPr="0092447E">
        <w:rPr>
          <w:sz w:val="18"/>
          <w:szCs w:val="18"/>
        </w:rPr>
        <w:t>44</w:t>
      </w:r>
      <w:r>
        <w:rPr>
          <w:sz w:val="18"/>
          <w:szCs w:val="18"/>
        </w:rPr>
        <w:t>–</w:t>
      </w:r>
      <w:r w:rsidRPr="0092447E">
        <w:rPr>
          <w:sz w:val="18"/>
          <w:szCs w:val="18"/>
        </w:rPr>
        <w:t>47</w:t>
      </w:r>
      <w:r>
        <w:rPr>
          <w:sz w:val="18"/>
          <w:szCs w:val="18"/>
        </w:rPr>
        <w:t>.</w:t>
      </w:r>
    </w:p>
  </w:endnote>
  <w:endnote w:id="92">
    <w:p w14:paraId="72E37270" w14:textId="2155B7CE" w:rsidR="00BA4B48" w:rsidRPr="00C843AB" w:rsidRDefault="00BA4B48"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Ritter, A.</w:t>
      </w:r>
      <w:r>
        <w:rPr>
          <w:rFonts w:cs="Segoe UI"/>
          <w:sz w:val="18"/>
          <w:szCs w:val="18"/>
        </w:rPr>
        <w:t>,</w:t>
      </w:r>
      <w:r w:rsidRPr="00C843AB">
        <w:rPr>
          <w:rFonts w:cs="Segoe UI"/>
          <w:sz w:val="18"/>
          <w:szCs w:val="18"/>
        </w:rPr>
        <w:t xml:space="preserve"> and J. Cameron. (2005). </w:t>
      </w:r>
      <w:r>
        <w:rPr>
          <w:rFonts w:cs="Segoe UI"/>
          <w:sz w:val="18"/>
          <w:szCs w:val="18"/>
        </w:rPr>
        <w:t>‘</w:t>
      </w:r>
      <w:r w:rsidRPr="00C843AB">
        <w:rPr>
          <w:rFonts w:cs="Segoe UI"/>
          <w:sz w:val="18"/>
          <w:szCs w:val="18"/>
        </w:rPr>
        <w:t>A systematic review of harm reduction.</w:t>
      </w:r>
      <w:r>
        <w:rPr>
          <w:rFonts w:cs="Segoe UI"/>
          <w:sz w:val="18"/>
          <w:szCs w:val="18"/>
        </w:rPr>
        <w:t>’</w:t>
      </w:r>
      <w:r w:rsidRPr="0092447E">
        <w:rPr>
          <w:rFonts w:cs="Segoe UI"/>
          <w:sz w:val="18"/>
          <w:szCs w:val="18"/>
        </w:rPr>
        <w:t xml:space="preserve"> </w:t>
      </w:r>
      <w:r w:rsidRPr="00C843AB">
        <w:rPr>
          <w:rFonts w:cs="Segoe UI"/>
          <w:sz w:val="18"/>
          <w:szCs w:val="18"/>
          <w:u w:val="single"/>
        </w:rPr>
        <w:t>Drug Policy Modelling Project Monograph</w:t>
      </w:r>
      <w:r w:rsidRPr="00C843AB">
        <w:rPr>
          <w:rFonts w:cs="Segoe UI"/>
          <w:sz w:val="18"/>
          <w:szCs w:val="18"/>
        </w:rPr>
        <w:t xml:space="preserve">, </w:t>
      </w:r>
      <w:r w:rsidRPr="00C843AB">
        <w:rPr>
          <w:rFonts w:cs="Segoe UI"/>
          <w:b/>
          <w:sz w:val="18"/>
          <w:szCs w:val="18"/>
        </w:rPr>
        <w:t>6</w:t>
      </w:r>
      <w:r w:rsidRPr="00C843AB">
        <w:rPr>
          <w:rFonts w:cs="Segoe UI"/>
          <w:sz w:val="18"/>
          <w:szCs w:val="18"/>
        </w:rPr>
        <w:t>.</w:t>
      </w:r>
    </w:p>
  </w:endnote>
  <w:endnote w:id="93">
    <w:p w14:paraId="42F18A78" w14:textId="53B03592" w:rsidR="00BA4B48" w:rsidRPr="00C843AB" w:rsidRDefault="00BA4B48" w:rsidP="00D35EAF">
      <w:pPr>
        <w:pStyle w:val="EndnoteText"/>
        <w:spacing w:after="120"/>
        <w:rPr>
          <w:sz w:val="18"/>
          <w:szCs w:val="18"/>
        </w:rPr>
      </w:pPr>
      <w:r w:rsidRPr="00C843AB">
        <w:rPr>
          <w:rStyle w:val="EndnoteReference"/>
          <w:sz w:val="18"/>
          <w:szCs w:val="18"/>
        </w:rPr>
        <w:endnoteRef/>
      </w:r>
      <w:r w:rsidRPr="00C843AB">
        <w:rPr>
          <w:sz w:val="18"/>
          <w:szCs w:val="18"/>
        </w:rPr>
        <w:t xml:space="preserve"> Department of Health</w:t>
      </w:r>
      <w:r>
        <w:rPr>
          <w:sz w:val="18"/>
          <w:szCs w:val="18"/>
        </w:rPr>
        <w:t>.</w:t>
      </w:r>
      <w:r w:rsidRPr="00C843AB">
        <w:rPr>
          <w:sz w:val="18"/>
          <w:szCs w:val="18"/>
        </w:rPr>
        <w:t xml:space="preserve"> (2014)</w:t>
      </w:r>
      <w:r>
        <w:rPr>
          <w:sz w:val="18"/>
          <w:szCs w:val="18"/>
        </w:rPr>
        <w:t>.</w:t>
      </w:r>
      <w:r w:rsidRPr="00C843AB">
        <w:rPr>
          <w:sz w:val="18"/>
          <w:szCs w:val="18"/>
        </w:rPr>
        <w:t xml:space="preserve"> </w:t>
      </w:r>
      <w:r w:rsidRPr="0092447E">
        <w:rPr>
          <w:i/>
          <w:sz w:val="18"/>
          <w:szCs w:val="18"/>
        </w:rPr>
        <w:t>Aboriginal and Torres Strait Islander Health Curriculum Framework</w:t>
      </w:r>
      <w:r w:rsidRPr="00C843AB">
        <w:rPr>
          <w:sz w:val="18"/>
          <w:szCs w:val="18"/>
        </w:rPr>
        <w:t>. Accessed</w:t>
      </w:r>
      <w:r>
        <w:rPr>
          <w:sz w:val="18"/>
          <w:szCs w:val="18"/>
        </w:rPr>
        <w:t xml:space="preserve"> </w:t>
      </w:r>
      <w:r>
        <w:rPr>
          <w:sz w:val="18"/>
          <w:szCs w:val="18"/>
        </w:rPr>
        <w:br/>
        <w:t xml:space="preserve">12 November 2018 </w:t>
      </w:r>
      <w:r w:rsidRPr="00C843AB">
        <w:rPr>
          <w:sz w:val="18"/>
          <w:szCs w:val="18"/>
        </w:rPr>
        <w:t xml:space="preserve">at:   </w:t>
      </w:r>
      <w:hyperlink r:id="rId25" w:tooltip="Australian Department of Health" w:history="1">
        <w:r w:rsidRPr="00C843AB">
          <w:rPr>
            <w:rStyle w:val="Hyperlink"/>
            <w:rFonts w:cs="Segoe UI"/>
            <w:sz w:val="18"/>
            <w:szCs w:val="18"/>
          </w:rPr>
          <w:t>https://www.health.gov.au/internet/main/publishing.nsf/Content/72C7E23E1BD5E9CFCA257F640082CD48/$File/Health%20Curriculum%20Framework.pdf</w:t>
        </w:r>
      </w:hyperlink>
      <w:r w:rsidRPr="00C843AB">
        <w:rPr>
          <w:rFonts w:cs="Segoe UI"/>
          <w:sz w:val="18"/>
          <w:szCs w:val="18"/>
        </w:rPr>
        <w:t xml:space="preserve"> </w:t>
      </w:r>
    </w:p>
  </w:endnote>
  <w:endnote w:id="94">
    <w:p w14:paraId="4759EE11" w14:textId="2A015A1B" w:rsidR="00BA4B48" w:rsidRPr="00C843AB" w:rsidRDefault="00BA4B48" w:rsidP="00D35EAF">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color w:val="333333"/>
          <w:sz w:val="18"/>
          <w:szCs w:val="18"/>
          <w:lang w:val="en"/>
        </w:rPr>
        <w:t xml:space="preserve">Treloar, C., </w:t>
      </w:r>
      <w:r>
        <w:rPr>
          <w:color w:val="333333"/>
          <w:sz w:val="18"/>
          <w:szCs w:val="18"/>
          <w:lang w:val="en"/>
        </w:rPr>
        <w:t xml:space="preserve">M. </w:t>
      </w:r>
      <w:r w:rsidRPr="00C843AB">
        <w:rPr>
          <w:color w:val="333333"/>
          <w:sz w:val="18"/>
          <w:szCs w:val="18"/>
          <w:lang w:val="en"/>
        </w:rPr>
        <w:t xml:space="preserve">Hopwood, </w:t>
      </w:r>
      <w:r>
        <w:rPr>
          <w:color w:val="333333"/>
          <w:sz w:val="18"/>
          <w:szCs w:val="18"/>
          <w:lang w:val="en"/>
        </w:rPr>
        <w:t xml:space="preserve">E. </w:t>
      </w:r>
      <w:r w:rsidRPr="00C843AB">
        <w:rPr>
          <w:color w:val="333333"/>
          <w:sz w:val="18"/>
          <w:szCs w:val="18"/>
          <w:lang w:val="en"/>
        </w:rPr>
        <w:t>Cama</w:t>
      </w:r>
      <w:r>
        <w:rPr>
          <w:color w:val="333333"/>
          <w:sz w:val="18"/>
          <w:szCs w:val="18"/>
          <w:lang w:val="en"/>
        </w:rPr>
        <w:t xml:space="preserve"> </w:t>
      </w:r>
      <w:r w:rsidRPr="0092447E">
        <w:rPr>
          <w:i/>
          <w:color w:val="333333"/>
          <w:sz w:val="18"/>
          <w:szCs w:val="18"/>
          <w:lang w:val="en"/>
        </w:rPr>
        <w:t>et al.</w:t>
      </w:r>
      <w:r>
        <w:rPr>
          <w:color w:val="333333"/>
          <w:sz w:val="18"/>
          <w:szCs w:val="18"/>
          <w:lang w:val="en"/>
        </w:rPr>
        <w:t xml:space="preserve"> </w:t>
      </w:r>
      <w:r w:rsidRPr="00C843AB">
        <w:rPr>
          <w:color w:val="333333"/>
          <w:sz w:val="18"/>
          <w:szCs w:val="18"/>
          <w:lang w:val="en"/>
        </w:rPr>
        <w:t>(2018)</w:t>
      </w:r>
      <w:r>
        <w:rPr>
          <w:color w:val="333333"/>
          <w:sz w:val="18"/>
          <w:szCs w:val="18"/>
          <w:lang w:val="en"/>
        </w:rPr>
        <w:t>.</w:t>
      </w:r>
      <w:r w:rsidRPr="00C843AB">
        <w:rPr>
          <w:color w:val="333333"/>
          <w:sz w:val="18"/>
          <w:szCs w:val="18"/>
          <w:lang w:val="en"/>
        </w:rPr>
        <w:t xml:space="preserve"> </w:t>
      </w:r>
      <w:r>
        <w:rPr>
          <w:color w:val="333333"/>
          <w:sz w:val="18"/>
          <w:szCs w:val="18"/>
          <w:lang w:val="en"/>
        </w:rPr>
        <w:t>‘</w:t>
      </w:r>
      <w:r w:rsidRPr="00C843AB">
        <w:rPr>
          <w:sz w:val="18"/>
          <w:szCs w:val="18"/>
          <w:lang w:val="en"/>
        </w:rPr>
        <w:t>Evaluation of the Deadly Liver Mob program: insights for roll-out and scale-up of a pilot program to engage Aboriginal Australians in hepatitis C and sexual health education, screening, and care.</w:t>
      </w:r>
      <w:r>
        <w:rPr>
          <w:sz w:val="18"/>
          <w:szCs w:val="18"/>
          <w:lang w:val="en"/>
        </w:rPr>
        <w:t>’</w:t>
      </w:r>
      <w:r w:rsidRPr="00C843AB">
        <w:rPr>
          <w:sz w:val="18"/>
          <w:szCs w:val="18"/>
          <w:lang w:val="en"/>
        </w:rPr>
        <w:t xml:space="preserve"> </w:t>
      </w:r>
      <w:r w:rsidRPr="0092447E">
        <w:rPr>
          <w:sz w:val="18"/>
          <w:szCs w:val="18"/>
          <w:u w:val="single"/>
          <w:lang w:val="en"/>
        </w:rPr>
        <w:t>Harm Reduction Journal</w:t>
      </w:r>
      <w:r w:rsidRPr="0092447E">
        <w:rPr>
          <w:sz w:val="18"/>
          <w:szCs w:val="18"/>
          <w:lang w:val="en"/>
        </w:rPr>
        <w:t>,</w:t>
      </w:r>
      <w:r w:rsidRPr="00C843AB">
        <w:rPr>
          <w:sz w:val="18"/>
          <w:szCs w:val="18"/>
          <w:lang w:val="en"/>
        </w:rPr>
        <w:t xml:space="preserve"> </w:t>
      </w:r>
      <w:r w:rsidRPr="0092447E">
        <w:rPr>
          <w:b/>
          <w:sz w:val="18"/>
          <w:szCs w:val="18"/>
          <w:lang w:val="en"/>
        </w:rPr>
        <w:t>15</w:t>
      </w:r>
      <w:r w:rsidRPr="00C843AB">
        <w:rPr>
          <w:sz w:val="18"/>
          <w:szCs w:val="18"/>
          <w:lang w:val="en"/>
        </w:rPr>
        <w:t>(5)</w:t>
      </w:r>
      <w:r>
        <w:rPr>
          <w:sz w:val="18"/>
          <w:szCs w:val="18"/>
          <w:lang w:val="en"/>
        </w:rPr>
        <w:t>.</w:t>
      </w:r>
    </w:p>
  </w:endnote>
  <w:endnote w:id="95">
    <w:p w14:paraId="600EDF29" w14:textId="47FEF04C" w:rsidR="00BA4B48" w:rsidRPr="00C843AB" w:rsidRDefault="00BA4B48" w:rsidP="00D35EAF">
      <w:pPr>
        <w:pStyle w:val="CommentText"/>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Hengel</w:t>
      </w:r>
      <w:r>
        <w:rPr>
          <w:rFonts w:cs="Segoe UI"/>
          <w:sz w:val="18"/>
          <w:szCs w:val="18"/>
        </w:rPr>
        <w:t xml:space="preserve">, B. </w:t>
      </w:r>
      <w:r w:rsidRPr="0092447E">
        <w:rPr>
          <w:rFonts w:cs="Segoe UI"/>
          <w:i/>
          <w:sz w:val="18"/>
          <w:szCs w:val="18"/>
        </w:rPr>
        <w:t>et al</w:t>
      </w:r>
      <w:r>
        <w:rPr>
          <w:rFonts w:cs="Segoe UI"/>
          <w:i/>
          <w:sz w:val="18"/>
          <w:szCs w:val="18"/>
        </w:rPr>
        <w:t>.</w:t>
      </w:r>
      <w:r w:rsidRPr="00C843AB">
        <w:rPr>
          <w:rFonts w:cs="Segoe UI"/>
          <w:sz w:val="18"/>
          <w:szCs w:val="18"/>
        </w:rPr>
        <w:t xml:space="preserve"> (2015) </w:t>
      </w:r>
      <w:r>
        <w:rPr>
          <w:rFonts w:cs="Segoe UI"/>
          <w:sz w:val="18"/>
          <w:szCs w:val="18"/>
        </w:rPr>
        <w:t>‘</w:t>
      </w:r>
      <w:r w:rsidRPr="00C843AB">
        <w:rPr>
          <w:rFonts w:cs="Segoe UI"/>
          <w:sz w:val="18"/>
          <w:szCs w:val="18"/>
        </w:rPr>
        <w:t>Barriers and facilitators of sexually transmissible infection testing in remote Australian Aboriginal communities: results from the Sexually Transmitted Infections in Remote Communities, Improved and Enhanced Primary Health Care (STRIVE) Study.</w:t>
      </w:r>
      <w:r>
        <w:rPr>
          <w:rFonts w:cs="Segoe UI"/>
          <w:sz w:val="18"/>
          <w:szCs w:val="18"/>
        </w:rPr>
        <w:t>’</w:t>
      </w:r>
      <w:r w:rsidRPr="00C843AB">
        <w:rPr>
          <w:rFonts w:cs="Segoe UI"/>
          <w:sz w:val="18"/>
          <w:szCs w:val="18"/>
        </w:rPr>
        <w:t xml:space="preserve"> </w:t>
      </w:r>
      <w:r w:rsidRPr="0092447E">
        <w:rPr>
          <w:rFonts w:cs="Segoe UI"/>
          <w:sz w:val="18"/>
          <w:szCs w:val="18"/>
          <w:u w:val="single"/>
        </w:rPr>
        <w:t>Sexual Health</w:t>
      </w:r>
      <w:r w:rsidRPr="0092447E">
        <w:rPr>
          <w:rFonts w:cs="Segoe UI"/>
          <w:sz w:val="18"/>
          <w:szCs w:val="18"/>
        </w:rPr>
        <w:t>,</w:t>
      </w:r>
      <w:r w:rsidRPr="00C843AB">
        <w:rPr>
          <w:rFonts w:cs="Segoe UI"/>
          <w:sz w:val="18"/>
          <w:szCs w:val="18"/>
        </w:rPr>
        <w:t xml:space="preserve"> </w:t>
      </w:r>
      <w:r w:rsidRPr="0092447E">
        <w:rPr>
          <w:rFonts w:cs="Segoe UI"/>
          <w:b/>
          <w:sz w:val="18"/>
          <w:szCs w:val="18"/>
        </w:rPr>
        <w:t>12</w:t>
      </w:r>
      <w:r>
        <w:rPr>
          <w:rFonts w:cs="Segoe UI"/>
          <w:sz w:val="18"/>
          <w:szCs w:val="18"/>
        </w:rPr>
        <w:t>:</w:t>
      </w:r>
      <w:r w:rsidRPr="00C843AB">
        <w:rPr>
          <w:rFonts w:cs="Segoe UI"/>
          <w:sz w:val="18"/>
          <w:szCs w:val="18"/>
        </w:rPr>
        <w:t>4–12</w:t>
      </w:r>
      <w:r>
        <w:rPr>
          <w:rFonts w:cs="Segoe UI"/>
          <w:sz w:val="18"/>
          <w:szCs w:val="18"/>
        </w:rPr>
        <w:t>.</w:t>
      </w:r>
    </w:p>
  </w:endnote>
  <w:endnote w:id="96">
    <w:p w14:paraId="359411B2" w14:textId="5BF293D3" w:rsidR="00BA4B48" w:rsidRPr="00C843AB" w:rsidRDefault="00BA4B48"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Ward, J., M. Costello-Czok, J. Willis, M. Saunders, and C. Shannon</w:t>
      </w:r>
      <w:r>
        <w:rPr>
          <w:rFonts w:cs="Segoe UI"/>
          <w:sz w:val="18"/>
          <w:szCs w:val="18"/>
        </w:rPr>
        <w:t>.</w:t>
      </w:r>
      <w:r w:rsidRPr="00C843AB">
        <w:rPr>
          <w:rFonts w:cs="Segoe UI"/>
          <w:sz w:val="18"/>
          <w:szCs w:val="18"/>
        </w:rPr>
        <w:t xml:space="preserve"> (2014). </w:t>
      </w:r>
      <w:r>
        <w:rPr>
          <w:rFonts w:cs="Segoe UI"/>
          <w:sz w:val="18"/>
          <w:szCs w:val="18"/>
        </w:rPr>
        <w:t>‘</w:t>
      </w:r>
      <w:r w:rsidRPr="00C843AB">
        <w:rPr>
          <w:rFonts w:cs="Segoe UI"/>
          <w:sz w:val="18"/>
          <w:szCs w:val="18"/>
        </w:rPr>
        <w:t>So far, so good: maintenance of prevention is required to stem HIV incidence in Aboriginal and Torres Strait Islander communities in Australia.</w:t>
      </w:r>
      <w:r>
        <w:rPr>
          <w:rFonts w:cs="Segoe UI"/>
          <w:sz w:val="18"/>
          <w:szCs w:val="18"/>
        </w:rPr>
        <w:t>’</w:t>
      </w:r>
      <w:r w:rsidRPr="00C843AB">
        <w:rPr>
          <w:rFonts w:cs="Segoe UI"/>
          <w:sz w:val="18"/>
          <w:szCs w:val="18"/>
        </w:rPr>
        <w:t xml:space="preserve"> </w:t>
      </w:r>
      <w:r w:rsidRPr="0092447E">
        <w:rPr>
          <w:rFonts w:cs="Segoe UI"/>
          <w:sz w:val="18"/>
          <w:szCs w:val="18"/>
          <w:u w:val="single"/>
        </w:rPr>
        <w:t>AIDS Education and Prevention</w:t>
      </w:r>
      <w:r w:rsidRPr="0092447E">
        <w:rPr>
          <w:rFonts w:cs="Segoe UI"/>
          <w:sz w:val="18"/>
          <w:szCs w:val="18"/>
        </w:rPr>
        <w:t>,</w:t>
      </w:r>
      <w:r w:rsidRPr="00C843AB">
        <w:rPr>
          <w:rFonts w:cs="Segoe UI"/>
          <w:i/>
          <w:sz w:val="18"/>
          <w:szCs w:val="18"/>
        </w:rPr>
        <w:t xml:space="preserve"> </w:t>
      </w:r>
      <w:r w:rsidRPr="0092447E">
        <w:rPr>
          <w:rFonts w:cs="Segoe UI"/>
          <w:b/>
          <w:sz w:val="18"/>
          <w:szCs w:val="18"/>
        </w:rPr>
        <w:t>26</w:t>
      </w:r>
      <w:r w:rsidRPr="00C843AB">
        <w:rPr>
          <w:rFonts w:cs="Segoe UI"/>
          <w:sz w:val="18"/>
          <w:szCs w:val="18"/>
        </w:rPr>
        <w:t>(3):267–279.</w:t>
      </w:r>
    </w:p>
  </w:endnote>
  <w:endnote w:id="97">
    <w:p w14:paraId="4F854B1F" w14:textId="4142673D" w:rsidR="00BA4B48" w:rsidRPr="00C843AB" w:rsidRDefault="00BA4B48" w:rsidP="00D35EAF">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Guy, R., J.</w:t>
      </w:r>
      <w:r>
        <w:rPr>
          <w:rFonts w:cs="Segoe UI"/>
          <w:sz w:val="18"/>
          <w:szCs w:val="18"/>
        </w:rPr>
        <w:t xml:space="preserve"> </w:t>
      </w:r>
      <w:r w:rsidRPr="00C843AB">
        <w:rPr>
          <w:rFonts w:cs="Segoe UI"/>
          <w:sz w:val="18"/>
          <w:szCs w:val="18"/>
        </w:rPr>
        <w:t>S. Ward</w:t>
      </w:r>
      <w:r>
        <w:rPr>
          <w:rFonts w:cs="Segoe UI"/>
          <w:sz w:val="18"/>
          <w:szCs w:val="18"/>
        </w:rPr>
        <w:t>,</w:t>
      </w:r>
      <w:r w:rsidRPr="00C843AB">
        <w:rPr>
          <w:rFonts w:cs="Segoe UI"/>
          <w:sz w:val="18"/>
          <w:szCs w:val="18"/>
        </w:rPr>
        <w:t xml:space="preserve"> K.S. Smith</w:t>
      </w:r>
      <w:r>
        <w:rPr>
          <w:rFonts w:cs="Segoe UI"/>
          <w:sz w:val="18"/>
          <w:szCs w:val="18"/>
        </w:rPr>
        <w:t xml:space="preserve"> </w:t>
      </w:r>
      <w:r w:rsidRPr="00EC6699">
        <w:rPr>
          <w:rFonts w:cs="Segoe UI"/>
          <w:i/>
          <w:sz w:val="18"/>
          <w:szCs w:val="18"/>
        </w:rPr>
        <w:t>et al.</w:t>
      </w:r>
      <w:r>
        <w:rPr>
          <w:rFonts w:cs="Segoe UI"/>
          <w:sz w:val="18"/>
          <w:szCs w:val="18"/>
        </w:rPr>
        <w:t xml:space="preserve"> </w:t>
      </w:r>
      <w:r w:rsidRPr="00C843AB">
        <w:rPr>
          <w:rFonts w:cs="Segoe UI"/>
          <w:sz w:val="18"/>
          <w:szCs w:val="18"/>
        </w:rPr>
        <w:t xml:space="preserve">(2012). </w:t>
      </w:r>
      <w:r>
        <w:rPr>
          <w:rFonts w:cs="Segoe UI"/>
          <w:sz w:val="18"/>
          <w:szCs w:val="18"/>
        </w:rPr>
        <w:t>‘</w:t>
      </w:r>
      <w:r w:rsidRPr="00C843AB">
        <w:rPr>
          <w:rFonts w:cs="Segoe UI"/>
          <w:sz w:val="18"/>
          <w:szCs w:val="18"/>
        </w:rPr>
        <w:t>The impact of sexually transmissible infection programs in remote Aboriginal communities in Australia: a systematic review.</w:t>
      </w:r>
      <w:r>
        <w:rPr>
          <w:rFonts w:cs="Segoe UI"/>
          <w:sz w:val="18"/>
          <w:szCs w:val="18"/>
        </w:rPr>
        <w:t>’</w:t>
      </w:r>
      <w:r w:rsidRPr="00C843AB">
        <w:rPr>
          <w:rFonts w:cs="Segoe UI"/>
          <w:sz w:val="18"/>
          <w:szCs w:val="18"/>
        </w:rPr>
        <w:t xml:space="preserve"> </w:t>
      </w:r>
      <w:r w:rsidRPr="00EC6699">
        <w:rPr>
          <w:rFonts w:cs="Segoe UI"/>
          <w:sz w:val="18"/>
          <w:szCs w:val="18"/>
          <w:u w:val="single"/>
        </w:rPr>
        <w:t>Sexual Health</w:t>
      </w:r>
      <w:r w:rsidRPr="00EC6699">
        <w:rPr>
          <w:rFonts w:cs="Segoe UI"/>
          <w:sz w:val="18"/>
          <w:szCs w:val="18"/>
        </w:rPr>
        <w:t>,</w:t>
      </w:r>
      <w:r w:rsidRPr="00C843AB">
        <w:rPr>
          <w:rFonts w:cs="Segoe UI"/>
          <w:i/>
          <w:sz w:val="18"/>
          <w:szCs w:val="18"/>
        </w:rPr>
        <w:t xml:space="preserve"> </w:t>
      </w:r>
      <w:r w:rsidRPr="00C843AB">
        <w:rPr>
          <w:rFonts w:cs="Segoe UI"/>
          <w:b/>
          <w:sz w:val="18"/>
          <w:szCs w:val="18"/>
        </w:rPr>
        <w:t>9</w:t>
      </w:r>
      <w:r w:rsidRPr="00C843AB">
        <w:rPr>
          <w:rFonts w:cs="Segoe UI"/>
          <w:sz w:val="18"/>
          <w:szCs w:val="18"/>
        </w:rPr>
        <w:t>(3):205</w:t>
      </w:r>
      <w:r>
        <w:rPr>
          <w:rFonts w:cs="Segoe UI"/>
          <w:sz w:val="18"/>
          <w:szCs w:val="18"/>
        </w:rPr>
        <w:t>–</w:t>
      </w:r>
      <w:r w:rsidRPr="00C843AB">
        <w:rPr>
          <w:rFonts w:cs="Segoe UI"/>
          <w:sz w:val="18"/>
          <w:szCs w:val="18"/>
        </w:rPr>
        <w:t>212.</w:t>
      </w:r>
    </w:p>
  </w:endnote>
  <w:endnote w:id="98">
    <w:p w14:paraId="479FD481" w14:textId="380EAF54" w:rsidR="00BA4B48" w:rsidRPr="00C843AB" w:rsidRDefault="00BA4B48" w:rsidP="001816FC">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Huang, R.L., </w:t>
      </w:r>
      <w:r>
        <w:rPr>
          <w:rFonts w:cs="Segoe UI"/>
          <w:sz w:val="18"/>
          <w:szCs w:val="18"/>
        </w:rPr>
        <w:t xml:space="preserve">P. </w:t>
      </w:r>
      <w:r w:rsidRPr="00C843AB">
        <w:rPr>
          <w:rFonts w:cs="Segoe UI"/>
          <w:sz w:val="18"/>
          <w:szCs w:val="18"/>
        </w:rPr>
        <w:t>J</w:t>
      </w:r>
      <w:r>
        <w:rPr>
          <w:rFonts w:cs="Segoe UI"/>
          <w:sz w:val="18"/>
          <w:szCs w:val="18"/>
        </w:rPr>
        <w:t>.</w:t>
      </w:r>
      <w:r w:rsidRPr="00C843AB">
        <w:rPr>
          <w:rFonts w:cs="Segoe UI"/>
          <w:sz w:val="18"/>
          <w:szCs w:val="18"/>
        </w:rPr>
        <w:t xml:space="preserve"> Torzillo, </w:t>
      </w:r>
      <w:r>
        <w:rPr>
          <w:rFonts w:cs="Segoe UI"/>
          <w:sz w:val="18"/>
          <w:szCs w:val="18"/>
        </w:rPr>
        <w:t xml:space="preserve">V. </w:t>
      </w:r>
      <w:r w:rsidRPr="00C843AB">
        <w:rPr>
          <w:rFonts w:cs="Segoe UI"/>
          <w:sz w:val="18"/>
          <w:szCs w:val="18"/>
        </w:rPr>
        <w:t>A</w:t>
      </w:r>
      <w:r>
        <w:rPr>
          <w:rFonts w:cs="Segoe UI"/>
          <w:sz w:val="18"/>
          <w:szCs w:val="18"/>
        </w:rPr>
        <w:t>.</w:t>
      </w:r>
      <w:r w:rsidRPr="00C843AB">
        <w:rPr>
          <w:rFonts w:cs="Segoe UI"/>
          <w:sz w:val="18"/>
          <w:szCs w:val="18"/>
        </w:rPr>
        <w:t xml:space="preserve"> Hammond, </w:t>
      </w:r>
      <w:r>
        <w:rPr>
          <w:rFonts w:cs="Segoe UI"/>
          <w:sz w:val="18"/>
          <w:szCs w:val="18"/>
        </w:rPr>
        <w:t xml:space="preserve">S. </w:t>
      </w:r>
      <w:r w:rsidRPr="00C843AB">
        <w:rPr>
          <w:rFonts w:cs="Segoe UI"/>
          <w:sz w:val="18"/>
          <w:szCs w:val="18"/>
        </w:rPr>
        <w:t>T</w:t>
      </w:r>
      <w:r>
        <w:rPr>
          <w:rFonts w:cs="Segoe UI"/>
          <w:sz w:val="18"/>
          <w:szCs w:val="18"/>
        </w:rPr>
        <w:t>.</w:t>
      </w:r>
      <w:r w:rsidRPr="00C843AB">
        <w:rPr>
          <w:rFonts w:cs="Segoe UI"/>
          <w:sz w:val="18"/>
          <w:szCs w:val="18"/>
        </w:rPr>
        <w:t xml:space="preserve"> Coulter</w:t>
      </w:r>
      <w:r>
        <w:rPr>
          <w:rFonts w:cs="Segoe UI"/>
          <w:sz w:val="18"/>
          <w:szCs w:val="18"/>
        </w:rPr>
        <w:t>,</w:t>
      </w:r>
      <w:r w:rsidRPr="00C843AB">
        <w:rPr>
          <w:rFonts w:cs="Segoe UI"/>
          <w:sz w:val="18"/>
          <w:szCs w:val="18"/>
        </w:rPr>
        <w:t xml:space="preserve"> and </w:t>
      </w:r>
      <w:r>
        <w:rPr>
          <w:rFonts w:cs="Segoe UI"/>
          <w:sz w:val="18"/>
          <w:szCs w:val="18"/>
        </w:rPr>
        <w:t xml:space="preserve">A. </w:t>
      </w:r>
      <w:r w:rsidRPr="00C843AB">
        <w:rPr>
          <w:rFonts w:cs="Segoe UI"/>
          <w:sz w:val="18"/>
          <w:szCs w:val="18"/>
        </w:rPr>
        <w:t>C</w:t>
      </w:r>
      <w:r>
        <w:rPr>
          <w:rFonts w:cs="Segoe UI"/>
          <w:sz w:val="18"/>
          <w:szCs w:val="18"/>
        </w:rPr>
        <w:t>.</w:t>
      </w:r>
      <w:r w:rsidRPr="00C843AB">
        <w:rPr>
          <w:rFonts w:cs="Segoe UI"/>
          <w:sz w:val="18"/>
          <w:szCs w:val="18"/>
        </w:rPr>
        <w:t xml:space="preserve"> Kirby. </w:t>
      </w:r>
      <w:r>
        <w:rPr>
          <w:rFonts w:cs="Segoe UI"/>
          <w:sz w:val="18"/>
          <w:szCs w:val="18"/>
        </w:rPr>
        <w:t>(2008). ‘</w:t>
      </w:r>
      <w:r w:rsidRPr="00C843AB">
        <w:rPr>
          <w:rFonts w:cs="Segoe UI"/>
          <w:sz w:val="18"/>
          <w:szCs w:val="18"/>
        </w:rPr>
        <w:t>Epidemiology of sexually transmitted infections on the Anangu Pitjantjatjara Yankunytjatjara Lands: results of a comprehensive control program.</w:t>
      </w:r>
      <w:r>
        <w:rPr>
          <w:rFonts w:cs="Segoe UI"/>
          <w:sz w:val="18"/>
          <w:szCs w:val="18"/>
        </w:rPr>
        <w:t>’</w:t>
      </w:r>
      <w:r w:rsidRPr="00C843AB">
        <w:rPr>
          <w:rFonts w:cs="Segoe UI"/>
          <w:sz w:val="18"/>
          <w:szCs w:val="18"/>
        </w:rPr>
        <w:t xml:space="preserve"> </w:t>
      </w:r>
      <w:r w:rsidRPr="00EC6699">
        <w:rPr>
          <w:rFonts w:cs="Segoe UI"/>
          <w:sz w:val="18"/>
          <w:szCs w:val="18"/>
          <w:u w:val="single"/>
        </w:rPr>
        <w:t>Medical Journal of Australia</w:t>
      </w:r>
      <w:r w:rsidRPr="00EC6699">
        <w:rPr>
          <w:rFonts w:cs="Segoe UI"/>
          <w:sz w:val="18"/>
          <w:szCs w:val="18"/>
        </w:rPr>
        <w:t>,</w:t>
      </w:r>
      <w:r w:rsidRPr="00C843AB">
        <w:rPr>
          <w:rFonts w:cs="Segoe UI"/>
          <w:sz w:val="18"/>
          <w:szCs w:val="18"/>
        </w:rPr>
        <w:t xml:space="preserve"> </w:t>
      </w:r>
      <w:r w:rsidRPr="00EC6699">
        <w:rPr>
          <w:rFonts w:cs="Segoe UI"/>
          <w:b/>
          <w:sz w:val="18"/>
          <w:szCs w:val="18"/>
        </w:rPr>
        <w:t>189</w:t>
      </w:r>
      <w:r w:rsidRPr="00C843AB">
        <w:rPr>
          <w:rFonts w:cs="Segoe UI"/>
          <w:sz w:val="18"/>
          <w:szCs w:val="18"/>
        </w:rPr>
        <w:t>(8):442</w:t>
      </w:r>
      <w:r>
        <w:rPr>
          <w:rFonts w:cs="Segoe UI"/>
          <w:sz w:val="18"/>
          <w:szCs w:val="18"/>
        </w:rPr>
        <w:t>–</w:t>
      </w:r>
      <w:r w:rsidRPr="00C843AB">
        <w:rPr>
          <w:rFonts w:cs="Segoe UI"/>
          <w:sz w:val="18"/>
          <w:szCs w:val="18"/>
        </w:rPr>
        <w:t>445.</w:t>
      </w:r>
    </w:p>
  </w:endnote>
  <w:endnote w:id="99">
    <w:p w14:paraId="1E28FB2E" w14:textId="77777777" w:rsidR="00BA4B48" w:rsidRDefault="00BA4B48" w:rsidP="001816FC">
      <w:pPr>
        <w:pStyle w:val="EndnoteText"/>
        <w:spacing w:after="120"/>
        <w:rPr>
          <w:sz w:val="18"/>
          <w:szCs w:val="18"/>
        </w:rPr>
      </w:pPr>
      <w:r w:rsidRPr="00C843AB">
        <w:rPr>
          <w:rStyle w:val="EndnoteReference"/>
          <w:sz w:val="18"/>
          <w:szCs w:val="18"/>
        </w:rPr>
        <w:endnoteRef/>
      </w:r>
      <w:r w:rsidRPr="00C843AB">
        <w:rPr>
          <w:sz w:val="18"/>
          <w:szCs w:val="18"/>
        </w:rPr>
        <w:t xml:space="preserve"> Kippax, S</w:t>
      </w:r>
      <w:r>
        <w:rPr>
          <w:sz w:val="18"/>
          <w:szCs w:val="18"/>
        </w:rPr>
        <w:t>.,</w:t>
      </w:r>
      <w:r w:rsidRPr="00C843AB">
        <w:rPr>
          <w:sz w:val="18"/>
          <w:szCs w:val="18"/>
        </w:rPr>
        <w:t xml:space="preserve"> and </w:t>
      </w:r>
      <w:r>
        <w:rPr>
          <w:sz w:val="18"/>
          <w:szCs w:val="18"/>
        </w:rPr>
        <w:t xml:space="preserve">N. </w:t>
      </w:r>
      <w:r w:rsidRPr="00C843AB">
        <w:rPr>
          <w:sz w:val="18"/>
          <w:szCs w:val="18"/>
        </w:rPr>
        <w:t>Stephenson</w:t>
      </w:r>
      <w:r>
        <w:rPr>
          <w:sz w:val="18"/>
          <w:szCs w:val="18"/>
        </w:rPr>
        <w:t xml:space="preserve">. (2012). </w:t>
      </w:r>
      <w:r w:rsidRPr="00C843AB">
        <w:rPr>
          <w:sz w:val="18"/>
          <w:szCs w:val="18"/>
        </w:rPr>
        <w:t>‘Beyond the distinction between biomedical and social dimensions of HIV: Prevention through the lens of a social public health</w:t>
      </w:r>
      <w:r>
        <w:rPr>
          <w:sz w:val="18"/>
          <w:szCs w:val="18"/>
        </w:rPr>
        <w:t>.</w:t>
      </w:r>
      <w:r w:rsidRPr="00C843AB">
        <w:rPr>
          <w:sz w:val="18"/>
          <w:szCs w:val="18"/>
        </w:rPr>
        <w:t xml:space="preserve">’ </w:t>
      </w:r>
      <w:r w:rsidRPr="00EC6699">
        <w:rPr>
          <w:sz w:val="18"/>
          <w:szCs w:val="18"/>
          <w:u w:val="single"/>
        </w:rPr>
        <w:t>American Journal of Public Health</w:t>
      </w:r>
      <w:r w:rsidRPr="00C843AB">
        <w:rPr>
          <w:sz w:val="18"/>
          <w:szCs w:val="18"/>
        </w:rPr>
        <w:t xml:space="preserve">, </w:t>
      </w:r>
      <w:r w:rsidRPr="00EC6699">
        <w:rPr>
          <w:b/>
          <w:sz w:val="18"/>
          <w:szCs w:val="18"/>
        </w:rPr>
        <w:t>102</w:t>
      </w:r>
      <w:r>
        <w:rPr>
          <w:sz w:val="18"/>
          <w:szCs w:val="18"/>
        </w:rPr>
        <w:t>:</w:t>
      </w:r>
      <w:r w:rsidRPr="00C843AB">
        <w:rPr>
          <w:sz w:val="18"/>
          <w:szCs w:val="18"/>
        </w:rPr>
        <w:t>789</w:t>
      </w:r>
      <w:r>
        <w:rPr>
          <w:sz w:val="18"/>
          <w:szCs w:val="18"/>
        </w:rPr>
        <w:t>–7</w:t>
      </w:r>
      <w:r w:rsidRPr="00C843AB">
        <w:rPr>
          <w:sz w:val="18"/>
          <w:szCs w:val="18"/>
        </w:rPr>
        <w:t xml:space="preserve">99; </w:t>
      </w:r>
    </w:p>
    <w:p w14:paraId="253DAE99" w14:textId="1CCEBFCD" w:rsidR="00BA4B48" w:rsidRPr="00C843AB" w:rsidRDefault="00BA4B48" w:rsidP="001816FC">
      <w:pPr>
        <w:pStyle w:val="EndnoteText"/>
        <w:spacing w:after="120"/>
        <w:rPr>
          <w:sz w:val="18"/>
          <w:szCs w:val="18"/>
        </w:rPr>
      </w:pPr>
    </w:p>
  </w:endnote>
  <w:endnote w:id="100">
    <w:p w14:paraId="4A5FEEBC" w14:textId="18A0112D" w:rsidR="00BA4B48" w:rsidRPr="00C843AB" w:rsidRDefault="00BA4B48" w:rsidP="004D4F3D">
      <w:pPr>
        <w:pStyle w:val="EndnoteText"/>
        <w:spacing w:after="120"/>
        <w:rPr>
          <w:sz w:val="18"/>
          <w:szCs w:val="18"/>
        </w:rPr>
      </w:pPr>
      <w:r w:rsidRPr="00C843AB">
        <w:rPr>
          <w:rStyle w:val="EndnoteReference"/>
          <w:sz w:val="18"/>
          <w:szCs w:val="18"/>
        </w:rPr>
        <w:endnoteRef/>
      </w:r>
      <w:r w:rsidRPr="00C843AB">
        <w:rPr>
          <w:sz w:val="18"/>
          <w:szCs w:val="18"/>
        </w:rPr>
        <w:t xml:space="preserve"> Australian Health Ministers’ Advisory Council</w:t>
      </w:r>
      <w:r>
        <w:rPr>
          <w:sz w:val="18"/>
          <w:szCs w:val="18"/>
        </w:rPr>
        <w:t>.</w:t>
      </w:r>
      <w:r w:rsidRPr="00C843AB">
        <w:rPr>
          <w:sz w:val="18"/>
          <w:szCs w:val="18"/>
        </w:rPr>
        <w:t xml:space="preserve"> (2016)</w:t>
      </w:r>
      <w:r>
        <w:rPr>
          <w:sz w:val="18"/>
          <w:szCs w:val="18"/>
        </w:rPr>
        <w:t>.</w:t>
      </w:r>
      <w:r w:rsidRPr="00C843AB">
        <w:rPr>
          <w:sz w:val="18"/>
          <w:szCs w:val="18"/>
        </w:rPr>
        <w:t xml:space="preserve"> </w:t>
      </w:r>
      <w:r w:rsidRPr="00EC6699">
        <w:rPr>
          <w:sz w:val="18"/>
          <w:szCs w:val="18"/>
          <w:u w:val="single"/>
        </w:rPr>
        <w:t>National Aboriginal and Torres Strait Islander Health Workforce Strategic Framework 2016</w:t>
      </w:r>
      <w:r>
        <w:rPr>
          <w:sz w:val="18"/>
          <w:szCs w:val="18"/>
          <w:u w:val="single"/>
        </w:rPr>
        <w:t>–</w:t>
      </w:r>
      <w:r w:rsidRPr="00EC6699">
        <w:rPr>
          <w:sz w:val="18"/>
          <w:szCs w:val="18"/>
          <w:u w:val="single"/>
        </w:rPr>
        <w:t>2023</w:t>
      </w:r>
      <w:r w:rsidRPr="00C843AB">
        <w:rPr>
          <w:sz w:val="18"/>
          <w:szCs w:val="18"/>
        </w:rPr>
        <w:t>. Accessed</w:t>
      </w:r>
      <w:r>
        <w:rPr>
          <w:sz w:val="18"/>
          <w:szCs w:val="18"/>
        </w:rPr>
        <w:t xml:space="preserve"> 12 November 2018 </w:t>
      </w:r>
      <w:r w:rsidRPr="00C843AB">
        <w:rPr>
          <w:sz w:val="18"/>
          <w:szCs w:val="18"/>
        </w:rPr>
        <w:t xml:space="preserve">at: </w:t>
      </w:r>
      <w:hyperlink r:id="rId26" w:tooltip="AHMAC" w:history="1">
        <w:r w:rsidRPr="00E07EA9">
          <w:rPr>
            <w:rStyle w:val="Hyperlink"/>
            <w:sz w:val="18"/>
            <w:szCs w:val="18"/>
          </w:rPr>
          <w:t>https://www.health.gov.au/internet/main/publishing.nsf/Content/4A716747859075FFCA257BF0001C9608/$File/National-Aboriginal-and-Torres-Strait-Islander-Health-Workforce-Strategic-Framework.pdf</w:t>
        </w:r>
      </w:hyperlink>
    </w:p>
  </w:endnote>
  <w:endnote w:id="101">
    <w:p w14:paraId="5D568341" w14:textId="0F0D1160" w:rsidR="00BA4B48" w:rsidRPr="00C843AB" w:rsidRDefault="00BA4B48" w:rsidP="005D4DCB">
      <w:pPr>
        <w:pStyle w:val="EndnoteText"/>
        <w:spacing w:after="120"/>
        <w:rPr>
          <w:sz w:val="18"/>
          <w:szCs w:val="18"/>
        </w:rPr>
      </w:pPr>
      <w:r w:rsidRPr="00C843AB">
        <w:rPr>
          <w:rStyle w:val="EndnoteReference"/>
          <w:sz w:val="18"/>
          <w:szCs w:val="18"/>
        </w:rPr>
        <w:endnoteRef/>
      </w:r>
      <w:r w:rsidRPr="00C843AB">
        <w:rPr>
          <w:sz w:val="18"/>
          <w:szCs w:val="18"/>
        </w:rPr>
        <w:t xml:space="preserve"> Nursing and Midwifery Board of Australia</w:t>
      </w:r>
      <w:r>
        <w:rPr>
          <w:sz w:val="18"/>
          <w:szCs w:val="18"/>
        </w:rPr>
        <w:t>.</w:t>
      </w:r>
      <w:r w:rsidRPr="00C843AB">
        <w:rPr>
          <w:sz w:val="18"/>
          <w:szCs w:val="18"/>
        </w:rPr>
        <w:t xml:space="preserve"> (2018)</w:t>
      </w:r>
      <w:r>
        <w:rPr>
          <w:sz w:val="18"/>
          <w:szCs w:val="18"/>
        </w:rPr>
        <w:t>.</w:t>
      </w:r>
      <w:r w:rsidRPr="00C843AB">
        <w:rPr>
          <w:sz w:val="18"/>
          <w:szCs w:val="18"/>
        </w:rPr>
        <w:t xml:space="preserve"> </w:t>
      </w:r>
      <w:r w:rsidRPr="00EC6699">
        <w:rPr>
          <w:sz w:val="18"/>
          <w:szCs w:val="18"/>
          <w:u w:val="single"/>
        </w:rPr>
        <w:t>NMBA and CATSINaM joint statement of culturally safe care</w:t>
      </w:r>
      <w:r w:rsidRPr="00C843AB">
        <w:rPr>
          <w:sz w:val="18"/>
          <w:szCs w:val="18"/>
        </w:rPr>
        <w:t>. Accessed</w:t>
      </w:r>
      <w:r>
        <w:rPr>
          <w:sz w:val="18"/>
          <w:szCs w:val="18"/>
        </w:rPr>
        <w:t xml:space="preserve"> 12 November 2018</w:t>
      </w:r>
      <w:r w:rsidRPr="00C843AB">
        <w:rPr>
          <w:sz w:val="18"/>
          <w:szCs w:val="18"/>
        </w:rPr>
        <w:t xml:space="preserve"> at: </w:t>
      </w:r>
      <w:hyperlink r:id="rId27" w:tooltip="Nursing and Midwifery Board of Australia" w:history="1">
        <w:r w:rsidRPr="00C843AB">
          <w:rPr>
            <w:rStyle w:val="Hyperlink"/>
            <w:sz w:val="18"/>
            <w:szCs w:val="18"/>
          </w:rPr>
          <w:t>http://www.nursingmidwiferyboard.gov.au/Codes-Guidelines-Statements/Position-Statements/joint-statement-on-culturally-safe-care.aspx</w:t>
        </w:r>
      </w:hyperlink>
    </w:p>
  </w:endnote>
  <w:endnote w:id="102">
    <w:p w14:paraId="6803C38B" w14:textId="02094A36" w:rsidR="00BA4B48" w:rsidRPr="00C843AB" w:rsidRDefault="00BA4B48" w:rsidP="00383F3B">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sz w:val="18"/>
          <w:szCs w:val="18"/>
          <w:lang w:val="en"/>
        </w:rPr>
        <w:t xml:space="preserve">Topp, S. M., </w:t>
      </w:r>
      <w:r>
        <w:rPr>
          <w:sz w:val="18"/>
          <w:szCs w:val="18"/>
          <w:lang w:val="en"/>
        </w:rPr>
        <w:t xml:space="preserve">A. </w:t>
      </w:r>
      <w:r w:rsidRPr="00C843AB">
        <w:rPr>
          <w:sz w:val="18"/>
          <w:szCs w:val="18"/>
          <w:lang w:val="en"/>
        </w:rPr>
        <w:t xml:space="preserve">Edelman, and </w:t>
      </w:r>
      <w:r>
        <w:rPr>
          <w:sz w:val="18"/>
          <w:szCs w:val="18"/>
          <w:lang w:val="en"/>
        </w:rPr>
        <w:t xml:space="preserve">S. </w:t>
      </w:r>
      <w:r w:rsidRPr="00C843AB">
        <w:rPr>
          <w:sz w:val="18"/>
          <w:szCs w:val="18"/>
          <w:lang w:val="en"/>
        </w:rPr>
        <w:t>Taylor. (2018)</w:t>
      </w:r>
      <w:r>
        <w:rPr>
          <w:sz w:val="18"/>
          <w:szCs w:val="18"/>
          <w:lang w:val="en"/>
        </w:rPr>
        <w:t>.</w:t>
      </w:r>
      <w:r w:rsidRPr="00C843AB">
        <w:rPr>
          <w:sz w:val="18"/>
          <w:szCs w:val="18"/>
          <w:lang w:val="en"/>
        </w:rPr>
        <w:t xml:space="preserve"> </w:t>
      </w:r>
      <w:r>
        <w:rPr>
          <w:sz w:val="18"/>
          <w:szCs w:val="18"/>
          <w:lang w:val="en"/>
        </w:rPr>
        <w:t>‘</w:t>
      </w:r>
      <w:r w:rsidRPr="00C843AB">
        <w:rPr>
          <w:sz w:val="18"/>
          <w:szCs w:val="18"/>
          <w:lang w:val="en"/>
        </w:rPr>
        <w:t>We are everything to everyone: a systematic review of factors influencing the accountability relationships of Aboriginal and Torres Strait Islander health workers in the Australian health system.</w:t>
      </w:r>
      <w:r>
        <w:rPr>
          <w:sz w:val="18"/>
          <w:szCs w:val="18"/>
          <w:lang w:val="en"/>
        </w:rPr>
        <w:t>’</w:t>
      </w:r>
      <w:r w:rsidRPr="00C843AB">
        <w:rPr>
          <w:sz w:val="18"/>
          <w:szCs w:val="18"/>
          <w:lang w:val="en"/>
        </w:rPr>
        <w:t xml:space="preserve"> </w:t>
      </w:r>
      <w:r w:rsidRPr="00EC6699">
        <w:rPr>
          <w:sz w:val="18"/>
          <w:szCs w:val="18"/>
          <w:u w:val="single"/>
          <w:lang w:val="en"/>
        </w:rPr>
        <w:t>International Journal for Equity in Health</w:t>
      </w:r>
      <w:r w:rsidRPr="00EC6699">
        <w:rPr>
          <w:sz w:val="18"/>
          <w:szCs w:val="18"/>
          <w:lang w:val="en"/>
        </w:rPr>
        <w:t>,</w:t>
      </w:r>
      <w:r w:rsidRPr="00C843AB">
        <w:rPr>
          <w:sz w:val="18"/>
          <w:szCs w:val="18"/>
          <w:lang w:val="en"/>
        </w:rPr>
        <w:t xml:space="preserve"> </w:t>
      </w:r>
      <w:r w:rsidRPr="00EC6699">
        <w:rPr>
          <w:b/>
          <w:sz w:val="18"/>
          <w:szCs w:val="18"/>
          <w:lang w:val="en"/>
        </w:rPr>
        <w:t>17</w:t>
      </w:r>
      <w:r>
        <w:rPr>
          <w:sz w:val="18"/>
          <w:szCs w:val="18"/>
          <w:lang w:val="en"/>
        </w:rPr>
        <w:t xml:space="preserve">: </w:t>
      </w:r>
      <w:r w:rsidRPr="00C843AB">
        <w:rPr>
          <w:sz w:val="18"/>
          <w:szCs w:val="18"/>
          <w:lang w:val="en"/>
        </w:rPr>
        <w:t>67</w:t>
      </w:r>
      <w:r>
        <w:rPr>
          <w:sz w:val="18"/>
          <w:szCs w:val="18"/>
          <w:lang w:val="en"/>
        </w:rPr>
        <w:t>.</w:t>
      </w:r>
    </w:p>
  </w:endnote>
  <w:endnote w:id="103">
    <w:p w14:paraId="3F85B572" w14:textId="3113387A" w:rsidR="00BA4B48" w:rsidRPr="00C843AB" w:rsidRDefault="00BA4B48" w:rsidP="00383F3B">
      <w:pPr>
        <w:pStyle w:val="EndnoteText"/>
        <w:spacing w:after="120"/>
        <w:rPr>
          <w:sz w:val="18"/>
          <w:szCs w:val="18"/>
          <w:lang w:val="en"/>
        </w:rPr>
      </w:pPr>
      <w:r w:rsidRPr="00C843AB">
        <w:rPr>
          <w:rStyle w:val="EndnoteReference"/>
          <w:sz w:val="18"/>
          <w:szCs w:val="18"/>
        </w:rPr>
        <w:endnoteRef/>
      </w:r>
      <w:r w:rsidRPr="00C843AB">
        <w:rPr>
          <w:sz w:val="18"/>
          <w:szCs w:val="18"/>
        </w:rPr>
        <w:t xml:space="preserve"> </w:t>
      </w:r>
      <w:r w:rsidRPr="00C843AB">
        <w:rPr>
          <w:sz w:val="18"/>
          <w:szCs w:val="18"/>
          <w:lang w:val="en"/>
        </w:rPr>
        <w:t xml:space="preserve">Humpreys, J., </w:t>
      </w:r>
      <w:r>
        <w:rPr>
          <w:sz w:val="18"/>
          <w:szCs w:val="18"/>
          <w:lang w:val="en"/>
        </w:rPr>
        <w:t xml:space="preserve">J. </w:t>
      </w:r>
      <w:r w:rsidRPr="00C843AB">
        <w:rPr>
          <w:sz w:val="18"/>
          <w:szCs w:val="18"/>
          <w:lang w:val="en"/>
        </w:rPr>
        <w:t xml:space="preserve">Wakerman, </w:t>
      </w:r>
      <w:r>
        <w:rPr>
          <w:sz w:val="18"/>
          <w:szCs w:val="18"/>
          <w:lang w:val="en"/>
        </w:rPr>
        <w:t xml:space="preserve">D. </w:t>
      </w:r>
      <w:r w:rsidRPr="00C843AB">
        <w:rPr>
          <w:sz w:val="18"/>
          <w:szCs w:val="18"/>
          <w:lang w:val="en"/>
        </w:rPr>
        <w:t xml:space="preserve">Pashen, and </w:t>
      </w:r>
      <w:r>
        <w:rPr>
          <w:sz w:val="18"/>
          <w:szCs w:val="18"/>
          <w:lang w:val="en"/>
        </w:rPr>
        <w:t xml:space="preserve">P. </w:t>
      </w:r>
      <w:r w:rsidRPr="00C843AB">
        <w:rPr>
          <w:sz w:val="18"/>
          <w:szCs w:val="18"/>
          <w:lang w:val="en"/>
        </w:rPr>
        <w:t>Buykx. (2009)</w:t>
      </w:r>
      <w:r>
        <w:rPr>
          <w:sz w:val="18"/>
          <w:szCs w:val="18"/>
          <w:lang w:val="en"/>
        </w:rPr>
        <w:t>.</w:t>
      </w:r>
      <w:r w:rsidRPr="00C843AB">
        <w:rPr>
          <w:sz w:val="18"/>
          <w:szCs w:val="18"/>
          <w:lang w:val="en"/>
        </w:rPr>
        <w:t xml:space="preserve"> </w:t>
      </w:r>
      <w:r w:rsidRPr="00EC6699">
        <w:rPr>
          <w:sz w:val="18"/>
          <w:szCs w:val="18"/>
          <w:u w:val="single"/>
          <w:lang w:val="en"/>
        </w:rPr>
        <w:t>Retention Strategies &amp; Incentives for Health Workers in Rural and Remote Areas: What Works?.</w:t>
      </w:r>
      <w:r w:rsidRPr="00C843AB">
        <w:rPr>
          <w:sz w:val="18"/>
          <w:szCs w:val="18"/>
          <w:lang w:val="en"/>
        </w:rPr>
        <w:t xml:space="preserve"> The Australian National University. Accessed</w:t>
      </w:r>
      <w:r>
        <w:rPr>
          <w:sz w:val="18"/>
          <w:szCs w:val="18"/>
          <w:lang w:val="en"/>
        </w:rPr>
        <w:t xml:space="preserve"> 12 November 2018 </w:t>
      </w:r>
      <w:r w:rsidRPr="00C843AB">
        <w:rPr>
          <w:sz w:val="18"/>
          <w:szCs w:val="18"/>
          <w:lang w:val="en"/>
        </w:rPr>
        <w:t xml:space="preserve">at: </w:t>
      </w:r>
      <w:hyperlink r:id="rId28" w:tooltip="ANU" w:history="1">
        <w:r w:rsidRPr="00C843AB">
          <w:rPr>
            <w:rStyle w:val="Hyperlink"/>
            <w:sz w:val="18"/>
            <w:szCs w:val="18"/>
            <w:lang w:val="en"/>
          </w:rPr>
          <w:t>https://rsph.anu.edu.au/files/international_retention_strategies_research_pdf_10642.pdf</w:t>
        </w:r>
      </w:hyperlink>
      <w:r w:rsidRPr="00C843AB">
        <w:rPr>
          <w:sz w:val="18"/>
          <w:szCs w:val="18"/>
          <w:lang w:val="en"/>
        </w:rPr>
        <w:t xml:space="preserve">  </w:t>
      </w:r>
    </w:p>
  </w:endnote>
  <w:endnote w:id="104">
    <w:p w14:paraId="6A536984" w14:textId="1653C756" w:rsidR="00BA4B48" w:rsidRPr="00C843AB" w:rsidRDefault="00BA4B48" w:rsidP="00FF24C6">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sz w:val="18"/>
          <w:szCs w:val="18"/>
          <w:lang w:val="en"/>
        </w:rPr>
        <w:t xml:space="preserve">McGrail, M. R., </w:t>
      </w:r>
      <w:r>
        <w:rPr>
          <w:sz w:val="18"/>
          <w:szCs w:val="18"/>
          <w:lang w:val="en"/>
        </w:rPr>
        <w:t xml:space="preserve">D. J. </w:t>
      </w:r>
      <w:r w:rsidRPr="00C843AB">
        <w:rPr>
          <w:sz w:val="18"/>
          <w:szCs w:val="18"/>
          <w:lang w:val="en"/>
        </w:rPr>
        <w:t xml:space="preserve">Russell, and </w:t>
      </w:r>
      <w:r>
        <w:rPr>
          <w:sz w:val="18"/>
          <w:szCs w:val="18"/>
          <w:lang w:val="en"/>
        </w:rPr>
        <w:t xml:space="preserve">D. G. </w:t>
      </w:r>
      <w:r w:rsidRPr="00C843AB">
        <w:rPr>
          <w:sz w:val="18"/>
          <w:szCs w:val="18"/>
          <w:lang w:val="en"/>
        </w:rPr>
        <w:t>Campbell. (2016)</w:t>
      </w:r>
      <w:r>
        <w:rPr>
          <w:sz w:val="18"/>
          <w:szCs w:val="18"/>
          <w:lang w:val="en"/>
        </w:rPr>
        <w:t>.</w:t>
      </w:r>
      <w:r w:rsidRPr="00C843AB">
        <w:rPr>
          <w:sz w:val="18"/>
          <w:szCs w:val="18"/>
          <w:lang w:val="en"/>
        </w:rPr>
        <w:t xml:space="preserve"> </w:t>
      </w:r>
      <w:r>
        <w:rPr>
          <w:sz w:val="18"/>
          <w:szCs w:val="18"/>
          <w:lang w:val="en"/>
        </w:rPr>
        <w:t>‘</w:t>
      </w:r>
      <w:r w:rsidRPr="00C843AB">
        <w:rPr>
          <w:sz w:val="18"/>
          <w:szCs w:val="18"/>
          <w:lang w:val="en"/>
        </w:rPr>
        <w:t>Vocational training of general practitioners in rural locations is critical for the Australian rural medical workforce</w:t>
      </w:r>
      <w:r w:rsidRPr="00C843AB">
        <w:rPr>
          <w:i/>
          <w:sz w:val="18"/>
          <w:szCs w:val="18"/>
          <w:lang w:val="en"/>
        </w:rPr>
        <w:t>.</w:t>
      </w:r>
      <w:r>
        <w:rPr>
          <w:sz w:val="18"/>
          <w:szCs w:val="18"/>
          <w:lang w:val="en"/>
        </w:rPr>
        <w:t>’</w:t>
      </w:r>
      <w:r w:rsidRPr="00C843AB">
        <w:rPr>
          <w:sz w:val="18"/>
          <w:szCs w:val="18"/>
          <w:lang w:val="en"/>
        </w:rPr>
        <w:t xml:space="preserve"> </w:t>
      </w:r>
      <w:r w:rsidRPr="00EC6699">
        <w:rPr>
          <w:sz w:val="18"/>
          <w:szCs w:val="18"/>
          <w:u w:val="single"/>
          <w:lang w:val="en"/>
        </w:rPr>
        <w:t>Medical Journal of Australia</w:t>
      </w:r>
      <w:r w:rsidRPr="00EC6699">
        <w:rPr>
          <w:sz w:val="18"/>
          <w:szCs w:val="18"/>
          <w:lang w:val="en"/>
        </w:rPr>
        <w:t>,</w:t>
      </w:r>
      <w:r w:rsidRPr="00C843AB">
        <w:rPr>
          <w:sz w:val="18"/>
          <w:szCs w:val="18"/>
          <w:lang w:val="en"/>
        </w:rPr>
        <w:t xml:space="preserve"> </w:t>
      </w:r>
      <w:r w:rsidRPr="00EC6699">
        <w:rPr>
          <w:b/>
          <w:sz w:val="18"/>
          <w:szCs w:val="18"/>
          <w:lang w:val="en"/>
        </w:rPr>
        <w:t>205</w:t>
      </w:r>
      <w:r w:rsidRPr="00C843AB">
        <w:rPr>
          <w:sz w:val="18"/>
          <w:szCs w:val="18"/>
          <w:lang w:val="en"/>
        </w:rPr>
        <w:t>(5)</w:t>
      </w:r>
      <w:r>
        <w:rPr>
          <w:sz w:val="18"/>
          <w:szCs w:val="18"/>
          <w:lang w:val="en"/>
        </w:rPr>
        <w:t>:</w:t>
      </w:r>
      <w:r w:rsidRPr="00C843AB">
        <w:rPr>
          <w:sz w:val="18"/>
          <w:szCs w:val="18"/>
          <w:lang w:val="en"/>
        </w:rPr>
        <w:t>216</w:t>
      </w:r>
      <w:r>
        <w:rPr>
          <w:sz w:val="18"/>
          <w:szCs w:val="18"/>
          <w:lang w:val="en"/>
        </w:rPr>
        <w:t>–</w:t>
      </w:r>
      <w:r w:rsidRPr="00C843AB">
        <w:rPr>
          <w:sz w:val="18"/>
          <w:szCs w:val="18"/>
          <w:lang w:val="en"/>
        </w:rPr>
        <w:t>221</w:t>
      </w:r>
      <w:r>
        <w:rPr>
          <w:sz w:val="18"/>
          <w:szCs w:val="18"/>
          <w:lang w:val="en"/>
        </w:rPr>
        <w:t>.</w:t>
      </w:r>
    </w:p>
  </w:endnote>
  <w:endnote w:id="105">
    <w:p w14:paraId="4978D949" w14:textId="0BA58954" w:rsidR="00BA4B48" w:rsidRPr="00C843AB" w:rsidRDefault="00BA4B48" w:rsidP="000A01F7">
      <w:pPr>
        <w:pStyle w:val="EndnoteText"/>
        <w:spacing w:after="120"/>
        <w:rPr>
          <w:sz w:val="18"/>
          <w:szCs w:val="18"/>
        </w:rPr>
      </w:pPr>
      <w:r w:rsidRPr="00C843AB">
        <w:rPr>
          <w:rStyle w:val="EndnoteReference"/>
          <w:sz w:val="18"/>
          <w:szCs w:val="18"/>
        </w:rPr>
        <w:endnoteRef/>
      </w:r>
      <w:r w:rsidRPr="00C843AB">
        <w:rPr>
          <w:sz w:val="18"/>
          <w:szCs w:val="18"/>
        </w:rPr>
        <w:t xml:space="preserve"> </w:t>
      </w:r>
      <w:r w:rsidRPr="00C843AB">
        <w:rPr>
          <w:rFonts w:cs="Segoe UI"/>
          <w:sz w:val="18"/>
          <w:szCs w:val="18"/>
        </w:rPr>
        <w:t>National Health and Medical Research Council</w:t>
      </w:r>
      <w:r>
        <w:rPr>
          <w:rFonts w:cs="Segoe UI"/>
          <w:sz w:val="18"/>
          <w:szCs w:val="18"/>
        </w:rPr>
        <w:t>. (2018).</w:t>
      </w:r>
      <w:r w:rsidRPr="00C843AB">
        <w:rPr>
          <w:rFonts w:cs="Segoe UI"/>
          <w:sz w:val="18"/>
          <w:szCs w:val="18"/>
        </w:rPr>
        <w:t xml:space="preserve"> </w:t>
      </w:r>
      <w:r w:rsidRPr="00EC6699">
        <w:rPr>
          <w:rFonts w:cs="Segoe UI"/>
          <w:sz w:val="18"/>
          <w:szCs w:val="18"/>
          <w:u w:val="single"/>
        </w:rPr>
        <w:t xml:space="preserve">Ethical conduct in research with Aboriginal and Torres Strait Islander Peoples and communities: </w:t>
      </w:r>
      <w:r>
        <w:rPr>
          <w:rFonts w:cs="Segoe UI"/>
          <w:sz w:val="18"/>
          <w:szCs w:val="18"/>
          <w:u w:val="single"/>
        </w:rPr>
        <w:t>g</w:t>
      </w:r>
      <w:r w:rsidRPr="00EC6699">
        <w:rPr>
          <w:rFonts w:cs="Segoe UI"/>
          <w:sz w:val="18"/>
          <w:szCs w:val="18"/>
          <w:u w:val="single"/>
        </w:rPr>
        <w:t>uidelines for researchers and stakeholders</w:t>
      </w:r>
      <w:r>
        <w:rPr>
          <w:rFonts w:cs="Segoe UI"/>
          <w:sz w:val="18"/>
          <w:szCs w:val="18"/>
          <w:u w:val="single"/>
        </w:rPr>
        <w:t>.</w:t>
      </w:r>
      <w:r w:rsidRPr="00C843AB">
        <w:rPr>
          <w:rFonts w:cs="Segoe UI"/>
          <w:sz w:val="18"/>
          <w:szCs w:val="18"/>
        </w:rPr>
        <w:t xml:space="preserve"> Commonwealth of Australia: Canberra.</w:t>
      </w:r>
    </w:p>
  </w:endnote>
  <w:endnote w:id="106">
    <w:p w14:paraId="2516CF63" w14:textId="78FB8C1A" w:rsidR="00BA4B48" w:rsidRPr="00C843AB" w:rsidRDefault="00BA4B48" w:rsidP="00B017E6">
      <w:pPr>
        <w:pStyle w:val="EndnoteText"/>
        <w:spacing w:after="120"/>
        <w:rPr>
          <w:sz w:val="18"/>
          <w:szCs w:val="18"/>
          <w:lang w:val="en-US"/>
        </w:rPr>
      </w:pPr>
      <w:r w:rsidRPr="00C843AB">
        <w:rPr>
          <w:rStyle w:val="EndnoteReference"/>
          <w:sz w:val="18"/>
          <w:szCs w:val="18"/>
        </w:rPr>
        <w:endnoteRef/>
      </w:r>
      <w:r w:rsidRPr="00C843AB">
        <w:rPr>
          <w:sz w:val="18"/>
          <w:szCs w:val="18"/>
        </w:rPr>
        <w:t xml:space="preserve"> World Health Organization.</w:t>
      </w:r>
      <w:r>
        <w:rPr>
          <w:sz w:val="18"/>
          <w:szCs w:val="18"/>
        </w:rPr>
        <w:t xml:space="preserve"> (2013). </w:t>
      </w:r>
      <w:r w:rsidRPr="00EC6699">
        <w:rPr>
          <w:sz w:val="18"/>
          <w:szCs w:val="18"/>
          <w:u w:val="single"/>
        </w:rPr>
        <w:t>Implementing comprehensive HIV/STI programmes with sex workers: practical approaches from collaborative interventions</w:t>
      </w:r>
      <w:r w:rsidRPr="00C843AB">
        <w:rPr>
          <w:sz w:val="18"/>
          <w:szCs w:val="18"/>
        </w:rPr>
        <w:t>, Chapter 3</w:t>
      </w:r>
      <w:r>
        <w:rPr>
          <w:sz w:val="18"/>
          <w:szCs w:val="18"/>
        </w:rPr>
        <w:t>—</w:t>
      </w:r>
      <w:r w:rsidRPr="00C843AB">
        <w:rPr>
          <w:sz w:val="18"/>
          <w:szCs w:val="18"/>
        </w:rPr>
        <w:t xml:space="preserve">Community-led services. Accessed </w:t>
      </w:r>
      <w:r>
        <w:rPr>
          <w:sz w:val="18"/>
          <w:szCs w:val="18"/>
        </w:rPr>
        <w:t xml:space="preserve">12 November 2018 </w:t>
      </w:r>
      <w:r w:rsidRPr="00C843AB">
        <w:rPr>
          <w:sz w:val="18"/>
          <w:szCs w:val="18"/>
        </w:rPr>
        <w:t>at:</w:t>
      </w:r>
      <w:r w:rsidRPr="00C843AB">
        <w:rPr>
          <w:rFonts w:ascii="Helvetica" w:hAnsi="Helvetica"/>
          <w:b/>
          <w:bCs/>
          <w:color w:val="333333"/>
          <w:sz w:val="18"/>
          <w:szCs w:val="18"/>
        </w:rPr>
        <w:t xml:space="preserve"> </w:t>
      </w:r>
      <w:hyperlink r:id="rId29" w:tooltip="World Health Organization" w:history="1">
        <w:r w:rsidRPr="00C843AB">
          <w:rPr>
            <w:rStyle w:val="Hyperlink"/>
            <w:sz w:val="18"/>
            <w:szCs w:val="18"/>
          </w:rPr>
          <w:t>http://www.who.int/hiv/pub/sti/sex_worker_implementation/en/</w:t>
        </w:r>
      </w:hyperlink>
      <w:r w:rsidRPr="00C843AB">
        <w:rPr>
          <w:sz w:val="18"/>
          <w:szCs w:val="18"/>
        </w:rPr>
        <w:t xml:space="preserve"> </w:t>
      </w:r>
    </w:p>
  </w:endnote>
  <w:endnote w:id="107">
    <w:p w14:paraId="771ECA39" w14:textId="0B3608CF" w:rsidR="00BA4B48" w:rsidRPr="00C843AB" w:rsidRDefault="00BA4B48" w:rsidP="00B017E6">
      <w:pPr>
        <w:pStyle w:val="EndnoteText"/>
        <w:spacing w:after="120"/>
        <w:rPr>
          <w:sz w:val="18"/>
          <w:szCs w:val="18"/>
          <w:lang w:val="en-US"/>
        </w:rPr>
      </w:pPr>
      <w:r w:rsidRPr="00C843AB">
        <w:rPr>
          <w:rStyle w:val="EndnoteReference"/>
          <w:sz w:val="18"/>
          <w:szCs w:val="18"/>
        </w:rPr>
        <w:endnoteRef/>
      </w:r>
      <w:r w:rsidRPr="00C843AB">
        <w:rPr>
          <w:sz w:val="18"/>
          <w:szCs w:val="18"/>
        </w:rPr>
        <w:t xml:space="preserve"> UNAIDS and Stop Aids Alliance.</w:t>
      </w:r>
      <w:r>
        <w:rPr>
          <w:sz w:val="18"/>
          <w:szCs w:val="18"/>
        </w:rPr>
        <w:t xml:space="preserve"> (2015). </w:t>
      </w:r>
      <w:r w:rsidRPr="00EC6699">
        <w:rPr>
          <w:sz w:val="18"/>
          <w:szCs w:val="18"/>
          <w:u w:val="single"/>
        </w:rPr>
        <w:t xml:space="preserve">Communities Deliver: </w:t>
      </w:r>
      <w:r>
        <w:rPr>
          <w:sz w:val="18"/>
          <w:szCs w:val="18"/>
          <w:u w:val="single"/>
        </w:rPr>
        <w:t>t</w:t>
      </w:r>
      <w:r w:rsidRPr="00EC6699">
        <w:rPr>
          <w:sz w:val="18"/>
          <w:szCs w:val="18"/>
          <w:u w:val="single"/>
        </w:rPr>
        <w:t>he critical role of communities in reaching the global targets to end the AIDS epidemic</w:t>
      </w:r>
      <w:r w:rsidRPr="00C843AB">
        <w:rPr>
          <w:sz w:val="18"/>
          <w:szCs w:val="18"/>
        </w:rPr>
        <w:t xml:space="preserve">. Accessed </w:t>
      </w:r>
      <w:r>
        <w:rPr>
          <w:sz w:val="18"/>
          <w:szCs w:val="18"/>
        </w:rPr>
        <w:t xml:space="preserve">4 April 2018 </w:t>
      </w:r>
      <w:r w:rsidRPr="00C843AB">
        <w:rPr>
          <w:sz w:val="18"/>
          <w:szCs w:val="18"/>
        </w:rPr>
        <w:t xml:space="preserve">at: </w:t>
      </w:r>
      <w:hyperlink r:id="rId30" w:tooltip="UNAIDS" w:history="1">
        <w:r w:rsidRPr="00C843AB">
          <w:rPr>
            <w:rStyle w:val="Hyperlink"/>
            <w:sz w:val="18"/>
            <w:szCs w:val="18"/>
          </w:rPr>
          <w:t>http://www.unaids.org/sites/default/files/media_asset/UNAIDS_JC2725_CommunitiesDeliver_en.pdf</w:t>
        </w:r>
      </w:hyperlink>
      <w:r w:rsidRPr="00C843AB">
        <w:rPr>
          <w:sz w:val="18"/>
          <w:szCs w:val="18"/>
        </w:rPr>
        <w:t xml:space="preserve"> </w:t>
      </w:r>
    </w:p>
  </w:endnote>
  <w:endnote w:id="108">
    <w:p w14:paraId="09684D4C" w14:textId="13ECDB99" w:rsidR="00BA4B48" w:rsidRPr="00C843AB" w:rsidRDefault="00BA4B48" w:rsidP="00D85D1F">
      <w:pPr>
        <w:pStyle w:val="EndnoteText"/>
        <w:spacing w:after="120"/>
        <w:rPr>
          <w:sz w:val="18"/>
          <w:szCs w:val="18"/>
          <w:lang w:val="en"/>
        </w:rPr>
      </w:pPr>
      <w:r w:rsidRPr="00C843AB">
        <w:rPr>
          <w:rStyle w:val="EndnoteReference"/>
          <w:sz w:val="18"/>
          <w:szCs w:val="18"/>
        </w:rPr>
        <w:endnoteRef/>
      </w:r>
      <w:r w:rsidRPr="00C843AB">
        <w:rPr>
          <w:sz w:val="18"/>
          <w:szCs w:val="18"/>
        </w:rPr>
        <w:t xml:space="preserve"> </w:t>
      </w:r>
      <w:r w:rsidRPr="00C843AB">
        <w:rPr>
          <w:sz w:val="18"/>
          <w:szCs w:val="18"/>
          <w:lang w:val="en"/>
        </w:rPr>
        <w:t xml:space="preserve">Bell, S., </w:t>
      </w:r>
      <w:r>
        <w:rPr>
          <w:sz w:val="18"/>
          <w:szCs w:val="18"/>
          <w:lang w:val="en"/>
        </w:rPr>
        <w:t xml:space="preserve">P. </w:t>
      </w:r>
      <w:r w:rsidRPr="00C843AB">
        <w:rPr>
          <w:sz w:val="18"/>
          <w:szCs w:val="18"/>
          <w:lang w:val="en"/>
        </w:rPr>
        <w:t xml:space="preserve">Aggleton, </w:t>
      </w:r>
      <w:r>
        <w:rPr>
          <w:sz w:val="18"/>
          <w:szCs w:val="18"/>
          <w:lang w:val="en"/>
        </w:rPr>
        <w:t xml:space="preserve">J. </w:t>
      </w:r>
      <w:r w:rsidRPr="00C843AB">
        <w:rPr>
          <w:sz w:val="18"/>
          <w:szCs w:val="18"/>
          <w:lang w:val="en"/>
        </w:rPr>
        <w:t xml:space="preserve">Ward, and </w:t>
      </w:r>
      <w:r>
        <w:rPr>
          <w:sz w:val="18"/>
          <w:szCs w:val="18"/>
          <w:lang w:val="en"/>
        </w:rPr>
        <w:t xml:space="preserve">L. </w:t>
      </w:r>
      <w:r w:rsidRPr="00C843AB">
        <w:rPr>
          <w:sz w:val="18"/>
          <w:szCs w:val="18"/>
          <w:lang w:val="en"/>
        </w:rPr>
        <w:t>Maher. (2017)</w:t>
      </w:r>
      <w:r>
        <w:rPr>
          <w:sz w:val="18"/>
          <w:szCs w:val="18"/>
          <w:lang w:val="en"/>
        </w:rPr>
        <w:t>.</w:t>
      </w:r>
      <w:r w:rsidRPr="00C843AB">
        <w:rPr>
          <w:sz w:val="18"/>
          <w:szCs w:val="18"/>
          <w:lang w:val="en"/>
        </w:rPr>
        <w:t xml:space="preserve"> </w:t>
      </w:r>
      <w:r>
        <w:rPr>
          <w:sz w:val="18"/>
          <w:szCs w:val="18"/>
          <w:lang w:val="en"/>
        </w:rPr>
        <w:t>‘</w:t>
      </w:r>
      <w:r w:rsidRPr="00C843AB">
        <w:rPr>
          <w:sz w:val="18"/>
          <w:szCs w:val="18"/>
          <w:lang w:val="en"/>
        </w:rPr>
        <w:t>Sexual agency, risk and vulnerability: a scoping review of young Indigenous Asutralians’ sexual health.</w:t>
      </w:r>
      <w:r>
        <w:rPr>
          <w:sz w:val="18"/>
          <w:szCs w:val="18"/>
          <w:lang w:val="en"/>
        </w:rPr>
        <w:t>’</w:t>
      </w:r>
      <w:r w:rsidRPr="00C843AB">
        <w:rPr>
          <w:sz w:val="18"/>
          <w:szCs w:val="18"/>
          <w:lang w:val="en"/>
        </w:rPr>
        <w:t xml:space="preserve"> </w:t>
      </w:r>
      <w:r w:rsidRPr="00EC6699">
        <w:rPr>
          <w:sz w:val="18"/>
          <w:szCs w:val="18"/>
          <w:u w:val="single"/>
          <w:lang w:val="en"/>
        </w:rPr>
        <w:t>Journal of Youth Studies</w:t>
      </w:r>
      <w:r w:rsidRPr="00EC6699">
        <w:rPr>
          <w:sz w:val="18"/>
          <w:szCs w:val="18"/>
          <w:lang w:val="en"/>
        </w:rPr>
        <w:t>,</w:t>
      </w:r>
      <w:r w:rsidRPr="00C843AB">
        <w:rPr>
          <w:sz w:val="18"/>
          <w:szCs w:val="18"/>
          <w:lang w:val="en"/>
        </w:rPr>
        <w:t xml:space="preserve"> </w:t>
      </w:r>
      <w:r w:rsidRPr="00EC6699">
        <w:rPr>
          <w:b/>
          <w:sz w:val="18"/>
          <w:szCs w:val="18"/>
          <w:lang w:val="en"/>
        </w:rPr>
        <w:t>20</w:t>
      </w:r>
      <w:r>
        <w:rPr>
          <w:sz w:val="18"/>
          <w:szCs w:val="18"/>
          <w:lang w:val="en"/>
        </w:rPr>
        <w:t>(</w:t>
      </w:r>
      <w:r w:rsidRPr="00C843AB">
        <w:rPr>
          <w:sz w:val="18"/>
          <w:szCs w:val="18"/>
          <w:lang w:val="en"/>
        </w:rPr>
        <w:t>9)</w:t>
      </w:r>
      <w:r>
        <w:rPr>
          <w:sz w:val="18"/>
          <w:szCs w:val="18"/>
          <w:lang w:val="en"/>
        </w:rPr>
        <w:t>:</w:t>
      </w:r>
      <w:r w:rsidRPr="00C843AB">
        <w:rPr>
          <w:sz w:val="18"/>
          <w:szCs w:val="18"/>
          <w:lang w:val="en"/>
        </w:rPr>
        <w:t>1208</w:t>
      </w:r>
      <w:r>
        <w:rPr>
          <w:sz w:val="18"/>
          <w:szCs w:val="18"/>
          <w:lang w:val="en"/>
        </w:rPr>
        <w:t>–</w:t>
      </w:r>
      <w:r w:rsidRPr="00C843AB">
        <w:rPr>
          <w:sz w:val="18"/>
          <w:szCs w:val="18"/>
          <w:lang w:val="en"/>
        </w:rPr>
        <w:t>1224</w:t>
      </w:r>
      <w:r>
        <w:rPr>
          <w:sz w:val="18"/>
          <w:szCs w:val="18"/>
          <w:lang w:val="en"/>
        </w:rPr>
        <w:t>.</w:t>
      </w:r>
    </w:p>
  </w:endnote>
  <w:endnote w:id="109">
    <w:p w14:paraId="016A1D34" w14:textId="61770261" w:rsidR="00BA4B48" w:rsidRPr="00C843AB" w:rsidRDefault="00BA4B48" w:rsidP="00572B60">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Sugauchi, F., M. Mizokami</w:t>
      </w:r>
      <w:r>
        <w:rPr>
          <w:rFonts w:cs="Segoe UI"/>
          <w:sz w:val="18"/>
          <w:szCs w:val="18"/>
        </w:rPr>
        <w:t>,</w:t>
      </w:r>
      <w:r w:rsidRPr="00C843AB">
        <w:rPr>
          <w:rFonts w:cs="Segoe UI"/>
          <w:sz w:val="18"/>
          <w:szCs w:val="18"/>
        </w:rPr>
        <w:t xml:space="preserve"> E. Orito </w:t>
      </w:r>
      <w:r w:rsidRPr="00EC6699">
        <w:rPr>
          <w:rFonts w:cs="Segoe UI"/>
          <w:i/>
          <w:sz w:val="18"/>
          <w:szCs w:val="18"/>
        </w:rPr>
        <w:t>et al.</w:t>
      </w:r>
      <w:r w:rsidRPr="00C843AB">
        <w:rPr>
          <w:rFonts w:cs="Segoe UI"/>
          <w:sz w:val="18"/>
          <w:szCs w:val="18"/>
        </w:rPr>
        <w:t xml:space="preserve"> (2001). </w:t>
      </w:r>
      <w:r>
        <w:rPr>
          <w:rFonts w:cs="Segoe UI"/>
          <w:sz w:val="18"/>
          <w:szCs w:val="18"/>
        </w:rPr>
        <w:t>‘</w:t>
      </w:r>
      <w:r w:rsidRPr="00C843AB">
        <w:rPr>
          <w:rFonts w:cs="Segoe UI"/>
          <w:sz w:val="18"/>
          <w:szCs w:val="18"/>
        </w:rPr>
        <w:t>A novel variant genotype C of hepatitis B virus identified in isolates from Australian Aborigines: complete genome sequence and phylogenetic relatedness.</w:t>
      </w:r>
      <w:r>
        <w:rPr>
          <w:rFonts w:cs="Segoe UI"/>
          <w:sz w:val="18"/>
          <w:szCs w:val="18"/>
        </w:rPr>
        <w:t>’</w:t>
      </w:r>
      <w:r w:rsidRPr="00C843AB">
        <w:rPr>
          <w:rFonts w:cs="Segoe UI"/>
          <w:sz w:val="18"/>
          <w:szCs w:val="18"/>
        </w:rPr>
        <w:t xml:space="preserve"> </w:t>
      </w:r>
      <w:r w:rsidRPr="00EC6699">
        <w:rPr>
          <w:rFonts w:cs="Segoe UI"/>
          <w:sz w:val="18"/>
          <w:szCs w:val="18"/>
          <w:u w:val="single"/>
        </w:rPr>
        <w:t>Journal of General Virology</w:t>
      </w:r>
      <w:r w:rsidRPr="00EC6699">
        <w:rPr>
          <w:rFonts w:cs="Segoe UI"/>
          <w:sz w:val="18"/>
          <w:szCs w:val="18"/>
        </w:rPr>
        <w:t>,</w:t>
      </w:r>
      <w:r w:rsidRPr="00C843AB">
        <w:rPr>
          <w:rFonts w:cs="Segoe UI"/>
          <w:sz w:val="18"/>
          <w:szCs w:val="18"/>
        </w:rPr>
        <w:t xml:space="preserve"> </w:t>
      </w:r>
      <w:r w:rsidRPr="00EC6699">
        <w:rPr>
          <w:rFonts w:cs="Segoe UI"/>
          <w:b/>
          <w:sz w:val="18"/>
          <w:szCs w:val="18"/>
        </w:rPr>
        <w:t>82</w:t>
      </w:r>
      <w:r w:rsidRPr="00C843AB">
        <w:rPr>
          <w:rFonts w:cs="Segoe UI"/>
          <w:sz w:val="18"/>
          <w:szCs w:val="18"/>
        </w:rPr>
        <w:t>(4):883</w:t>
      </w:r>
      <w:r>
        <w:rPr>
          <w:rFonts w:cs="Segoe UI"/>
          <w:sz w:val="18"/>
          <w:szCs w:val="18"/>
        </w:rPr>
        <w:t>–8</w:t>
      </w:r>
      <w:r w:rsidRPr="00C843AB">
        <w:rPr>
          <w:rFonts w:cs="Segoe UI"/>
          <w:sz w:val="18"/>
          <w:szCs w:val="18"/>
        </w:rPr>
        <w:t>92.</w:t>
      </w:r>
    </w:p>
  </w:endnote>
  <w:endnote w:id="110">
    <w:p w14:paraId="5EEEF708" w14:textId="31D6551B" w:rsidR="00BA4B48" w:rsidRPr="00C843AB" w:rsidRDefault="00BA4B48" w:rsidP="00572B60">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Davies, J., M. Littlejohn</w:t>
      </w:r>
      <w:r>
        <w:rPr>
          <w:rFonts w:cs="Segoe UI"/>
          <w:sz w:val="18"/>
          <w:szCs w:val="18"/>
        </w:rPr>
        <w:t>,</w:t>
      </w:r>
      <w:r w:rsidRPr="00C843AB">
        <w:rPr>
          <w:rFonts w:cs="Segoe UI"/>
          <w:sz w:val="18"/>
          <w:szCs w:val="18"/>
        </w:rPr>
        <w:t xml:space="preserve"> S. A. Locarnini </w:t>
      </w:r>
      <w:r w:rsidRPr="00EC6699">
        <w:rPr>
          <w:rFonts w:cs="Segoe UI"/>
          <w:i/>
          <w:sz w:val="18"/>
          <w:szCs w:val="18"/>
        </w:rPr>
        <w:t>et al.</w:t>
      </w:r>
      <w:r w:rsidRPr="00C843AB">
        <w:rPr>
          <w:rFonts w:cs="Segoe UI"/>
          <w:sz w:val="18"/>
          <w:szCs w:val="18"/>
        </w:rPr>
        <w:t xml:space="preserve"> (2013). </w:t>
      </w:r>
      <w:r>
        <w:rPr>
          <w:rFonts w:cs="Segoe UI"/>
          <w:sz w:val="18"/>
          <w:szCs w:val="18"/>
        </w:rPr>
        <w:t>‘</w:t>
      </w:r>
      <w:r w:rsidRPr="00C843AB">
        <w:rPr>
          <w:rFonts w:cs="Segoe UI"/>
          <w:sz w:val="18"/>
          <w:szCs w:val="18"/>
        </w:rPr>
        <w:t>The molecular epidemiology of hepatitis B in the Indigenous people of northern Australia</w:t>
      </w:r>
      <w:r w:rsidRPr="00EC6699">
        <w:rPr>
          <w:rFonts w:cs="Segoe UI"/>
          <w:sz w:val="18"/>
          <w:szCs w:val="18"/>
        </w:rPr>
        <w:t>.’</w:t>
      </w:r>
      <w:r w:rsidRPr="00C843AB">
        <w:rPr>
          <w:rFonts w:cs="Segoe UI"/>
          <w:i/>
          <w:sz w:val="18"/>
          <w:szCs w:val="18"/>
        </w:rPr>
        <w:t xml:space="preserve"> </w:t>
      </w:r>
      <w:r w:rsidRPr="00EC6699">
        <w:rPr>
          <w:rFonts w:cs="Segoe UI"/>
          <w:sz w:val="18"/>
          <w:szCs w:val="18"/>
          <w:u w:val="single"/>
        </w:rPr>
        <w:t>Journal of Gastroenterology and Hepatology</w:t>
      </w:r>
      <w:r w:rsidRPr="00EC6699">
        <w:rPr>
          <w:rFonts w:cs="Segoe UI"/>
          <w:sz w:val="18"/>
          <w:szCs w:val="18"/>
        </w:rPr>
        <w:t>,</w:t>
      </w:r>
      <w:r w:rsidRPr="00C843AB">
        <w:rPr>
          <w:rFonts w:cs="Segoe UI"/>
          <w:sz w:val="18"/>
          <w:szCs w:val="18"/>
        </w:rPr>
        <w:t xml:space="preserve"> </w:t>
      </w:r>
      <w:r w:rsidRPr="00EC6699">
        <w:rPr>
          <w:rFonts w:cs="Segoe UI"/>
          <w:b/>
          <w:sz w:val="18"/>
          <w:szCs w:val="18"/>
        </w:rPr>
        <w:t>28</w:t>
      </w:r>
      <w:r w:rsidRPr="00C843AB">
        <w:rPr>
          <w:rFonts w:cs="Segoe UI"/>
          <w:sz w:val="18"/>
          <w:szCs w:val="18"/>
        </w:rPr>
        <w:t>(7):123</w:t>
      </w:r>
      <w:r>
        <w:rPr>
          <w:rFonts w:cs="Segoe UI"/>
          <w:sz w:val="18"/>
          <w:szCs w:val="18"/>
        </w:rPr>
        <w:t>4–</w:t>
      </w:r>
      <w:r w:rsidRPr="00DC7BF3">
        <w:rPr>
          <w:rFonts w:cs="Segoe UI"/>
          <w:sz w:val="18"/>
          <w:szCs w:val="18"/>
        </w:rPr>
        <w:t>1241.</w:t>
      </w:r>
      <w:r>
        <w:rPr>
          <w:rFonts w:cs="Segoe UI"/>
          <w:sz w:val="18"/>
          <w:szCs w:val="18"/>
        </w:rPr>
        <w:t xml:space="preserve"> </w:t>
      </w:r>
    </w:p>
  </w:endnote>
  <w:endnote w:id="111">
    <w:p w14:paraId="1087CF05" w14:textId="42C18E72" w:rsidR="00BA4B48" w:rsidRPr="00C843AB" w:rsidRDefault="00BA4B48" w:rsidP="00572B60">
      <w:pPr>
        <w:pStyle w:val="EndnoteText"/>
        <w:spacing w:after="120"/>
        <w:rPr>
          <w:rFonts w:cs="Segoe UI"/>
          <w:sz w:val="18"/>
          <w:szCs w:val="18"/>
        </w:rPr>
      </w:pPr>
      <w:r w:rsidRPr="00C843AB">
        <w:rPr>
          <w:rStyle w:val="EndnoteReference"/>
          <w:rFonts w:cs="Segoe UI"/>
          <w:sz w:val="18"/>
          <w:szCs w:val="18"/>
        </w:rPr>
        <w:endnoteRef/>
      </w:r>
      <w:r w:rsidRPr="00C843AB">
        <w:rPr>
          <w:rFonts w:cs="Segoe UI"/>
          <w:sz w:val="18"/>
          <w:szCs w:val="18"/>
        </w:rPr>
        <w:t xml:space="preserve"> Littlejohn, M., J. Davies, L. Yuen </w:t>
      </w:r>
      <w:r w:rsidRPr="00B91588">
        <w:rPr>
          <w:rFonts w:cs="Segoe UI"/>
          <w:i/>
          <w:sz w:val="18"/>
          <w:szCs w:val="18"/>
        </w:rPr>
        <w:t>et al.</w:t>
      </w:r>
      <w:r w:rsidRPr="00C843AB">
        <w:rPr>
          <w:rFonts w:cs="Segoe UI"/>
          <w:sz w:val="18"/>
          <w:szCs w:val="18"/>
        </w:rPr>
        <w:t xml:space="preserve"> (2014). </w:t>
      </w:r>
      <w:r>
        <w:rPr>
          <w:rFonts w:cs="Segoe UI"/>
          <w:sz w:val="18"/>
          <w:szCs w:val="18"/>
        </w:rPr>
        <w:t>‘</w:t>
      </w:r>
      <w:r w:rsidRPr="00C843AB">
        <w:rPr>
          <w:rFonts w:cs="Segoe UI"/>
          <w:sz w:val="18"/>
          <w:szCs w:val="18"/>
        </w:rPr>
        <w:t>Molecular virology of hepatitis B virus, sub-genotype C4 in northern Australian Indigenous populations.</w:t>
      </w:r>
      <w:r>
        <w:rPr>
          <w:rFonts w:cs="Segoe UI"/>
          <w:sz w:val="18"/>
          <w:szCs w:val="18"/>
        </w:rPr>
        <w:t>’</w:t>
      </w:r>
      <w:r w:rsidRPr="00C843AB">
        <w:rPr>
          <w:rFonts w:cs="Segoe UI"/>
          <w:sz w:val="18"/>
          <w:szCs w:val="18"/>
        </w:rPr>
        <w:t xml:space="preserve"> </w:t>
      </w:r>
      <w:r w:rsidRPr="00B91588">
        <w:rPr>
          <w:rFonts w:cs="Segoe UI"/>
          <w:sz w:val="18"/>
          <w:szCs w:val="18"/>
          <w:u w:val="single"/>
        </w:rPr>
        <w:t>Journal of Medical Virology</w:t>
      </w:r>
      <w:r w:rsidRPr="00B91588">
        <w:rPr>
          <w:rFonts w:cs="Segoe UI"/>
          <w:sz w:val="18"/>
          <w:szCs w:val="18"/>
        </w:rPr>
        <w:t>,</w:t>
      </w:r>
      <w:r w:rsidRPr="00C843AB">
        <w:rPr>
          <w:rFonts w:cs="Segoe UI"/>
          <w:b/>
          <w:sz w:val="18"/>
          <w:szCs w:val="18"/>
        </w:rPr>
        <w:t xml:space="preserve"> </w:t>
      </w:r>
      <w:r w:rsidRPr="00B91588">
        <w:rPr>
          <w:rFonts w:cs="Segoe UI"/>
          <w:b/>
          <w:sz w:val="18"/>
          <w:szCs w:val="18"/>
        </w:rPr>
        <w:t>86</w:t>
      </w:r>
      <w:r w:rsidRPr="00C843AB">
        <w:rPr>
          <w:rFonts w:cs="Segoe UI"/>
          <w:sz w:val="18"/>
          <w:szCs w:val="18"/>
        </w:rPr>
        <w:t>(4):695</w:t>
      </w:r>
      <w:r>
        <w:rPr>
          <w:rFonts w:cs="Segoe UI"/>
          <w:sz w:val="18"/>
          <w:szCs w:val="18"/>
        </w:rPr>
        <w:t>–</w:t>
      </w:r>
      <w:r w:rsidRPr="00C843AB">
        <w:rPr>
          <w:rFonts w:cs="Segoe UI"/>
          <w:sz w:val="18"/>
          <w:szCs w:val="18"/>
        </w:rPr>
        <w:t>706.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emibold">
    <w:altName w:val="Arial"/>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Batang">
    <w:panose1 w:val="02030600000101010101"/>
    <w:charset w:val="81"/>
    <w:family w:val="roman"/>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Europa">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haparral Pro">
    <w:altName w:val="Chaparral Pro"/>
    <w:panose1 w:val="00000000000000000000"/>
    <w:charset w:val="00"/>
    <w:family w:val="roman"/>
    <w:notTrueType/>
    <w:pitch w:val="default"/>
    <w:sig w:usb0="00000003" w:usb1="00000000" w:usb2="00000000" w:usb3="00000000" w:csb0="00000001" w:csb1="00000000"/>
  </w:font>
  <w:font w:name="ITC Garamond Std Lt">
    <w:altName w:val="ITC Garamond Std Lt"/>
    <w:panose1 w:val="00000000000000000000"/>
    <w:charset w:val="00"/>
    <w:family w:val="roman"/>
    <w:notTrueType/>
    <w:pitch w:val="default"/>
    <w:sig w:usb0="00000003" w:usb1="00000000" w:usb2="00000000" w:usb3="00000000" w:csb0="00000001" w:csb1="00000000"/>
  </w:font>
  <w:font w:name="Helvetica 45 Light">
    <w:charset w:val="00"/>
    <w:family w:val="auto"/>
    <w:pitch w:val="variable"/>
    <w:sig w:usb0="800000AF" w:usb1="4000204A" w:usb2="00000000" w:usb3="00000000" w:csb0="00000001" w:csb1="00000000"/>
  </w:font>
  <w:font w:name="inherit">
    <w:altName w:val="Times New Roman"/>
    <w:panose1 w:val="00000000000000000000"/>
    <w:charset w:val="00"/>
    <w:family w:val="roman"/>
    <w:notTrueType/>
    <w:pitch w:val="default"/>
  </w:font>
  <w:font w:name="proxima-nova">
    <w:altName w:val="Times New Roman"/>
    <w:charset w:val="00"/>
    <w:family w:val="auto"/>
    <w:pitch w:val="default"/>
  </w:font>
  <w:font w:name="ArialMTPro-Light">
    <w:altName w:val="MS Gothic"/>
    <w:panose1 w:val="00000000000000000000"/>
    <w:charset w:val="00"/>
    <w:family w:val="swiss"/>
    <w:notTrueType/>
    <w:pitch w:val="default"/>
    <w:sig w:usb0="00000081" w:usb1="08070000" w:usb2="00000010" w:usb3="00000000" w:csb0="00020009" w:csb1="00000000"/>
  </w:font>
  <w:font w:name="ProximaNova-Light">
    <w:altName w:val="Cambria"/>
    <w:panose1 w:val="00000000000000000000"/>
    <w:charset w:val="00"/>
    <w:family w:val="swiss"/>
    <w:notTrueType/>
    <w:pitch w:val="default"/>
    <w:sig w:usb0="00000003" w:usb1="00000000" w:usb2="00000000" w:usb3="00000000" w:csb0="00000001" w:csb1="00000000"/>
  </w:font>
  <w:font w:name="Noto Serif">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E4BCB" w14:textId="77777777" w:rsidR="00BA4B48" w:rsidRDefault="00BA4B48" w:rsidP="00FD4AB1">
    <w:pPr>
      <w:pStyle w:val="Footer"/>
      <w:rPr>
        <w:color w:val="808080"/>
        <w:sz w:val="15"/>
        <w:lang w:eastAsia="en-AU"/>
      </w:rPr>
    </w:pPr>
    <w:r>
      <w:rPr>
        <w:color w:val="808080"/>
        <w:sz w:val="15"/>
        <w:lang w:eastAsia="en-AU"/>
      </w:rPr>
      <w:t xml:space="preserve">Fifth National Aboriginal and Torres Strait Islander Blood Borne Viruses and Sexually Transmissible Infections Strategy 2018-2022 </w:t>
    </w:r>
  </w:p>
  <w:p w14:paraId="62E65226" w14:textId="1ACCFF12" w:rsidR="00BA4B48" w:rsidRPr="00A233C5" w:rsidRDefault="00BA4B48" w:rsidP="00FD4AB1">
    <w:pPr>
      <w:pStyle w:val="Footer"/>
      <w:rPr>
        <w:b/>
      </w:rPr>
    </w:pPr>
    <w:r>
      <w:rPr>
        <w:color w:val="A5A5A5"/>
      </w:rPr>
      <w:tab/>
    </w:r>
    <w:r w:rsidRPr="00FD4AB1">
      <w:rPr>
        <w:rFonts w:cs="Segoe UI"/>
        <w:color w:val="A5A5A5"/>
      </w:rPr>
      <w:t>|</w:t>
    </w:r>
    <w:r w:rsidRPr="00076505">
      <w:rPr>
        <w:rFonts w:cs="Segoe UI"/>
        <w:color w:val="808080"/>
      </w:rPr>
      <w:t xml:space="preserve"> </w:t>
    </w:r>
    <w:r w:rsidRPr="00A233C5">
      <w:rPr>
        <w:b/>
        <w:color w:val="808080"/>
        <w:sz w:val="16"/>
      </w:rPr>
      <w:fldChar w:fldCharType="begin"/>
    </w:r>
    <w:r w:rsidRPr="003B464C">
      <w:rPr>
        <w:rFonts w:ascii="Segoe UI Semibold" w:hAnsi="Segoe UI Semibold" w:cs="Segoe UI"/>
        <w:color w:val="808080"/>
        <w:sz w:val="16"/>
        <w:szCs w:val="16"/>
      </w:rPr>
      <w:instrText xml:space="preserve"> PAGE  \* Arabic  \* MERGEFORMAT </w:instrText>
    </w:r>
    <w:r w:rsidRPr="00A233C5">
      <w:rPr>
        <w:b/>
        <w:color w:val="808080"/>
        <w:sz w:val="16"/>
      </w:rPr>
      <w:fldChar w:fldCharType="separate"/>
    </w:r>
    <w:r w:rsidR="00884B5E" w:rsidRPr="00884B5E">
      <w:rPr>
        <w:rFonts w:ascii="Segoe UI Semibold" w:hAnsi="Segoe UI Semibold" w:cs="Segoe UI"/>
        <w:b/>
        <w:noProof/>
        <w:color w:val="808080"/>
        <w:sz w:val="16"/>
        <w:szCs w:val="16"/>
      </w:rPr>
      <w:t>6</w:t>
    </w:r>
    <w:r w:rsidRPr="00A233C5">
      <w:rPr>
        <w:b/>
        <w:color w:val="808080"/>
        <w:sz w:val="16"/>
      </w:rPr>
      <w:fldChar w:fldCharType="end"/>
    </w:r>
    <w:r w:rsidRPr="00A233C5">
      <w:rPr>
        <w:b/>
        <w:color w:val="808080"/>
      </w:rPr>
      <w:t xml:space="preserve"> </w:t>
    </w:r>
    <w:r w:rsidRPr="00FD4AB1">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A6B3E" w14:textId="77777777" w:rsidR="00BA4B48" w:rsidRDefault="00BA4B48" w:rsidP="00302076">
      <w:pPr>
        <w:spacing w:after="0"/>
      </w:pPr>
      <w:r>
        <w:separator/>
      </w:r>
    </w:p>
  </w:footnote>
  <w:footnote w:type="continuationSeparator" w:id="0">
    <w:p w14:paraId="76C8C7BB" w14:textId="77777777" w:rsidR="00BA4B48" w:rsidRDefault="00BA4B48" w:rsidP="00302076">
      <w:pPr>
        <w:spacing w:after="0"/>
      </w:pPr>
      <w:r>
        <w:continuationSeparator/>
      </w:r>
    </w:p>
  </w:footnote>
  <w:footnote w:type="continuationNotice" w:id="1">
    <w:p w14:paraId="0680C812" w14:textId="77777777" w:rsidR="00BA4B48" w:rsidRDefault="00BA4B48">
      <w:pPr>
        <w:spacing w:after="0"/>
      </w:pPr>
    </w:p>
  </w:footnote>
  <w:footnote w:id="2">
    <w:p w14:paraId="5221F573" w14:textId="41448A87" w:rsidR="00BA4B48" w:rsidRPr="00002863" w:rsidRDefault="00BA4B48" w:rsidP="00DF6B48">
      <w:pPr>
        <w:pStyle w:val="FootnoteText"/>
        <w:rPr>
          <w:sz w:val="18"/>
          <w:szCs w:val="18"/>
        </w:rPr>
      </w:pPr>
      <w:r w:rsidRPr="00002863">
        <w:rPr>
          <w:rStyle w:val="FootnoteReference"/>
          <w:sz w:val="18"/>
          <w:szCs w:val="18"/>
        </w:rPr>
        <w:footnoteRef/>
      </w:r>
      <w:r w:rsidRPr="00002863">
        <w:rPr>
          <w:sz w:val="18"/>
          <w:szCs w:val="18"/>
        </w:rPr>
        <w:t xml:space="preserve"> </w:t>
      </w:r>
      <w:r w:rsidRPr="004E40E1">
        <w:rPr>
          <w:sz w:val="16"/>
          <w:szCs w:val="16"/>
        </w:rPr>
        <w:t>Currently defined as a</w:t>
      </w:r>
      <w:r w:rsidRPr="004E40E1">
        <w:rPr>
          <w:rFonts w:cs="Segoe UI"/>
          <w:sz w:val="16"/>
          <w:szCs w:val="16"/>
        </w:rPr>
        <w:t xml:space="preserve"> sustained</w:t>
      </w:r>
      <w:r>
        <w:rPr>
          <w:rFonts w:cs="Segoe UI"/>
          <w:sz w:val="16"/>
          <w:szCs w:val="16"/>
        </w:rPr>
        <w:t xml:space="preserve"> viral load of</w:t>
      </w:r>
      <w:r w:rsidRPr="00FB480E">
        <w:rPr>
          <w:rFonts w:cs="Segoe UI"/>
          <w:sz w:val="16"/>
          <w:szCs w:val="16"/>
        </w:rPr>
        <w:t xml:space="preserve"> </w:t>
      </w:r>
      <w:r>
        <w:rPr>
          <w:rFonts w:cs="Segoe UI"/>
          <w:sz w:val="16"/>
          <w:szCs w:val="16"/>
        </w:rPr>
        <w:t xml:space="preserve">less than </w:t>
      </w:r>
      <w:r w:rsidRPr="00FB480E">
        <w:rPr>
          <w:rFonts w:cs="Segoe UI"/>
          <w:sz w:val="16"/>
          <w:szCs w:val="16"/>
        </w:rPr>
        <w:t>200 copies/mL</w:t>
      </w:r>
      <w:r>
        <w:rPr>
          <w:rFonts w:cs="Segoe UI"/>
          <w:sz w:val="16"/>
          <w:szCs w:val="16"/>
        </w:rPr>
        <w:t>.</w:t>
      </w:r>
    </w:p>
  </w:footnote>
  <w:footnote w:id="3">
    <w:p w14:paraId="197C444C" w14:textId="4CCD7A9B" w:rsidR="00BA4B48" w:rsidRPr="009767D7" w:rsidRDefault="00BA4B48" w:rsidP="00573F87">
      <w:pPr>
        <w:pStyle w:val="Listnumbered"/>
        <w:numPr>
          <w:ilvl w:val="0"/>
          <w:numId w:val="0"/>
        </w:numPr>
        <w:rPr>
          <w:sz w:val="20"/>
          <w:szCs w:val="20"/>
        </w:rPr>
      </w:pPr>
      <w:r>
        <w:rPr>
          <w:rStyle w:val="FootnoteReference"/>
        </w:rPr>
        <w:footnoteRef/>
      </w:r>
      <w:r>
        <w:t xml:space="preserve"> </w:t>
      </w:r>
      <w:r w:rsidRPr="009E39EC">
        <w:rPr>
          <w:sz w:val="16"/>
          <w:szCs w:val="16"/>
        </w:rPr>
        <w:t>Third National Hepatitis B Strategy 2018</w:t>
      </w:r>
      <w:r>
        <w:rPr>
          <w:sz w:val="16"/>
          <w:szCs w:val="16"/>
        </w:rPr>
        <w:t>–20</w:t>
      </w:r>
      <w:r w:rsidRPr="009E39EC">
        <w:rPr>
          <w:sz w:val="16"/>
          <w:szCs w:val="16"/>
        </w:rPr>
        <w:t>22; Fourth National STI Strategy 2018</w:t>
      </w:r>
      <w:r>
        <w:rPr>
          <w:sz w:val="16"/>
          <w:szCs w:val="16"/>
        </w:rPr>
        <w:t>–20</w:t>
      </w:r>
      <w:r w:rsidRPr="009E39EC">
        <w:rPr>
          <w:sz w:val="16"/>
          <w:szCs w:val="16"/>
        </w:rPr>
        <w:t xml:space="preserve">22; </w:t>
      </w:r>
      <w:r w:rsidRPr="009E39EC">
        <w:rPr>
          <w:sz w:val="16"/>
          <w:szCs w:val="16"/>
        </w:rPr>
        <w:br/>
        <w:t>Fifth National Hepatitis C Strategy 2018</w:t>
      </w:r>
      <w:r>
        <w:rPr>
          <w:sz w:val="16"/>
          <w:szCs w:val="16"/>
        </w:rPr>
        <w:t>–20</w:t>
      </w:r>
      <w:r w:rsidRPr="009E39EC">
        <w:rPr>
          <w:sz w:val="16"/>
          <w:szCs w:val="16"/>
        </w:rPr>
        <w:t>22; and Eighth National HIV Strategy 2018</w:t>
      </w:r>
      <w:r>
        <w:rPr>
          <w:sz w:val="16"/>
          <w:szCs w:val="16"/>
        </w:rPr>
        <w:t>–20</w:t>
      </w:r>
      <w:r w:rsidRPr="009E39EC">
        <w:rPr>
          <w:sz w:val="16"/>
          <w:szCs w:val="16"/>
        </w:rPr>
        <w:t>22</w:t>
      </w:r>
      <w:r>
        <w:rPr>
          <w:sz w:val="16"/>
          <w:szCs w:val="16"/>
        </w:rPr>
        <w:t>.</w:t>
      </w:r>
    </w:p>
    <w:p w14:paraId="4F54CE28" w14:textId="77777777" w:rsidR="00BA4B48" w:rsidRDefault="00BA4B48" w:rsidP="00573F87">
      <w:pPr>
        <w:pStyle w:val="FootnoteText"/>
      </w:pPr>
    </w:p>
  </w:footnote>
  <w:footnote w:id="4">
    <w:p w14:paraId="1F810176" w14:textId="77777777" w:rsidR="00BA4B48" w:rsidRDefault="00BA4B48" w:rsidP="000B7574">
      <w:pPr>
        <w:pStyle w:val="FootnoteText"/>
      </w:pPr>
      <w:r w:rsidRPr="00B62A6D">
        <w:rPr>
          <w:rStyle w:val="FootnoteReference"/>
          <w:sz w:val="22"/>
        </w:rPr>
        <w:footnoteRef/>
      </w:r>
      <w:r w:rsidRPr="00B62A6D">
        <w:rPr>
          <w:sz w:val="22"/>
        </w:rPr>
        <w:t xml:space="preserve"> </w:t>
      </w:r>
      <w:r w:rsidRPr="00B62A6D">
        <w:rPr>
          <w:sz w:val="16"/>
          <w:szCs w:val="18"/>
        </w:rPr>
        <w:t>Rates in this figure relate to BBV and STI in the Aboriginal and Torres Strait Islander population.</w:t>
      </w:r>
      <w:r w:rsidRPr="00B62A6D">
        <w:rPr>
          <w:sz w:val="18"/>
        </w:rPr>
        <w:t xml:space="preserve"> </w:t>
      </w:r>
    </w:p>
  </w:footnote>
  <w:footnote w:id="5">
    <w:p w14:paraId="3321DB84" w14:textId="4DC5E854" w:rsidR="00BA4B48" w:rsidRDefault="00BA4B48">
      <w:pPr>
        <w:pStyle w:val="FootnoteText"/>
      </w:pPr>
      <w:r>
        <w:rPr>
          <w:rStyle w:val="FootnoteReference"/>
        </w:rPr>
        <w:footnoteRef/>
      </w:r>
      <w:r>
        <w:t xml:space="preserve"> </w:t>
      </w:r>
      <w:r w:rsidRPr="00900DF5">
        <w:rPr>
          <w:sz w:val="17"/>
          <w:szCs w:val="17"/>
        </w:rPr>
        <w:t xml:space="preserve">Goals and targets are specific for </w:t>
      </w:r>
      <w:r>
        <w:rPr>
          <w:sz w:val="17"/>
          <w:szCs w:val="17"/>
        </w:rPr>
        <w:t xml:space="preserve">the </w:t>
      </w:r>
      <w:r w:rsidRPr="00900DF5">
        <w:rPr>
          <w:sz w:val="17"/>
          <w:szCs w:val="17"/>
        </w:rPr>
        <w:t>Aboriginal and Torres Strait Islander p</w:t>
      </w:r>
      <w:r>
        <w:rPr>
          <w:sz w:val="17"/>
          <w:szCs w:val="17"/>
        </w:rPr>
        <w:t>opulation. Some of these targets will require the development / further development of data sources to monitor progress. This will be progressed through the action plan.</w:t>
      </w:r>
    </w:p>
  </w:footnote>
  <w:footnote w:id="6">
    <w:p w14:paraId="34EF3404" w14:textId="3C6EC11F" w:rsidR="00BA4B48" w:rsidRPr="00444904" w:rsidRDefault="00BA4B48" w:rsidP="00751F1F">
      <w:pPr>
        <w:pStyle w:val="FootnoteText"/>
        <w:rPr>
          <w:sz w:val="17"/>
          <w:szCs w:val="17"/>
        </w:rPr>
      </w:pPr>
      <w:r>
        <w:rPr>
          <w:rStyle w:val="FootnoteReference"/>
        </w:rPr>
        <w:footnoteRef/>
      </w:r>
      <w:r>
        <w:t xml:space="preserve"> </w:t>
      </w:r>
      <w:r w:rsidRPr="00444904">
        <w:rPr>
          <w:sz w:val="17"/>
          <w:szCs w:val="17"/>
        </w:rPr>
        <w:t xml:space="preserve">Compared </w:t>
      </w:r>
      <w:r>
        <w:rPr>
          <w:sz w:val="17"/>
          <w:szCs w:val="17"/>
        </w:rPr>
        <w:t xml:space="preserve">with </w:t>
      </w:r>
      <w:r w:rsidRPr="00444904">
        <w:rPr>
          <w:sz w:val="17"/>
          <w:szCs w:val="17"/>
        </w:rPr>
        <w:t>2016 data</w:t>
      </w:r>
      <w:r>
        <w:rPr>
          <w:sz w:val="17"/>
          <w:szCs w:val="17"/>
        </w:rPr>
        <w:t>.</w:t>
      </w:r>
    </w:p>
  </w:footnote>
  <w:footnote w:id="7">
    <w:p w14:paraId="57AB47DB" w14:textId="7FF39D99" w:rsidR="00BA4B48" w:rsidRDefault="00BA4B48" w:rsidP="00751F1F">
      <w:pPr>
        <w:pStyle w:val="FootnoteText"/>
      </w:pPr>
      <w:r w:rsidRPr="002C0B57">
        <w:rPr>
          <w:rStyle w:val="FootnoteReference"/>
        </w:rPr>
        <w:footnoteRef/>
      </w:r>
      <w:r w:rsidRPr="00444904">
        <w:rPr>
          <w:sz w:val="17"/>
          <w:szCs w:val="17"/>
        </w:rPr>
        <w:t xml:space="preserve"> Accounting for testing levels</w:t>
      </w:r>
      <w:r>
        <w:rPr>
          <w:sz w:val="17"/>
          <w:szCs w:val="17"/>
        </w:rPr>
        <w:t>.</w:t>
      </w:r>
    </w:p>
  </w:footnote>
  <w:footnote w:id="8">
    <w:p w14:paraId="60F0848F" w14:textId="59484BBA" w:rsidR="00BA4B48" w:rsidRDefault="00BA4B48" w:rsidP="00751F1F">
      <w:pPr>
        <w:pStyle w:val="FootnoteText"/>
      </w:pPr>
      <w:r>
        <w:rPr>
          <w:rStyle w:val="FootnoteReference"/>
        </w:rPr>
        <w:footnoteRef/>
      </w:r>
      <w:r>
        <w:t xml:space="preserve"> </w:t>
      </w:r>
      <w:r w:rsidRPr="00AB424F">
        <w:rPr>
          <w:sz w:val="17"/>
          <w:szCs w:val="17"/>
        </w:rPr>
        <w:t>No new cases of congenital syphilis nationally notified (as defined by the global surveillance case definition) for two consecutive years</w:t>
      </w:r>
      <w:r>
        <w:rPr>
          <w:sz w:val="17"/>
          <w:szCs w:val="17"/>
        </w:rPr>
        <w:t>.</w:t>
      </w:r>
    </w:p>
  </w:footnote>
  <w:footnote w:id="9">
    <w:p w14:paraId="061A404A" w14:textId="4B47DC2A" w:rsidR="00BA4B48" w:rsidRDefault="00BA4B48" w:rsidP="00427C56">
      <w:pPr>
        <w:pStyle w:val="FootnoteText"/>
      </w:pPr>
      <w:r w:rsidRPr="00270232">
        <w:rPr>
          <w:rStyle w:val="FootnoteReference"/>
          <w:szCs w:val="17"/>
        </w:rPr>
        <w:footnoteRef/>
      </w:r>
      <w:r w:rsidRPr="00416D17">
        <w:rPr>
          <w:sz w:val="17"/>
          <w:szCs w:val="17"/>
        </w:rPr>
        <w:t xml:space="preserve"> Links to Section 7</w:t>
      </w:r>
      <w:r>
        <w:rPr>
          <w:sz w:val="17"/>
          <w:szCs w:val="17"/>
        </w:rPr>
        <w:t>,</w:t>
      </w:r>
      <w:r w:rsidRPr="00416D17">
        <w:rPr>
          <w:sz w:val="17"/>
          <w:szCs w:val="17"/>
        </w:rPr>
        <w:t xml:space="preserve"> ‘Priority </w:t>
      </w:r>
      <w:r>
        <w:rPr>
          <w:sz w:val="17"/>
          <w:szCs w:val="17"/>
        </w:rPr>
        <w:t>a</w:t>
      </w:r>
      <w:r w:rsidRPr="00416D17">
        <w:rPr>
          <w:sz w:val="17"/>
          <w:szCs w:val="17"/>
        </w:rPr>
        <w:t xml:space="preserve">reas for </w:t>
      </w:r>
      <w:r>
        <w:rPr>
          <w:sz w:val="17"/>
          <w:szCs w:val="17"/>
        </w:rPr>
        <w:t>a</w:t>
      </w:r>
      <w:r w:rsidRPr="00416D17">
        <w:rPr>
          <w:sz w:val="17"/>
          <w:szCs w:val="17"/>
        </w:rPr>
        <w:t xml:space="preserve">ction’. </w:t>
      </w:r>
      <w:r w:rsidRPr="00416D17">
        <w:rPr>
          <w:sz w:val="17"/>
          <w:szCs w:val="17"/>
          <w:lang w:val="en-US"/>
        </w:rPr>
        <w:t xml:space="preserve">Priority </w:t>
      </w:r>
      <w:r>
        <w:rPr>
          <w:sz w:val="17"/>
          <w:szCs w:val="17"/>
          <w:lang w:val="en-US"/>
        </w:rPr>
        <w:t>groups and settings</w:t>
      </w:r>
      <w:r w:rsidRPr="00416D17">
        <w:rPr>
          <w:sz w:val="17"/>
          <w:szCs w:val="17"/>
          <w:lang w:val="en-US"/>
        </w:rPr>
        <w:t xml:space="preserve"> are described in Section 6</w:t>
      </w:r>
      <w:r>
        <w:rPr>
          <w:sz w:val="17"/>
          <w:szCs w:val="17"/>
          <w:lang w:val="en-US"/>
        </w:rPr>
        <w:t>,</w:t>
      </w:r>
      <w:r w:rsidRPr="00416D17">
        <w:rPr>
          <w:sz w:val="17"/>
          <w:szCs w:val="17"/>
          <w:lang w:val="en-US"/>
        </w:rPr>
        <w:t xml:space="preserve"> ‘</w:t>
      </w:r>
      <w:r>
        <w:rPr>
          <w:sz w:val="17"/>
          <w:szCs w:val="17"/>
          <w:lang w:val="en-US"/>
        </w:rPr>
        <w:t>Priority groups</w:t>
      </w:r>
      <w:r w:rsidRPr="00416D17">
        <w:rPr>
          <w:sz w:val="17"/>
          <w:szCs w:val="17"/>
          <w:lang w:val="en-US"/>
        </w:rPr>
        <w:t xml:space="preserve"> and </w:t>
      </w:r>
      <w:r>
        <w:rPr>
          <w:sz w:val="17"/>
          <w:szCs w:val="17"/>
          <w:lang w:val="en-US"/>
        </w:rPr>
        <w:t>s</w:t>
      </w:r>
      <w:r w:rsidRPr="00416D17">
        <w:rPr>
          <w:sz w:val="17"/>
          <w:szCs w:val="17"/>
          <w:lang w:val="en-US"/>
        </w:rPr>
        <w:t>ettings’</w:t>
      </w:r>
      <w:r>
        <w:rPr>
          <w:sz w:val="17"/>
          <w:szCs w:val="17"/>
          <w:lang w:val="en-US"/>
        </w:rPr>
        <w:t>.</w:t>
      </w:r>
    </w:p>
  </w:footnote>
  <w:footnote w:id="10">
    <w:p w14:paraId="3820FE4C" w14:textId="77777777" w:rsidR="00BA4B48" w:rsidRPr="00831067" w:rsidRDefault="00BA4B48" w:rsidP="00557937">
      <w:pPr>
        <w:pStyle w:val="FootnoteText"/>
        <w:rPr>
          <w:sz w:val="16"/>
          <w:szCs w:val="16"/>
        </w:rPr>
      </w:pPr>
      <w:r w:rsidRPr="00831067">
        <w:rPr>
          <w:rStyle w:val="FootnoteReference"/>
          <w:sz w:val="16"/>
          <w:szCs w:val="16"/>
        </w:rPr>
        <w:footnoteRef/>
      </w:r>
      <w:r w:rsidRPr="00831067">
        <w:rPr>
          <w:sz w:val="16"/>
          <w:szCs w:val="16"/>
        </w:rPr>
        <w:t xml:space="preserve"> As defined in the PrEP guidelines published by the Australasian Society for HIV, Viral Hepatitis and Sexual Health Medi</w:t>
      </w:r>
      <w:r>
        <w:rPr>
          <w:sz w:val="16"/>
          <w:szCs w:val="16"/>
        </w:rPr>
        <w:t>cine. A</w:t>
      </w:r>
      <w:r w:rsidRPr="00831067">
        <w:rPr>
          <w:sz w:val="16"/>
          <w:szCs w:val="16"/>
        </w:rPr>
        <w:t>vailable at: http://viruseradication.com/journal-details/Australasian_Society_for_HIV,_Viral_Hepatitis_and_Sexual_Health_Medicine_HIV_pre-exposure_prophylaxis:_clinical_guidelines/</w:t>
      </w:r>
    </w:p>
  </w:footnote>
  <w:footnote w:id="11">
    <w:p w14:paraId="36211EEA" w14:textId="7C3A69C9" w:rsidR="00BA4B48" w:rsidRDefault="00BA4B48" w:rsidP="00B65C03">
      <w:pPr>
        <w:pStyle w:val="FootnoteText"/>
      </w:pPr>
      <w:r>
        <w:rPr>
          <w:rStyle w:val="FootnoteReference"/>
        </w:rPr>
        <w:footnoteRef/>
      </w:r>
      <w:r>
        <w:t xml:space="preserve"> </w:t>
      </w:r>
      <w:r w:rsidRPr="00B65C03">
        <w:rPr>
          <w:sz w:val="16"/>
          <w:szCs w:val="16"/>
        </w:rPr>
        <w:t xml:space="preserve">The </w:t>
      </w:r>
      <w:r w:rsidRPr="009E39EC">
        <w:rPr>
          <w:sz w:val="16"/>
          <w:szCs w:val="16"/>
        </w:rPr>
        <w:t>Closing the Gap PBS Co-payment Measure for Aboriginal and Torres Strait Islander People</w:t>
      </w:r>
      <w:r>
        <w:rPr>
          <w:sz w:val="16"/>
          <w:szCs w:val="16"/>
        </w:rPr>
        <w:t xml:space="preserve"> reduces the cost of PBS medicines for eligible Aboriginal and Torres Strait Islander people. Information available at: </w:t>
      </w:r>
      <w:hyperlink r:id="rId1" w:tooltip="PBS" w:history="1">
        <w:r w:rsidRPr="00BF1311">
          <w:rPr>
            <w:rStyle w:val="Hyperlink"/>
            <w:sz w:val="16"/>
            <w:szCs w:val="16"/>
          </w:rPr>
          <w:t>http://www.pbs.gov.au/info/publication/factsheets/closing-the-gap-pbs-co-payment-measure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11201B12"/>
    <w:multiLevelType w:val="hybridMultilevel"/>
    <w:tmpl w:val="51D6E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3E20E3"/>
    <w:multiLevelType w:val="multilevel"/>
    <w:tmpl w:val="9E2C7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243268"/>
    <w:multiLevelType w:val="multilevel"/>
    <w:tmpl w:val="8D22F23C"/>
    <w:lvl w:ilvl="0">
      <w:start w:val="1"/>
      <w:numFmt w:val="decimal"/>
      <w:lvlText w:val="%1."/>
      <w:lvlJc w:val="left"/>
      <w:pPr>
        <w:ind w:left="360" w:hanging="360"/>
      </w:pPr>
      <w:rPr>
        <w:rFonts w:hint="default"/>
        <w:b/>
        <w:color w:val="F8981D"/>
        <w:sz w:val="16"/>
        <w:szCs w:val="16"/>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7C5F69"/>
    <w:multiLevelType w:val="hybridMultilevel"/>
    <w:tmpl w:val="05223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625D8B"/>
    <w:multiLevelType w:val="hybridMultilevel"/>
    <w:tmpl w:val="0C92B0DE"/>
    <w:lvl w:ilvl="0" w:tplc="BCA0E07C">
      <w:start w:val="1"/>
      <w:numFmt w:val="decimal"/>
      <w:pStyle w:val="Listnumbered"/>
      <w:lvlText w:val="%1."/>
      <w:lvlJc w:val="left"/>
      <w:pPr>
        <w:ind w:left="397" w:hanging="397"/>
      </w:pPr>
      <w:rPr>
        <w:rFonts w:hint="default"/>
        <w:b/>
        <w:color w:val="F8981D"/>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974040"/>
    <w:multiLevelType w:val="hybridMultilevel"/>
    <w:tmpl w:val="0882D2CC"/>
    <w:lvl w:ilvl="0" w:tplc="0C090001">
      <w:start w:val="1"/>
      <w:numFmt w:val="bullet"/>
      <w:lvlText w:val=""/>
      <w:lvlJc w:val="left"/>
      <w:pPr>
        <w:ind w:left="720" w:hanging="360"/>
      </w:pPr>
      <w:rPr>
        <w:rFonts w:ascii="Symbol" w:hAnsi="Symbol" w:hint="default"/>
        <w:color w:val="1F497D" w:themeColor="tex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A82D8F"/>
    <w:multiLevelType w:val="hybridMultilevel"/>
    <w:tmpl w:val="152EF50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200E6C54"/>
    <w:multiLevelType w:val="hybridMultilevel"/>
    <w:tmpl w:val="E40E730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FF173F5"/>
    <w:multiLevelType w:val="hybridMultilevel"/>
    <w:tmpl w:val="A2DEB052"/>
    <w:lvl w:ilvl="0" w:tplc="2FCE8212">
      <w:start w:val="1"/>
      <w:numFmt w:val="bullet"/>
      <w:pStyle w:val="TableExpbullet"/>
      <w:lvlText w:val=""/>
      <w:lvlJc w:val="left"/>
      <w:pPr>
        <w:ind w:left="360" w:hanging="360"/>
      </w:pPr>
      <w:rPr>
        <w:rFonts w:ascii="Symbol" w:hAnsi="Symbol" w:hint="default"/>
        <w:b w:val="0"/>
        <w:i w:val="0"/>
        <w:sz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16937E9"/>
    <w:multiLevelType w:val="hybridMultilevel"/>
    <w:tmpl w:val="B7129EF6"/>
    <w:lvl w:ilvl="0" w:tplc="BE18282E">
      <w:start w:val="1"/>
      <w:numFmt w:val="decimal"/>
      <w:lvlText w:val="%1."/>
      <w:lvlJc w:val="left"/>
      <w:pPr>
        <w:ind w:left="720" w:hanging="360"/>
      </w:pPr>
      <w:rPr>
        <w:b/>
        <w:color w:val="F8981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6A2698"/>
    <w:multiLevelType w:val="hybridMultilevel"/>
    <w:tmpl w:val="FF6EE4A2"/>
    <w:lvl w:ilvl="0" w:tplc="9E3E472C">
      <w:start w:val="1"/>
      <w:numFmt w:val="decimal"/>
      <w:pStyle w:val="TableNLis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9D1413D"/>
    <w:multiLevelType w:val="multilevel"/>
    <w:tmpl w:val="9788B054"/>
    <w:lvl w:ilvl="0">
      <w:start w:val="1"/>
      <w:numFmt w:val="decimal"/>
      <w:pStyle w:val="TableNBullet"/>
      <w:lvlText w:val="%1."/>
      <w:lvlJc w:val="left"/>
      <w:pPr>
        <w:ind w:left="227" w:hanging="227"/>
      </w:pPr>
      <w:rPr>
        <w:rFonts w:hint="default"/>
        <w:color w:val="auto"/>
        <w:position w:val="4"/>
        <w:sz w:val="19"/>
        <w:szCs w:val="19"/>
      </w:rPr>
    </w:lvl>
    <w:lvl w:ilvl="1">
      <w:start w:val="1"/>
      <w:numFmt w:val="bullet"/>
      <w:lvlText w:val=""/>
      <w:lvlJc w:val="left"/>
      <w:pPr>
        <w:ind w:left="567" w:hanging="283"/>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3" w15:restartNumberingAfterBreak="0">
    <w:nsid w:val="40B9346E"/>
    <w:multiLevelType w:val="hybridMultilevel"/>
    <w:tmpl w:val="E462324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68B14B9"/>
    <w:multiLevelType w:val="hybridMultilevel"/>
    <w:tmpl w:val="57E8F644"/>
    <w:lvl w:ilvl="0" w:tplc="2D82414C">
      <w:start w:val="2018"/>
      <w:numFmt w:val="bullet"/>
      <w:lvlText w:val="-"/>
      <w:lvlJc w:val="left"/>
      <w:pPr>
        <w:ind w:left="720" w:hanging="360"/>
      </w:pPr>
      <w:rPr>
        <w:rFonts w:ascii="Segoe UI" w:eastAsia="Calibri" w:hAnsi="Segoe UI" w:cs="Segoe UI"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BD6855"/>
    <w:multiLevelType w:val="multilevel"/>
    <w:tmpl w:val="B37C1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A16EBA"/>
    <w:multiLevelType w:val="multilevel"/>
    <w:tmpl w:val="D060ABD0"/>
    <w:lvl w:ilvl="0">
      <w:start w:val="1"/>
      <w:numFmt w:val="upperLetter"/>
      <w:pStyle w:val="xAppendixLevel1"/>
      <w:lvlText w:val="Appendix %1"/>
      <w:lvlJc w:val="left"/>
      <w:pPr>
        <w:ind w:left="2410" w:hanging="2268"/>
      </w:pPr>
      <w:rPr>
        <w:b/>
        <w:bCs w:val="0"/>
        <w:i w:val="0"/>
        <w:iCs w:val="0"/>
        <w:caps w:val="0"/>
        <w:smallCaps w:val="0"/>
        <w:strike w:val="0"/>
        <w:dstrike w:val="0"/>
        <w:noProof w:val="0"/>
        <w:vanish w:val="0"/>
        <w:color w:val="A5A5A5"/>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17" w15:restartNumberingAfterBreak="0">
    <w:nsid w:val="71B33356"/>
    <w:multiLevelType w:val="hybridMultilevel"/>
    <w:tmpl w:val="21FC3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6"/>
  </w:num>
  <w:num w:numId="3">
    <w:abstractNumId w:val="16"/>
  </w:num>
  <w:num w:numId="4">
    <w:abstractNumId w:val="9"/>
  </w:num>
  <w:num w:numId="5">
    <w:abstractNumId w:val="5"/>
  </w:num>
  <w:num w:numId="6">
    <w:abstractNumId w:val="12"/>
  </w:num>
  <w:num w:numId="7">
    <w:abstractNumId w:val="0"/>
  </w:num>
  <w:num w:numId="8">
    <w:abstractNumId w:val="3"/>
  </w:num>
  <w:num w:numId="9">
    <w:abstractNumId w:val="10"/>
  </w:num>
  <w:num w:numId="10">
    <w:abstractNumId w:val="4"/>
  </w:num>
  <w:num w:numId="11">
    <w:abstractNumId w:val="13"/>
  </w:num>
  <w:num w:numId="12">
    <w:abstractNumId w:val="17"/>
  </w:num>
  <w:num w:numId="13">
    <w:abstractNumId w:val="8"/>
  </w:num>
  <w:num w:numId="14">
    <w:abstractNumId w:val="14"/>
  </w:num>
  <w:num w:numId="15">
    <w:abstractNumId w:val="6"/>
  </w:num>
  <w:num w:numId="16">
    <w:abstractNumId w:val="1"/>
  </w:num>
  <w:num w:numId="17">
    <w:abstractNumId w:val="2"/>
  </w:num>
  <w:num w:numId="18">
    <w:abstractNumId w:val="15"/>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30721"/>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E7F"/>
    <w:rsid w:val="0000041B"/>
    <w:rsid w:val="00001A65"/>
    <w:rsid w:val="0000284F"/>
    <w:rsid w:val="00002B34"/>
    <w:rsid w:val="00003454"/>
    <w:rsid w:val="00003B0B"/>
    <w:rsid w:val="00003FFC"/>
    <w:rsid w:val="0000452B"/>
    <w:rsid w:val="0000461F"/>
    <w:rsid w:val="00004A19"/>
    <w:rsid w:val="00004AE4"/>
    <w:rsid w:val="00004B9A"/>
    <w:rsid w:val="00004C28"/>
    <w:rsid w:val="000054ED"/>
    <w:rsid w:val="00005F36"/>
    <w:rsid w:val="0000669B"/>
    <w:rsid w:val="00006D2B"/>
    <w:rsid w:val="00006FBB"/>
    <w:rsid w:val="00007B36"/>
    <w:rsid w:val="0001021E"/>
    <w:rsid w:val="000105DB"/>
    <w:rsid w:val="000118F9"/>
    <w:rsid w:val="00011B7E"/>
    <w:rsid w:val="000121EB"/>
    <w:rsid w:val="000137FA"/>
    <w:rsid w:val="00013837"/>
    <w:rsid w:val="00014419"/>
    <w:rsid w:val="00014A51"/>
    <w:rsid w:val="0001541A"/>
    <w:rsid w:val="000159D4"/>
    <w:rsid w:val="000169D4"/>
    <w:rsid w:val="00017674"/>
    <w:rsid w:val="00017D42"/>
    <w:rsid w:val="00020C3F"/>
    <w:rsid w:val="000211C2"/>
    <w:rsid w:val="00022051"/>
    <w:rsid w:val="00022FE1"/>
    <w:rsid w:val="0002315C"/>
    <w:rsid w:val="00023A36"/>
    <w:rsid w:val="00023E03"/>
    <w:rsid w:val="00024378"/>
    <w:rsid w:val="000243D9"/>
    <w:rsid w:val="00025426"/>
    <w:rsid w:val="0002553C"/>
    <w:rsid w:val="0002589C"/>
    <w:rsid w:val="00025E0B"/>
    <w:rsid w:val="0002607F"/>
    <w:rsid w:val="00026150"/>
    <w:rsid w:val="000267EB"/>
    <w:rsid w:val="000269DA"/>
    <w:rsid w:val="00027CFD"/>
    <w:rsid w:val="00027F59"/>
    <w:rsid w:val="000308F6"/>
    <w:rsid w:val="00030B95"/>
    <w:rsid w:val="0003144A"/>
    <w:rsid w:val="00031F1A"/>
    <w:rsid w:val="0003230F"/>
    <w:rsid w:val="000326DB"/>
    <w:rsid w:val="00034911"/>
    <w:rsid w:val="00035082"/>
    <w:rsid w:val="000352ED"/>
    <w:rsid w:val="00035495"/>
    <w:rsid w:val="00036077"/>
    <w:rsid w:val="00036874"/>
    <w:rsid w:val="00036D02"/>
    <w:rsid w:val="0003720E"/>
    <w:rsid w:val="00037581"/>
    <w:rsid w:val="000376D4"/>
    <w:rsid w:val="00037C03"/>
    <w:rsid w:val="0004033A"/>
    <w:rsid w:val="000405CF"/>
    <w:rsid w:val="000405DC"/>
    <w:rsid w:val="0004123E"/>
    <w:rsid w:val="000413CA"/>
    <w:rsid w:val="00041453"/>
    <w:rsid w:val="000418D1"/>
    <w:rsid w:val="00041B3B"/>
    <w:rsid w:val="00042B53"/>
    <w:rsid w:val="0004379F"/>
    <w:rsid w:val="00043E9B"/>
    <w:rsid w:val="000447C2"/>
    <w:rsid w:val="00044CD4"/>
    <w:rsid w:val="0004510D"/>
    <w:rsid w:val="00045362"/>
    <w:rsid w:val="0004552F"/>
    <w:rsid w:val="00045959"/>
    <w:rsid w:val="00045E7E"/>
    <w:rsid w:val="00045EE8"/>
    <w:rsid w:val="00046278"/>
    <w:rsid w:val="000467DF"/>
    <w:rsid w:val="00046B1B"/>
    <w:rsid w:val="00046D1F"/>
    <w:rsid w:val="00047A5D"/>
    <w:rsid w:val="00050159"/>
    <w:rsid w:val="00050229"/>
    <w:rsid w:val="000516FD"/>
    <w:rsid w:val="00053380"/>
    <w:rsid w:val="000533D7"/>
    <w:rsid w:val="00053BBE"/>
    <w:rsid w:val="000541CD"/>
    <w:rsid w:val="00054592"/>
    <w:rsid w:val="00054A94"/>
    <w:rsid w:val="00055D0D"/>
    <w:rsid w:val="00055D50"/>
    <w:rsid w:val="0005751E"/>
    <w:rsid w:val="0005782B"/>
    <w:rsid w:val="00057B9D"/>
    <w:rsid w:val="00057E2D"/>
    <w:rsid w:val="00061151"/>
    <w:rsid w:val="00061B15"/>
    <w:rsid w:val="00061F30"/>
    <w:rsid w:val="00062EF0"/>
    <w:rsid w:val="000634E3"/>
    <w:rsid w:val="00063528"/>
    <w:rsid w:val="0006483B"/>
    <w:rsid w:val="00064A34"/>
    <w:rsid w:val="00064AF3"/>
    <w:rsid w:val="00065AEA"/>
    <w:rsid w:val="000663D2"/>
    <w:rsid w:val="00067692"/>
    <w:rsid w:val="000703D7"/>
    <w:rsid w:val="00070D83"/>
    <w:rsid w:val="00070DBC"/>
    <w:rsid w:val="000715C8"/>
    <w:rsid w:val="0007196B"/>
    <w:rsid w:val="00071AB1"/>
    <w:rsid w:val="00071C13"/>
    <w:rsid w:val="00071DFF"/>
    <w:rsid w:val="000720B8"/>
    <w:rsid w:val="000720BE"/>
    <w:rsid w:val="00072636"/>
    <w:rsid w:val="00072FEF"/>
    <w:rsid w:val="000732A2"/>
    <w:rsid w:val="000732CA"/>
    <w:rsid w:val="000733EB"/>
    <w:rsid w:val="00073D97"/>
    <w:rsid w:val="00073E44"/>
    <w:rsid w:val="00074301"/>
    <w:rsid w:val="00074A92"/>
    <w:rsid w:val="00075261"/>
    <w:rsid w:val="00076AD4"/>
    <w:rsid w:val="00076F46"/>
    <w:rsid w:val="000777A8"/>
    <w:rsid w:val="000779D1"/>
    <w:rsid w:val="00080199"/>
    <w:rsid w:val="00081421"/>
    <w:rsid w:val="0008159B"/>
    <w:rsid w:val="000825A7"/>
    <w:rsid w:val="00082A90"/>
    <w:rsid w:val="00082C39"/>
    <w:rsid w:val="00083331"/>
    <w:rsid w:val="000839B7"/>
    <w:rsid w:val="00083DC6"/>
    <w:rsid w:val="000846B1"/>
    <w:rsid w:val="00084F25"/>
    <w:rsid w:val="0008631F"/>
    <w:rsid w:val="00090140"/>
    <w:rsid w:val="0009082E"/>
    <w:rsid w:val="00090A2E"/>
    <w:rsid w:val="00090CBA"/>
    <w:rsid w:val="0009123F"/>
    <w:rsid w:val="00091575"/>
    <w:rsid w:val="000915EB"/>
    <w:rsid w:val="000919E8"/>
    <w:rsid w:val="00092612"/>
    <w:rsid w:val="000927AF"/>
    <w:rsid w:val="00093140"/>
    <w:rsid w:val="0009347D"/>
    <w:rsid w:val="00093507"/>
    <w:rsid w:val="00093D0D"/>
    <w:rsid w:val="00094332"/>
    <w:rsid w:val="000949D8"/>
    <w:rsid w:val="00095EFD"/>
    <w:rsid w:val="00096D53"/>
    <w:rsid w:val="0009736C"/>
    <w:rsid w:val="0009745B"/>
    <w:rsid w:val="00097B36"/>
    <w:rsid w:val="00097D4D"/>
    <w:rsid w:val="000A01F7"/>
    <w:rsid w:val="000A0B8F"/>
    <w:rsid w:val="000A1E16"/>
    <w:rsid w:val="000A2658"/>
    <w:rsid w:val="000A3ACB"/>
    <w:rsid w:val="000A3F81"/>
    <w:rsid w:val="000A46FA"/>
    <w:rsid w:val="000A475A"/>
    <w:rsid w:val="000A5A71"/>
    <w:rsid w:val="000A5C8A"/>
    <w:rsid w:val="000A5ED4"/>
    <w:rsid w:val="000A6444"/>
    <w:rsid w:val="000A69D1"/>
    <w:rsid w:val="000A7323"/>
    <w:rsid w:val="000A7D85"/>
    <w:rsid w:val="000B07C1"/>
    <w:rsid w:val="000B0AF1"/>
    <w:rsid w:val="000B2433"/>
    <w:rsid w:val="000B39BE"/>
    <w:rsid w:val="000B4965"/>
    <w:rsid w:val="000B4C62"/>
    <w:rsid w:val="000B54ED"/>
    <w:rsid w:val="000B5C4A"/>
    <w:rsid w:val="000B5E84"/>
    <w:rsid w:val="000B60AA"/>
    <w:rsid w:val="000B6358"/>
    <w:rsid w:val="000B6416"/>
    <w:rsid w:val="000B6C5E"/>
    <w:rsid w:val="000B7574"/>
    <w:rsid w:val="000B75C5"/>
    <w:rsid w:val="000B781E"/>
    <w:rsid w:val="000B7904"/>
    <w:rsid w:val="000B797E"/>
    <w:rsid w:val="000C0ECD"/>
    <w:rsid w:val="000C1AED"/>
    <w:rsid w:val="000C1B62"/>
    <w:rsid w:val="000C2D5E"/>
    <w:rsid w:val="000C35A7"/>
    <w:rsid w:val="000C3DFD"/>
    <w:rsid w:val="000C3FC7"/>
    <w:rsid w:val="000C45F9"/>
    <w:rsid w:val="000C48A5"/>
    <w:rsid w:val="000C4EE2"/>
    <w:rsid w:val="000C5907"/>
    <w:rsid w:val="000C59C4"/>
    <w:rsid w:val="000C59FB"/>
    <w:rsid w:val="000C5D14"/>
    <w:rsid w:val="000C64B1"/>
    <w:rsid w:val="000C673E"/>
    <w:rsid w:val="000C6ADE"/>
    <w:rsid w:val="000C700D"/>
    <w:rsid w:val="000C7354"/>
    <w:rsid w:val="000D0365"/>
    <w:rsid w:val="000D06D1"/>
    <w:rsid w:val="000D07B1"/>
    <w:rsid w:val="000D2918"/>
    <w:rsid w:val="000D2C4D"/>
    <w:rsid w:val="000D2E4A"/>
    <w:rsid w:val="000D2F55"/>
    <w:rsid w:val="000D3440"/>
    <w:rsid w:val="000D38AC"/>
    <w:rsid w:val="000D3EF3"/>
    <w:rsid w:val="000D4078"/>
    <w:rsid w:val="000D4E75"/>
    <w:rsid w:val="000D5CE3"/>
    <w:rsid w:val="000E0100"/>
    <w:rsid w:val="000E0231"/>
    <w:rsid w:val="000E051C"/>
    <w:rsid w:val="000E0A76"/>
    <w:rsid w:val="000E0EC8"/>
    <w:rsid w:val="000E1B00"/>
    <w:rsid w:val="000E23B2"/>
    <w:rsid w:val="000E279B"/>
    <w:rsid w:val="000E29EF"/>
    <w:rsid w:val="000E2D3C"/>
    <w:rsid w:val="000E2FFE"/>
    <w:rsid w:val="000E44E1"/>
    <w:rsid w:val="000E4F65"/>
    <w:rsid w:val="000E51F8"/>
    <w:rsid w:val="000E5451"/>
    <w:rsid w:val="000E5A53"/>
    <w:rsid w:val="000E5CF7"/>
    <w:rsid w:val="000E633D"/>
    <w:rsid w:val="000E6570"/>
    <w:rsid w:val="000E6BDE"/>
    <w:rsid w:val="000E7761"/>
    <w:rsid w:val="000F0273"/>
    <w:rsid w:val="000F0338"/>
    <w:rsid w:val="000F0B1D"/>
    <w:rsid w:val="000F126A"/>
    <w:rsid w:val="000F1CD2"/>
    <w:rsid w:val="000F1DED"/>
    <w:rsid w:val="000F2482"/>
    <w:rsid w:val="000F25DE"/>
    <w:rsid w:val="000F26B2"/>
    <w:rsid w:val="000F3157"/>
    <w:rsid w:val="000F3395"/>
    <w:rsid w:val="000F39F1"/>
    <w:rsid w:val="000F46AD"/>
    <w:rsid w:val="000F4822"/>
    <w:rsid w:val="000F4CFF"/>
    <w:rsid w:val="000F53CA"/>
    <w:rsid w:val="000F5C77"/>
    <w:rsid w:val="000F5CF7"/>
    <w:rsid w:val="000F5D46"/>
    <w:rsid w:val="000F623F"/>
    <w:rsid w:val="000F62AF"/>
    <w:rsid w:val="000F6326"/>
    <w:rsid w:val="000F7189"/>
    <w:rsid w:val="000F7D2D"/>
    <w:rsid w:val="00100402"/>
    <w:rsid w:val="0010056C"/>
    <w:rsid w:val="00100606"/>
    <w:rsid w:val="00101218"/>
    <w:rsid w:val="0010124C"/>
    <w:rsid w:val="00102668"/>
    <w:rsid w:val="00102BB9"/>
    <w:rsid w:val="0010359E"/>
    <w:rsid w:val="00103939"/>
    <w:rsid w:val="00104167"/>
    <w:rsid w:val="00104222"/>
    <w:rsid w:val="00104311"/>
    <w:rsid w:val="0010462B"/>
    <w:rsid w:val="00104B9A"/>
    <w:rsid w:val="00105B0A"/>
    <w:rsid w:val="00105D03"/>
    <w:rsid w:val="00105DEA"/>
    <w:rsid w:val="00106572"/>
    <w:rsid w:val="00106FF9"/>
    <w:rsid w:val="00107A8D"/>
    <w:rsid w:val="001100E6"/>
    <w:rsid w:val="00110C24"/>
    <w:rsid w:val="00112A6A"/>
    <w:rsid w:val="00113A9E"/>
    <w:rsid w:val="00113B60"/>
    <w:rsid w:val="001142C1"/>
    <w:rsid w:val="00114335"/>
    <w:rsid w:val="00114C76"/>
    <w:rsid w:val="001159FA"/>
    <w:rsid w:val="001160D6"/>
    <w:rsid w:val="001162A3"/>
    <w:rsid w:val="001172B5"/>
    <w:rsid w:val="00117BBF"/>
    <w:rsid w:val="00120E2D"/>
    <w:rsid w:val="00120E85"/>
    <w:rsid w:val="0012127C"/>
    <w:rsid w:val="001219B7"/>
    <w:rsid w:val="00122A68"/>
    <w:rsid w:val="00122CFC"/>
    <w:rsid w:val="0012313B"/>
    <w:rsid w:val="001240D1"/>
    <w:rsid w:val="0012489F"/>
    <w:rsid w:val="00124C84"/>
    <w:rsid w:val="00126899"/>
    <w:rsid w:val="00126FB6"/>
    <w:rsid w:val="00130255"/>
    <w:rsid w:val="001304AF"/>
    <w:rsid w:val="00130785"/>
    <w:rsid w:val="001309F8"/>
    <w:rsid w:val="00130E35"/>
    <w:rsid w:val="00131269"/>
    <w:rsid w:val="00131408"/>
    <w:rsid w:val="001314C8"/>
    <w:rsid w:val="001315DE"/>
    <w:rsid w:val="00131891"/>
    <w:rsid w:val="00131FCC"/>
    <w:rsid w:val="00132091"/>
    <w:rsid w:val="001331EF"/>
    <w:rsid w:val="001335CA"/>
    <w:rsid w:val="001338DE"/>
    <w:rsid w:val="0013544A"/>
    <w:rsid w:val="00135A65"/>
    <w:rsid w:val="00135DB4"/>
    <w:rsid w:val="00135F78"/>
    <w:rsid w:val="00136D1C"/>
    <w:rsid w:val="00140707"/>
    <w:rsid w:val="0014080A"/>
    <w:rsid w:val="00140C3B"/>
    <w:rsid w:val="00140F0D"/>
    <w:rsid w:val="001410FD"/>
    <w:rsid w:val="0014121D"/>
    <w:rsid w:val="001418C0"/>
    <w:rsid w:val="00142CF6"/>
    <w:rsid w:val="00143F0B"/>
    <w:rsid w:val="00144EA3"/>
    <w:rsid w:val="0014554A"/>
    <w:rsid w:val="001458E0"/>
    <w:rsid w:val="0014621D"/>
    <w:rsid w:val="00146287"/>
    <w:rsid w:val="00146344"/>
    <w:rsid w:val="0014761D"/>
    <w:rsid w:val="0015089E"/>
    <w:rsid w:val="00150D13"/>
    <w:rsid w:val="00150D4E"/>
    <w:rsid w:val="00151110"/>
    <w:rsid w:val="00151636"/>
    <w:rsid w:val="00151E38"/>
    <w:rsid w:val="00151E89"/>
    <w:rsid w:val="00151F72"/>
    <w:rsid w:val="00151FC5"/>
    <w:rsid w:val="001521B4"/>
    <w:rsid w:val="00152C29"/>
    <w:rsid w:val="001531E7"/>
    <w:rsid w:val="00153FA1"/>
    <w:rsid w:val="001547E8"/>
    <w:rsid w:val="001548A6"/>
    <w:rsid w:val="0015490C"/>
    <w:rsid w:val="00155581"/>
    <w:rsid w:val="0015732E"/>
    <w:rsid w:val="00157A17"/>
    <w:rsid w:val="00157F23"/>
    <w:rsid w:val="00160158"/>
    <w:rsid w:val="0016041F"/>
    <w:rsid w:val="00161AFE"/>
    <w:rsid w:val="001623F0"/>
    <w:rsid w:val="00163159"/>
    <w:rsid w:val="0016330B"/>
    <w:rsid w:val="00163614"/>
    <w:rsid w:val="001637D4"/>
    <w:rsid w:val="00163D09"/>
    <w:rsid w:val="0016405F"/>
    <w:rsid w:val="0016466B"/>
    <w:rsid w:val="001668F9"/>
    <w:rsid w:val="00166CF1"/>
    <w:rsid w:val="00167553"/>
    <w:rsid w:val="00167A06"/>
    <w:rsid w:val="00167F05"/>
    <w:rsid w:val="0017006E"/>
    <w:rsid w:val="00170075"/>
    <w:rsid w:val="001704E9"/>
    <w:rsid w:val="00170562"/>
    <w:rsid w:val="001706EC"/>
    <w:rsid w:val="0017125F"/>
    <w:rsid w:val="0017173C"/>
    <w:rsid w:val="0017189D"/>
    <w:rsid w:val="00171BCB"/>
    <w:rsid w:val="00171E0F"/>
    <w:rsid w:val="00171F1A"/>
    <w:rsid w:val="00172822"/>
    <w:rsid w:val="001728AB"/>
    <w:rsid w:val="00172C68"/>
    <w:rsid w:val="00173074"/>
    <w:rsid w:val="00173915"/>
    <w:rsid w:val="001741B6"/>
    <w:rsid w:val="00174367"/>
    <w:rsid w:val="00174FF6"/>
    <w:rsid w:val="00175AB7"/>
    <w:rsid w:val="00175FC3"/>
    <w:rsid w:val="0017642F"/>
    <w:rsid w:val="0017660C"/>
    <w:rsid w:val="001767DA"/>
    <w:rsid w:val="00177353"/>
    <w:rsid w:val="0017793E"/>
    <w:rsid w:val="001804BD"/>
    <w:rsid w:val="00180552"/>
    <w:rsid w:val="00180B6D"/>
    <w:rsid w:val="0018151A"/>
    <w:rsid w:val="00181626"/>
    <w:rsid w:val="001816FC"/>
    <w:rsid w:val="00181FB9"/>
    <w:rsid w:val="00182622"/>
    <w:rsid w:val="0018434A"/>
    <w:rsid w:val="00184A62"/>
    <w:rsid w:val="00184FCF"/>
    <w:rsid w:val="00185B0C"/>
    <w:rsid w:val="001877E5"/>
    <w:rsid w:val="00187D03"/>
    <w:rsid w:val="0019041D"/>
    <w:rsid w:val="0019104A"/>
    <w:rsid w:val="00192272"/>
    <w:rsid w:val="0019247C"/>
    <w:rsid w:val="0019289C"/>
    <w:rsid w:val="001929B4"/>
    <w:rsid w:val="00192B62"/>
    <w:rsid w:val="00192C9D"/>
    <w:rsid w:val="001936C5"/>
    <w:rsid w:val="0019433E"/>
    <w:rsid w:val="00194C3C"/>
    <w:rsid w:val="00194E61"/>
    <w:rsid w:val="001951D0"/>
    <w:rsid w:val="00195782"/>
    <w:rsid w:val="00196A19"/>
    <w:rsid w:val="00196E9A"/>
    <w:rsid w:val="001974FD"/>
    <w:rsid w:val="001A0282"/>
    <w:rsid w:val="001A0335"/>
    <w:rsid w:val="001A15D1"/>
    <w:rsid w:val="001A16A6"/>
    <w:rsid w:val="001A22C6"/>
    <w:rsid w:val="001A2759"/>
    <w:rsid w:val="001A33E9"/>
    <w:rsid w:val="001A3853"/>
    <w:rsid w:val="001A49CD"/>
    <w:rsid w:val="001A5271"/>
    <w:rsid w:val="001A60D6"/>
    <w:rsid w:val="001A704B"/>
    <w:rsid w:val="001A716C"/>
    <w:rsid w:val="001A732E"/>
    <w:rsid w:val="001A7BED"/>
    <w:rsid w:val="001A7EB7"/>
    <w:rsid w:val="001B0AEB"/>
    <w:rsid w:val="001B0EB8"/>
    <w:rsid w:val="001B0EEE"/>
    <w:rsid w:val="001B1318"/>
    <w:rsid w:val="001B21CE"/>
    <w:rsid w:val="001B28B5"/>
    <w:rsid w:val="001B2A04"/>
    <w:rsid w:val="001B2BB3"/>
    <w:rsid w:val="001B2DDD"/>
    <w:rsid w:val="001B432C"/>
    <w:rsid w:val="001B4996"/>
    <w:rsid w:val="001B53C0"/>
    <w:rsid w:val="001B5E08"/>
    <w:rsid w:val="001B6038"/>
    <w:rsid w:val="001B7319"/>
    <w:rsid w:val="001C015C"/>
    <w:rsid w:val="001C01E6"/>
    <w:rsid w:val="001C09F5"/>
    <w:rsid w:val="001C10EB"/>
    <w:rsid w:val="001C14EA"/>
    <w:rsid w:val="001C1A92"/>
    <w:rsid w:val="001C1D85"/>
    <w:rsid w:val="001C2267"/>
    <w:rsid w:val="001C26AD"/>
    <w:rsid w:val="001C2752"/>
    <w:rsid w:val="001C2F5C"/>
    <w:rsid w:val="001C354A"/>
    <w:rsid w:val="001C4487"/>
    <w:rsid w:val="001C451C"/>
    <w:rsid w:val="001C4997"/>
    <w:rsid w:val="001C4AAA"/>
    <w:rsid w:val="001C4F41"/>
    <w:rsid w:val="001C4F4F"/>
    <w:rsid w:val="001C5DEC"/>
    <w:rsid w:val="001C61EF"/>
    <w:rsid w:val="001C6323"/>
    <w:rsid w:val="001C679A"/>
    <w:rsid w:val="001C740F"/>
    <w:rsid w:val="001C7D4C"/>
    <w:rsid w:val="001D060D"/>
    <w:rsid w:val="001D09D9"/>
    <w:rsid w:val="001D1038"/>
    <w:rsid w:val="001D114D"/>
    <w:rsid w:val="001D22AA"/>
    <w:rsid w:val="001D253E"/>
    <w:rsid w:val="001D2806"/>
    <w:rsid w:val="001D2B53"/>
    <w:rsid w:val="001D348A"/>
    <w:rsid w:val="001D4542"/>
    <w:rsid w:val="001D4EAB"/>
    <w:rsid w:val="001D5E68"/>
    <w:rsid w:val="001D6AD8"/>
    <w:rsid w:val="001D6E24"/>
    <w:rsid w:val="001D7485"/>
    <w:rsid w:val="001E0869"/>
    <w:rsid w:val="001E0E6A"/>
    <w:rsid w:val="001E130E"/>
    <w:rsid w:val="001E1D79"/>
    <w:rsid w:val="001E1F4E"/>
    <w:rsid w:val="001E2F45"/>
    <w:rsid w:val="001E44EF"/>
    <w:rsid w:val="001E493C"/>
    <w:rsid w:val="001E4F76"/>
    <w:rsid w:val="001E56B5"/>
    <w:rsid w:val="001E5883"/>
    <w:rsid w:val="001E5A33"/>
    <w:rsid w:val="001E66C1"/>
    <w:rsid w:val="001E6B39"/>
    <w:rsid w:val="001E78AC"/>
    <w:rsid w:val="001E7E5A"/>
    <w:rsid w:val="001F0842"/>
    <w:rsid w:val="001F0B24"/>
    <w:rsid w:val="001F177E"/>
    <w:rsid w:val="001F1A8A"/>
    <w:rsid w:val="001F1C7A"/>
    <w:rsid w:val="001F23E3"/>
    <w:rsid w:val="001F2B57"/>
    <w:rsid w:val="001F2F28"/>
    <w:rsid w:val="001F2F47"/>
    <w:rsid w:val="001F396C"/>
    <w:rsid w:val="001F3F16"/>
    <w:rsid w:val="001F53F1"/>
    <w:rsid w:val="001F5449"/>
    <w:rsid w:val="001F6D82"/>
    <w:rsid w:val="0020000D"/>
    <w:rsid w:val="002003A8"/>
    <w:rsid w:val="00201529"/>
    <w:rsid w:val="00201E55"/>
    <w:rsid w:val="0020311A"/>
    <w:rsid w:val="0020382B"/>
    <w:rsid w:val="0020450B"/>
    <w:rsid w:val="0020471A"/>
    <w:rsid w:val="00205458"/>
    <w:rsid w:val="002060C4"/>
    <w:rsid w:val="0020621D"/>
    <w:rsid w:val="00210716"/>
    <w:rsid w:val="00210D6D"/>
    <w:rsid w:val="00211443"/>
    <w:rsid w:val="00211E45"/>
    <w:rsid w:val="002126AC"/>
    <w:rsid w:val="002127E2"/>
    <w:rsid w:val="00213287"/>
    <w:rsid w:val="00213AF8"/>
    <w:rsid w:val="00213FE2"/>
    <w:rsid w:val="0021452D"/>
    <w:rsid w:val="002147EB"/>
    <w:rsid w:val="00214C96"/>
    <w:rsid w:val="00214EDB"/>
    <w:rsid w:val="00215566"/>
    <w:rsid w:val="002155DB"/>
    <w:rsid w:val="002159EF"/>
    <w:rsid w:val="00215E3B"/>
    <w:rsid w:val="00216D9F"/>
    <w:rsid w:val="002178CB"/>
    <w:rsid w:val="00217A10"/>
    <w:rsid w:val="00220039"/>
    <w:rsid w:val="002200A5"/>
    <w:rsid w:val="00220FEE"/>
    <w:rsid w:val="00221C6B"/>
    <w:rsid w:val="00221D0F"/>
    <w:rsid w:val="00221FFA"/>
    <w:rsid w:val="002224F5"/>
    <w:rsid w:val="00222ACC"/>
    <w:rsid w:val="0022409F"/>
    <w:rsid w:val="0022420D"/>
    <w:rsid w:val="0022435D"/>
    <w:rsid w:val="00224D49"/>
    <w:rsid w:val="00225065"/>
    <w:rsid w:val="00225F44"/>
    <w:rsid w:val="0022694A"/>
    <w:rsid w:val="00226D2F"/>
    <w:rsid w:val="002300CE"/>
    <w:rsid w:val="00230418"/>
    <w:rsid w:val="00230524"/>
    <w:rsid w:val="00230AF5"/>
    <w:rsid w:val="00230D8D"/>
    <w:rsid w:val="00230E9B"/>
    <w:rsid w:val="00231678"/>
    <w:rsid w:val="00231B69"/>
    <w:rsid w:val="00231E68"/>
    <w:rsid w:val="00232B95"/>
    <w:rsid w:val="00232F58"/>
    <w:rsid w:val="00233D91"/>
    <w:rsid w:val="00233F44"/>
    <w:rsid w:val="00233F6A"/>
    <w:rsid w:val="00234101"/>
    <w:rsid w:val="002341A7"/>
    <w:rsid w:val="00234812"/>
    <w:rsid w:val="00234AD7"/>
    <w:rsid w:val="00234BC1"/>
    <w:rsid w:val="00234F15"/>
    <w:rsid w:val="002353E1"/>
    <w:rsid w:val="002354AC"/>
    <w:rsid w:val="002358BF"/>
    <w:rsid w:val="002359B5"/>
    <w:rsid w:val="00235DE5"/>
    <w:rsid w:val="00235F9C"/>
    <w:rsid w:val="002367B7"/>
    <w:rsid w:val="00236C00"/>
    <w:rsid w:val="002372F7"/>
    <w:rsid w:val="002400CB"/>
    <w:rsid w:val="002404B5"/>
    <w:rsid w:val="002404B7"/>
    <w:rsid w:val="00240929"/>
    <w:rsid w:val="00241441"/>
    <w:rsid w:val="00241E72"/>
    <w:rsid w:val="00242A08"/>
    <w:rsid w:val="00242A5C"/>
    <w:rsid w:val="00242DCD"/>
    <w:rsid w:val="00242F49"/>
    <w:rsid w:val="00243CDD"/>
    <w:rsid w:val="0024494B"/>
    <w:rsid w:val="0024522A"/>
    <w:rsid w:val="002453FA"/>
    <w:rsid w:val="00245827"/>
    <w:rsid w:val="002466BF"/>
    <w:rsid w:val="002467C8"/>
    <w:rsid w:val="00246A31"/>
    <w:rsid w:val="00246CD7"/>
    <w:rsid w:val="00247603"/>
    <w:rsid w:val="00250D77"/>
    <w:rsid w:val="00250F4B"/>
    <w:rsid w:val="0025125D"/>
    <w:rsid w:val="00251763"/>
    <w:rsid w:val="00251B2A"/>
    <w:rsid w:val="00251C72"/>
    <w:rsid w:val="00251CA0"/>
    <w:rsid w:val="00251FAB"/>
    <w:rsid w:val="002546DE"/>
    <w:rsid w:val="0025572A"/>
    <w:rsid w:val="00255BCC"/>
    <w:rsid w:val="00255D4D"/>
    <w:rsid w:val="0025667E"/>
    <w:rsid w:val="002569D4"/>
    <w:rsid w:val="00257077"/>
    <w:rsid w:val="00257B38"/>
    <w:rsid w:val="002613DC"/>
    <w:rsid w:val="00261599"/>
    <w:rsid w:val="00261B45"/>
    <w:rsid w:val="00261EA6"/>
    <w:rsid w:val="00262678"/>
    <w:rsid w:val="0026299C"/>
    <w:rsid w:val="00262C48"/>
    <w:rsid w:val="00262F19"/>
    <w:rsid w:val="00263A36"/>
    <w:rsid w:val="002648C1"/>
    <w:rsid w:val="00265159"/>
    <w:rsid w:val="00265DD7"/>
    <w:rsid w:val="00267105"/>
    <w:rsid w:val="0026785F"/>
    <w:rsid w:val="00267E63"/>
    <w:rsid w:val="00267FD6"/>
    <w:rsid w:val="00270232"/>
    <w:rsid w:val="00270508"/>
    <w:rsid w:val="00270BF2"/>
    <w:rsid w:val="002722F1"/>
    <w:rsid w:val="0027250D"/>
    <w:rsid w:val="00272AF5"/>
    <w:rsid w:val="00272FB3"/>
    <w:rsid w:val="00273724"/>
    <w:rsid w:val="00274034"/>
    <w:rsid w:val="00275181"/>
    <w:rsid w:val="002777FE"/>
    <w:rsid w:val="00277833"/>
    <w:rsid w:val="00277909"/>
    <w:rsid w:val="00280411"/>
    <w:rsid w:val="002809AA"/>
    <w:rsid w:val="00281077"/>
    <w:rsid w:val="00281632"/>
    <w:rsid w:val="002827E2"/>
    <w:rsid w:val="00282A8D"/>
    <w:rsid w:val="00283041"/>
    <w:rsid w:val="00283C3B"/>
    <w:rsid w:val="0028409B"/>
    <w:rsid w:val="00284A69"/>
    <w:rsid w:val="00284CF1"/>
    <w:rsid w:val="00285235"/>
    <w:rsid w:val="00285457"/>
    <w:rsid w:val="00286125"/>
    <w:rsid w:val="00290722"/>
    <w:rsid w:val="0029102F"/>
    <w:rsid w:val="00291037"/>
    <w:rsid w:val="00291AFA"/>
    <w:rsid w:val="00292E6D"/>
    <w:rsid w:val="0029320C"/>
    <w:rsid w:val="00293CAA"/>
    <w:rsid w:val="00293F46"/>
    <w:rsid w:val="002944A3"/>
    <w:rsid w:val="00294A7B"/>
    <w:rsid w:val="00294C7F"/>
    <w:rsid w:val="00295B5A"/>
    <w:rsid w:val="00296448"/>
    <w:rsid w:val="002966AD"/>
    <w:rsid w:val="00296B50"/>
    <w:rsid w:val="002972F8"/>
    <w:rsid w:val="00297571"/>
    <w:rsid w:val="002977EA"/>
    <w:rsid w:val="00297811"/>
    <w:rsid w:val="00297844"/>
    <w:rsid w:val="00297C89"/>
    <w:rsid w:val="00297D2B"/>
    <w:rsid w:val="002A082A"/>
    <w:rsid w:val="002A0DB4"/>
    <w:rsid w:val="002A0DC2"/>
    <w:rsid w:val="002A136B"/>
    <w:rsid w:val="002A14E0"/>
    <w:rsid w:val="002A1639"/>
    <w:rsid w:val="002A18F4"/>
    <w:rsid w:val="002A29DD"/>
    <w:rsid w:val="002A2ACC"/>
    <w:rsid w:val="002A3051"/>
    <w:rsid w:val="002A381C"/>
    <w:rsid w:val="002A3C55"/>
    <w:rsid w:val="002A3F2B"/>
    <w:rsid w:val="002A4318"/>
    <w:rsid w:val="002A4734"/>
    <w:rsid w:val="002A4CE6"/>
    <w:rsid w:val="002A5009"/>
    <w:rsid w:val="002A5101"/>
    <w:rsid w:val="002A536E"/>
    <w:rsid w:val="002A5625"/>
    <w:rsid w:val="002A5917"/>
    <w:rsid w:val="002A68F0"/>
    <w:rsid w:val="002A6BC5"/>
    <w:rsid w:val="002A71EA"/>
    <w:rsid w:val="002A7891"/>
    <w:rsid w:val="002B0099"/>
    <w:rsid w:val="002B011A"/>
    <w:rsid w:val="002B0186"/>
    <w:rsid w:val="002B03E8"/>
    <w:rsid w:val="002B03F7"/>
    <w:rsid w:val="002B084B"/>
    <w:rsid w:val="002B0B5D"/>
    <w:rsid w:val="002B0F45"/>
    <w:rsid w:val="002B17C5"/>
    <w:rsid w:val="002B1FEF"/>
    <w:rsid w:val="002B24B6"/>
    <w:rsid w:val="002B26B6"/>
    <w:rsid w:val="002B338E"/>
    <w:rsid w:val="002B3A06"/>
    <w:rsid w:val="002B3DDF"/>
    <w:rsid w:val="002B442E"/>
    <w:rsid w:val="002B45D9"/>
    <w:rsid w:val="002B4F79"/>
    <w:rsid w:val="002B5822"/>
    <w:rsid w:val="002B60BA"/>
    <w:rsid w:val="002B663D"/>
    <w:rsid w:val="002B6760"/>
    <w:rsid w:val="002B6951"/>
    <w:rsid w:val="002B6A55"/>
    <w:rsid w:val="002B6E6B"/>
    <w:rsid w:val="002B7403"/>
    <w:rsid w:val="002B7B11"/>
    <w:rsid w:val="002B7D1B"/>
    <w:rsid w:val="002C007E"/>
    <w:rsid w:val="002C0B57"/>
    <w:rsid w:val="002C0B63"/>
    <w:rsid w:val="002C0CD1"/>
    <w:rsid w:val="002C210B"/>
    <w:rsid w:val="002C2902"/>
    <w:rsid w:val="002C30DE"/>
    <w:rsid w:val="002C41FB"/>
    <w:rsid w:val="002C439E"/>
    <w:rsid w:val="002C4933"/>
    <w:rsid w:val="002C5DFF"/>
    <w:rsid w:val="002C7195"/>
    <w:rsid w:val="002C744F"/>
    <w:rsid w:val="002C7A13"/>
    <w:rsid w:val="002C7A7D"/>
    <w:rsid w:val="002D0DDA"/>
    <w:rsid w:val="002D1231"/>
    <w:rsid w:val="002D1493"/>
    <w:rsid w:val="002D1E1D"/>
    <w:rsid w:val="002D2F6D"/>
    <w:rsid w:val="002D401C"/>
    <w:rsid w:val="002D4032"/>
    <w:rsid w:val="002D45A4"/>
    <w:rsid w:val="002D4725"/>
    <w:rsid w:val="002D5E06"/>
    <w:rsid w:val="002D6A03"/>
    <w:rsid w:val="002D7DA7"/>
    <w:rsid w:val="002E0301"/>
    <w:rsid w:val="002E16EE"/>
    <w:rsid w:val="002E19E4"/>
    <w:rsid w:val="002E24D0"/>
    <w:rsid w:val="002E277E"/>
    <w:rsid w:val="002E3230"/>
    <w:rsid w:val="002E3828"/>
    <w:rsid w:val="002E3A10"/>
    <w:rsid w:val="002E3EC2"/>
    <w:rsid w:val="002E5269"/>
    <w:rsid w:val="002E5840"/>
    <w:rsid w:val="002E5DE5"/>
    <w:rsid w:val="002E60F5"/>
    <w:rsid w:val="002E6AB2"/>
    <w:rsid w:val="002F0172"/>
    <w:rsid w:val="002F032A"/>
    <w:rsid w:val="002F1254"/>
    <w:rsid w:val="002F13DE"/>
    <w:rsid w:val="002F1402"/>
    <w:rsid w:val="002F16EE"/>
    <w:rsid w:val="002F1E49"/>
    <w:rsid w:val="002F376C"/>
    <w:rsid w:val="002F3812"/>
    <w:rsid w:val="002F3A70"/>
    <w:rsid w:val="002F3DD1"/>
    <w:rsid w:val="002F418E"/>
    <w:rsid w:val="002F46C8"/>
    <w:rsid w:val="002F4F28"/>
    <w:rsid w:val="002F4FDE"/>
    <w:rsid w:val="002F50AD"/>
    <w:rsid w:val="002F5369"/>
    <w:rsid w:val="002F5984"/>
    <w:rsid w:val="002F5E6C"/>
    <w:rsid w:val="002F6965"/>
    <w:rsid w:val="002F6CE4"/>
    <w:rsid w:val="002F7B2C"/>
    <w:rsid w:val="002F7BEF"/>
    <w:rsid w:val="002F7CC4"/>
    <w:rsid w:val="003001F9"/>
    <w:rsid w:val="00300221"/>
    <w:rsid w:val="0030027F"/>
    <w:rsid w:val="00300421"/>
    <w:rsid w:val="00300431"/>
    <w:rsid w:val="00302076"/>
    <w:rsid w:val="0030209D"/>
    <w:rsid w:val="00302171"/>
    <w:rsid w:val="0030217F"/>
    <w:rsid w:val="00302752"/>
    <w:rsid w:val="003031C5"/>
    <w:rsid w:val="0030413A"/>
    <w:rsid w:val="0030446E"/>
    <w:rsid w:val="00304C34"/>
    <w:rsid w:val="003067DB"/>
    <w:rsid w:val="003072D1"/>
    <w:rsid w:val="003103B3"/>
    <w:rsid w:val="00310E3E"/>
    <w:rsid w:val="00311786"/>
    <w:rsid w:val="0031237F"/>
    <w:rsid w:val="00312423"/>
    <w:rsid w:val="00312F21"/>
    <w:rsid w:val="00313095"/>
    <w:rsid w:val="003130CF"/>
    <w:rsid w:val="003131FB"/>
    <w:rsid w:val="0031365B"/>
    <w:rsid w:val="003139AA"/>
    <w:rsid w:val="00313A56"/>
    <w:rsid w:val="003141A5"/>
    <w:rsid w:val="00314581"/>
    <w:rsid w:val="00314CA9"/>
    <w:rsid w:val="00314EA3"/>
    <w:rsid w:val="00315745"/>
    <w:rsid w:val="0031575D"/>
    <w:rsid w:val="00316394"/>
    <w:rsid w:val="0031678B"/>
    <w:rsid w:val="00317DCB"/>
    <w:rsid w:val="003206B6"/>
    <w:rsid w:val="0032099F"/>
    <w:rsid w:val="003212E4"/>
    <w:rsid w:val="003220E6"/>
    <w:rsid w:val="0032262C"/>
    <w:rsid w:val="00322AC0"/>
    <w:rsid w:val="003238D1"/>
    <w:rsid w:val="00323A10"/>
    <w:rsid w:val="00324258"/>
    <w:rsid w:val="00324404"/>
    <w:rsid w:val="00325359"/>
    <w:rsid w:val="0032540D"/>
    <w:rsid w:val="00325D81"/>
    <w:rsid w:val="0032671F"/>
    <w:rsid w:val="00326A5B"/>
    <w:rsid w:val="00326AC3"/>
    <w:rsid w:val="00326C05"/>
    <w:rsid w:val="003308B1"/>
    <w:rsid w:val="00330C17"/>
    <w:rsid w:val="00330CD5"/>
    <w:rsid w:val="00331943"/>
    <w:rsid w:val="00331AFF"/>
    <w:rsid w:val="00331D32"/>
    <w:rsid w:val="00332047"/>
    <w:rsid w:val="0033287E"/>
    <w:rsid w:val="00332C96"/>
    <w:rsid w:val="00333053"/>
    <w:rsid w:val="0033318D"/>
    <w:rsid w:val="00333DA9"/>
    <w:rsid w:val="00333EB6"/>
    <w:rsid w:val="00334984"/>
    <w:rsid w:val="00336697"/>
    <w:rsid w:val="003369E2"/>
    <w:rsid w:val="00336C66"/>
    <w:rsid w:val="00336E1C"/>
    <w:rsid w:val="00337335"/>
    <w:rsid w:val="003409EC"/>
    <w:rsid w:val="00341152"/>
    <w:rsid w:val="003412BA"/>
    <w:rsid w:val="0034159F"/>
    <w:rsid w:val="00341674"/>
    <w:rsid w:val="003416C0"/>
    <w:rsid w:val="00341827"/>
    <w:rsid w:val="00341EDA"/>
    <w:rsid w:val="00341FB6"/>
    <w:rsid w:val="00342226"/>
    <w:rsid w:val="003426FB"/>
    <w:rsid w:val="00342EB2"/>
    <w:rsid w:val="00343030"/>
    <w:rsid w:val="00343D6E"/>
    <w:rsid w:val="00343FC7"/>
    <w:rsid w:val="00344641"/>
    <w:rsid w:val="00344E4B"/>
    <w:rsid w:val="00345290"/>
    <w:rsid w:val="00345D2B"/>
    <w:rsid w:val="00346003"/>
    <w:rsid w:val="003470CF"/>
    <w:rsid w:val="00347671"/>
    <w:rsid w:val="00347DB0"/>
    <w:rsid w:val="00350352"/>
    <w:rsid w:val="003504AB"/>
    <w:rsid w:val="003509DB"/>
    <w:rsid w:val="00351796"/>
    <w:rsid w:val="0035188D"/>
    <w:rsid w:val="00351947"/>
    <w:rsid w:val="0035377F"/>
    <w:rsid w:val="00353D65"/>
    <w:rsid w:val="00353DE9"/>
    <w:rsid w:val="00355937"/>
    <w:rsid w:val="003571CD"/>
    <w:rsid w:val="003571CF"/>
    <w:rsid w:val="003574C2"/>
    <w:rsid w:val="00357777"/>
    <w:rsid w:val="00357DEE"/>
    <w:rsid w:val="00360443"/>
    <w:rsid w:val="00360C93"/>
    <w:rsid w:val="00361541"/>
    <w:rsid w:val="00361B86"/>
    <w:rsid w:val="00362461"/>
    <w:rsid w:val="003633A0"/>
    <w:rsid w:val="003648E1"/>
    <w:rsid w:val="00364909"/>
    <w:rsid w:val="00364E25"/>
    <w:rsid w:val="00365A39"/>
    <w:rsid w:val="00365B2F"/>
    <w:rsid w:val="00365B92"/>
    <w:rsid w:val="003664BA"/>
    <w:rsid w:val="00367561"/>
    <w:rsid w:val="00367641"/>
    <w:rsid w:val="003678D3"/>
    <w:rsid w:val="00367E9E"/>
    <w:rsid w:val="003702CA"/>
    <w:rsid w:val="00371AD0"/>
    <w:rsid w:val="00371D17"/>
    <w:rsid w:val="00371DC3"/>
    <w:rsid w:val="003724EB"/>
    <w:rsid w:val="00373303"/>
    <w:rsid w:val="00373576"/>
    <w:rsid w:val="003739C9"/>
    <w:rsid w:val="00373A71"/>
    <w:rsid w:val="00373C49"/>
    <w:rsid w:val="00374459"/>
    <w:rsid w:val="00374520"/>
    <w:rsid w:val="00374731"/>
    <w:rsid w:val="00374856"/>
    <w:rsid w:val="00375A22"/>
    <w:rsid w:val="003763AF"/>
    <w:rsid w:val="003768E0"/>
    <w:rsid w:val="003769C6"/>
    <w:rsid w:val="00376B98"/>
    <w:rsid w:val="00376EC6"/>
    <w:rsid w:val="0037731B"/>
    <w:rsid w:val="00377433"/>
    <w:rsid w:val="00380046"/>
    <w:rsid w:val="00380E87"/>
    <w:rsid w:val="00380F79"/>
    <w:rsid w:val="0038107E"/>
    <w:rsid w:val="00381195"/>
    <w:rsid w:val="003823C6"/>
    <w:rsid w:val="003827E1"/>
    <w:rsid w:val="00383F3B"/>
    <w:rsid w:val="00383F94"/>
    <w:rsid w:val="003853B0"/>
    <w:rsid w:val="003853C9"/>
    <w:rsid w:val="003859EE"/>
    <w:rsid w:val="00385A9D"/>
    <w:rsid w:val="00385F97"/>
    <w:rsid w:val="003861AC"/>
    <w:rsid w:val="0038620A"/>
    <w:rsid w:val="0038621C"/>
    <w:rsid w:val="0038686E"/>
    <w:rsid w:val="00386BBE"/>
    <w:rsid w:val="00386F00"/>
    <w:rsid w:val="003870F4"/>
    <w:rsid w:val="00387A6D"/>
    <w:rsid w:val="00390520"/>
    <w:rsid w:val="00390621"/>
    <w:rsid w:val="0039126B"/>
    <w:rsid w:val="003915D9"/>
    <w:rsid w:val="00391D49"/>
    <w:rsid w:val="00392101"/>
    <w:rsid w:val="00392F32"/>
    <w:rsid w:val="003931F0"/>
    <w:rsid w:val="00393643"/>
    <w:rsid w:val="003944A2"/>
    <w:rsid w:val="0039478D"/>
    <w:rsid w:val="00395800"/>
    <w:rsid w:val="00395897"/>
    <w:rsid w:val="00395B76"/>
    <w:rsid w:val="003960CF"/>
    <w:rsid w:val="00396581"/>
    <w:rsid w:val="00396A6F"/>
    <w:rsid w:val="00396A87"/>
    <w:rsid w:val="0039723E"/>
    <w:rsid w:val="003A0373"/>
    <w:rsid w:val="003A15B1"/>
    <w:rsid w:val="003A19AF"/>
    <w:rsid w:val="003A2422"/>
    <w:rsid w:val="003A32FD"/>
    <w:rsid w:val="003A4B4A"/>
    <w:rsid w:val="003A5F77"/>
    <w:rsid w:val="003A63D8"/>
    <w:rsid w:val="003A6AEC"/>
    <w:rsid w:val="003A7089"/>
    <w:rsid w:val="003B19C7"/>
    <w:rsid w:val="003B1A9B"/>
    <w:rsid w:val="003B1AA6"/>
    <w:rsid w:val="003B1D59"/>
    <w:rsid w:val="003B1E1A"/>
    <w:rsid w:val="003B1FE8"/>
    <w:rsid w:val="003B2C0A"/>
    <w:rsid w:val="003B2E51"/>
    <w:rsid w:val="003B31A7"/>
    <w:rsid w:val="003B3725"/>
    <w:rsid w:val="003B38F7"/>
    <w:rsid w:val="003B39C3"/>
    <w:rsid w:val="003B3B61"/>
    <w:rsid w:val="003B3DC1"/>
    <w:rsid w:val="003B464C"/>
    <w:rsid w:val="003B488F"/>
    <w:rsid w:val="003B5144"/>
    <w:rsid w:val="003B51AE"/>
    <w:rsid w:val="003B523D"/>
    <w:rsid w:val="003B606C"/>
    <w:rsid w:val="003B67B9"/>
    <w:rsid w:val="003B6FD1"/>
    <w:rsid w:val="003B7219"/>
    <w:rsid w:val="003B7AE1"/>
    <w:rsid w:val="003C03AF"/>
    <w:rsid w:val="003C040F"/>
    <w:rsid w:val="003C0828"/>
    <w:rsid w:val="003C0AD7"/>
    <w:rsid w:val="003C0E86"/>
    <w:rsid w:val="003C0FE2"/>
    <w:rsid w:val="003C23ED"/>
    <w:rsid w:val="003C2B3D"/>
    <w:rsid w:val="003C2CD1"/>
    <w:rsid w:val="003C308B"/>
    <w:rsid w:val="003C311B"/>
    <w:rsid w:val="003C321A"/>
    <w:rsid w:val="003C3644"/>
    <w:rsid w:val="003C40EB"/>
    <w:rsid w:val="003C47DC"/>
    <w:rsid w:val="003C4E01"/>
    <w:rsid w:val="003C4EF1"/>
    <w:rsid w:val="003C63EB"/>
    <w:rsid w:val="003C65E4"/>
    <w:rsid w:val="003C666E"/>
    <w:rsid w:val="003C7323"/>
    <w:rsid w:val="003C794F"/>
    <w:rsid w:val="003C7C2E"/>
    <w:rsid w:val="003C7E72"/>
    <w:rsid w:val="003D0066"/>
    <w:rsid w:val="003D07A1"/>
    <w:rsid w:val="003D0F6A"/>
    <w:rsid w:val="003D15B5"/>
    <w:rsid w:val="003D19A5"/>
    <w:rsid w:val="003D19E4"/>
    <w:rsid w:val="003D1A7F"/>
    <w:rsid w:val="003D1FD4"/>
    <w:rsid w:val="003D3028"/>
    <w:rsid w:val="003D3582"/>
    <w:rsid w:val="003D3BAC"/>
    <w:rsid w:val="003D40C9"/>
    <w:rsid w:val="003D437A"/>
    <w:rsid w:val="003D45A7"/>
    <w:rsid w:val="003D48CE"/>
    <w:rsid w:val="003D4BEF"/>
    <w:rsid w:val="003D5691"/>
    <w:rsid w:val="003D6EA4"/>
    <w:rsid w:val="003D71B6"/>
    <w:rsid w:val="003D74D9"/>
    <w:rsid w:val="003D7902"/>
    <w:rsid w:val="003D7D9C"/>
    <w:rsid w:val="003E0877"/>
    <w:rsid w:val="003E0F4B"/>
    <w:rsid w:val="003E1D0E"/>
    <w:rsid w:val="003E2125"/>
    <w:rsid w:val="003E24E1"/>
    <w:rsid w:val="003E339E"/>
    <w:rsid w:val="003E4CBB"/>
    <w:rsid w:val="003E4E9C"/>
    <w:rsid w:val="003E54B7"/>
    <w:rsid w:val="003E5907"/>
    <w:rsid w:val="003E62A7"/>
    <w:rsid w:val="003E65A4"/>
    <w:rsid w:val="003E6E35"/>
    <w:rsid w:val="003E78A4"/>
    <w:rsid w:val="003E79AE"/>
    <w:rsid w:val="003E7DBE"/>
    <w:rsid w:val="003F063F"/>
    <w:rsid w:val="003F0A87"/>
    <w:rsid w:val="003F12DB"/>
    <w:rsid w:val="003F1AA4"/>
    <w:rsid w:val="003F206F"/>
    <w:rsid w:val="003F2990"/>
    <w:rsid w:val="003F2F61"/>
    <w:rsid w:val="003F375E"/>
    <w:rsid w:val="003F3A76"/>
    <w:rsid w:val="003F3DAE"/>
    <w:rsid w:val="003F42C8"/>
    <w:rsid w:val="003F44AA"/>
    <w:rsid w:val="003F44E8"/>
    <w:rsid w:val="003F6497"/>
    <w:rsid w:val="003F65D7"/>
    <w:rsid w:val="003F6B13"/>
    <w:rsid w:val="003F7025"/>
    <w:rsid w:val="003F78B3"/>
    <w:rsid w:val="00401344"/>
    <w:rsid w:val="00401593"/>
    <w:rsid w:val="00402DA3"/>
    <w:rsid w:val="00404502"/>
    <w:rsid w:val="00404AD2"/>
    <w:rsid w:val="00404D57"/>
    <w:rsid w:val="00405413"/>
    <w:rsid w:val="00405704"/>
    <w:rsid w:val="004059B6"/>
    <w:rsid w:val="00405C2F"/>
    <w:rsid w:val="0040611C"/>
    <w:rsid w:val="00407AAB"/>
    <w:rsid w:val="00407DC0"/>
    <w:rsid w:val="00410229"/>
    <w:rsid w:val="00410648"/>
    <w:rsid w:val="00410665"/>
    <w:rsid w:val="00412F4F"/>
    <w:rsid w:val="004136E3"/>
    <w:rsid w:val="00413D5A"/>
    <w:rsid w:val="00414001"/>
    <w:rsid w:val="004140E7"/>
    <w:rsid w:val="00414AE4"/>
    <w:rsid w:val="00414E27"/>
    <w:rsid w:val="0041522E"/>
    <w:rsid w:val="0041528E"/>
    <w:rsid w:val="004152C8"/>
    <w:rsid w:val="00416A60"/>
    <w:rsid w:val="00416B5B"/>
    <w:rsid w:val="00416D45"/>
    <w:rsid w:val="004170F9"/>
    <w:rsid w:val="00417234"/>
    <w:rsid w:val="00420178"/>
    <w:rsid w:val="004201B5"/>
    <w:rsid w:val="00420367"/>
    <w:rsid w:val="0042047C"/>
    <w:rsid w:val="00420D43"/>
    <w:rsid w:val="004228D2"/>
    <w:rsid w:val="004233F4"/>
    <w:rsid w:val="004236A3"/>
    <w:rsid w:val="00423BA0"/>
    <w:rsid w:val="00424030"/>
    <w:rsid w:val="0042456E"/>
    <w:rsid w:val="00424757"/>
    <w:rsid w:val="00424925"/>
    <w:rsid w:val="00424CEE"/>
    <w:rsid w:val="00424E08"/>
    <w:rsid w:val="00426022"/>
    <w:rsid w:val="00426DC0"/>
    <w:rsid w:val="0042748A"/>
    <w:rsid w:val="0042788E"/>
    <w:rsid w:val="00427C56"/>
    <w:rsid w:val="00427E82"/>
    <w:rsid w:val="00430814"/>
    <w:rsid w:val="00430D7B"/>
    <w:rsid w:val="00431391"/>
    <w:rsid w:val="0043175F"/>
    <w:rsid w:val="004325FC"/>
    <w:rsid w:val="00433353"/>
    <w:rsid w:val="004333E4"/>
    <w:rsid w:val="00433637"/>
    <w:rsid w:val="00433946"/>
    <w:rsid w:val="00433ED7"/>
    <w:rsid w:val="00434314"/>
    <w:rsid w:val="00435886"/>
    <w:rsid w:val="00435C0D"/>
    <w:rsid w:val="0043661B"/>
    <w:rsid w:val="0043799B"/>
    <w:rsid w:val="00437C5B"/>
    <w:rsid w:val="00437F24"/>
    <w:rsid w:val="00440846"/>
    <w:rsid w:val="00440916"/>
    <w:rsid w:val="00441635"/>
    <w:rsid w:val="00441EC0"/>
    <w:rsid w:val="004422B8"/>
    <w:rsid w:val="00442D02"/>
    <w:rsid w:val="00442DAA"/>
    <w:rsid w:val="004436AB"/>
    <w:rsid w:val="00443A1B"/>
    <w:rsid w:val="00444904"/>
    <w:rsid w:val="00445024"/>
    <w:rsid w:val="004452A4"/>
    <w:rsid w:val="00445F60"/>
    <w:rsid w:val="004461FD"/>
    <w:rsid w:val="004464B8"/>
    <w:rsid w:val="004471AB"/>
    <w:rsid w:val="004475CC"/>
    <w:rsid w:val="00447A50"/>
    <w:rsid w:val="00450408"/>
    <w:rsid w:val="00450A87"/>
    <w:rsid w:val="00450DBA"/>
    <w:rsid w:val="00450F60"/>
    <w:rsid w:val="004512BC"/>
    <w:rsid w:val="004517A8"/>
    <w:rsid w:val="00451ACB"/>
    <w:rsid w:val="00452320"/>
    <w:rsid w:val="0045285D"/>
    <w:rsid w:val="00453F1F"/>
    <w:rsid w:val="004542FA"/>
    <w:rsid w:val="00454383"/>
    <w:rsid w:val="004546C5"/>
    <w:rsid w:val="00454830"/>
    <w:rsid w:val="00454CE4"/>
    <w:rsid w:val="00454F26"/>
    <w:rsid w:val="004553A7"/>
    <w:rsid w:val="004553F7"/>
    <w:rsid w:val="00457140"/>
    <w:rsid w:val="00457FE6"/>
    <w:rsid w:val="004602F4"/>
    <w:rsid w:val="00460D83"/>
    <w:rsid w:val="00461C0A"/>
    <w:rsid w:val="0046201E"/>
    <w:rsid w:val="004625E6"/>
    <w:rsid w:val="0046296F"/>
    <w:rsid w:val="00462E70"/>
    <w:rsid w:val="00463921"/>
    <w:rsid w:val="00463B14"/>
    <w:rsid w:val="00464618"/>
    <w:rsid w:val="004657B9"/>
    <w:rsid w:val="00465BBB"/>
    <w:rsid w:val="00466250"/>
    <w:rsid w:val="00466A9A"/>
    <w:rsid w:val="00466F97"/>
    <w:rsid w:val="004671D3"/>
    <w:rsid w:val="00467308"/>
    <w:rsid w:val="004678B5"/>
    <w:rsid w:val="00467B4C"/>
    <w:rsid w:val="00467FAC"/>
    <w:rsid w:val="0047021D"/>
    <w:rsid w:val="004705F2"/>
    <w:rsid w:val="0047099C"/>
    <w:rsid w:val="0047113B"/>
    <w:rsid w:val="0047179D"/>
    <w:rsid w:val="0047196D"/>
    <w:rsid w:val="00471C37"/>
    <w:rsid w:val="00471DB1"/>
    <w:rsid w:val="00472238"/>
    <w:rsid w:val="00473B49"/>
    <w:rsid w:val="00474118"/>
    <w:rsid w:val="004743D2"/>
    <w:rsid w:val="00474AA2"/>
    <w:rsid w:val="004753A5"/>
    <w:rsid w:val="004758D4"/>
    <w:rsid w:val="00476178"/>
    <w:rsid w:val="00476AD2"/>
    <w:rsid w:val="00476ED8"/>
    <w:rsid w:val="00481A65"/>
    <w:rsid w:val="00481D1C"/>
    <w:rsid w:val="00481DAB"/>
    <w:rsid w:val="00482990"/>
    <w:rsid w:val="0048305E"/>
    <w:rsid w:val="00483277"/>
    <w:rsid w:val="00483CB1"/>
    <w:rsid w:val="00485239"/>
    <w:rsid w:val="0048554B"/>
    <w:rsid w:val="00485DB3"/>
    <w:rsid w:val="004866C3"/>
    <w:rsid w:val="00487185"/>
    <w:rsid w:val="0049008F"/>
    <w:rsid w:val="004900E3"/>
    <w:rsid w:val="00490794"/>
    <w:rsid w:val="00490E15"/>
    <w:rsid w:val="0049291F"/>
    <w:rsid w:val="00493809"/>
    <w:rsid w:val="00493B83"/>
    <w:rsid w:val="00495874"/>
    <w:rsid w:val="00495B05"/>
    <w:rsid w:val="00496266"/>
    <w:rsid w:val="00496686"/>
    <w:rsid w:val="00496EF2"/>
    <w:rsid w:val="00497402"/>
    <w:rsid w:val="00497D62"/>
    <w:rsid w:val="004A0BC2"/>
    <w:rsid w:val="004A0F11"/>
    <w:rsid w:val="004A138A"/>
    <w:rsid w:val="004A2E91"/>
    <w:rsid w:val="004A3166"/>
    <w:rsid w:val="004A37A7"/>
    <w:rsid w:val="004A451F"/>
    <w:rsid w:val="004A570A"/>
    <w:rsid w:val="004A79A4"/>
    <w:rsid w:val="004A7C6A"/>
    <w:rsid w:val="004B0A4F"/>
    <w:rsid w:val="004B0D0B"/>
    <w:rsid w:val="004B1E07"/>
    <w:rsid w:val="004B2278"/>
    <w:rsid w:val="004B23F3"/>
    <w:rsid w:val="004B2AC6"/>
    <w:rsid w:val="004B3232"/>
    <w:rsid w:val="004B36E9"/>
    <w:rsid w:val="004B37BA"/>
    <w:rsid w:val="004B42A1"/>
    <w:rsid w:val="004B4499"/>
    <w:rsid w:val="004B49FA"/>
    <w:rsid w:val="004B4B8C"/>
    <w:rsid w:val="004B5857"/>
    <w:rsid w:val="004B5AEB"/>
    <w:rsid w:val="004B66F8"/>
    <w:rsid w:val="004B6B4D"/>
    <w:rsid w:val="004B6FAE"/>
    <w:rsid w:val="004B7D6D"/>
    <w:rsid w:val="004C0528"/>
    <w:rsid w:val="004C0990"/>
    <w:rsid w:val="004C148A"/>
    <w:rsid w:val="004C24DC"/>
    <w:rsid w:val="004C26DC"/>
    <w:rsid w:val="004C2842"/>
    <w:rsid w:val="004C2A84"/>
    <w:rsid w:val="004C3768"/>
    <w:rsid w:val="004C3865"/>
    <w:rsid w:val="004C3928"/>
    <w:rsid w:val="004C3A19"/>
    <w:rsid w:val="004C3D11"/>
    <w:rsid w:val="004C416C"/>
    <w:rsid w:val="004C430A"/>
    <w:rsid w:val="004C4373"/>
    <w:rsid w:val="004C49AA"/>
    <w:rsid w:val="004C4B96"/>
    <w:rsid w:val="004C4D0D"/>
    <w:rsid w:val="004C4EEB"/>
    <w:rsid w:val="004C4F37"/>
    <w:rsid w:val="004C569A"/>
    <w:rsid w:val="004C5D83"/>
    <w:rsid w:val="004C6258"/>
    <w:rsid w:val="004C6662"/>
    <w:rsid w:val="004C6D87"/>
    <w:rsid w:val="004C70BC"/>
    <w:rsid w:val="004C710D"/>
    <w:rsid w:val="004C7999"/>
    <w:rsid w:val="004D066D"/>
    <w:rsid w:val="004D0C47"/>
    <w:rsid w:val="004D1F4A"/>
    <w:rsid w:val="004D293E"/>
    <w:rsid w:val="004D2D7C"/>
    <w:rsid w:val="004D2DFF"/>
    <w:rsid w:val="004D30DF"/>
    <w:rsid w:val="004D3AE3"/>
    <w:rsid w:val="004D3BC9"/>
    <w:rsid w:val="004D4661"/>
    <w:rsid w:val="004D4870"/>
    <w:rsid w:val="004D4A5E"/>
    <w:rsid w:val="004D4F3D"/>
    <w:rsid w:val="004D58C4"/>
    <w:rsid w:val="004D609F"/>
    <w:rsid w:val="004D6CE7"/>
    <w:rsid w:val="004D7182"/>
    <w:rsid w:val="004D73C0"/>
    <w:rsid w:val="004E15E0"/>
    <w:rsid w:val="004E1E1C"/>
    <w:rsid w:val="004E211D"/>
    <w:rsid w:val="004E2289"/>
    <w:rsid w:val="004E3340"/>
    <w:rsid w:val="004E3B21"/>
    <w:rsid w:val="004E40E1"/>
    <w:rsid w:val="004E4517"/>
    <w:rsid w:val="004E4634"/>
    <w:rsid w:val="004E548B"/>
    <w:rsid w:val="004E5563"/>
    <w:rsid w:val="004E6CD7"/>
    <w:rsid w:val="004E6E0B"/>
    <w:rsid w:val="004E7015"/>
    <w:rsid w:val="004E7D30"/>
    <w:rsid w:val="004E7DA9"/>
    <w:rsid w:val="004F03FB"/>
    <w:rsid w:val="004F0935"/>
    <w:rsid w:val="004F0A00"/>
    <w:rsid w:val="004F0F15"/>
    <w:rsid w:val="004F1655"/>
    <w:rsid w:val="004F2C0D"/>
    <w:rsid w:val="004F385F"/>
    <w:rsid w:val="004F3B36"/>
    <w:rsid w:val="004F40F6"/>
    <w:rsid w:val="004F4412"/>
    <w:rsid w:val="004F4A77"/>
    <w:rsid w:val="004F4CA1"/>
    <w:rsid w:val="004F58FB"/>
    <w:rsid w:val="004F5EF3"/>
    <w:rsid w:val="004F6342"/>
    <w:rsid w:val="004F6431"/>
    <w:rsid w:val="004F6750"/>
    <w:rsid w:val="004F6FAB"/>
    <w:rsid w:val="00500312"/>
    <w:rsid w:val="00500765"/>
    <w:rsid w:val="00500963"/>
    <w:rsid w:val="005014DE"/>
    <w:rsid w:val="00501DED"/>
    <w:rsid w:val="00501DF5"/>
    <w:rsid w:val="00501EBF"/>
    <w:rsid w:val="0050212A"/>
    <w:rsid w:val="0050319B"/>
    <w:rsid w:val="00503952"/>
    <w:rsid w:val="005040C4"/>
    <w:rsid w:val="00504A3B"/>
    <w:rsid w:val="00506B62"/>
    <w:rsid w:val="00507112"/>
    <w:rsid w:val="00507787"/>
    <w:rsid w:val="00507B20"/>
    <w:rsid w:val="005100F7"/>
    <w:rsid w:val="005102EA"/>
    <w:rsid w:val="00510FDF"/>
    <w:rsid w:val="00511165"/>
    <w:rsid w:val="005118F4"/>
    <w:rsid w:val="00511E64"/>
    <w:rsid w:val="00512539"/>
    <w:rsid w:val="005126C7"/>
    <w:rsid w:val="00512AE9"/>
    <w:rsid w:val="0051332A"/>
    <w:rsid w:val="0051392D"/>
    <w:rsid w:val="00514E21"/>
    <w:rsid w:val="00515433"/>
    <w:rsid w:val="00515B86"/>
    <w:rsid w:val="005179C9"/>
    <w:rsid w:val="00517C63"/>
    <w:rsid w:val="00520016"/>
    <w:rsid w:val="00520DE6"/>
    <w:rsid w:val="005215BE"/>
    <w:rsid w:val="005215C7"/>
    <w:rsid w:val="00522AB9"/>
    <w:rsid w:val="00522F66"/>
    <w:rsid w:val="0052365E"/>
    <w:rsid w:val="00524AA5"/>
    <w:rsid w:val="00524DA9"/>
    <w:rsid w:val="00524E62"/>
    <w:rsid w:val="005252E7"/>
    <w:rsid w:val="00526B19"/>
    <w:rsid w:val="00526BF4"/>
    <w:rsid w:val="00526DBB"/>
    <w:rsid w:val="00527E6E"/>
    <w:rsid w:val="00527FC2"/>
    <w:rsid w:val="00530541"/>
    <w:rsid w:val="0053088C"/>
    <w:rsid w:val="00530A06"/>
    <w:rsid w:val="00530BED"/>
    <w:rsid w:val="00531A73"/>
    <w:rsid w:val="0053212E"/>
    <w:rsid w:val="00532909"/>
    <w:rsid w:val="005332B4"/>
    <w:rsid w:val="00534A5C"/>
    <w:rsid w:val="00534E9C"/>
    <w:rsid w:val="00535CD1"/>
    <w:rsid w:val="00535D48"/>
    <w:rsid w:val="00535E4D"/>
    <w:rsid w:val="0053697C"/>
    <w:rsid w:val="005373CB"/>
    <w:rsid w:val="00537562"/>
    <w:rsid w:val="0053772D"/>
    <w:rsid w:val="005378CE"/>
    <w:rsid w:val="0054035C"/>
    <w:rsid w:val="0054068C"/>
    <w:rsid w:val="00540853"/>
    <w:rsid w:val="00540AF6"/>
    <w:rsid w:val="00540AFC"/>
    <w:rsid w:val="005412DB"/>
    <w:rsid w:val="00541384"/>
    <w:rsid w:val="00541500"/>
    <w:rsid w:val="00541641"/>
    <w:rsid w:val="0054244A"/>
    <w:rsid w:val="00542745"/>
    <w:rsid w:val="005427B7"/>
    <w:rsid w:val="00542FBB"/>
    <w:rsid w:val="00543173"/>
    <w:rsid w:val="00543AF0"/>
    <w:rsid w:val="00543F01"/>
    <w:rsid w:val="00544354"/>
    <w:rsid w:val="00544A4C"/>
    <w:rsid w:val="00545694"/>
    <w:rsid w:val="005456A5"/>
    <w:rsid w:val="00545E06"/>
    <w:rsid w:val="005467E2"/>
    <w:rsid w:val="005470A1"/>
    <w:rsid w:val="0054715D"/>
    <w:rsid w:val="00547881"/>
    <w:rsid w:val="00550857"/>
    <w:rsid w:val="00551386"/>
    <w:rsid w:val="00551CD8"/>
    <w:rsid w:val="00552566"/>
    <w:rsid w:val="00552D42"/>
    <w:rsid w:val="005534F5"/>
    <w:rsid w:val="0055428A"/>
    <w:rsid w:val="00554646"/>
    <w:rsid w:val="005546CD"/>
    <w:rsid w:val="0055487E"/>
    <w:rsid w:val="00556001"/>
    <w:rsid w:val="00556CFF"/>
    <w:rsid w:val="00557937"/>
    <w:rsid w:val="0056027D"/>
    <w:rsid w:val="0056035D"/>
    <w:rsid w:val="00560923"/>
    <w:rsid w:val="00561504"/>
    <w:rsid w:val="005623E0"/>
    <w:rsid w:val="00562572"/>
    <w:rsid w:val="005627AA"/>
    <w:rsid w:val="00562984"/>
    <w:rsid w:val="00562E81"/>
    <w:rsid w:val="0056308E"/>
    <w:rsid w:val="00563D44"/>
    <w:rsid w:val="00564D2A"/>
    <w:rsid w:val="00564DAB"/>
    <w:rsid w:val="005653B0"/>
    <w:rsid w:val="00565AFF"/>
    <w:rsid w:val="00566E89"/>
    <w:rsid w:val="00567DBE"/>
    <w:rsid w:val="00567EC1"/>
    <w:rsid w:val="00567FB0"/>
    <w:rsid w:val="005706D4"/>
    <w:rsid w:val="00570862"/>
    <w:rsid w:val="0057120A"/>
    <w:rsid w:val="005718A2"/>
    <w:rsid w:val="005723FA"/>
    <w:rsid w:val="0057266D"/>
    <w:rsid w:val="00572B60"/>
    <w:rsid w:val="005732EF"/>
    <w:rsid w:val="00573B1C"/>
    <w:rsid w:val="00573EDD"/>
    <w:rsid w:val="00573F87"/>
    <w:rsid w:val="00574AC3"/>
    <w:rsid w:val="00575D6B"/>
    <w:rsid w:val="00576700"/>
    <w:rsid w:val="00576CD1"/>
    <w:rsid w:val="00576EF9"/>
    <w:rsid w:val="00576F4D"/>
    <w:rsid w:val="0057734E"/>
    <w:rsid w:val="00577A3F"/>
    <w:rsid w:val="00580565"/>
    <w:rsid w:val="00580BED"/>
    <w:rsid w:val="00580C08"/>
    <w:rsid w:val="00580DBE"/>
    <w:rsid w:val="005811E8"/>
    <w:rsid w:val="005817CD"/>
    <w:rsid w:val="005828EC"/>
    <w:rsid w:val="00582E4D"/>
    <w:rsid w:val="00583011"/>
    <w:rsid w:val="00583798"/>
    <w:rsid w:val="00583DF4"/>
    <w:rsid w:val="00584358"/>
    <w:rsid w:val="00584581"/>
    <w:rsid w:val="0058504E"/>
    <w:rsid w:val="005859B8"/>
    <w:rsid w:val="005871F5"/>
    <w:rsid w:val="00587557"/>
    <w:rsid w:val="00590A15"/>
    <w:rsid w:val="00590A34"/>
    <w:rsid w:val="00591262"/>
    <w:rsid w:val="0059216C"/>
    <w:rsid w:val="005923A3"/>
    <w:rsid w:val="0059297D"/>
    <w:rsid w:val="00592FD4"/>
    <w:rsid w:val="00593BBC"/>
    <w:rsid w:val="00594C21"/>
    <w:rsid w:val="00594F0C"/>
    <w:rsid w:val="005953F8"/>
    <w:rsid w:val="0059548C"/>
    <w:rsid w:val="00595C87"/>
    <w:rsid w:val="00596304"/>
    <w:rsid w:val="005977F0"/>
    <w:rsid w:val="005A009C"/>
    <w:rsid w:val="005A039B"/>
    <w:rsid w:val="005A08A0"/>
    <w:rsid w:val="005A1118"/>
    <w:rsid w:val="005A123D"/>
    <w:rsid w:val="005A1392"/>
    <w:rsid w:val="005A1431"/>
    <w:rsid w:val="005A1632"/>
    <w:rsid w:val="005A1BAB"/>
    <w:rsid w:val="005A1C38"/>
    <w:rsid w:val="005A1D5F"/>
    <w:rsid w:val="005A305C"/>
    <w:rsid w:val="005A3108"/>
    <w:rsid w:val="005A3B05"/>
    <w:rsid w:val="005A4769"/>
    <w:rsid w:val="005A4B2C"/>
    <w:rsid w:val="005A4C63"/>
    <w:rsid w:val="005A4DC1"/>
    <w:rsid w:val="005A4E1C"/>
    <w:rsid w:val="005A570C"/>
    <w:rsid w:val="005A6142"/>
    <w:rsid w:val="005A6302"/>
    <w:rsid w:val="005A6A43"/>
    <w:rsid w:val="005A74DD"/>
    <w:rsid w:val="005A75F9"/>
    <w:rsid w:val="005A7A35"/>
    <w:rsid w:val="005A7C52"/>
    <w:rsid w:val="005A7F99"/>
    <w:rsid w:val="005B0683"/>
    <w:rsid w:val="005B093B"/>
    <w:rsid w:val="005B0987"/>
    <w:rsid w:val="005B25C5"/>
    <w:rsid w:val="005B2ACD"/>
    <w:rsid w:val="005B4BBB"/>
    <w:rsid w:val="005B5113"/>
    <w:rsid w:val="005B5C9C"/>
    <w:rsid w:val="005B5F52"/>
    <w:rsid w:val="005B63F3"/>
    <w:rsid w:val="005B6A2B"/>
    <w:rsid w:val="005B737F"/>
    <w:rsid w:val="005B73C6"/>
    <w:rsid w:val="005B75F2"/>
    <w:rsid w:val="005B7B5D"/>
    <w:rsid w:val="005C02A7"/>
    <w:rsid w:val="005C1608"/>
    <w:rsid w:val="005C1DF3"/>
    <w:rsid w:val="005C2AEB"/>
    <w:rsid w:val="005C35A6"/>
    <w:rsid w:val="005C4013"/>
    <w:rsid w:val="005C4436"/>
    <w:rsid w:val="005C4496"/>
    <w:rsid w:val="005C45A8"/>
    <w:rsid w:val="005C4EF3"/>
    <w:rsid w:val="005C527B"/>
    <w:rsid w:val="005C5605"/>
    <w:rsid w:val="005C5723"/>
    <w:rsid w:val="005C59F0"/>
    <w:rsid w:val="005C5C6F"/>
    <w:rsid w:val="005C5DB6"/>
    <w:rsid w:val="005C664C"/>
    <w:rsid w:val="005C6F44"/>
    <w:rsid w:val="005C724E"/>
    <w:rsid w:val="005C72A2"/>
    <w:rsid w:val="005C78CA"/>
    <w:rsid w:val="005C79A3"/>
    <w:rsid w:val="005C7C05"/>
    <w:rsid w:val="005D00D3"/>
    <w:rsid w:val="005D0C75"/>
    <w:rsid w:val="005D0CFE"/>
    <w:rsid w:val="005D1531"/>
    <w:rsid w:val="005D16A4"/>
    <w:rsid w:val="005D2D30"/>
    <w:rsid w:val="005D30DF"/>
    <w:rsid w:val="005D3499"/>
    <w:rsid w:val="005D3C7A"/>
    <w:rsid w:val="005D3DF7"/>
    <w:rsid w:val="005D3F9D"/>
    <w:rsid w:val="005D4DCB"/>
    <w:rsid w:val="005D5297"/>
    <w:rsid w:val="005D6D8B"/>
    <w:rsid w:val="005D7F9E"/>
    <w:rsid w:val="005E0C1E"/>
    <w:rsid w:val="005E0C92"/>
    <w:rsid w:val="005E0D44"/>
    <w:rsid w:val="005E0DF5"/>
    <w:rsid w:val="005E104E"/>
    <w:rsid w:val="005E1EC0"/>
    <w:rsid w:val="005E2BA9"/>
    <w:rsid w:val="005E2E0A"/>
    <w:rsid w:val="005E3726"/>
    <w:rsid w:val="005E5281"/>
    <w:rsid w:val="005E5630"/>
    <w:rsid w:val="005E56DD"/>
    <w:rsid w:val="005E5EB4"/>
    <w:rsid w:val="005E65F0"/>
    <w:rsid w:val="005E674F"/>
    <w:rsid w:val="005E6926"/>
    <w:rsid w:val="005E6D99"/>
    <w:rsid w:val="005E717D"/>
    <w:rsid w:val="005E7628"/>
    <w:rsid w:val="005E7B7E"/>
    <w:rsid w:val="005E7F08"/>
    <w:rsid w:val="005F0683"/>
    <w:rsid w:val="005F0E2B"/>
    <w:rsid w:val="005F1128"/>
    <w:rsid w:val="005F1299"/>
    <w:rsid w:val="005F138C"/>
    <w:rsid w:val="005F24C9"/>
    <w:rsid w:val="005F2A6F"/>
    <w:rsid w:val="005F2DCF"/>
    <w:rsid w:val="005F2F16"/>
    <w:rsid w:val="005F3541"/>
    <w:rsid w:val="005F414F"/>
    <w:rsid w:val="005F42A3"/>
    <w:rsid w:val="005F45F4"/>
    <w:rsid w:val="005F4B41"/>
    <w:rsid w:val="005F4B96"/>
    <w:rsid w:val="005F5552"/>
    <w:rsid w:val="005F5F5C"/>
    <w:rsid w:val="005F734E"/>
    <w:rsid w:val="005F7417"/>
    <w:rsid w:val="005F7AB2"/>
    <w:rsid w:val="005F7C36"/>
    <w:rsid w:val="005F7D69"/>
    <w:rsid w:val="00600CC6"/>
    <w:rsid w:val="00602998"/>
    <w:rsid w:val="0060383A"/>
    <w:rsid w:val="006038DC"/>
    <w:rsid w:val="00603AAC"/>
    <w:rsid w:val="0060433F"/>
    <w:rsid w:val="00604981"/>
    <w:rsid w:val="0060524D"/>
    <w:rsid w:val="0060540F"/>
    <w:rsid w:val="006056BB"/>
    <w:rsid w:val="006057B3"/>
    <w:rsid w:val="00606374"/>
    <w:rsid w:val="00606E39"/>
    <w:rsid w:val="006077EA"/>
    <w:rsid w:val="00607E0B"/>
    <w:rsid w:val="00610901"/>
    <w:rsid w:val="00610FE8"/>
    <w:rsid w:val="006122A3"/>
    <w:rsid w:val="0061287B"/>
    <w:rsid w:val="00612B1C"/>
    <w:rsid w:val="00612B9E"/>
    <w:rsid w:val="00614F5F"/>
    <w:rsid w:val="006150FE"/>
    <w:rsid w:val="00615DE3"/>
    <w:rsid w:val="0061738F"/>
    <w:rsid w:val="00617C99"/>
    <w:rsid w:val="00620758"/>
    <w:rsid w:val="006207A4"/>
    <w:rsid w:val="00621085"/>
    <w:rsid w:val="006215D1"/>
    <w:rsid w:val="006218CA"/>
    <w:rsid w:val="00621B15"/>
    <w:rsid w:val="00621CEB"/>
    <w:rsid w:val="006221E5"/>
    <w:rsid w:val="006225D0"/>
    <w:rsid w:val="006229F9"/>
    <w:rsid w:val="00622B05"/>
    <w:rsid w:val="00623411"/>
    <w:rsid w:val="00623412"/>
    <w:rsid w:val="00623852"/>
    <w:rsid w:val="00623A2B"/>
    <w:rsid w:val="00624201"/>
    <w:rsid w:val="006247D9"/>
    <w:rsid w:val="00624C50"/>
    <w:rsid w:val="00624C5C"/>
    <w:rsid w:val="00624CAB"/>
    <w:rsid w:val="00624E32"/>
    <w:rsid w:val="00625766"/>
    <w:rsid w:val="00625F35"/>
    <w:rsid w:val="006266E8"/>
    <w:rsid w:val="006271DF"/>
    <w:rsid w:val="00627E4E"/>
    <w:rsid w:val="00627E76"/>
    <w:rsid w:val="00627F9F"/>
    <w:rsid w:val="006323DE"/>
    <w:rsid w:val="00632C80"/>
    <w:rsid w:val="00633F07"/>
    <w:rsid w:val="006343F2"/>
    <w:rsid w:val="00635334"/>
    <w:rsid w:val="0063557A"/>
    <w:rsid w:val="00635ED5"/>
    <w:rsid w:val="0063643F"/>
    <w:rsid w:val="00636CD9"/>
    <w:rsid w:val="00636D2F"/>
    <w:rsid w:val="0064064A"/>
    <w:rsid w:val="0064122B"/>
    <w:rsid w:val="00641437"/>
    <w:rsid w:val="00641809"/>
    <w:rsid w:val="00642530"/>
    <w:rsid w:val="006425CA"/>
    <w:rsid w:val="00642BD9"/>
    <w:rsid w:val="006430C9"/>
    <w:rsid w:val="00643701"/>
    <w:rsid w:val="00643C92"/>
    <w:rsid w:val="00643F3D"/>
    <w:rsid w:val="00644648"/>
    <w:rsid w:val="00644B1D"/>
    <w:rsid w:val="00645029"/>
    <w:rsid w:val="0064610E"/>
    <w:rsid w:val="006470C3"/>
    <w:rsid w:val="006472D4"/>
    <w:rsid w:val="00647837"/>
    <w:rsid w:val="00647B5E"/>
    <w:rsid w:val="00647DB5"/>
    <w:rsid w:val="00650162"/>
    <w:rsid w:val="00651DB0"/>
    <w:rsid w:val="00652972"/>
    <w:rsid w:val="006529FF"/>
    <w:rsid w:val="0065343B"/>
    <w:rsid w:val="00653692"/>
    <w:rsid w:val="00653916"/>
    <w:rsid w:val="006540BD"/>
    <w:rsid w:val="00655168"/>
    <w:rsid w:val="00655FA6"/>
    <w:rsid w:val="00656F1F"/>
    <w:rsid w:val="0066014E"/>
    <w:rsid w:val="0066023C"/>
    <w:rsid w:val="00660672"/>
    <w:rsid w:val="00660FBF"/>
    <w:rsid w:val="00661504"/>
    <w:rsid w:val="006615B0"/>
    <w:rsid w:val="006615BF"/>
    <w:rsid w:val="00661774"/>
    <w:rsid w:val="00661ED5"/>
    <w:rsid w:val="006627C3"/>
    <w:rsid w:val="00662D70"/>
    <w:rsid w:val="0066321A"/>
    <w:rsid w:val="00664F98"/>
    <w:rsid w:val="00665803"/>
    <w:rsid w:val="00665AC5"/>
    <w:rsid w:val="00665B51"/>
    <w:rsid w:val="006670F2"/>
    <w:rsid w:val="00670482"/>
    <w:rsid w:val="006704BA"/>
    <w:rsid w:val="0067109C"/>
    <w:rsid w:val="00671864"/>
    <w:rsid w:val="006718E2"/>
    <w:rsid w:val="00671E83"/>
    <w:rsid w:val="00671F3C"/>
    <w:rsid w:val="00672C86"/>
    <w:rsid w:val="00673B59"/>
    <w:rsid w:val="00673DD1"/>
    <w:rsid w:val="0067486F"/>
    <w:rsid w:val="00674A7C"/>
    <w:rsid w:val="00674F42"/>
    <w:rsid w:val="00675516"/>
    <w:rsid w:val="00675676"/>
    <w:rsid w:val="00676112"/>
    <w:rsid w:val="0067621E"/>
    <w:rsid w:val="006763D8"/>
    <w:rsid w:val="00676867"/>
    <w:rsid w:val="00676905"/>
    <w:rsid w:val="00676942"/>
    <w:rsid w:val="006770CD"/>
    <w:rsid w:val="006773D9"/>
    <w:rsid w:val="006777B0"/>
    <w:rsid w:val="0067785F"/>
    <w:rsid w:val="006807A4"/>
    <w:rsid w:val="006809CE"/>
    <w:rsid w:val="00680C58"/>
    <w:rsid w:val="00680D7A"/>
    <w:rsid w:val="00681787"/>
    <w:rsid w:val="006834BB"/>
    <w:rsid w:val="0068358F"/>
    <w:rsid w:val="006836D7"/>
    <w:rsid w:val="00683774"/>
    <w:rsid w:val="00683D25"/>
    <w:rsid w:val="00684947"/>
    <w:rsid w:val="00684A77"/>
    <w:rsid w:val="00684B3D"/>
    <w:rsid w:val="0068574E"/>
    <w:rsid w:val="00686024"/>
    <w:rsid w:val="00687310"/>
    <w:rsid w:val="0068761C"/>
    <w:rsid w:val="006903F8"/>
    <w:rsid w:val="00691EAE"/>
    <w:rsid w:val="00692188"/>
    <w:rsid w:val="00692C6E"/>
    <w:rsid w:val="006930D9"/>
    <w:rsid w:val="0069375B"/>
    <w:rsid w:val="006937F2"/>
    <w:rsid w:val="00693A13"/>
    <w:rsid w:val="00693B27"/>
    <w:rsid w:val="00693D73"/>
    <w:rsid w:val="00693F8E"/>
    <w:rsid w:val="0069418B"/>
    <w:rsid w:val="0069433E"/>
    <w:rsid w:val="0069456E"/>
    <w:rsid w:val="00694F56"/>
    <w:rsid w:val="00695625"/>
    <w:rsid w:val="00696C19"/>
    <w:rsid w:val="00697078"/>
    <w:rsid w:val="006971A5"/>
    <w:rsid w:val="006974C3"/>
    <w:rsid w:val="00697847"/>
    <w:rsid w:val="0069788B"/>
    <w:rsid w:val="006A0EF8"/>
    <w:rsid w:val="006A29E0"/>
    <w:rsid w:val="006A2E2B"/>
    <w:rsid w:val="006A35A6"/>
    <w:rsid w:val="006A386D"/>
    <w:rsid w:val="006A3B74"/>
    <w:rsid w:val="006A3EBE"/>
    <w:rsid w:val="006A4582"/>
    <w:rsid w:val="006A4730"/>
    <w:rsid w:val="006A57F1"/>
    <w:rsid w:val="006A59D7"/>
    <w:rsid w:val="006A63D2"/>
    <w:rsid w:val="006A6EB3"/>
    <w:rsid w:val="006A71FC"/>
    <w:rsid w:val="006A74A6"/>
    <w:rsid w:val="006A7673"/>
    <w:rsid w:val="006A7C45"/>
    <w:rsid w:val="006B038C"/>
    <w:rsid w:val="006B0862"/>
    <w:rsid w:val="006B0DEE"/>
    <w:rsid w:val="006B1F79"/>
    <w:rsid w:val="006B1FA7"/>
    <w:rsid w:val="006B1FB9"/>
    <w:rsid w:val="006B3434"/>
    <w:rsid w:val="006B3C1E"/>
    <w:rsid w:val="006B3D78"/>
    <w:rsid w:val="006B3FDA"/>
    <w:rsid w:val="006B5748"/>
    <w:rsid w:val="006B59D3"/>
    <w:rsid w:val="006B6031"/>
    <w:rsid w:val="006B6602"/>
    <w:rsid w:val="006B6A61"/>
    <w:rsid w:val="006B6B8B"/>
    <w:rsid w:val="006B6E02"/>
    <w:rsid w:val="006B7B12"/>
    <w:rsid w:val="006B7CEE"/>
    <w:rsid w:val="006C00A8"/>
    <w:rsid w:val="006C0AA2"/>
    <w:rsid w:val="006C0E07"/>
    <w:rsid w:val="006C119A"/>
    <w:rsid w:val="006C1308"/>
    <w:rsid w:val="006C155C"/>
    <w:rsid w:val="006C2073"/>
    <w:rsid w:val="006C2240"/>
    <w:rsid w:val="006C2F39"/>
    <w:rsid w:val="006C3963"/>
    <w:rsid w:val="006C4674"/>
    <w:rsid w:val="006C4AC9"/>
    <w:rsid w:val="006C5439"/>
    <w:rsid w:val="006C5ED5"/>
    <w:rsid w:val="006C640E"/>
    <w:rsid w:val="006C6592"/>
    <w:rsid w:val="006C698F"/>
    <w:rsid w:val="006C79D1"/>
    <w:rsid w:val="006C7B58"/>
    <w:rsid w:val="006D197C"/>
    <w:rsid w:val="006D1994"/>
    <w:rsid w:val="006D1BBD"/>
    <w:rsid w:val="006D1BC9"/>
    <w:rsid w:val="006D1FE9"/>
    <w:rsid w:val="006D22CB"/>
    <w:rsid w:val="006D25C4"/>
    <w:rsid w:val="006D2B6C"/>
    <w:rsid w:val="006D40D2"/>
    <w:rsid w:val="006D53AA"/>
    <w:rsid w:val="006D53BA"/>
    <w:rsid w:val="006D5CEC"/>
    <w:rsid w:val="006D6204"/>
    <w:rsid w:val="006D6C20"/>
    <w:rsid w:val="006D74AF"/>
    <w:rsid w:val="006E0BB6"/>
    <w:rsid w:val="006E1067"/>
    <w:rsid w:val="006E1074"/>
    <w:rsid w:val="006E1163"/>
    <w:rsid w:val="006E19D8"/>
    <w:rsid w:val="006E19E2"/>
    <w:rsid w:val="006E259F"/>
    <w:rsid w:val="006E28AB"/>
    <w:rsid w:val="006E3D95"/>
    <w:rsid w:val="006E40D0"/>
    <w:rsid w:val="006E49CB"/>
    <w:rsid w:val="006E52FB"/>
    <w:rsid w:val="006E5B16"/>
    <w:rsid w:val="006E6BB4"/>
    <w:rsid w:val="006E6E13"/>
    <w:rsid w:val="006E7E03"/>
    <w:rsid w:val="006F001E"/>
    <w:rsid w:val="006F04F8"/>
    <w:rsid w:val="006F0B99"/>
    <w:rsid w:val="006F0E50"/>
    <w:rsid w:val="006F12EE"/>
    <w:rsid w:val="006F14EC"/>
    <w:rsid w:val="006F22DB"/>
    <w:rsid w:val="006F263A"/>
    <w:rsid w:val="006F2BF7"/>
    <w:rsid w:val="006F2DC2"/>
    <w:rsid w:val="006F415C"/>
    <w:rsid w:val="006F4773"/>
    <w:rsid w:val="006F4E9B"/>
    <w:rsid w:val="006F5794"/>
    <w:rsid w:val="006F5AF7"/>
    <w:rsid w:val="006F5D9A"/>
    <w:rsid w:val="006F5F34"/>
    <w:rsid w:val="006F5FDA"/>
    <w:rsid w:val="006F65C9"/>
    <w:rsid w:val="006F67E2"/>
    <w:rsid w:val="006F6B90"/>
    <w:rsid w:val="006F7290"/>
    <w:rsid w:val="006F79F3"/>
    <w:rsid w:val="006F7C0B"/>
    <w:rsid w:val="006F7EBB"/>
    <w:rsid w:val="0070013F"/>
    <w:rsid w:val="00700435"/>
    <w:rsid w:val="00700D43"/>
    <w:rsid w:val="00700E4B"/>
    <w:rsid w:val="0070102B"/>
    <w:rsid w:val="007010C7"/>
    <w:rsid w:val="007011E8"/>
    <w:rsid w:val="00701B16"/>
    <w:rsid w:val="00701FE2"/>
    <w:rsid w:val="007020AA"/>
    <w:rsid w:val="00702AD9"/>
    <w:rsid w:val="00702D7F"/>
    <w:rsid w:val="00703157"/>
    <w:rsid w:val="0070375B"/>
    <w:rsid w:val="00703D68"/>
    <w:rsid w:val="00704E38"/>
    <w:rsid w:val="007056AD"/>
    <w:rsid w:val="007057D3"/>
    <w:rsid w:val="00706001"/>
    <w:rsid w:val="0070634A"/>
    <w:rsid w:val="0070732A"/>
    <w:rsid w:val="00707AF7"/>
    <w:rsid w:val="007105DC"/>
    <w:rsid w:val="007109F1"/>
    <w:rsid w:val="00710A29"/>
    <w:rsid w:val="00712EB9"/>
    <w:rsid w:val="00715A42"/>
    <w:rsid w:val="00716F43"/>
    <w:rsid w:val="00717949"/>
    <w:rsid w:val="007202DF"/>
    <w:rsid w:val="00720D20"/>
    <w:rsid w:val="007216E4"/>
    <w:rsid w:val="00721746"/>
    <w:rsid w:val="00721991"/>
    <w:rsid w:val="00721B59"/>
    <w:rsid w:val="00721CF0"/>
    <w:rsid w:val="00723C2C"/>
    <w:rsid w:val="00723E62"/>
    <w:rsid w:val="007241D5"/>
    <w:rsid w:val="00724955"/>
    <w:rsid w:val="00724D7B"/>
    <w:rsid w:val="007250FD"/>
    <w:rsid w:val="0072602C"/>
    <w:rsid w:val="00726622"/>
    <w:rsid w:val="00726DE6"/>
    <w:rsid w:val="00726E26"/>
    <w:rsid w:val="007270C7"/>
    <w:rsid w:val="00727157"/>
    <w:rsid w:val="007272A0"/>
    <w:rsid w:val="00727B60"/>
    <w:rsid w:val="0073030E"/>
    <w:rsid w:val="007307F3"/>
    <w:rsid w:val="00731006"/>
    <w:rsid w:val="00731597"/>
    <w:rsid w:val="007318F6"/>
    <w:rsid w:val="00734363"/>
    <w:rsid w:val="00735859"/>
    <w:rsid w:val="00736C33"/>
    <w:rsid w:val="00736F08"/>
    <w:rsid w:val="00737886"/>
    <w:rsid w:val="00740309"/>
    <w:rsid w:val="00740A45"/>
    <w:rsid w:val="00740C52"/>
    <w:rsid w:val="00740DF9"/>
    <w:rsid w:val="00741ABA"/>
    <w:rsid w:val="00741CBB"/>
    <w:rsid w:val="00741D08"/>
    <w:rsid w:val="00742719"/>
    <w:rsid w:val="0074272C"/>
    <w:rsid w:val="00742C96"/>
    <w:rsid w:val="00742FAB"/>
    <w:rsid w:val="007438C7"/>
    <w:rsid w:val="00743C33"/>
    <w:rsid w:val="00744E66"/>
    <w:rsid w:val="00744E9B"/>
    <w:rsid w:val="007450EB"/>
    <w:rsid w:val="00745DCD"/>
    <w:rsid w:val="0074705E"/>
    <w:rsid w:val="0074759B"/>
    <w:rsid w:val="00747946"/>
    <w:rsid w:val="0075043E"/>
    <w:rsid w:val="00750819"/>
    <w:rsid w:val="007509CC"/>
    <w:rsid w:val="0075109A"/>
    <w:rsid w:val="0075146E"/>
    <w:rsid w:val="00751835"/>
    <w:rsid w:val="007519B8"/>
    <w:rsid w:val="00751F1F"/>
    <w:rsid w:val="0075234F"/>
    <w:rsid w:val="00752597"/>
    <w:rsid w:val="0075342F"/>
    <w:rsid w:val="00753BB1"/>
    <w:rsid w:val="007541A9"/>
    <w:rsid w:val="00754B5F"/>
    <w:rsid w:val="00754D11"/>
    <w:rsid w:val="00755137"/>
    <w:rsid w:val="007551CC"/>
    <w:rsid w:val="007562CE"/>
    <w:rsid w:val="00756639"/>
    <w:rsid w:val="00757F21"/>
    <w:rsid w:val="0076002A"/>
    <w:rsid w:val="007603C7"/>
    <w:rsid w:val="0076041B"/>
    <w:rsid w:val="007607CB"/>
    <w:rsid w:val="00760904"/>
    <w:rsid w:val="00760D8D"/>
    <w:rsid w:val="00760DDA"/>
    <w:rsid w:val="00760FB9"/>
    <w:rsid w:val="00761E6D"/>
    <w:rsid w:val="007628D5"/>
    <w:rsid w:val="00763B57"/>
    <w:rsid w:val="00763B73"/>
    <w:rsid w:val="00764233"/>
    <w:rsid w:val="00764932"/>
    <w:rsid w:val="00764D53"/>
    <w:rsid w:val="007650D0"/>
    <w:rsid w:val="00765448"/>
    <w:rsid w:val="00765718"/>
    <w:rsid w:val="00765AE7"/>
    <w:rsid w:val="00766545"/>
    <w:rsid w:val="007668EB"/>
    <w:rsid w:val="00766DAA"/>
    <w:rsid w:val="00767106"/>
    <w:rsid w:val="00767B43"/>
    <w:rsid w:val="00767D97"/>
    <w:rsid w:val="00770183"/>
    <w:rsid w:val="00770657"/>
    <w:rsid w:val="00770E70"/>
    <w:rsid w:val="00771AC7"/>
    <w:rsid w:val="00771E21"/>
    <w:rsid w:val="00772340"/>
    <w:rsid w:val="007723A8"/>
    <w:rsid w:val="007729FE"/>
    <w:rsid w:val="00773667"/>
    <w:rsid w:val="00774109"/>
    <w:rsid w:val="00774302"/>
    <w:rsid w:val="007744ED"/>
    <w:rsid w:val="00774722"/>
    <w:rsid w:val="007749DC"/>
    <w:rsid w:val="00774A8C"/>
    <w:rsid w:val="00775BE6"/>
    <w:rsid w:val="00775F06"/>
    <w:rsid w:val="0078032B"/>
    <w:rsid w:val="007807BD"/>
    <w:rsid w:val="007818C7"/>
    <w:rsid w:val="00781A97"/>
    <w:rsid w:val="00781D91"/>
    <w:rsid w:val="00781EBE"/>
    <w:rsid w:val="00781F36"/>
    <w:rsid w:val="00781FBC"/>
    <w:rsid w:val="0078326A"/>
    <w:rsid w:val="00783A62"/>
    <w:rsid w:val="007842C4"/>
    <w:rsid w:val="00784538"/>
    <w:rsid w:val="0078492B"/>
    <w:rsid w:val="00784C3C"/>
    <w:rsid w:val="00785BE7"/>
    <w:rsid w:val="0078705E"/>
    <w:rsid w:val="00790295"/>
    <w:rsid w:val="00790618"/>
    <w:rsid w:val="00790F33"/>
    <w:rsid w:val="00791238"/>
    <w:rsid w:val="00791B6C"/>
    <w:rsid w:val="00791FBE"/>
    <w:rsid w:val="00792AD6"/>
    <w:rsid w:val="0079303A"/>
    <w:rsid w:val="00793335"/>
    <w:rsid w:val="00793778"/>
    <w:rsid w:val="00793DD7"/>
    <w:rsid w:val="007942B4"/>
    <w:rsid w:val="0079467F"/>
    <w:rsid w:val="00794E1A"/>
    <w:rsid w:val="00794F38"/>
    <w:rsid w:val="007957D4"/>
    <w:rsid w:val="007966D6"/>
    <w:rsid w:val="00796AD1"/>
    <w:rsid w:val="007A0DA6"/>
    <w:rsid w:val="007A1C06"/>
    <w:rsid w:val="007A2340"/>
    <w:rsid w:val="007A3300"/>
    <w:rsid w:val="007A3DD9"/>
    <w:rsid w:val="007A3F43"/>
    <w:rsid w:val="007A4106"/>
    <w:rsid w:val="007A44F8"/>
    <w:rsid w:val="007A54B6"/>
    <w:rsid w:val="007A5636"/>
    <w:rsid w:val="007A7059"/>
    <w:rsid w:val="007A7AB3"/>
    <w:rsid w:val="007B05BB"/>
    <w:rsid w:val="007B0D5A"/>
    <w:rsid w:val="007B11FC"/>
    <w:rsid w:val="007B19EC"/>
    <w:rsid w:val="007B2877"/>
    <w:rsid w:val="007B2CEC"/>
    <w:rsid w:val="007B488D"/>
    <w:rsid w:val="007B48AE"/>
    <w:rsid w:val="007B4BF4"/>
    <w:rsid w:val="007B4C37"/>
    <w:rsid w:val="007B58CD"/>
    <w:rsid w:val="007B5DB5"/>
    <w:rsid w:val="007B67D8"/>
    <w:rsid w:val="007B6DA0"/>
    <w:rsid w:val="007C05DB"/>
    <w:rsid w:val="007C0C30"/>
    <w:rsid w:val="007C16B3"/>
    <w:rsid w:val="007C1D66"/>
    <w:rsid w:val="007C2033"/>
    <w:rsid w:val="007C2675"/>
    <w:rsid w:val="007C29BE"/>
    <w:rsid w:val="007C2E23"/>
    <w:rsid w:val="007C342B"/>
    <w:rsid w:val="007C43DD"/>
    <w:rsid w:val="007C4674"/>
    <w:rsid w:val="007C4DDA"/>
    <w:rsid w:val="007C5943"/>
    <w:rsid w:val="007C63F5"/>
    <w:rsid w:val="007C7027"/>
    <w:rsid w:val="007C70F0"/>
    <w:rsid w:val="007C7380"/>
    <w:rsid w:val="007C74AB"/>
    <w:rsid w:val="007C7CE6"/>
    <w:rsid w:val="007D194C"/>
    <w:rsid w:val="007D1A69"/>
    <w:rsid w:val="007D23A7"/>
    <w:rsid w:val="007D2832"/>
    <w:rsid w:val="007D294F"/>
    <w:rsid w:val="007D2DB6"/>
    <w:rsid w:val="007D2EF6"/>
    <w:rsid w:val="007D32C4"/>
    <w:rsid w:val="007D3B84"/>
    <w:rsid w:val="007D3D8E"/>
    <w:rsid w:val="007D4474"/>
    <w:rsid w:val="007D5363"/>
    <w:rsid w:val="007D5532"/>
    <w:rsid w:val="007D63CD"/>
    <w:rsid w:val="007D6545"/>
    <w:rsid w:val="007D6785"/>
    <w:rsid w:val="007D6F39"/>
    <w:rsid w:val="007D7349"/>
    <w:rsid w:val="007D74E2"/>
    <w:rsid w:val="007E055D"/>
    <w:rsid w:val="007E0FCF"/>
    <w:rsid w:val="007E12D5"/>
    <w:rsid w:val="007E221D"/>
    <w:rsid w:val="007E2421"/>
    <w:rsid w:val="007E3A93"/>
    <w:rsid w:val="007E425C"/>
    <w:rsid w:val="007E44A9"/>
    <w:rsid w:val="007E4888"/>
    <w:rsid w:val="007E4FE3"/>
    <w:rsid w:val="007E5711"/>
    <w:rsid w:val="007E61CD"/>
    <w:rsid w:val="007E78A9"/>
    <w:rsid w:val="007E79A5"/>
    <w:rsid w:val="007E7CB6"/>
    <w:rsid w:val="007F0366"/>
    <w:rsid w:val="007F071C"/>
    <w:rsid w:val="007F0FC6"/>
    <w:rsid w:val="007F1E69"/>
    <w:rsid w:val="007F2CF6"/>
    <w:rsid w:val="007F32C6"/>
    <w:rsid w:val="007F35B0"/>
    <w:rsid w:val="007F3C2B"/>
    <w:rsid w:val="007F509A"/>
    <w:rsid w:val="007F5201"/>
    <w:rsid w:val="007F56D2"/>
    <w:rsid w:val="007F5FFF"/>
    <w:rsid w:val="007F65D2"/>
    <w:rsid w:val="007F6773"/>
    <w:rsid w:val="007F6A7F"/>
    <w:rsid w:val="00800C26"/>
    <w:rsid w:val="00800D81"/>
    <w:rsid w:val="00801226"/>
    <w:rsid w:val="00801BC6"/>
    <w:rsid w:val="008022D7"/>
    <w:rsid w:val="00802CA5"/>
    <w:rsid w:val="0080318C"/>
    <w:rsid w:val="00803BAF"/>
    <w:rsid w:val="00803D7A"/>
    <w:rsid w:val="00804CDF"/>
    <w:rsid w:val="00805DF5"/>
    <w:rsid w:val="0080613C"/>
    <w:rsid w:val="00806162"/>
    <w:rsid w:val="00806AFD"/>
    <w:rsid w:val="00806C6E"/>
    <w:rsid w:val="00806D63"/>
    <w:rsid w:val="00806DBA"/>
    <w:rsid w:val="00807AC9"/>
    <w:rsid w:val="00807CD3"/>
    <w:rsid w:val="008103E2"/>
    <w:rsid w:val="00810672"/>
    <w:rsid w:val="00810715"/>
    <w:rsid w:val="0081128A"/>
    <w:rsid w:val="00811D60"/>
    <w:rsid w:val="00811F7D"/>
    <w:rsid w:val="008137F2"/>
    <w:rsid w:val="00813FCC"/>
    <w:rsid w:val="0081441A"/>
    <w:rsid w:val="00814549"/>
    <w:rsid w:val="00814698"/>
    <w:rsid w:val="00814961"/>
    <w:rsid w:val="00814F84"/>
    <w:rsid w:val="00815708"/>
    <w:rsid w:val="008157C9"/>
    <w:rsid w:val="00815DE7"/>
    <w:rsid w:val="00816C40"/>
    <w:rsid w:val="008173F4"/>
    <w:rsid w:val="00817F11"/>
    <w:rsid w:val="00817F2F"/>
    <w:rsid w:val="00820AA8"/>
    <w:rsid w:val="0082251D"/>
    <w:rsid w:val="00822844"/>
    <w:rsid w:val="00823DBF"/>
    <w:rsid w:val="00824481"/>
    <w:rsid w:val="0082460E"/>
    <w:rsid w:val="008259C1"/>
    <w:rsid w:val="0082631A"/>
    <w:rsid w:val="0082659B"/>
    <w:rsid w:val="00826652"/>
    <w:rsid w:val="0082751D"/>
    <w:rsid w:val="008276AC"/>
    <w:rsid w:val="00830083"/>
    <w:rsid w:val="0083088D"/>
    <w:rsid w:val="0083241F"/>
    <w:rsid w:val="00832434"/>
    <w:rsid w:val="00833439"/>
    <w:rsid w:val="008339E3"/>
    <w:rsid w:val="00834A3B"/>
    <w:rsid w:val="00834C88"/>
    <w:rsid w:val="00834D14"/>
    <w:rsid w:val="008352B4"/>
    <w:rsid w:val="0083535A"/>
    <w:rsid w:val="00835930"/>
    <w:rsid w:val="00835D06"/>
    <w:rsid w:val="00836274"/>
    <w:rsid w:val="008364AB"/>
    <w:rsid w:val="00836BAB"/>
    <w:rsid w:val="00836DEE"/>
    <w:rsid w:val="00837A26"/>
    <w:rsid w:val="00837FCD"/>
    <w:rsid w:val="0084134C"/>
    <w:rsid w:val="00842214"/>
    <w:rsid w:val="008422C5"/>
    <w:rsid w:val="00842771"/>
    <w:rsid w:val="00842D34"/>
    <w:rsid w:val="008430BC"/>
    <w:rsid w:val="008436E7"/>
    <w:rsid w:val="00843E1B"/>
    <w:rsid w:val="00844A84"/>
    <w:rsid w:val="00844FFB"/>
    <w:rsid w:val="00846F7A"/>
    <w:rsid w:val="008477D9"/>
    <w:rsid w:val="00847953"/>
    <w:rsid w:val="00847A04"/>
    <w:rsid w:val="00847D20"/>
    <w:rsid w:val="00850FE1"/>
    <w:rsid w:val="008510C2"/>
    <w:rsid w:val="00852D76"/>
    <w:rsid w:val="008547F6"/>
    <w:rsid w:val="008548EF"/>
    <w:rsid w:val="00854B0F"/>
    <w:rsid w:val="00855020"/>
    <w:rsid w:val="00855FAE"/>
    <w:rsid w:val="008563D8"/>
    <w:rsid w:val="0085673F"/>
    <w:rsid w:val="00856951"/>
    <w:rsid w:val="00856BA6"/>
    <w:rsid w:val="0085715B"/>
    <w:rsid w:val="008576AC"/>
    <w:rsid w:val="00857803"/>
    <w:rsid w:val="00857ABA"/>
    <w:rsid w:val="00857C90"/>
    <w:rsid w:val="00857FA8"/>
    <w:rsid w:val="008614E6"/>
    <w:rsid w:val="008617A0"/>
    <w:rsid w:val="00861DD8"/>
    <w:rsid w:val="0086219E"/>
    <w:rsid w:val="00862209"/>
    <w:rsid w:val="00862BD9"/>
    <w:rsid w:val="0086357C"/>
    <w:rsid w:val="0086368D"/>
    <w:rsid w:val="0086392A"/>
    <w:rsid w:val="0086398B"/>
    <w:rsid w:val="00864140"/>
    <w:rsid w:val="00864752"/>
    <w:rsid w:val="00864ADE"/>
    <w:rsid w:val="00865077"/>
    <w:rsid w:val="008656D3"/>
    <w:rsid w:val="00866061"/>
    <w:rsid w:val="00866104"/>
    <w:rsid w:val="00867C18"/>
    <w:rsid w:val="008704B4"/>
    <w:rsid w:val="0087080F"/>
    <w:rsid w:val="00870821"/>
    <w:rsid w:val="00870C2F"/>
    <w:rsid w:val="00871203"/>
    <w:rsid w:val="00872F9C"/>
    <w:rsid w:val="00876541"/>
    <w:rsid w:val="008767ED"/>
    <w:rsid w:val="00876F98"/>
    <w:rsid w:val="00877041"/>
    <w:rsid w:val="008771C3"/>
    <w:rsid w:val="0087727D"/>
    <w:rsid w:val="00877582"/>
    <w:rsid w:val="008779DA"/>
    <w:rsid w:val="00877BEF"/>
    <w:rsid w:val="00880658"/>
    <w:rsid w:val="00882529"/>
    <w:rsid w:val="008835FA"/>
    <w:rsid w:val="00884B5E"/>
    <w:rsid w:val="00886225"/>
    <w:rsid w:val="008868B6"/>
    <w:rsid w:val="00886B25"/>
    <w:rsid w:val="00890E59"/>
    <w:rsid w:val="00890FD4"/>
    <w:rsid w:val="008916FE"/>
    <w:rsid w:val="008917DE"/>
    <w:rsid w:val="00891986"/>
    <w:rsid w:val="00891BC2"/>
    <w:rsid w:val="00893570"/>
    <w:rsid w:val="00894DBF"/>
    <w:rsid w:val="00894DC8"/>
    <w:rsid w:val="00895336"/>
    <w:rsid w:val="00895C78"/>
    <w:rsid w:val="0089782E"/>
    <w:rsid w:val="008979B8"/>
    <w:rsid w:val="008979BE"/>
    <w:rsid w:val="00897F87"/>
    <w:rsid w:val="008A0E81"/>
    <w:rsid w:val="008A15AC"/>
    <w:rsid w:val="008A16FC"/>
    <w:rsid w:val="008A1753"/>
    <w:rsid w:val="008A17CA"/>
    <w:rsid w:val="008A2BD8"/>
    <w:rsid w:val="008A2D5F"/>
    <w:rsid w:val="008A3248"/>
    <w:rsid w:val="008A3B3C"/>
    <w:rsid w:val="008A4363"/>
    <w:rsid w:val="008A4576"/>
    <w:rsid w:val="008A4663"/>
    <w:rsid w:val="008A4FD8"/>
    <w:rsid w:val="008A6680"/>
    <w:rsid w:val="008A66C2"/>
    <w:rsid w:val="008A67AB"/>
    <w:rsid w:val="008A6F8B"/>
    <w:rsid w:val="008A71DB"/>
    <w:rsid w:val="008A7D15"/>
    <w:rsid w:val="008B0174"/>
    <w:rsid w:val="008B0E6C"/>
    <w:rsid w:val="008B1CF5"/>
    <w:rsid w:val="008B3581"/>
    <w:rsid w:val="008B36D4"/>
    <w:rsid w:val="008B3D6E"/>
    <w:rsid w:val="008B5BE2"/>
    <w:rsid w:val="008B70B3"/>
    <w:rsid w:val="008B73F2"/>
    <w:rsid w:val="008B797C"/>
    <w:rsid w:val="008B7CF6"/>
    <w:rsid w:val="008C0A68"/>
    <w:rsid w:val="008C17BD"/>
    <w:rsid w:val="008C19F4"/>
    <w:rsid w:val="008C2EFA"/>
    <w:rsid w:val="008C3190"/>
    <w:rsid w:val="008C346B"/>
    <w:rsid w:val="008C50F4"/>
    <w:rsid w:val="008C5913"/>
    <w:rsid w:val="008C60D3"/>
    <w:rsid w:val="008C74E6"/>
    <w:rsid w:val="008C75E8"/>
    <w:rsid w:val="008C779E"/>
    <w:rsid w:val="008C7FAF"/>
    <w:rsid w:val="008D012B"/>
    <w:rsid w:val="008D0C64"/>
    <w:rsid w:val="008D1A0F"/>
    <w:rsid w:val="008D1C8C"/>
    <w:rsid w:val="008D23CD"/>
    <w:rsid w:val="008D2BEA"/>
    <w:rsid w:val="008D3149"/>
    <w:rsid w:val="008D3542"/>
    <w:rsid w:val="008D3905"/>
    <w:rsid w:val="008D39A2"/>
    <w:rsid w:val="008D4B7C"/>
    <w:rsid w:val="008D4BD6"/>
    <w:rsid w:val="008D4DD2"/>
    <w:rsid w:val="008D515B"/>
    <w:rsid w:val="008D5277"/>
    <w:rsid w:val="008D53C2"/>
    <w:rsid w:val="008D6A20"/>
    <w:rsid w:val="008D6BAC"/>
    <w:rsid w:val="008D7BB8"/>
    <w:rsid w:val="008E0F6E"/>
    <w:rsid w:val="008E1183"/>
    <w:rsid w:val="008E1449"/>
    <w:rsid w:val="008E185A"/>
    <w:rsid w:val="008E1D13"/>
    <w:rsid w:val="008E20F2"/>
    <w:rsid w:val="008E217D"/>
    <w:rsid w:val="008E3237"/>
    <w:rsid w:val="008E413A"/>
    <w:rsid w:val="008E4FCA"/>
    <w:rsid w:val="008E51D5"/>
    <w:rsid w:val="008E56F1"/>
    <w:rsid w:val="008E604B"/>
    <w:rsid w:val="008F006C"/>
    <w:rsid w:val="008F021B"/>
    <w:rsid w:val="008F113F"/>
    <w:rsid w:val="008F1419"/>
    <w:rsid w:val="008F197B"/>
    <w:rsid w:val="008F1B27"/>
    <w:rsid w:val="008F2033"/>
    <w:rsid w:val="008F23B6"/>
    <w:rsid w:val="008F2407"/>
    <w:rsid w:val="008F283B"/>
    <w:rsid w:val="008F2941"/>
    <w:rsid w:val="008F2D4F"/>
    <w:rsid w:val="008F2E17"/>
    <w:rsid w:val="008F3094"/>
    <w:rsid w:val="008F3144"/>
    <w:rsid w:val="008F3DDA"/>
    <w:rsid w:val="008F43E9"/>
    <w:rsid w:val="008F4F8E"/>
    <w:rsid w:val="008F501C"/>
    <w:rsid w:val="008F523F"/>
    <w:rsid w:val="008F5327"/>
    <w:rsid w:val="008F6C02"/>
    <w:rsid w:val="008F7048"/>
    <w:rsid w:val="008F7236"/>
    <w:rsid w:val="008F7382"/>
    <w:rsid w:val="008F7749"/>
    <w:rsid w:val="008F7992"/>
    <w:rsid w:val="009001A9"/>
    <w:rsid w:val="00900461"/>
    <w:rsid w:val="0090074B"/>
    <w:rsid w:val="009007AF"/>
    <w:rsid w:val="00900A5B"/>
    <w:rsid w:val="00900A5F"/>
    <w:rsid w:val="00900B6C"/>
    <w:rsid w:val="00900DF5"/>
    <w:rsid w:val="00900F15"/>
    <w:rsid w:val="009012A9"/>
    <w:rsid w:val="00901457"/>
    <w:rsid w:val="00901D22"/>
    <w:rsid w:val="00901F91"/>
    <w:rsid w:val="00902089"/>
    <w:rsid w:val="0090245A"/>
    <w:rsid w:val="00903141"/>
    <w:rsid w:val="009043D1"/>
    <w:rsid w:val="00904BD0"/>
    <w:rsid w:val="00904BDE"/>
    <w:rsid w:val="009052ED"/>
    <w:rsid w:val="00905945"/>
    <w:rsid w:val="00906044"/>
    <w:rsid w:val="009070B1"/>
    <w:rsid w:val="009076AB"/>
    <w:rsid w:val="0090781A"/>
    <w:rsid w:val="00907CE7"/>
    <w:rsid w:val="009102D5"/>
    <w:rsid w:val="0091108C"/>
    <w:rsid w:val="009119B1"/>
    <w:rsid w:val="00911A41"/>
    <w:rsid w:val="00911E8E"/>
    <w:rsid w:val="00912C5F"/>
    <w:rsid w:val="00912E60"/>
    <w:rsid w:val="00913299"/>
    <w:rsid w:val="0091357D"/>
    <w:rsid w:val="00913696"/>
    <w:rsid w:val="00914AAA"/>
    <w:rsid w:val="00914D2C"/>
    <w:rsid w:val="00914D70"/>
    <w:rsid w:val="00914DF7"/>
    <w:rsid w:val="009153C9"/>
    <w:rsid w:val="00915C07"/>
    <w:rsid w:val="00915E56"/>
    <w:rsid w:val="00916AC4"/>
    <w:rsid w:val="00916F1C"/>
    <w:rsid w:val="009171A7"/>
    <w:rsid w:val="009178EE"/>
    <w:rsid w:val="00920C57"/>
    <w:rsid w:val="0092103D"/>
    <w:rsid w:val="0092115B"/>
    <w:rsid w:val="0092116E"/>
    <w:rsid w:val="009212BF"/>
    <w:rsid w:val="00921427"/>
    <w:rsid w:val="0092143E"/>
    <w:rsid w:val="0092193E"/>
    <w:rsid w:val="0092233A"/>
    <w:rsid w:val="009224BC"/>
    <w:rsid w:val="00922BC3"/>
    <w:rsid w:val="00922FEF"/>
    <w:rsid w:val="009237F3"/>
    <w:rsid w:val="0092392B"/>
    <w:rsid w:val="00923AB1"/>
    <w:rsid w:val="0092447E"/>
    <w:rsid w:val="00924FD6"/>
    <w:rsid w:val="00925BE8"/>
    <w:rsid w:val="00925D74"/>
    <w:rsid w:val="00925D9F"/>
    <w:rsid w:val="00926198"/>
    <w:rsid w:val="00926A28"/>
    <w:rsid w:val="009272D7"/>
    <w:rsid w:val="00930037"/>
    <w:rsid w:val="0093057C"/>
    <w:rsid w:val="00930871"/>
    <w:rsid w:val="00930952"/>
    <w:rsid w:val="00932EE0"/>
    <w:rsid w:val="00933B68"/>
    <w:rsid w:val="009341DF"/>
    <w:rsid w:val="00934919"/>
    <w:rsid w:val="00934D7D"/>
    <w:rsid w:val="00935899"/>
    <w:rsid w:val="00936003"/>
    <w:rsid w:val="00936054"/>
    <w:rsid w:val="00936198"/>
    <w:rsid w:val="0093634B"/>
    <w:rsid w:val="00936545"/>
    <w:rsid w:val="009366E3"/>
    <w:rsid w:val="00936C75"/>
    <w:rsid w:val="009370E4"/>
    <w:rsid w:val="009407AE"/>
    <w:rsid w:val="00940FA5"/>
    <w:rsid w:val="009415CF"/>
    <w:rsid w:val="0094165C"/>
    <w:rsid w:val="00941AE1"/>
    <w:rsid w:val="00942490"/>
    <w:rsid w:val="00942A9A"/>
    <w:rsid w:val="00942DAD"/>
    <w:rsid w:val="00942DED"/>
    <w:rsid w:val="00943317"/>
    <w:rsid w:val="00943E18"/>
    <w:rsid w:val="00943F8C"/>
    <w:rsid w:val="0094473B"/>
    <w:rsid w:val="00944F86"/>
    <w:rsid w:val="009450D8"/>
    <w:rsid w:val="00945366"/>
    <w:rsid w:val="00945CD9"/>
    <w:rsid w:val="0094600A"/>
    <w:rsid w:val="00946528"/>
    <w:rsid w:val="00946607"/>
    <w:rsid w:val="00947572"/>
    <w:rsid w:val="009476C4"/>
    <w:rsid w:val="00947BC3"/>
    <w:rsid w:val="00947DBB"/>
    <w:rsid w:val="009507F4"/>
    <w:rsid w:val="00950BAB"/>
    <w:rsid w:val="00950DA8"/>
    <w:rsid w:val="00950F56"/>
    <w:rsid w:val="009513EB"/>
    <w:rsid w:val="009519D8"/>
    <w:rsid w:val="00951C7F"/>
    <w:rsid w:val="00951D17"/>
    <w:rsid w:val="009523BC"/>
    <w:rsid w:val="00952B1D"/>
    <w:rsid w:val="0095350E"/>
    <w:rsid w:val="009537AB"/>
    <w:rsid w:val="0095498B"/>
    <w:rsid w:val="00954E50"/>
    <w:rsid w:val="00955300"/>
    <w:rsid w:val="00955657"/>
    <w:rsid w:val="009556F6"/>
    <w:rsid w:val="00955AE7"/>
    <w:rsid w:val="00955B3B"/>
    <w:rsid w:val="0095677D"/>
    <w:rsid w:val="009568DF"/>
    <w:rsid w:val="0096013D"/>
    <w:rsid w:val="009604FC"/>
    <w:rsid w:val="00960FD7"/>
    <w:rsid w:val="00961621"/>
    <w:rsid w:val="00961A88"/>
    <w:rsid w:val="00962289"/>
    <w:rsid w:val="00962E00"/>
    <w:rsid w:val="0096310B"/>
    <w:rsid w:val="0096399A"/>
    <w:rsid w:val="00963EF0"/>
    <w:rsid w:val="009648F5"/>
    <w:rsid w:val="00964A10"/>
    <w:rsid w:val="00964BE4"/>
    <w:rsid w:val="00965990"/>
    <w:rsid w:val="00965EE5"/>
    <w:rsid w:val="00966A40"/>
    <w:rsid w:val="00967927"/>
    <w:rsid w:val="00970031"/>
    <w:rsid w:val="00970548"/>
    <w:rsid w:val="00971834"/>
    <w:rsid w:val="00971944"/>
    <w:rsid w:val="00971FC9"/>
    <w:rsid w:val="00972630"/>
    <w:rsid w:val="0097287B"/>
    <w:rsid w:val="00972966"/>
    <w:rsid w:val="0097333F"/>
    <w:rsid w:val="0097370E"/>
    <w:rsid w:val="009749B3"/>
    <w:rsid w:val="00976180"/>
    <w:rsid w:val="009767D7"/>
    <w:rsid w:val="00976EAC"/>
    <w:rsid w:val="00977339"/>
    <w:rsid w:val="00977DBC"/>
    <w:rsid w:val="009802E3"/>
    <w:rsid w:val="00980B5E"/>
    <w:rsid w:val="00980B8E"/>
    <w:rsid w:val="0098128B"/>
    <w:rsid w:val="00981AEE"/>
    <w:rsid w:val="00982509"/>
    <w:rsid w:val="00982DE9"/>
    <w:rsid w:val="009833CC"/>
    <w:rsid w:val="009835F8"/>
    <w:rsid w:val="0098415F"/>
    <w:rsid w:val="009848D2"/>
    <w:rsid w:val="00985298"/>
    <w:rsid w:val="00985A9B"/>
    <w:rsid w:val="00985F7E"/>
    <w:rsid w:val="00986528"/>
    <w:rsid w:val="009865BE"/>
    <w:rsid w:val="00986DD3"/>
    <w:rsid w:val="00986DE3"/>
    <w:rsid w:val="00986F80"/>
    <w:rsid w:val="009901FE"/>
    <w:rsid w:val="0099087C"/>
    <w:rsid w:val="009912A5"/>
    <w:rsid w:val="00991908"/>
    <w:rsid w:val="009921DC"/>
    <w:rsid w:val="00992384"/>
    <w:rsid w:val="009923D3"/>
    <w:rsid w:val="00992FCB"/>
    <w:rsid w:val="00993119"/>
    <w:rsid w:val="009932AA"/>
    <w:rsid w:val="0099405B"/>
    <w:rsid w:val="00994071"/>
    <w:rsid w:val="0099429D"/>
    <w:rsid w:val="0099434D"/>
    <w:rsid w:val="0099464B"/>
    <w:rsid w:val="00994A0B"/>
    <w:rsid w:val="00994ABA"/>
    <w:rsid w:val="0099580C"/>
    <w:rsid w:val="00995C9F"/>
    <w:rsid w:val="00996ADF"/>
    <w:rsid w:val="00996E97"/>
    <w:rsid w:val="0099719D"/>
    <w:rsid w:val="00997A4C"/>
    <w:rsid w:val="00997AF8"/>
    <w:rsid w:val="00997CE3"/>
    <w:rsid w:val="009A0655"/>
    <w:rsid w:val="009A1CF0"/>
    <w:rsid w:val="009A2BB9"/>
    <w:rsid w:val="009A3275"/>
    <w:rsid w:val="009A4BEA"/>
    <w:rsid w:val="009A4EB7"/>
    <w:rsid w:val="009A5C5E"/>
    <w:rsid w:val="009A6683"/>
    <w:rsid w:val="009A750D"/>
    <w:rsid w:val="009A755F"/>
    <w:rsid w:val="009A77CF"/>
    <w:rsid w:val="009A7E6B"/>
    <w:rsid w:val="009B0293"/>
    <w:rsid w:val="009B0A9F"/>
    <w:rsid w:val="009B0EE8"/>
    <w:rsid w:val="009B115A"/>
    <w:rsid w:val="009B1198"/>
    <w:rsid w:val="009B1417"/>
    <w:rsid w:val="009B21D4"/>
    <w:rsid w:val="009B352C"/>
    <w:rsid w:val="009B36A8"/>
    <w:rsid w:val="009B36AA"/>
    <w:rsid w:val="009B3764"/>
    <w:rsid w:val="009B3DC9"/>
    <w:rsid w:val="009B4572"/>
    <w:rsid w:val="009B4CDF"/>
    <w:rsid w:val="009B4DBD"/>
    <w:rsid w:val="009B4F95"/>
    <w:rsid w:val="009B69F6"/>
    <w:rsid w:val="009B7423"/>
    <w:rsid w:val="009B74A9"/>
    <w:rsid w:val="009C0BDD"/>
    <w:rsid w:val="009C122F"/>
    <w:rsid w:val="009C12CB"/>
    <w:rsid w:val="009C1459"/>
    <w:rsid w:val="009C1CEF"/>
    <w:rsid w:val="009C21B2"/>
    <w:rsid w:val="009C263D"/>
    <w:rsid w:val="009C2BB3"/>
    <w:rsid w:val="009C2D94"/>
    <w:rsid w:val="009C35B7"/>
    <w:rsid w:val="009C3C10"/>
    <w:rsid w:val="009C40C2"/>
    <w:rsid w:val="009C426F"/>
    <w:rsid w:val="009C42CF"/>
    <w:rsid w:val="009C4DF2"/>
    <w:rsid w:val="009C54C7"/>
    <w:rsid w:val="009C59BD"/>
    <w:rsid w:val="009C59D1"/>
    <w:rsid w:val="009C609B"/>
    <w:rsid w:val="009C6104"/>
    <w:rsid w:val="009C61D3"/>
    <w:rsid w:val="009C6749"/>
    <w:rsid w:val="009C7227"/>
    <w:rsid w:val="009C7CDC"/>
    <w:rsid w:val="009C7D60"/>
    <w:rsid w:val="009D04CA"/>
    <w:rsid w:val="009D0728"/>
    <w:rsid w:val="009D0733"/>
    <w:rsid w:val="009D0A34"/>
    <w:rsid w:val="009D0A89"/>
    <w:rsid w:val="009D158B"/>
    <w:rsid w:val="009D1688"/>
    <w:rsid w:val="009D20D0"/>
    <w:rsid w:val="009D22EA"/>
    <w:rsid w:val="009D245B"/>
    <w:rsid w:val="009D2D98"/>
    <w:rsid w:val="009D2FEF"/>
    <w:rsid w:val="009D311C"/>
    <w:rsid w:val="009D3F21"/>
    <w:rsid w:val="009D40DF"/>
    <w:rsid w:val="009D4486"/>
    <w:rsid w:val="009D45E9"/>
    <w:rsid w:val="009D4DD4"/>
    <w:rsid w:val="009D5655"/>
    <w:rsid w:val="009D5CAB"/>
    <w:rsid w:val="009D6883"/>
    <w:rsid w:val="009D6EB9"/>
    <w:rsid w:val="009D7204"/>
    <w:rsid w:val="009D7C66"/>
    <w:rsid w:val="009E0214"/>
    <w:rsid w:val="009E1A5C"/>
    <w:rsid w:val="009E2675"/>
    <w:rsid w:val="009E29CC"/>
    <w:rsid w:val="009E386E"/>
    <w:rsid w:val="009E39EC"/>
    <w:rsid w:val="009E3AAE"/>
    <w:rsid w:val="009E3FC9"/>
    <w:rsid w:val="009E5872"/>
    <w:rsid w:val="009E58E2"/>
    <w:rsid w:val="009E5BEA"/>
    <w:rsid w:val="009E6290"/>
    <w:rsid w:val="009E6C36"/>
    <w:rsid w:val="009E730F"/>
    <w:rsid w:val="009E7701"/>
    <w:rsid w:val="009E78E1"/>
    <w:rsid w:val="009E7B38"/>
    <w:rsid w:val="009F113E"/>
    <w:rsid w:val="009F13EA"/>
    <w:rsid w:val="009F147E"/>
    <w:rsid w:val="009F15FC"/>
    <w:rsid w:val="009F2312"/>
    <w:rsid w:val="009F265E"/>
    <w:rsid w:val="009F3202"/>
    <w:rsid w:val="009F32C7"/>
    <w:rsid w:val="009F4590"/>
    <w:rsid w:val="009F4EAE"/>
    <w:rsid w:val="009F4FC8"/>
    <w:rsid w:val="009F65E7"/>
    <w:rsid w:val="009F7014"/>
    <w:rsid w:val="009F7277"/>
    <w:rsid w:val="009F7503"/>
    <w:rsid w:val="009F7EA2"/>
    <w:rsid w:val="00A00335"/>
    <w:rsid w:val="00A00AD8"/>
    <w:rsid w:val="00A00BE9"/>
    <w:rsid w:val="00A00C16"/>
    <w:rsid w:val="00A00C90"/>
    <w:rsid w:val="00A00F02"/>
    <w:rsid w:val="00A02501"/>
    <w:rsid w:val="00A0290B"/>
    <w:rsid w:val="00A0305C"/>
    <w:rsid w:val="00A030A6"/>
    <w:rsid w:val="00A0332B"/>
    <w:rsid w:val="00A039B4"/>
    <w:rsid w:val="00A03E2B"/>
    <w:rsid w:val="00A045B9"/>
    <w:rsid w:val="00A048AC"/>
    <w:rsid w:val="00A04F59"/>
    <w:rsid w:val="00A0733A"/>
    <w:rsid w:val="00A07735"/>
    <w:rsid w:val="00A077B3"/>
    <w:rsid w:val="00A07B3D"/>
    <w:rsid w:val="00A10337"/>
    <w:rsid w:val="00A10340"/>
    <w:rsid w:val="00A104B1"/>
    <w:rsid w:val="00A105B4"/>
    <w:rsid w:val="00A10681"/>
    <w:rsid w:val="00A10922"/>
    <w:rsid w:val="00A10B0D"/>
    <w:rsid w:val="00A10B9B"/>
    <w:rsid w:val="00A10CC1"/>
    <w:rsid w:val="00A11212"/>
    <w:rsid w:val="00A114EF"/>
    <w:rsid w:val="00A1184B"/>
    <w:rsid w:val="00A11CCF"/>
    <w:rsid w:val="00A12D2A"/>
    <w:rsid w:val="00A133E7"/>
    <w:rsid w:val="00A13851"/>
    <w:rsid w:val="00A138E9"/>
    <w:rsid w:val="00A139C6"/>
    <w:rsid w:val="00A14030"/>
    <w:rsid w:val="00A1437D"/>
    <w:rsid w:val="00A14436"/>
    <w:rsid w:val="00A1460B"/>
    <w:rsid w:val="00A14944"/>
    <w:rsid w:val="00A1496B"/>
    <w:rsid w:val="00A1571B"/>
    <w:rsid w:val="00A16288"/>
    <w:rsid w:val="00A16294"/>
    <w:rsid w:val="00A16528"/>
    <w:rsid w:val="00A16990"/>
    <w:rsid w:val="00A16E70"/>
    <w:rsid w:val="00A17073"/>
    <w:rsid w:val="00A176CD"/>
    <w:rsid w:val="00A177D7"/>
    <w:rsid w:val="00A17B8D"/>
    <w:rsid w:val="00A20B50"/>
    <w:rsid w:val="00A2107B"/>
    <w:rsid w:val="00A2139F"/>
    <w:rsid w:val="00A2155B"/>
    <w:rsid w:val="00A21D5B"/>
    <w:rsid w:val="00A21EAE"/>
    <w:rsid w:val="00A22187"/>
    <w:rsid w:val="00A22521"/>
    <w:rsid w:val="00A2252E"/>
    <w:rsid w:val="00A227F6"/>
    <w:rsid w:val="00A22B00"/>
    <w:rsid w:val="00A233C5"/>
    <w:rsid w:val="00A23786"/>
    <w:rsid w:val="00A23921"/>
    <w:rsid w:val="00A25341"/>
    <w:rsid w:val="00A255D9"/>
    <w:rsid w:val="00A256DB"/>
    <w:rsid w:val="00A2617E"/>
    <w:rsid w:val="00A26ADA"/>
    <w:rsid w:val="00A272F1"/>
    <w:rsid w:val="00A27B50"/>
    <w:rsid w:val="00A3024B"/>
    <w:rsid w:val="00A304CE"/>
    <w:rsid w:val="00A305D8"/>
    <w:rsid w:val="00A30B32"/>
    <w:rsid w:val="00A30EE0"/>
    <w:rsid w:val="00A30F96"/>
    <w:rsid w:val="00A318FB"/>
    <w:rsid w:val="00A3197E"/>
    <w:rsid w:val="00A31F40"/>
    <w:rsid w:val="00A32107"/>
    <w:rsid w:val="00A32810"/>
    <w:rsid w:val="00A32DC1"/>
    <w:rsid w:val="00A32F52"/>
    <w:rsid w:val="00A33745"/>
    <w:rsid w:val="00A33AA8"/>
    <w:rsid w:val="00A3427A"/>
    <w:rsid w:val="00A34465"/>
    <w:rsid w:val="00A34627"/>
    <w:rsid w:val="00A34BD7"/>
    <w:rsid w:val="00A350E4"/>
    <w:rsid w:val="00A35893"/>
    <w:rsid w:val="00A367AD"/>
    <w:rsid w:val="00A36FF6"/>
    <w:rsid w:val="00A370C2"/>
    <w:rsid w:val="00A370EC"/>
    <w:rsid w:val="00A37392"/>
    <w:rsid w:val="00A3756F"/>
    <w:rsid w:val="00A37A06"/>
    <w:rsid w:val="00A37C91"/>
    <w:rsid w:val="00A37F42"/>
    <w:rsid w:val="00A401C1"/>
    <w:rsid w:val="00A409E7"/>
    <w:rsid w:val="00A40CD1"/>
    <w:rsid w:val="00A40F4F"/>
    <w:rsid w:val="00A41F26"/>
    <w:rsid w:val="00A421A6"/>
    <w:rsid w:val="00A42B36"/>
    <w:rsid w:val="00A436E0"/>
    <w:rsid w:val="00A43A28"/>
    <w:rsid w:val="00A45960"/>
    <w:rsid w:val="00A466D8"/>
    <w:rsid w:val="00A47240"/>
    <w:rsid w:val="00A47621"/>
    <w:rsid w:val="00A47AA7"/>
    <w:rsid w:val="00A50474"/>
    <w:rsid w:val="00A505AA"/>
    <w:rsid w:val="00A51A9B"/>
    <w:rsid w:val="00A51B42"/>
    <w:rsid w:val="00A51E5C"/>
    <w:rsid w:val="00A5234D"/>
    <w:rsid w:val="00A525FA"/>
    <w:rsid w:val="00A5260D"/>
    <w:rsid w:val="00A53430"/>
    <w:rsid w:val="00A53B24"/>
    <w:rsid w:val="00A53CD8"/>
    <w:rsid w:val="00A53E03"/>
    <w:rsid w:val="00A53F86"/>
    <w:rsid w:val="00A5402F"/>
    <w:rsid w:val="00A543B2"/>
    <w:rsid w:val="00A54A1F"/>
    <w:rsid w:val="00A551DE"/>
    <w:rsid w:val="00A560DD"/>
    <w:rsid w:val="00A56D58"/>
    <w:rsid w:val="00A605E4"/>
    <w:rsid w:val="00A60670"/>
    <w:rsid w:val="00A60722"/>
    <w:rsid w:val="00A60D17"/>
    <w:rsid w:val="00A611B1"/>
    <w:rsid w:val="00A6278D"/>
    <w:rsid w:val="00A6284D"/>
    <w:rsid w:val="00A63691"/>
    <w:rsid w:val="00A6371A"/>
    <w:rsid w:val="00A64A29"/>
    <w:rsid w:val="00A651FD"/>
    <w:rsid w:val="00A659A7"/>
    <w:rsid w:val="00A66CB6"/>
    <w:rsid w:val="00A67118"/>
    <w:rsid w:val="00A701D1"/>
    <w:rsid w:val="00A70580"/>
    <w:rsid w:val="00A70B86"/>
    <w:rsid w:val="00A70F3D"/>
    <w:rsid w:val="00A71F17"/>
    <w:rsid w:val="00A72099"/>
    <w:rsid w:val="00A72B0F"/>
    <w:rsid w:val="00A739C7"/>
    <w:rsid w:val="00A73A2D"/>
    <w:rsid w:val="00A7433B"/>
    <w:rsid w:val="00A74A8F"/>
    <w:rsid w:val="00A74DA2"/>
    <w:rsid w:val="00A754C0"/>
    <w:rsid w:val="00A757E7"/>
    <w:rsid w:val="00A75AB7"/>
    <w:rsid w:val="00A75F11"/>
    <w:rsid w:val="00A7611D"/>
    <w:rsid w:val="00A763A5"/>
    <w:rsid w:val="00A76426"/>
    <w:rsid w:val="00A76A2D"/>
    <w:rsid w:val="00A76BC9"/>
    <w:rsid w:val="00A77AB2"/>
    <w:rsid w:val="00A808CB"/>
    <w:rsid w:val="00A810CA"/>
    <w:rsid w:val="00A8114B"/>
    <w:rsid w:val="00A8143A"/>
    <w:rsid w:val="00A8171B"/>
    <w:rsid w:val="00A82D65"/>
    <w:rsid w:val="00A8346E"/>
    <w:rsid w:val="00A8362B"/>
    <w:rsid w:val="00A83BF2"/>
    <w:rsid w:val="00A83CC6"/>
    <w:rsid w:val="00A840A3"/>
    <w:rsid w:val="00A84748"/>
    <w:rsid w:val="00A84D6D"/>
    <w:rsid w:val="00A856B3"/>
    <w:rsid w:val="00A857D9"/>
    <w:rsid w:val="00A85AF0"/>
    <w:rsid w:val="00A85D20"/>
    <w:rsid w:val="00A8650D"/>
    <w:rsid w:val="00A86C8B"/>
    <w:rsid w:val="00A874CC"/>
    <w:rsid w:val="00A8774B"/>
    <w:rsid w:val="00A87EFD"/>
    <w:rsid w:val="00A901C7"/>
    <w:rsid w:val="00A9034B"/>
    <w:rsid w:val="00A904E8"/>
    <w:rsid w:val="00A90595"/>
    <w:rsid w:val="00A90850"/>
    <w:rsid w:val="00A90AC0"/>
    <w:rsid w:val="00A910EE"/>
    <w:rsid w:val="00A91BE2"/>
    <w:rsid w:val="00A921D8"/>
    <w:rsid w:val="00A930CF"/>
    <w:rsid w:val="00A9314C"/>
    <w:rsid w:val="00A93519"/>
    <w:rsid w:val="00A95815"/>
    <w:rsid w:val="00A9599B"/>
    <w:rsid w:val="00A95DC5"/>
    <w:rsid w:val="00A963E9"/>
    <w:rsid w:val="00A96F8D"/>
    <w:rsid w:val="00A975B6"/>
    <w:rsid w:val="00A9785A"/>
    <w:rsid w:val="00AA0452"/>
    <w:rsid w:val="00AA06DB"/>
    <w:rsid w:val="00AA116C"/>
    <w:rsid w:val="00AA11B1"/>
    <w:rsid w:val="00AA1388"/>
    <w:rsid w:val="00AA229A"/>
    <w:rsid w:val="00AA2492"/>
    <w:rsid w:val="00AA375A"/>
    <w:rsid w:val="00AA3A9A"/>
    <w:rsid w:val="00AA3DB2"/>
    <w:rsid w:val="00AA40BA"/>
    <w:rsid w:val="00AA441A"/>
    <w:rsid w:val="00AA4736"/>
    <w:rsid w:val="00AA4C0F"/>
    <w:rsid w:val="00AA519F"/>
    <w:rsid w:val="00AA55BA"/>
    <w:rsid w:val="00AA5CB1"/>
    <w:rsid w:val="00AA5E21"/>
    <w:rsid w:val="00AA6F6E"/>
    <w:rsid w:val="00AA7231"/>
    <w:rsid w:val="00AA743A"/>
    <w:rsid w:val="00AA75F2"/>
    <w:rsid w:val="00AB10FE"/>
    <w:rsid w:val="00AB1622"/>
    <w:rsid w:val="00AB1E38"/>
    <w:rsid w:val="00AB27CE"/>
    <w:rsid w:val="00AB407D"/>
    <w:rsid w:val="00AB424F"/>
    <w:rsid w:val="00AB4260"/>
    <w:rsid w:val="00AB446F"/>
    <w:rsid w:val="00AB44F7"/>
    <w:rsid w:val="00AB5AF4"/>
    <w:rsid w:val="00AB6325"/>
    <w:rsid w:val="00AB6CD2"/>
    <w:rsid w:val="00AB7BD0"/>
    <w:rsid w:val="00AB7E9A"/>
    <w:rsid w:val="00AC02EA"/>
    <w:rsid w:val="00AC0417"/>
    <w:rsid w:val="00AC0782"/>
    <w:rsid w:val="00AC0C81"/>
    <w:rsid w:val="00AC12CB"/>
    <w:rsid w:val="00AC167E"/>
    <w:rsid w:val="00AC29BC"/>
    <w:rsid w:val="00AC34CE"/>
    <w:rsid w:val="00AC34F1"/>
    <w:rsid w:val="00AC5201"/>
    <w:rsid w:val="00AC5FA3"/>
    <w:rsid w:val="00AC69B8"/>
    <w:rsid w:val="00AC6F32"/>
    <w:rsid w:val="00AC78FE"/>
    <w:rsid w:val="00AD006B"/>
    <w:rsid w:val="00AD0E2E"/>
    <w:rsid w:val="00AD1C66"/>
    <w:rsid w:val="00AD1F41"/>
    <w:rsid w:val="00AD3623"/>
    <w:rsid w:val="00AD41A1"/>
    <w:rsid w:val="00AD4A2A"/>
    <w:rsid w:val="00AD4CBE"/>
    <w:rsid w:val="00AD57FB"/>
    <w:rsid w:val="00AD5C2A"/>
    <w:rsid w:val="00AD5DA7"/>
    <w:rsid w:val="00AD5F75"/>
    <w:rsid w:val="00AD6071"/>
    <w:rsid w:val="00AD6D89"/>
    <w:rsid w:val="00AD6EF3"/>
    <w:rsid w:val="00AD6F05"/>
    <w:rsid w:val="00AD6F14"/>
    <w:rsid w:val="00AD734A"/>
    <w:rsid w:val="00AD7728"/>
    <w:rsid w:val="00AD7A67"/>
    <w:rsid w:val="00AD7B35"/>
    <w:rsid w:val="00AE0028"/>
    <w:rsid w:val="00AE02D0"/>
    <w:rsid w:val="00AE056A"/>
    <w:rsid w:val="00AE09D6"/>
    <w:rsid w:val="00AE0D50"/>
    <w:rsid w:val="00AE0EBB"/>
    <w:rsid w:val="00AE101E"/>
    <w:rsid w:val="00AE120C"/>
    <w:rsid w:val="00AE132C"/>
    <w:rsid w:val="00AE1900"/>
    <w:rsid w:val="00AE1ED2"/>
    <w:rsid w:val="00AE23D9"/>
    <w:rsid w:val="00AE2F73"/>
    <w:rsid w:val="00AE317E"/>
    <w:rsid w:val="00AE3673"/>
    <w:rsid w:val="00AE38D6"/>
    <w:rsid w:val="00AE47AD"/>
    <w:rsid w:val="00AE48DF"/>
    <w:rsid w:val="00AE5719"/>
    <w:rsid w:val="00AE5BED"/>
    <w:rsid w:val="00AE5E23"/>
    <w:rsid w:val="00AE6206"/>
    <w:rsid w:val="00AE678C"/>
    <w:rsid w:val="00AE6C83"/>
    <w:rsid w:val="00AE703E"/>
    <w:rsid w:val="00AE7263"/>
    <w:rsid w:val="00AE74B2"/>
    <w:rsid w:val="00AE74DF"/>
    <w:rsid w:val="00AF0295"/>
    <w:rsid w:val="00AF06ED"/>
    <w:rsid w:val="00AF0A44"/>
    <w:rsid w:val="00AF1074"/>
    <w:rsid w:val="00AF11CD"/>
    <w:rsid w:val="00AF1203"/>
    <w:rsid w:val="00AF1742"/>
    <w:rsid w:val="00AF39FE"/>
    <w:rsid w:val="00AF3BFF"/>
    <w:rsid w:val="00AF40FC"/>
    <w:rsid w:val="00AF4A65"/>
    <w:rsid w:val="00AF4C9A"/>
    <w:rsid w:val="00AF4E9C"/>
    <w:rsid w:val="00AF4F7E"/>
    <w:rsid w:val="00AF53E1"/>
    <w:rsid w:val="00AF6193"/>
    <w:rsid w:val="00AF64D9"/>
    <w:rsid w:val="00AF665F"/>
    <w:rsid w:val="00AF71C0"/>
    <w:rsid w:val="00AF7568"/>
    <w:rsid w:val="00B000E9"/>
    <w:rsid w:val="00B006EB"/>
    <w:rsid w:val="00B00A25"/>
    <w:rsid w:val="00B017E6"/>
    <w:rsid w:val="00B01950"/>
    <w:rsid w:val="00B0199B"/>
    <w:rsid w:val="00B0216B"/>
    <w:rsid w:val="00B02AF1"/>
    <w:rsid w:val="00B03CD4"/>
    <w:rsid w:val="00B040F4"/>
    <w:rsid w:val="00B04844"/>
    <w:rsid w:val="00B0581C"/>
    <w:rsid w:val="00B05B16"/>
    <w:rsid w:val="00B06AC9"/>
    <w:rsid w:val="00B07598"/>
    <w:rsid w:val="00B077A5"/>
    <w:rsid w:val="00B10537"/>
    <w:rsid w:val="00B11115"/>
    <w:rsid w:val="00B1308B"/>
    <w:rsid w:val="00B13170"/>
    <w:rsid w:val="00B1360A"/>
    <w:rsid w:val="00B13754"/>
    <w:rsid w:val="00B14331"/>
    <w:rsid w:val="00B1450A"/>
    <w:rsid w:val="00B1503A"/>
    <w:rsid w:val="00B15562"/>
    <w:rsid w:val="00B15B17"/>
    <w:rsid w:val="00B15CB3"/>
    <w:rsid w:val="00B1720F"/>
    <w:rsid w:val="00B176AE"/>
    <w:rsid w:val="00B179B3"/>
    <w:rsid w:val="00B20AAE"/>
    <w:rsid w:val="00B20B33"/>
    <w:rsid w:val="00B21293"/>
    <w:rsid w:val="00B2144B"/>
    <w:rsid w:val="00B2296C"/>
    <w:rsid w:val="00B230AB"/>
    <w:rsid w:val="00B23534"/>
    <w:rsid w:val="00B246F1"/>
    <w:rsid w:val="00B254FB"/>
    <w:rsid w:val="00B26612"/>
    <w:rsid w:val="00B272A7"/>
    <w:rsid w:val="00B2747F"/>
    <w:rsid w:val="00B274C1"/>
    <w:rsid w:val="00B27B7F"/>
    <w:rsid w:val="00B313A2"/>
    <w:rsid w:val="00B31AF3"/>
    <w:rsid w:val="00B31C6D"/>
    <w:rsid w:val="00B3315D"/>
    <w:rsid w:val="00B331AB"/>
    <w:rsid w:val="00B3321B"/>
    <w:rsid w:val="00B33711"/>
    <w:rsid w:val="00B3371A"/>
    <w:rsid w:val="00B33E09"/>
    <w:rsid w:val="00B33F6A"/>
    <w:rsid w:val="00B34272"/>
    <w:rsid w:val="00B34984"/>
    <w:rsid w:val="00B354AB"/>
    <w:rsid w:val="00B35710"/>
    <w:rsid w:val="00B35B13"/>
    <w:rsid w:val="00B360A1"/>
    <w:rsid w:val="00B367B2"/>
    <w:rsid w:val="00B37051"/>
    <w:rsid w:val="00B371EA"/>
    <w:rsid w:val="00B37BB7"/>
    <w:rsid w:val="00B40053"/>
    <w:rsid w:val="00B40574"/>
    <w:rsid w:val="00B406F8"/>
    <w:rsid w:val="00B4459D"/>
    <w:rsid w:val="00B44836"/>
    <w:rsid w:val="00B44A45"/>
    <w:rsid w:val="00B44B32"/>
    <w:rsid w:val="00B452C7"/>
    <w:rsid w:val="00B45C20"/>
    <w:rsid w:val="00B45F61"/>
    <w:rsid w:val="00B46735"/>
    <w:rsid w:val="00B4701A"/>
    <w:rsid w:val="00B4705E"/>
    <w:rsid w:val="00B4726F"/>
    <w:rsid w:val="00B476FE"/>
    <w:rsid w:val="00B47747"/>
    <w:rsid w:val="00B5079F"/>
    <w:rsid w:val="00B50883"/>
    <w:rsid w:val="00B50C50"/>
    <w:rsid w:val="00B51194"/>
    <w:rsid w:val="00B51951"/>
    <w:rsid w:val="00B51D35"/>
    <w:rsid w:val="00B52D05"/>
    <w:rsid w:val="00B52FBC"/>
    <w:rsid w:val="00B530F3"/>
    <w:rsid w:val="00B53364"/>
    <w:rsid w:val="00B540C4"/>
    <w:rsid w:val="00B54EBB"/>
    <w:rsid w:val="00B54F45"/>
    <w:rsid w:val="00B55037"/>
    <w:rsid w:val="00B550E1"/>
    <w:rsid w:val="00B554C2"/>
    <w:rsid w:val="00B55A94"/>
    <w:rsid w:val="00B56ACF"/>
    <w:rsid w:val="00B56E78"/>
    <w:rsid w:val="00B56E86"/>
    <w:rsid w:val="00B57390"/>
    <w:rsid w:val="00B57468"/>
    <w:rsid w:val="00B57B4E"/>
    <w:rsid w:val="00B57E30"/>
    <w:rsid w:val="00B602D3"/>
    <w:rsid w:val="00B60E4B"/>
    <w:rsid w:val="00B6109F"/>
    <w:rsid w:val="00B6181E"/>
    <w:rsid w:val="00B61C0E"/>
    <w:rsid w:val="00B61F46"/>
    <w:rsid w:val="00B621E8"/>
    <w:rsid w:val="00B6252C"/>
    <w:rsid w:val="00B62671"/>
    <w:rsid w:val="00B62A6D"/>
    <w:rsid w:val="00B62FAF"/>
    <w:rsid w:val="00B63961"/>
    <w:rsid w:val="00B64721"/>
    <w:rsid w:val="00B64DC7"/>
    <w:rsid w:val="00B65409"/>
    <w:rsid w:val="00B6556B"/>
    <w:rsid w:val="00B65C03"/>
    <w:rsid w:val="00B665F1"/>
    <w:rsid w:val="00B666AF"/>
    <w:rsid w:val="00B66AD9"/>
    <w:rsid w:val="00B67B6C"/>
    <w:rsid w:val="00B70242"/>
    <w:rsid w:val="00B70512"/>
    <w:rsid w:val="00B7072D"/>
    <w:rsid w:val="00B70A0F"/>
    <w:rsid w:val="00B70A9E"/>
    <w:rsid w:val="00B70EA8"/>
    <w:rsid w:val="00B71CBD"/>
    <w:rsid w:val="00B71F33"/>
    <w:rsid w:val="00B72269"/>
    <w:rsid w:val="00B7269C"/>
    <w:rsid w:val="00B72BCD"/>
    <w:rsid w:val="00B72CBF"/>
    <w:rsid w:val="00B7387F"/>
    <w:rsid w:val="00B74748"/>
    <w:rsid w:val="00B7578F"/>
    <w:rsid w:val="00B758F3"/>
    <w:rsid w:val="00B75CD9"/>
    <w:rsid w:val="00B761F1"/>
    <w:rsid w:val="00B76A02"/>
    <w:rsid w:val="00B7701D"/>
    <w:rsid w:val="00B7744D"/>
    <w:rsid w:val="00B7769A"/>
    <w:rsid w:val="00B77C10"/>
    <w:rsid w:val="00B77C16"/>
    <w:rsid w:val="00B800F7"/>
    <w:rsid w:val="00B803AB"/>
    <w:rsid w:val="00B80B6F"/>
    <w:rsid w:val="00B80C99"/>
    <w:rsid w:val="00B80CFA"/>
    <w:rsid w:val="00B80D27"/>
    <w:rsid w:val="00B81ADF"/>
    <w:rsid w:val="00B8268B"/>
    <w:rsid w:val="00B82727"/>
    <w:rsid w:val="00B82778"/>
    <w:rsid w:val="00B82C75"/>
    <w:rsid w:val="00B82F6D"/>
    <w:rsid w:val="00B8343A"/>
    <w:rsid w:val="00B83DFB"/>
    <w:rsid w:val="00B842CD"/>
    <w:rsid w:val="00B8449A"/>
    <w:rsid w:val="00B8466B"/>
    <w:rsid w:val="00B8486F"/>
    <w:rsid w:val="00B84B29"/>
    <w:rsid w:val="00B84E14"/>
    <w:rsid w:val="00B85DDD"/>
    <w:rsid w:val="00B86374"/>
    <w:rsid w:val="00B8671B"/>
    <w:rsid w:val="00B86EFF"/>
    <w:rsid w:val="00B8711F"/>
    <w:rsid w:val="00B87BAF"/>
    <w:rsid w:val="00B911AF"/>
    <w:rsid w:val="00B91229"/>
    <w:rsid w:val="00B91588"/>
    <w:rsid w:val="00B9242F"/>
    <w:rsid w:val="00B93B69"/>
    <w:rsid w:val="00B93D25"/>
    <w:rsid w:val="00B9431A"/>
    <w:rsid w:val="00B9461B"/>
    <w:rsid w:val="00B94999"/>
    <w:rsid w:val="00B94AA2"/>
    <w:rsid w:val="00B95335"/>
    <w:rsid w:val="00B95468"/>
    <w:rsid w:val="00B9546A"/>
    <w:rsid w:val="00B95BEC"/>
    <w:rsid w:val="00B95C4D"/>
    <w:rsid w:val="00B95C91"/>
    <w:rsid w:val="00B95DC6"/>
    <w:rsid w:val="00B96337"/>
    <w:rsid w:val="00B96C96"/>
    <w:rsid w:val="00B9737A"/>
    <w:rsid w:val="00B97C6F"/>
    <w:rsid w:val="00BA042A"/>
    <w:rsid w:val="00BA0529"/>
    <w:rsid w:val="00BA0601"/>
    <w:rsid w:val="00BA0902"/>
    <w:rsid w:val="00BA0DF1"/>
    <w:rsid w:val="00BA2726"/>
    <w:rsid w:val="00BA3C1F"/>
    <w:rsid w:val="00BA3CF8"/>
    <w:rsid w:val="00BA3DB6"/>
    <w:rsid w:val="00BA3F0D"/>
    <w:rsid w:val="00BA41C4"/>
    <w:rsid w:val="00BA4755"/>
    <w:rsid w:val="00BA48F6"/>
    <w:rsid w:val="00BA4B48"/>
    <w:rsid w:val="00BA5BCA"/>
    <w:rsid w:val="00BA5C0E"/>
    <w:rsid w:val="00BA776E"/>
    <w:rsid w:val="00BB0669"/>
    <w:rsid w:val="00BB08A8"/>
    <w:rsid w:val="00BB0940"/>
    <w:rsid w:val="00BB1403"/>
    <w:rsid w:val="00BB1E43"/>
    <w:rsid w:val="00BB2934"/>
    <w:rsid w:val="00BB37EA"/>
    <w:rsid w:val="00BB50E0"/>
    <w:rsid w:val="00BB7BE5"/>
    <w:rsid w:val="00BB7DD1"/>
    <w:rsid w:val="00BC0752"/>
    <w:rsid w:val="00BC076D"/>
    <w:rsid w:val="00BC0C48"/>
    <w:rsid w:val="00BC0E55"/>
    <w:rsid w:val="00BC0F96"/>
    <w:rsid w:val="00BC10DB"/>
    <w:rsid w:val="00BC2925"/>
    <w:rsid w:val="00BC2CBA"/>
    <w:rsid w:val="00BC3181"/>
    <w:rsid w:val="00BC40BB"/>
    <w:rsid w:val="00BC416B"/>
    <w:rsid w:val="00BC4309"/>
    <w:rsid w:val="00BC4532"/>
    <w:rsid w:val="00BC4EB2"/>
    <w:rsid w:val="00BC5B62"/>
    <w:rsid w:val="00BD0A51"/>
    <w:rsid w:val="00BD0B2F"/>
    <w:rsid w:val="00BD0D76"/>
    <w:rsid w:val="00BD183C"/>
    <w:rsid w:val="00BD18A6"/>
    <w:rsid w:val="00BD1974"/>
    <w:rsid w:val="00BD20B4"/>
    <w:rsid w:val="00BD25F4"/>
    <w:rsid w:val="00BD3770"/>
    <w:rsid w:val="00BD3B74"/>
    <w:rsid w:val="00BD4122"/>
    <w:rsid w:val="00BD4872"/>
    <w:rsid w:val="00BD5697"/>
    <w:rsid w:val="00BD5BF2"/>
    <w:rsid w:val="00BD63E4"/>
    <w:rsid w:val="00BD673F"/>
    <w:rsid w:val="00BD6918"/>
    <w:rsid w:val="00BD6E05"/>
    <w:rsid w:val="00BD6E94"/>
    <w:rsid w:val="00BD7678"/>
    <w:rsid w:val="00BD78BF"/>
    <w:rsid w:val="00BD7AEE"/>
    <w:rsid w:val="00BE09CF"/>
    <w:rsid w:val="00BE0A89"/>
    <w:rsid w:val="00BE1181"/>
    <w:rsid w:val="00BE1257"/>
    <w:rsid w:val="00BE1A52"/>
    <w:rsid w:val="00BE2050"/>
    <w:rsid w:val="00BE29A8"/>
    <w:rsid w:val="00BE2EF4"/>
    <w:rsid w:val="00BE4079"/>
    <w:rsid w:val="00BE4387"/>
    <w:rsid w:val="00BE5943"/>
    <w:rsid w:val="00BE63E8"/>
    <w:rsid w:val="00BE684D"/>
    <w:rsid w:val="00BE6D84"/>
    <w:rsid w:val="00BE71DC"/>
    <w:rsid w:val="00BE739E"/>
    <w:rsid w:val="00BF030F"/>
    <w:rsid w:val="00BF0CE4"/>
    <w:rsid w:val="00BF1665"/>
    <w:rsid w:val="00BF1F47"/>
    <w:rsid w:val="00BF39D9"/>
    <w:rsid w:val="00BF3C66"/>
    <w:rsid w:val="00BF3D2A"/>
    <w:rsid w:val="00BF4295"/>
    <w:rsid w:val="00BF458B"/>
    <w:rsid w:val="00BF564F"/>
    <w:rsid w:val="00BF5DD0"/>
    <w:rsid w:val="00BF62F8"/>
    <w:rsid w:val="00BF6855"/>
    <w:rsid w:val="00BF6A46"/>
    <w:rsid w:val="00BF735B"/>
    <w:rsid w:val="00BF7840"/>
    <w:rsid w:val="00C0035A"/>
    <w:rsid w:val="00C00710"/>
    <w:rsid w:val="00C0084B"/>
    <w:rsid w:val="00C00B04"/>
    <w:rsid w:val="00C00B27"/>
    <w:rsid w:val="00C00D39"/>
    <w:rsid w:val="00C00EC5"/>
    <w:rsid w:val="00C02348"/>
    <w:rsid w:val="00C03137"/>
    <w:rsid w:val="00C03C8A"/>
    <w:rsid w:val="00C041BE"/>
    <w:rsid w:val="00C041C0"/>
    <w:rsid w:val="00C04360"/>
    <w:rsid w:val="00C04A6F"/>
    <w:rsid w:val="00C04B6B"/>
    <w:rsid w:val="00C06343"/>
    <w:rsid w:val="00C06D78"/>
    <w:rsid w:val="00C0760E"/>
    <w:rsid w:val="00C0766A"/>
    <w:rsid w:val="00C10167"/>
    <w:rsid w:val="00C102C9"/>
    <w:rsid w:val="00C1077F"/>
    <w:rsid w:val="00C11854"/>
    <w:rsid w:val="00C11AA1"/>
    <w:rsid w:val="00C11DC7"/>
    <w:rsid w:val="00C12D4C"/>
    <w:rsid w:val="00C13C8B"/>
    <w:rsid w:val="00C1495A"/>
    <w:rsid w:val="00C14AFB"/>
    <w:rsid w:val="00C15937"/>
    <w:rsid w:val="00C159F9"/>
    <w:rsid w:val="00C17622"/>
    <w:rsid w:val="00C20238"/>
    <w:rsid w:val="00C205AA"/>
    <w:rsid w:val="00C206FB"/>
    <w:rsid w:val="00C20855"/>
    <w:rsid w:val="00C21001"/>
    <w:rsid w:val="00C214FE"/>
    <w:rsid w:val="00C22595"/>
    <w:rsid w:val="00C225E4"/>
    <w:rsid w:val="00C22C58"/>
    <w:rsid w:val="00C2315C"/>
    <w:rsid w:val="00C23303"/>
    <w:rsid w:val="00C24DEF"/>
    <w:rsid w:val="00C24FA2"/>
    <w:rsid w:val="00C24FA8"/>
    <w:rsid w:val="00C251C4"/>
    <w:rsid w:val="00C2589B"/>
    <w:rsid w:val="00C2598D"/>
    <w:rsid w:val="00C276B2"/>
    <w:rsid w:val="00C27BF5"/>
    <w:rsid w:val="00C3108B"/>
    <w:rsid w:val="00C31D62"/>
    <w:rsid w:val="00C31EDF"/>
    <w:rsid w:val="00C32550"/>
    <w:rsid w:val="00C32C50"/>
    <w:rsid w:val="00C32FD8"/>
    <w:rsid w:val="00C33454"/>
    <w:rsid w:val="00C337EF"/>
    <w:rsid w:val="00C34942"/>
    <w:rsid w:val="00C34A64"/>
    <w:rsid w:val="00C34B63"/>
    <w:rsid w:val="00C3538D"/>
    <w:rsid w:val="00C35A88"/>
    <w:rsid w:val="00C35C37"/>
    <w:rsid w:val="00C35D40"/>
    <w:rsid w:val="00C360E9"/>
    <w:rsid w:val="00C36145"/>
    <w:rsid w:val="00C36845"/>
    <w:rsid w:val="00C36B7E"/>
    <w:rsid w:val="00C36EDB"/>
    <w:rsid w:val="00C36F50"/>
    <w:rsid w:val="00C37066"/>
    <w:rsid w:val="00C370F1"/>
    <w:rsid w:val="00C372D6"/>
    <w:rsid w:val="00C37CAD"/>
    <w:rsid w:val="00C37D64"/>
    <w:rsid w:val="00C404EF"/>
    <w:rsid w:val="00C4233D"/>
    <w:rsid w:val="00C426AC"/>
    <w:rsid w:val="00C42BBC"/>
    <w:rsid w:val="00C42C2C"/>
    <w:rsid w:val="00C437E7"/>
    <w:rsid w:val="00C43802"/>
    <w:rsid w:val="00C44647"/>
    <w:rsid w:val="00C462B0"/>
    <w:rsid w:val="00C4637A"/>
    <w:rsid w:val="00C46E58"/>
    <w:rsid w:val="00C472BE"/>
    <w:rsid w:val="00C50532"/>
    <w:rsid w:val="00C50984"/>
    <w:rsid w:val="00C53C83"/>
    <w:rsid w:val="00C540E1"/>
    <w:rsid w:val="00C543EB"/>
    <w:rsid w:val="00C54CA0"/>
    <w:rsid w:val="00C55417"/>
    <w:rsid w:val="00C5586C"/>
    <w:rsid w:val="00C55F53"/>
    <w:rsid w:val="00C561A8"/>
    <w:rsid w:val="00C563C5"/>
    <w:rsid w:val="00C572A8"/>
    <w:rsid w:val="00C5771B"/>
    <w:rsid w:val="00C578AF"/>
    <w:rsid w:val="00C57E71"/>
    <w:rsid w:val="00C6049B"/>
    <w:rsid w:val="00C613B1"/>
    <w:rsid w:val="00C61CB9"/>
    <w:rsid w:val="00C6247A"/>
    <w:rsid w:val="00C6263D"/>
    <w:rsid w:val="00C6391F"/>
    <w:rsid w:val="00C63F7A"/>
    <w:rsid w:val="00C64B04"/>
    <w:rsid w:val="00C650F2"/>
    <w:rsid w:val="00C6523C"/>
    <w:rsid w:val="00C65355"/>
    <w:rsid w:val="00C65385"/>
    <w:rsid w:val="00C65683"/>
    <w:rsid w:val="00C66326"/>
    <w:rsid w:val="00C66595"/>
    <w:rsid w:val="00C708AF"/>
    <w:rsid w:val="00C70BC8"/>
    <w:rsid w:val="00C70C07"/>
    <w:rsid w:val="00C71156"/>
    <w:rsid w:val="00C71564"/>
    <w:rsid w:val="00C71BE3"/>
    <w:rsid w:val="00C71CCE"/>
    <w:rsid w:val="00C720CA"/>
    <w:rsid w:val="00C72280"/>
    <w:rsid w:val="00C728BF"/>
    <w:rsid w:val="00C73111"/>
    <w:rsid w:val="00C7316D"/>
    <w:rsid w:val="00C73C12"/>
    <w:rsid w:val="00C73D33"/>
    <w:rsid w:val="00C740E6"/>
    <w:rsid w:val="00C745AD"/>
    <w:rsid w:val="00C74946"/>
    <w:rsid w:val="00C757FD"/>
    <w:rsid w:val="00C75DE0"/>
    <w:rsid w:val="00C76482"/>
    <w:rsid w:val="00C768D7"/>
    <w:rsid w:val="00C76E08"/>
    <w:rsid w:val="00C77A3A"/>
    <w:rsid w:val="00C77E54"/>
    <w:rsid w:val="00C800DD"/>
    <w:rsid w:val="00C8024D"/>
    <w:rsid w:val="00C811DB"/>
    <w:rsid w:val="00C816BC"/>
    <w:rsid w:val="00C81E76"/>
    <w:rsid w:val="00C82035"/>
    <w:rsid w:val="00C826B6"/>
    <w:rsid w:val="00C82C46"/>
    <w:rsid w:val="00C82CA1"/>
    <w:rsid w:val="00C8308B"/>
    <w:rsid w:val="00C83BF6"/>
    <w:rsid w:val="00C83FEA"/>
    <w:rsid w:val="00C843AB"/>
    <w:rsid w:val="00C846CF"/>
    <w:rsid w:val="00C84A77"/>
    <w:rsid w:val="00C85B68"/>
    <w:rsid w:val="00C85FE4"/>
    <w:rsid w:val="00C8665B"/>
    <w:rsid w:val="00C86755"/>
    <w:rsid w:val="00C86BFE"/>
    <w:rsid w:val="00C87A7E"/>
    <w:rsid w:val="00C87E8B"/>
    <w:rsid w:val="00C90ED1"/>
    <w:rsid w:val="00C91410"/>
    <w:rsid w:val="00C9239A"/>
    <w:rsid w:val="00C925DB"/>
    <w:rsid w:val="00C930D8"/>
    <w:rsid w:val="00C93486"/>
    <w:rsid w:val="00C94172"/>
    <w:rsid w:val="00C943CB"/>
    <w:rsid w:val="00C96229"/>
    <w:rsid w:val="00C963E1"/>
    <w:rsid w:val="00C96453"/>
    <w:rsid w:val="00C9709B"/>
    <w:rsid w:val="00C970F7"/>
    <w:rsid w:val="00C972B4"/>
    <w:rsid w:val="00C97D40"/>
    <w:rsid w:val="00CA03C3"/>
    <w:rsid w:val="00CA0CAA"/>
    <w:rsid w:val="00CA0FC1"/>
    <w:rsid w:val="00CA11A8"/>
    <w:rsid w:val="00CA1659"/>
    <w:rsid w:val="00CA1C45"/>
    <w:rsid w:val="00CA1F93"/>
    <w:rsid w:val="00CA285B"/>
    <w:rsid w:val="00CA2A64"/>
    <w:rsid w:val="00CA3210"/>
    <w:rsid w:val="00CA3D6A"/>
    <w:rsid w:val="00CA41B9"/>
    <w:rsid w:val="00CA41BB"/>
    <w:rsid w:val="00CA48F3"/>
    <w:rsid w:val="00CA50DF"/>
    <w:rsid w:val="00CA51D1"/>
    <w:rsid w:val="00CA6A48"/>
    <w:rsid w:val="00CA6D09"/>
    <w:rsid w:val="00CA6DF3"/>
    <w:rsid w:val="00CA6F5D"/>
    <w:rsid w:val="00CA7273"/>
    <w:rsid w:val="00CA7F81"/>
    <w:rsid w:val="00CB0724"/>
    <w:rsid w:val="00CB0E8F"/>
    <w:rsid w:val="00CB1302"/>
    <w:rsid w:val="00CB1E49"/>
    <w:rsid w:val="00CB22FD"/>
    <w:rsid w:val="00CB2D0D"/>
    <w:rsid w:val="00CB31EB"/>
    <w:rsid w:val="00CB4875"/>
    <w:rsid w:val="00CB5252"/>
    <w:rsid w:val="00CB52DA"/>
    <w:rsid w:val="00CB677D"/>
    <w:rsid w:val="00CB6A4B"/>
    <w:rsid w:val="00CB6A7C"/>
    <w:rsid w:val="00CB6AAF"/>
    <w:rsid w:val="00CB6CB6"/>
    <w:rsid w:val="00CB772A"/>
    <w:rsid w:val="00CB7A0F"/>
    <w:rsid w:val="00CC034C"/>
    <w:rsid w:val="00CC0F19"/>
    <w:rsid w:val="00CC0F36"/>
    <w:rsid w:val="00CC12C4"/>
    <w:rsid w:val="00CC1415"/>
    <w:rsid w:val="00CC1FFA"/>
    <w:rsid w:val="00CC21ED"/>
    <w:rsid w:val="00CC2ADD"/>
    <w:rsid w:val="00CC2C80"/>
    <w:rsid w:val="00CC2CA7"/>
    <w:rsid w:val="00CC415A"/>
    <w:rsid w:val="00CC4ED5"/>
    <w:rsid w:val="00CC659C"/>
    <w:rsid w:val="00CC6635"/>
    <w:rsid w:val="00CC6D0F"/>
    <w:rsid w:val="00CC6D18"/>
    <w:rsid w:val="00CC6EB2"/>
    <w:rsid w:val="00CC70AA"/>
    <w:rsid w:val="00CC7628"/>
    <w:rsid w:val="00CC7A53"/>
    <w:rsid w:val="00CC7AFE"/>
    <w:rsid w:val="00CC7BF6"/>
    <w:rsid w:val="00CC7DCC"/>
    <w:rsid w:val="00CC7EDE"/>
    <w:rsid w:val="00CD0DD1"/>
    <w:rsid w:val="00CD2661"/>
    <w:rsid w:val="00CD2925"/>
    <w:rsid w:val="00CD2B1E"/>
    <w:rsid w:val="00CD2E01"/>
    <w:rsid w:val="00CD37B9"/>
    <w:rsid w:val="00CD40A3"/>
    <w:rsid w:val="00CD40B4"/>
    <w:rsid w:val="00CD4279"/>
    <w:rsid w:val="00CD4316"/>
    <w:rsid w:val="00CD4FA4"/>
    <w:rsid w:val="00CD50D9"/>
    <w:rsid w:val="00CD52C6"/>
    <w:rsid w:val="00CD5F85"/>
    <w:rsid w:val="00CD7086"/>
    <w:rsid w:val="00CE1525"/>
    <w:rsid w:val="00CE16B9"/>
    <w:rsid w:val="00CE1BB3"/>
    <w:rsid w:val="00CE2FAB"/>
    <w:rsid w:val="00CE36FD"/>
    <w:rsid w:val="00CE389B"/>
    <w:rsid w:val="00CE3D88"/>
    <w:rsid w:val="00CE3E83"/>
    <w:rsid w:val="00CE3F0A"/>
    <w:rsid w:val="00CE4E5F"/>
    <w:rsid w:val="00CE5772"/>
    <w:rsid w:val="00CE66EA"/>
    <w:rsid w:val="00CE6AA9"/>
    <w:rsid w:val="00CE7CA8"/>
    <w:rsid w:val="00CF0297"/>
    <w:rsid w:val="00CF02CE"/>
    <w:rsid w:val="00CF0834"/>
    <w:rsid w:val="00CF0C8C"/>
    <w:rsid w:val="00CF0F81"/>
    <w:rsid w:val="00CF138E"/>
    <w:rsid w:val="00CF17BD"/>
    <w:rsid w:val="00CF1A4F"/>
    <w:rsid w:val="00CF2448"/>
    <w:rsid w:val="00CF2584"/>
    <w:rsid w:val="00CF3C9C"/>
    <w:rsid w:val="00CF4A0F"/>
    <w:rsid w:val="00CF4F3C"/>
    <w:rsid w:val="00CF5147"/>
    <w:rsid w:val="00CF5836"/>
    <w:rsid w:val="00CF58CE"/>
    <w:rsid w:val="00CF7167"/>
    <w:rsid w:val="00CF79D2"/>
    <w:rsid w:val="00CF7AD9"/>
    <w:rsid w:val="00CF7B12"/>
    <w:rsid w:val="00CF7BA0"/>
    <w:rsid w:val="00CF7C5A"/>
    <w:rsid w:val="00D0000D"/>
    <w:rsid w:val="00D005E4"/>
    <w:rsid w:val="00D00663"/>
    <w:rsid w:val="00D0123C"/>
    <w:rsid w:val="00D01C30"/>
    <w:rsid w:val="00D01DEA"/>
    <w:rsid w:val="00D02251"/>
    <w:rsid w:val="00D0279C"/>
    <w:rsid w:val="00D02AEE"/>
    <w:rsid w:val="00D02F9F"/>
    <w:rsid w:val="00D03AFD"/>
    <w:rsid w:val="00D03D15"/>
    <w:rsid w:val="00D0473B"/>
    <w:rsid w:val="00D05632"/>
    <w:rsid w:val="00D0697B"/>
    <w:rsid w:val="00D07593"/>
    <w:rsid w:val="00D07A8B"/>
    <w:rsid w:val="00D07C43"/>
    <w:rsid w:val="00D07F09"/>
    <w:rsid w:val="00D101EF"/>
    <w:rsid w:val="00D120CE"/>
    <w:rsid w:val="00D1216B"/>
    <w:rsid w:val="00D12946"/>
    <w:rsid w:val="00D12C0E"/>
    <w:rsid w:val="00D12F32"/>
    <w:rsid w:val="00D12F33"/>
    <w:rsid w:val="00D145DA"/>
    <w:rsid w:val="00D15050"/>
    <w:rsid w:val="00D155AE"/>
    <w:rsid w:val="00D15B32"/>
    <w:rsid w:val="00D15C3B"/>
    <w:rsid w:val="00D16127"/>
    <w:rsid w:val="00D163A2"/>
    <w:rsid w:val="00D16ED1"/>
    <w:rsid w:val="00D17620"/>
    <w:rsid w:val="00D2076D"/>
    <w:rsid w:val="00D20A31"/>
    <w:rsid w:val="00D210A1"/>
    <w:rsid w:val="00D21279"/>
    <w:rsid w:val="00D21909"/>
    <w:rsid w:val="00D21996"/>
    <w:rsid w:val="00D21EFD"/>
    <w:rsid w:val="00D22318"/>
    <w:rsid w:val="00D24300"/>
    <w:rsid w:val="00D25C79"/>
    <w:rsid w:val="00D25FF0"/>
    <w:rsid w:val="00D264A6"/>
    <w:rsid w:val="00D26A62"/>
    <w:rsid w:val="00D27A6D"/>
    <w:rsid w:val="00D30614"/>
    <w:rsid w:val="00D313A5"/>
    <w:rsid w:val="00D31415"/>
    <w:rsid w:val="00D315EE"/>
    <w:rsid w:val="00D32BC0"/>
    <w:rsid w:val="00D32E2A"/>
    <w:rsid w:val="00D331A8"/>
    <w:rsid w:val="00D33434"/>
    <w:rsid w:val="00D33778"/>
    <w:rsid w:val="00D34F1E"/>
    <w:rsid w:val="00D354E3"/>
    <w:rsid w:val="00D35EAF"/>
    <w:rsid w:val="00D363B5"/>
    <w:rsid w:val="00D36638"/>
    <w:rsid w:val="00D366AE"/>
    <w:rsid w:val="00D36A17"/>
    <w:rsid w:val="00D375B3"/>
    <w:rsid w:val="00D379E1"/>
    <w:rsid w:val="00D37EE9"/>
    <w:rsid w:val="00D402A6"/>
    <w:rsid w:val="00D40460"/>
    <w:rsid w:val="00D40955"/>
    <w:rsid w:val="00D40BB0"/>
    <w:rsid w:val="00D40EA6"/>
    <w:rsid w:val="00D410EA"/>
    <w:rsid w:val="00D41A7F"/>
    <w:rsid w:val="00D4208A"/>
    <w:rsid w:val="00D42277"/>
    <w:rsid w:val="00D42398"/>
    <w:rsid w:val="00D442A8"/>
    <w:rsid w:val="00D44F6E"/>
    <w:rsid w:val="00D44FB2"/>
    <w:rsid w:val="00D4569C"/>
    <w:rsid w:val="00D45701"/>
    <w:rsid w:val="00D45715"/>
    <w:rsid w:val="00D45CFA"/>
    <w:rsid w:val="00D4613A"/>
    <w:rsid w:val="00D469C3"/>
    <w:rsid w:val="00D46A84"/>
    <w:rsid w:val="00D46D9D"/>
    <w:rsid w:val="00D46E81"/>
    <w:rsid w:val="00D46F03"/>
    <w:rsid w:val="00D46F49"/>
    <w:rsid w:val="00D4772A"/>
    <w:rsid w:val="00D4793E"/>
    <w:rsid w:val="00D50146"/>
    <w:rsid w:val="00D50CB6"/>
    <w:rsid w:val="00D51A87"/>
    <w:rsid w:val="00D51BB5"/>
    <w:rsid w:val="00D51FF1"/>
    <w:rsid w:val="00D524DE"/>
    <w:rsid w:val="00D528C4"/>
    <w:rsid w:val="00D52FF2"/>
    <w:rsid w:val="00D5359A"/>
    <w:rsid w:val="00D53FDC"/>
    <w:rsid w:val="00D54484"/>
    <w:rsid w:val="00D5467B"/>
    <w:rsid w:val="00D54C89"/>
    <w:rsid w:val="00D54D6A"/>
    <w:rsid w:val="00D5525C"/>
    <w:rsid w:val="00D55AC7"/>
    <w:rsid w:val="00D55F69"/>
    <w:rsid w:val="00D56698"/>
    <w:rsid w:val="00D56CF3"/>
    <w:rsid w:val="00D56DE7"/>
    <w:rsid w:val="00D57053"/>
    <w:rsid w:val="00D574DF"/>
    <w:rsid w:val="00D57B48"/>
    <w:rsid w:val="00D61B3B"/>
    <w:rsid w:val="00D61B7D"/>
    <w:rsid w:val="00D61DD1"/>
    <w:rsid w:val="00D62752"/>
    <w:rsid w:val="00D62DBD"/>
    <w:rsid w:val="00D64140"/>
    <w:rsid w:val="00D6489F"/>
    <w:rsid w:val="00D650D6"/>
    <w:rsid w:val="00D6675A"/>
    <w:rsid w:val="00D66B7A"/>
    <w:rsid w:val="00D6764B"/>
    <w:rsid w:val="00D70EB1"/>
    <w:rsid w:val="00D714B2"/>
    <w:rsid w:val="00D717CC"/>
    <w:rsid w:val="00D720ED"/>
    <w:rsid w:val="00D72374"/>
    <w:rsid w:val="00D72B37"/>
    <w:rsid w:val="00D737E0"/>
    <w:rsid w:val="00D73D55"/>
    <w:rsid w:val="00D74687"/>
    <w:rsid w:val="00D76D86"/>
    <w:rsid w:val="00D77393"/>
    <w:rsid w:val="00D77CD4"/>
    <w:rsid w:val="00D806AF"/>
    <w:rsid w:val="00D80967"/>
    <w:rsid w:val="00D81057"/>
    <w:rsid w:val="00D820F1"/>
    <w:rsid w:val="00D821A1"/>
    <w:rsid w:val="00D8235B"/>
    <w:rsid w:val="00D82933"/>
    <w:rsid w:val="00D830A6"/>
    <w:rsid w:val="00D83963"/>
    <w:rsid w:val="00D841CF"/>
    <w:rsid w:val="00D8430E"/>
    <w:rsid w:val="00D84C37"/>
    <w:rsid w:val="00D84DE8"/>
    <w:rsid w:val="00D8577B"/>
    <w:rsid w:val="00D85C92"/>
    <w:rsid w:val="00D85D1F"/>
    <w:rsid w:val="00D86079"/>
    <w:rsid w:val="00D8636B"/>
    <w:rsid w:val="00D869BC"/>
    <w:rsid w:val="00D87F32"/>
    <w:rsid w:val="00D90505"/>
    <w:rsid w:val="00D90D6F"/>
    <w:rsid w:val="00D90E56"/>
    <w:rsid w:val="00D90FDE"/>
    <w:rsid w:val="00D9153F"/>
    <w:rsid w:val="00D92002"/>
    <w:rsid w:val="00D9213A"/>
    <w:rsid w:val="00D92831"/>
    <w:rsid w:val="00D92F66"/>
    <w:rsid w:val="00D92FDC"/>
    <w:rsid w:val="00D93650"/>
    <w:rsid w:val="00D94082"/>
    <w:rsid w:val="00D941E3"/>
    <w:rsid w:val="00D941F3"/>
    <w:rsid w:val="00D94BD0"/>
    <w:rsid w:val="00D951F6"/>
    <w:rsid w:val="00D95657"/>
    <w:rsid w:val="00D95AF6"/>
    <w:rsid w:val="00D95D45"/>
    <w:rsid w:val="00D97342"/>
    <w:rsid w:val="00D975CD"/>
    <w:rsid w:val="00D977D0"/>
    <w:rsid w:val="00DA1140"/>
    <w:rsid w:val="00DA1A93"/>
    <w:rsid w:val="00DA3858"/>
    <w:rsid w:val="00DA3F50"/>
    <w:rsid w:val="00DA523E"/>
    <w:rsid w:val="00DA5A02"/>
    <w:rsid w:val="00DA69E1"/>
    <w:rsid w:val="00DA6E85"/>
    <w:rsid w:val="00DA7719"/>
    <w:rsid w:val="00DA7B7E"/>
    <w:rsid w:val="00DB0046"/>
    <w:rsid w:val="00DB0628"/>
    <w:rsid w:val="00DB0B64"/>
    <w:rsid w:val="00DB100F"/>
    <w:rsid w:val="00DB104A"/>
    <w:rsid w:val="00DB2128"/>
    <w:rsid w:val="00DB2223"/>
    <w:rsid w:val="00DB30C9"/>
    <w:rsid w:val="00DB3307"/>
    <w:rsid w:val="00DB3D64"/>
    <w:rsid w:val="00DB41AF"/>
    <w:rsid w:val="00DB5024"/>
    <w:rsid w:val="00DB52CD"/>
    <w:rsid w:val="00DB5A42"/>
    <w:rsid w:val="00DB6134"/>
    <w:rsid w:val="00DB64D8"/>
    <w:rsid w:val="00DB6624"/>
    <w:rsid w:val="00DB6A7C"/>
    <w:rsid w:val="00DB7146"/>
    <w:rsid w:val="00DB7AC4"/>
    <w:rsid w:val="00DC0537"/>
    <w:rsid w:val="00DC06E6"/>
    <w:rsid w:val="00DC070A"/>
    <w:rsid w:val="00DC0A24"/>
    <w:rsid w:val="00DC0A93"/>
    <w:rsid w:val="00DC0ACD"/>
    <w:rsid w:val="00DC0F09"/>
    <w:rsid w:val="00DC1731"/>
    <w:rsid w:val="00DC203C"/>
    <w:rsid w:val="00DC2468"/>
    <w:rsid w:val="00DC2C95"/>
    <w:rsid w:val="00DC3611"/>
    <w:rsid w:val="00DC36E2"/>
    <w:rsid w:val="00DC3730"/>
    <w:rsid w:val="00DC3C0C"/>
    <w:rsid w:val="00DC41A4"/>
    <w:rsid w:val="00DC46AD"/>
    <w:rsid w:val="00DC4ECF"/>
    <w:rsid w:val="00DC5465"/>
    <w:rsid w:val="00DC6A2B"/>
    <w:rsid w:val="00DC6B5F"/>
    <w:rsid w:val="00DC7753"/>
    <w:rsid w:val="00DC7BF3"/>
    <w:rsid w:val="00DD0F42"/>
    <w:rsid w:val="00DD15BA"/>
    <w:rsid w:val="00DD1C26"/>
    <w:rsid w:val="00DD3019"/>
    <w:rsid w:val="00DD3146"/>
    <w:rsid w:val="00DD3292"/>
    <w:rsid w:val="00DD3E74"/>
    <w:rsid w:val="00DD41F1"/>
    <w:rsid w:val="00DD4713"/>
    <w:rsid w:val="00DD49AA"/>
    <w:rsid w:val="00DD4F66"/>
    <w:rsid w:val="00DD5005"/>
    <w:rsid w:val="00DD548E"/>
    <w:rsid w:val="00DD55C6"/>
    <w:rsid w:val="00DD5810"/>
    <w:rsid w:val="00DD594B"/>
    <w:rsid w:val="00DD6705"/>
    <w:rsid w:val="00DD6DE3"/>
    <w:rsid w:val="00DD7142"/>
    <w:rsid w:val="00DD72E7"/>
    <w:rsid w:val="00DD791C"/>
    <w:rsid w:val="00DD79DE"/>
    <w:rsid w:val="00DD7B8F"/>
    <w:rsid w:val="00DE0313"/>
    <w:rsid w:val="00DE10BC"/>
    <w:rsid w:val="00DE11AB"/>
    <w:rsid w:val="00DE122A"/>
    <w:rsid w:val="00DE1586"/>
    <w:rsid w:val="00DE1E4C"/>
    <w:rsid w:val="00DE3B49"/>
    <w:rsid w:val="00DE4857"/>
    <w:rsid w:val="00DE4E44"/>
    <w:rsid w:val="00DE5096"/>
    <w:rsid w:val="00DE610F"/>
    <w:rsid w:val="00DE7357"/>
    <w:rsid w:val="00DE7B52"/>
    <w:rsid w:val="00DE7FD3"/>
    <w:rsid w:val="00DF0328"/>
    <w:rsid w:val="00DF144D"/>
    <w:rsid w:val="00DF1E3A"/>
    <w:rsid w:val="00DF1EED"/>
    <w:rsid w:val="00DF239F"/>
    <w:rsid w:val="00DF2FFA"/>
    <w:rsid w:val="00DF3147"/>
    <w:rsid w:val="00DF31FD"/>
    <w:rsid w:val="00DF3AE7"/>
    <w:rsid w:val="00DF4783"/>
    <w:rsid w:val="00DF481D"/>
    <w:rsid w:val="00DF5160"/>
    <w:rsid w:val="00DF6B48"/>
    <w:rsid w:val="00DF6E0F"/>
    <w:rsid w:val="00E00044"/>
    <w:rsid w:val="00E00210"/>
    <w:rsid w:val="00E0024A"/>
    <w:rsid w:val="00E00C67"/>
    <w:rsid w:val="00E01040"/>
    <w:rsid w:val="00E01550"/>
    <w:rsid w:val="00E01B3B"/>
    <w:rsid w:val="00E033ED"/>
    <w:rsid w:val="00E03413"/>
    <w:rsid w:val="00E03E00"/>
    <w:rsid w:val="00E041F6"/>
    <w:rsid w:val="00E049EC"/>
    <w:rsid w:val="00E04AE1"/>
    <w:rsid w:val="00E05E78"/>
    <w:rsid w:val="00E05ECB"/>
    <w:rsid w:val="00E06F9C"/>
    <w:rsid w:val="00E077BC"/>
    <w:rsid w:val="00E07EA9"/>
    <w:rsid w:val="00E10759"/>
    <w:rsid w:val="00E10C23"/>
    <w:rsid w:val="00E12103"/>
    <w:rsid w:val="00E133B2"/>
    <w:rsid w:val="00E146FB"/>
    <w:rsid w:val="00E15006"/>
    <w:rsid w:val="00E1553F"/>
    <w:rsid w:val="00E15658"/>
    <w:rsid w:val="00E16145"/>
    <w:rsid w:val="00E163A7"/>
    <w:rsid w:val="00E16604"/>
    <w:rsid w:val="00E16884"/>
    <w:rsid w:val="00E17045"/>
    <w:rsid w:val="00E17486"/>
    <w:rsid w:val="00E175F3"/>
    <w:rsid w:val="00E17D9C"/>
    <w:rsid w:val="00E20B2B"/>
    <w:rsid w:val="00E20CD0"/>
    <w:rsid w:val="00E21333"/>
    <w:rsid w:val="00E22288"/>
    <w:rsid w:val="00E23DAB"/>
    <w:rsid w:val="00E23DB2"/>
    <w:rsid w:val="00E242A9"/>
    <w:rsid w:val="00E243EE"/>
    <w:rsid w:val="00E25624"/>
    <w:rsid w:val="00E2580F"/>
    <w:rsid w:val="00E25A3E"/>
    <w:rsid w:val="00E26499"/>
    <w:rsid w:val="00E26C06"/>
    <w:rsid w:val="00E26FDC"/>
    <w:rsid w:val="00E270AD"/>
    <w:rsid w:val="00E30056"/>
    <w:rsid w:val="00E305D1"/>
    <w:rsid w:val="00E30BE3"/>
    <w:rsid w:val="00E30F5A"/>
    <w:rsid w:val="00E31054"/>
    <w:rsid w:val="00E31889"/>
    <w:rsid w:val="00E321DF"/>
    <w:rsid w:val="00E330EB"/>
    <w:rsid w:val="00E3324A"/>
    <w:rsid w:val="00E336E2"/>
    <w:rsid w:val="00E337BF"/>
    <w:rsid w:val="00E33B38"/>
    <w:rsid w:val="00E33DD8"/>
    <w:rsid w:val="00E33DDC"/>
    <w:rsid w:val="00E3475A"/>
    <w:rsid w:val="00E34C1D"/>
    <w:rsid w:val="00E35409"/>
    <w:rsid w:val="00E35B53"/>
    <w:rsid w:val="00E363EF"/>
    <w:rsid w:val="00E36E62"/>
    <w:rsid w:val="00E3769E"/>
    <w:rsid w:val="00E37A34"/>
    <w:rsid w:val="00E40777"/>
    <w:rsid w:val="00E41008"/>
    <w:rsid w:val="00E42B87"/>
    <w:rsid w:val="00E42E6D"/>
    <w:rsid w:val="00E43553"/>
    <w:rsid w:val="00E436E3"/>
    <w:rsid w:val="00E43E9E"/>
    <w:rsid w:val="00E4432D"/>
    <w:rsid w:val="00E449F0"/>
    <w:rsid w:val="00E44A6A"/>
    <w:rsid w:val="00E45329"/>
    <w:rsid w:val="00E45FE0"/>
    <w:rsid w:val="00E46824"/>
    <w:rsid w:val="00E47134"/>
    <w:rsid w:val="00E47581"/>
    <w:rsid w:val="00E4771C"/>
    <w:rsid w:val="00E50243"/>
    <w:rsid w:val="00E5091B"/>
    <w:rsid w:val="00E50A13"/>
    <w:rsid w:val="00E50C38"/>
    <w:rsid w:val="00E521CD"/>
    <w:rsid w:val="00E522D6"/>
    <w:rsid w:val="00E52D54"/>
    <w:rsid w:val="00E53819"/>
    <w:rsid w:val="00E54CFE"/>
    <w:rsid w:val="00E54D5F"/>
    <w:rsid w:val="00E54E61"/>
    <w:rsid w:val="00E55327"/>
    <w:rsid w:val="00E5548B"/>
    <w:rsid w:val="00E55BD2"/>
    <w:rsid w:val="00E56278"/>
    <w:rsid w:val="00E5627D"/>
    <w:rsid w:val="00E573B0"/>
    <w:rsid w:val="00E578B7"/>
    <w:rsid w:val="00E600C6"/>
    <w:rsid w:val="00E603A3"/>
    <w:rsid w:val="00E60649"/>
    <w:rsid w:val="00E60D0F"/>
    <w:rsid w:val="00E60D11"/>
    <w:rsid w:val="00E61471"/>
    <w:rsid w:val="00E61DE6"/>
    <w:rsid w:val="00E62046"/>
    <w:rsid w:val="00E621FB"/>
    <w:rsid w:val="00E6286C"/>
    <w:rsid w:val="00E62E2A"/>
    <w:rsid w:val="00E63140"/>
    <w:rsid w:val="00E63570"/>
    <w:rsid w:val="00E63AA2"/>
    <w:rsid w:val="00E641B2"/>
    <w:rsid w:val="00E65014"/>
    <w:rsid w:val="00E6540D"/>
    <w:rsid w:val="00E654E8"/>
    <w:rsid w:val="00E65D3F"/>
    <w:rsid w:val="00E65F35"/>
    <w:rsid w:val="00E67D5D"/>
    <w:rsid w:val="00E705B6"/>
    <w:rsid w:val="00E705D7"/>
    <w:rsid w:val="00E70A6B"/>
    <w:rsid w:val="00E7182F"/>
    <w:rsid w:val="00E71BD3"/>
    <w:rsid w:val="00E728D9"/>
    <w:rsid w:val="00E729AA"/>
    <w:rsid w:val="00E72C7C"/>
    <w:rsid w:val="00E73E96"/>
    <w:rsid w:val="00E73FE7"/>
    <w:rsid w:val="00E741D4"/>
    <w:rsid w:val="00E742BD"/>
    <w:rsid w:val="00E74617"/>
    <w:rsid w:val="00E74A9C"/>
    <w:rsid w:val="00E74BBC"/>
    <w:rsid w:val="00E752A0"/>
    <w:rsid w:val="00E75AA5"/>
    <w:rsid w:val="00E76320"/>
    <w:rsid w:val="00E767BE"/>
    <w:rsid w:val="00E76C46"/>
    <w:rsid w:val="00E8064B"/>
    <w:rsid w:val="00E80687"/>
    <w:rsid w:val="00E82CB9"/>
    <w:rsid w:val="00E82CC0"/>
    <w:rsid w:val="00E83D86"/>
    <w:rsid w:val="00E846A3"/>
    <w:rsid w:val="00E84FA5"/>
    <w:rsid w:val="00E86152"/>
    <w:rsid w:val="00E87E25"/>
    <w:rsid w:val="00E9046E"/>
    <w:rsid w:val="00E90A1C"/>
    <w:rsid w:val="00E90A55"/>
    <w:rsid w:val="00E90AF9"/>
    <w:rsid w:val="00E90F87"/>
    <w:rsid w:val="00E919C0"/>
    <w:rsid w:val="00E91A05"/>
    <w:rsid w:val="00E921D1"/>
    <w:rsid w:val="00E92ECF"/>
    <w:rsid w:val="00E92F30"/>
    <w:rsid w:val="00E93052"/>
    <w:rsid w:val="00E93323"/>
    <w:rsid w:val="00E9440D"/>
    <w:rsid w:val="00E94B05"/>
    <w:rsid w:val="00E94C64"/>
    <w:rsid w:val="00E95C23"/>
    <w:rsid w:val="00E95CB3"/>
    <w:rsid w:val="00E95EBC"/>
    <w:rsid w:val="00E9617E"/>
    <w:rsid w:val="00E96DFE"/>
    <w:rsid w:val="00E971C7"/>
    <w:rsid w:val="00EA061C"/>
    <w:rsid w:val="00EA157C"/>
    <w:rsid w:val="00EA1AB4"/>
    <w:rsid w:val="00EA2FF2"/>
    <w:rsid w:val="00EA33A7"/>
    <w:rsid w:val="00EA3B5D"/>
    <w:rsid w:val="00EA552F"/>
    <w:rsid w:val="00EA558D"/>
    <w:rsid w:val="00EA58FC"/>
    <w:rsid w:val="00EA5EAF"/>
    <w:rsid w:val="00EA5FCD"/>
    <w:rsid w:val="00EA6446"/>
    <w:rsid w:val="00EA64E2"/>
    <w:rsid w:val="00EA6CB4"/>
    <w:rsid w:val="00EA718F"/>
    <w:rsid w:val="00EA71EF"/>
    <w:rsid w:val="00EA7756"/>
    <w:rsid w:val="00EA77F8"/>
    <w:rsid w:val="00EB0616"/>
    <w:rsid w:val="00EB064F"/>
    <w:rsid w:val="00EB070D"/>
    <w:rsid w:val="00EB0FF6"/>
    <w:rsid w:val="00EB14B9"/>
    <w:rsid w:val="00EB14CD"/>
    <w:rsid w:val="00EB168B"/>
    <w:rsid w:val="00EB16A4"/>
    <w:rsid w:val="00EB1777"/>
    <w:rsid w:val="00EB2254"/>
    <w:rsid w:val="00EB22CF"/>
    <w:rsid w:val="00EB2B94"/>
    <w:rsid w:val="00EB2DA1"/>
    <w:rsid w:val="00EB2DF5"/>
    <w:rsid w:val="00EB4557"/>
    <w:rsid w:val="00EB4919"/>
    <w:rsid w:val="00EB4A6C"/>
    <w:rsid w:val="00EB4D28"/>
    <w:rsid w:val="00EB5052"/>
    <w:rsid w:val="00EB5904"/>
    <w:rsid w:val="00EB6303"/>
    <w:rsid w:val="00EB6BCD"/>
    <w:rsid w:val="00EB7E27"/>
    <w:rsid w:val="00EC1118"/>
    <w:rsid w:val="00EC195D"/>
    <w:rsid w:val="00EC2C15"/>
    <w:rsid w:val="00EC39E4"/>
    <w:rsid w:val="00EC4A41"/>
    <w:rsid w:val="00EC4B06"/>
    <w:rsid w:val="00EC5FA3"/>
    <w:rsid w:val="00EC6290"/>
    <w:rsid w:val="00EC661B"/>
    <w:rsid w:val="00EC6699"/>
    <w:rsid w:val="00EC6C44"/>
    <w:rsid w:val="00EC7797"/>
    <w:rsid w:val="00EC7C4D"/>
    <w:rsid w:val="00ED04C2"/>
    <w:rsid w:val="00ED04F3"/>
    <w:rsid w:val="00ED1984"/>
    <w:rsid w:val="00ED238C"/>
    <w:rsid w:val="00ED4B6D"/>
    <w:rsid w:val="00ED6060"/>
    <w:rsid w:val="00ED6510"/>
    <w:rsid w:val="00ED6B3E"/>
    <w:rsid w:val="00ED7815"/>
    <w:rsid w:val="00ED7B7D"/>
    <w:rsid w:val="00EE0C38"/>
    <w:rsid w:val="00EE102E"/>
    <w:rsid w:val="00EE160F"/>
    <w:rsid w:val="00EE1F39"/>
    <w:rsid w:val="00EE2680"/>
    <w:rsid w:val="00EE3D39"/>
    <w:rsid w:val="00EE4AF4"/>
    <w:rsid w:val="00EE52A9"/>
    <w:rsid w:val="00EE5FE8"/>
    <w:rsid w:val="00EF0001"/>
    <w:rsid w:val="00EF06DE"/>
    <w:rsid w:val="00EF1249"/>
    <w:rsid w:val="00EF2772"/>
    <w:rsid w:val="00EF3363"/>
    <w:rsid w:val="00EF3367"/>
    <w:rsid w:val="00EF3DC6"/>
    <w:rsid w:val="00EF52E2"/>
    <w:rsid w:val="00EF53EE"/>
    <w:rsid w:val="00EF54D9"/>
    <w:rsid w:val="00EF60A0"/>
    <w:rsid w:val="00EF61E0"/>
    <w:rsid w:val="00EF68B8"/>
    <w:rsid w:val="00EF6928"/>
    <w:rsid w:val="00EF6990"/>
    <w:rsid w:val="00EF6F41"/>
    <w:rsid w:val="00EF7AE7"/>
    <w:rsid w:val="00F0003E"/>
    <w:rsid w:val="00F0016C"/>
    <w:rsid w:val="00F00410"/>
    <w:rsid w:val="00F010E0"/>
    <w:rsid w:val="00F01B46"/>
    <w:rsid w:val="00F01C86"/>
    <w:rsid w:val="00F01C88"/>
    <w:rsid w:val="00F02324"/>
    <w:rsid w:val="00F02753"/>
    <w:rsid w:val="00F032DE"/>
    <w:rsid w:val="00F04368"/>
    <w:rsid w:val="00F04DFD"/>
    <w:rsid w:val="00F05420"/>
    <w:rsid w:val="00F05D51"/>
    <w:rsid w:val="00F062C2"/>
    <w:rsid w:val="00F07A4D"/>
    <w:rsid w:val="00F1028D"/>
    <w:rsid w:val="00F105A6"/>
    <w:rsid w:val="00F107B0"/>
    <w:rsid w:val="00F11024"/>
    <w:rsid w:val="00F12B0F"/>
    <w:rsid w:val="00F13207"/>
    <w:rsid w:val="00F13B37"/>
    <w:rsid w:val="00F14502"/>
    <w:rsid w:val="00F16589"/>
    <w:rsid w:val="00F16B33"/>
    <w:rsid w:val="00F16E7E"/>
    <w:rsid w:val="00F179A4"/>
    <w:rsid w:val="00F20899"/>
    <w:rsid w:val="00F20F10"/>
    <w:rsid w:val="00F2147D"/>
    <w:rsid w:val="00F2189F"/>
    <w:rsid w:val="00F21BB3"/>
    <w:rsid w:val="00F21BBA"/>
    <w:rsid w:val="00F21FF1"/>
    <w:rsid w:val="00F22322"/>
    <w:rsid w:val="00F22601"/>
    <w:rsid w:val="00F232B2"/>
    <w:rsid w:val="00F23CBE"/>
    <w:rsid w:val="00F23F41"/>
    <w:rsid w:val="00F24440"/>
    <w:rsid w:val="00F24637"/>
    <w:rsid w:val="00F24B82"/>
    <w:rsid w:val="00F2549D"/>
    <w:rsid w:val="00F25601"/>
    <w:rsid w:val="00F257FA"/>
    <w:rsid w:val="00F263CF"/>
    <w:rsid w:val="00F26405"/>
    <w:rsid w:val="00F2760B"/>
    <w:rsid w:val="00F27774"/>
    <w:rsid w:val="00F27956"/>
    <w:rsid w:val="00F3086F"/>
    <w:rsid w:val="00F31388"/>
    <w:rsid w:val="00F31C7A"/>
    <w:rsid w:val="00F32851"/>
    <w:rsid w:val="00F32A6B"/>
    <w:rsid w:val="00F32F5E"/>
    <w:rsid w:val="00F3326D"/>
    <w:rsid w:val="00F336EF"/>
    <w:rsid w:val="00F33EB3"/>
    <w:rsid w:val="00F3419E"/>
    <w:rsid w:val="00F34E55"/>
    <w:rsid w:val="00F351DE"/>
    <w:rsid w:val="00F3534E"/>
    <w:rsid w:val="00F357E8"/>
    <w:rsid w:val="00F35983"/>
    <w:rsid w:val="00F359B8"/>
    <w:rsid w:val="00F36A30"/>
    <w:rsid w:val="00F37031"/>
    <w:rsid w:val="00F37447"/>
    <w:rsid w:val="00F40405"/>
    <w:rsid w:val="00F40538"/>
    <w:rsid w:val="00F405ED"/>
    <w:rsid w:val="00F40FC1"/>
    <w:rsid w:val="00F414B0"/>
    <w:rsid w:val="00F41E7F"/>
    <w:rsid w:val="00F42443"/>
    <w:rsid w:val="00F434FD"/>
    <w:rsid w:val="00F4376A"/>
    <w:rsid w:val="00F43AAA"/>
    <w:rsid w:val="00F44674"/>
    <w:rsid w:val="00F446CF"/>
    <w:rsid w:val="00F446E6"/>
    <w:rsid w:val="00F46E1D"/>
    <w:rsid w:val="00F470F3"/>
    <w:rsid w:val="00F47E79"/>
    <w:rsid w:val="00F47F92"/>
    <w:rsid w:val="00F51A9A"/>
    <w:rsid w:val="00F51DB6"/>
    <w:rsid w:val="00F52BC8"/>
    <w:rsid w:val="00F5308E"/>
    <w:rsid w:val="00F53594"/>
    <w:rsid w:val="00F5485A"/>
    <w:rsid w:val="00F55987"/>
    <w:rsid w:val="00F55B1A"/>
    <w:rsid w:val="00F56987"/>
    <w:rsid w:val="00F56D15"/>
    <w:rsid w:val="00F576E3"/>
    <w:rsid w:val="00F57A0E"/>
    <w:rsid w:val="00F6000D"/>
    <w:rsid w:val="00F60C3B"/>
    <w:rsid w:val="00F61194"/>
    <w:rsid w:val="00F61349"/>
    <w:rsid w:val="00F61A33"/>
    <w:rsid w:val="00F61BCC"/>
    <w:rsid w:val="00F6273E"/>
    <w:rsid w:val="00F629F4"/>
    <w:rsid w:val="00F63200"/>
    <w:rsid w:val="00F6350C"/>
    <w:rsid w:val="00F64240"/>
    <w:rsid w:val="00F6518C"/>
    <w:rsid w:val="00F65CA3"/>
    <w:rsid w:val="00F66F3E"/>
    <w:rsid w:val="00F67474"/>
    <w:rsid w:val="00F70ADF"/>
    <w:rsid w:val="00F71188"/>
    <w:rsid w:val="00F7128D"/>
    <w:rsid w:val="00F71CF6"/>
    <w:rsid w:val="00F73ACA"/>
    <w:rsid w:val="00F73C8F"/>
    <w:rsid w:val="00F742BF"/>
    <w:rsid w:val="00F742F1"/>
    <w:rsid w:val="00F7436A"/>
    <w:rsid w:val="00F75A8B"/>
    <w:rsid w:val="00F75D96"/>
    <w:rsid w:val="00F75DCD"/>
    <w:rsid w:val="00F761C2"/>
    <w:rsid w:val="00F77793"/>
    <w:rsid w:val="00F80729"/>
    <w:rsid w:val="00F80C4C"/>
    <w:rsid w:val="00F80F9B"/>
    <w:rsid w:val="00F8112F"/>
    <w:rsid w:val="00F81508"/>
    <w:rsid w:val="00F81B82"/>
    <w:rsid w:val="00F82359"/>
    <w:rsid w:val="00F828C9"/>
    <w:rsid w:val="00F82ADD"/>
    <w:rsid w:val="00F82B46"/>
    <w:rsid w:val="00F8309E"/>
    <w:rsid w:val="00F8369C"/>
    <w:rsid w:val="00F83AB9"/>
    <w:rsid w:val="00F842B8"/>
    <w:rsid w:val="00F847B3"/>
    <w:rsid w:val="00F84A2C"/>
    <w:rsid w:val="00F85559"/>
    <w:rsid w:val="00F858F0"/>
    <w:rsid w:val="00F85B77"/>
    <w:rsid w:val="00F85C0E"/>
    <w:rsid w:val="00F85DF8"/>
    <w:rsid w:val="00F86833"/>
    <w:rsid w:val="00F86C46"/>
    <w:rsid w:val="00F86C57"/>
    <w:rsid w:val="00F90065"/>
    <w:rsid w:val="00F90A84"/>
    <w:rsid w:val="00F920BF"/>
    <w:rsid w:val="00F92889"/>
    <w:rsid w:val="00F9394F"/>
    <w:rsid w:val="00F939F9"/>
    <w:rsid w:val="00F93A3E"/>
    <w:rsid w:val="00F95108"/>
    <w:rsid w:val="00F952F3"/>
    <w:rsid w:val="00F958BC"/>
    <w:rsid w:val="00F964EB"/>
    <w:rsid w:val="00F976D0"/>
    <w:rsid w:val="00F97D45"/>
    <w:rsid w:val="00F97F52"/>
    <w:rsid w:val="00FA001B"/>
    <w:rsid w:val="00FA0E60"/>
    <w:rsid w:val="00FA14B4"/>
    <w:rsid w:val="00FA2390"/>
    <w:rsid w:val="00FA3EEC"/>
    <w:rsid w:val="00FA4A9C"/>
    <w:rsid w:val="00FA4B20"/>
    <w:rsid w:val="00FA53D8"/>
    <w:rsid w:val="00FA5603"/>
    <w:rsid w:val="00FA5E4D"/>
    <w:rsid w:val="00FA63AA"/>
    <w:rsid w:val="00FA662A"/>
    <w:rsid w:val="00FA6B02"/>
    <w:rsid w:val="00FA6CAC"/>
    <w:rsid w:val="00FA7998"/>
    <w:rsid w:val="00FA7FE7"/>
    <w:rsid w:val="00FB00A7"/>
    <w:rsid w:val="00FB0F41"/>
    <w:rsid w:val="00FB1D4E"/>
    <w:rsid w:val="00FB20D1"/>
    <w:rsid w:val="00FB26F6"/>
    <w:rsid w:val="00FB2B28"/>
    <w:rsid w:val="00FB2DC0"/>
    <w:rsid w:val="00FB40F4"/>
    <w:rsid w:val="00FB4913"/>
    <w:rsid w:val="00FB4962"/>
    <w:rsid w:val="00FB5252"/>
    <w:rsid w:val="00FB552F"/>
    <w:rsid w:val="00FB5BFB"/>
    <w:rsid w:val="00FC0842"/>
    <w:rsid w:val="00FC0FC9"/>
    <w:rsid w:val="00FC10E1"/>
    <w:rsid w:val="00FC1690"/>
    <w:rsid w:val="00FC1BA8"/>
    <w:rsid w:val="00FC1CDC"/>
    <w:rsid w:val="00FC226D"/>
    <w:rsid w:val="00FC2822"/>
    <w:rsid w:val="00FC2B13"/>
    <w:rsid w:val="00FC30CF"/>
    <w:rsid w:val="00FC34BE"/>
    <w:rsid w:val="00FC36AB"/>
    <w:rsid w:val="00FC3F19"/>
    <w:rsid w:val="00FC5504"/>
    <w:rsid w:val="00FC5E03"/>
    <w:rsid w:val="00FC6428"/>
    <w:rsid w:val="00FC651F"/>
    <w:rsid w:val="00FC767C"/>
    <w:rsid w:val="00FC7A31"/>
    <w:rsid w:val="00FC7D4B"/>
    <w:rsid w:val="00FD04A5"/>
    <w:rsid w:val="00FD0CA6"/>
    <w:rsid w:val="00FD1812"/>
    <w:rsid w:val="00FD2029"/>
    <w:rsid w:val="00FD206F"/>
    <w:rsid w:val="00FD2199"/>
    <w:rsid w:val="00FD2608"/>
    <w:rsid w:val="00FD260F"/>
    <w:rsid w:val="00FD264A"/>
    <w:rsid w:val="00FD2744"/>
    <w:rsid w:val="00FD277B"/>
    <w:rsid w:val="00FD3080"/>
    <w:rsid w:val="00FD35B4"/>
    <w:rsid w:val="00FD382F"/>
    <w:rsid w:val="00FD3B58"/>
    <w:rsid w:val="00FD3B5E"/>
    <w:rsid w:val="00FD4202"/>
    <w:rsid w:val="00FD4AB1"/>
    <w:rsid w:val="00FD510D"/>
    <w:rsid w:val="00FD53F9"/>
    <w:rsid w:val="00FD6063"/>
    <w:rsid w:val="00FD61EB"/>
    <w:rsid w:val="00FD64CE"/>
    <w:rsid w:val="00FD67E8"/>
    <w:rsid w:val="00FD6ECB"/>
    <w:rsid w:val="00FD71BB"/>
    <w:rsid w:val="00FD7751"/>
    <w:rsid w:val="00FE151D"/>
    <w:rsid w:val="00FE1619"/>
    <w:rsid w:val="00FE2D07"/>
    <w:rsid w:val="00FE3930"/>
    <w:rsid w:val="00FE3C9F"/>
    <w:rsid w:val="00FE3E41"/>
    <w:rsid w:val="00FE45AE"/>
    <w:rsid w:val="00FE578E"/>
    <w:rsid w:val="00FE5FB6"/>
    <w:rsid w:val="00FE65B2"/>
    <w:rsid w:val="00FE6AED"/>
    <w:rsid w:val="00FE71F5"/>
    <w:rsid w:val="00FE7291"/>
    <w:rsid w:val="00FE7543"/>
    <w:rsid w:val="00FF0489"/>
    <w:rsid w:val="00FF05E9"/>
    <w:rsid w:val="00FF0606"/>
    <w:rsid w:val="00FF227E"/>
    <w:rsid w:val="00FF24C6"/>
    <w:rsid w:val="00FF254D"/>
    <w:rsid w:val="00FF331A"/>
    <w:rsid w:val="00FF3C94"/>
    <w:rsid w:val="00FF4617"/>
    <w:rsid w:val="00FF4A53"/>
    <w:rsid w:val="00FF57BD"/>
    <w:rsid w:val="00FF583D"/>
    <w:rsid w:val="00FF5B02"/>
    <w:rsid w:val="00FF5FEA"/>
    <w:rsid w:val="00FF614B"/>
    <w:rsid w:val="00FF62F5"/>
    <w:rsid w:val="00FF651D"/>
    <w:rsid w:val="00FF6C31"/>
    <w:rsid w:val="00FF7C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7621E25"/>
  <w15:docId w15:val="{E93C1A4C-346E-4B55-951F-300A4EA59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62"/>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CE6"/>
    <w:pPr>
      <w:spacing w:after="120"/>
    </w:pPr>
    <w:rPr>
      <w:rFonts w:ascii="Segoe UI" w:hAnsi="Segoe UI"/>
      <w:sz w:val="19"/>
      <w:szCs w:val="22"/>
      <w:lang w:eastAsia="en-US"/>
    </w:rPr>
  </w:style>
  <w:style w:type="paragraph" w:styleId="Heading1">
    <w:name w:val="heading 1"/>
    <w:basedOn w:val="Normal"/>
    <w:next w:val="Normal"/>
    <w:link w:val="Heading1Char"/>
    <w:uiPriority w:val="1"/>
    <w:qFormat/>
    <w:rsid w:val="00297811"/>
    <w:pPr>
      <w:keepNext/>
      <w:numPr>
        <w:numId w:val="7"/>
      </w:numPr>
      <w:spacing w:after="240" w:line="440" w:lineRule="exact"/>
      <w:outlineLvl w:val="0"/>
    </w:pPr>
    <w:rPr>
      <w:rFonts w:eastAsia="Times New Roman"/>
      <w:b/>
      <w:color w:val="00264D"/>
      <w:sz w:val="36"/>
      <w:szCs w:val="19"/>
      <w:lang w:eastAsia="en-AU"/>
    </w:rPr>
  </w:style>
  <w:style w:type="paragraph" w:styleId="Heading2">
    <w:name w:val="heading 2"/>
    <w:basedOn w:val="Normal"/>
    <w:next w:val="Normal"/>
    <w:link w:val="Heading2Char"/>
    <w:uiPriority w:val="1"/>
    <w:qFormat/>
    <w:rsid w:val="00A73A2D"/>
    <w:pPr>
      <w:keepNext/>
      <w:numPr>
        <w:ilvl w:val="1"/>
        <w:numId w:val="7"/>
      </w:numPr>
      <w:spacing w:before="480" w:after="180"/>
      <w:outlineLvl w:val="1"/>
    </w:pPr>
    <w:rPr>
      <w:rFonts w:ascii="Segoe UI Semibold" w:eastAsia="Times New Roman" w:hAnsi="Segoe UI Semibold"/>
      <w:color w:val="00264D"/>
      <w:sz w:val="30"/>
      <w:szCs w:val="19"/>
      <w:lang w:eastAsia="en-AU"/>
    </w:rPr>
  </w:style>
  <w:style w:type="paragraph" w:styleId="Heading3">
    <w:name w:val="heading 3"/>
    <w:basedOn w:val="Normal"/>
    <w:next w:val="Normal"/>
    <w:link w:val="Heading3Char"/>
    <w:uiPriority w:val="1"/>
    <w:qFormat/>
    <w:rsid w:val="00BA3DB6"/>
    <w:pPr>
      <w:keepNext/>
      <w:numPr>
        <w:ilvl w:val="2"/>
        <w:numId w:val="7"/>
      </w:numPr>
      <w:spacing w:before="480" w:after="60"/>
      <w:outlineLvl w:val="2"/>
    </w:pPr>
    <w:rPr>
      <w:rFonts w:ascii="Segoe UI Semibold" w:eastAsia="Times New Roman" w:hAnsi="Segoe UI Semibold"/>
      <w:color w:val="00264D"/>
      <w:sz w:val="26"/>
      <w:szCs w:val="19"/>
      <w:lang w:eastAsia="en-AU"/>
    </w:rPr>
  </w:style>
  <w:style w:type="paragraph" w:styleId="Heading4">
    <w:name w:val="heading 4"/>
    <w:basedOn w:val="Normal"/>
    <w:next w:val="Normal"/>
    <w:link w:val="Heading4Char"/>
    <w:uiPriority w:val="1"/>
    <w:qFormat/>
    <w:rsid w:val="00857803"/>
    <w:pPr>
      <w:keepNext/>
      <w:numPr>
        <w:ilvl w:val="3"/>
        <w:numId w:val="7"/>
      </w:numPr>
      <w:spacing w:before="240" w:after="60"/>
      <w:outlineLvl w:val="3"/>
    </w:pPr>
    <w:rPr>
      <w:rFonts w:ascii="Segoe UI Semibold" w:eastAsia="Times New Roman" w:hAnsi="Segoe UI Semibold"/>
      <w:color w:val="00264D"/>
      <w:sz w:val="22"/>
      <w:szCs w:val="19"/>
      <w:lang w:eastAsia="en-AU"/>
    </w:rPr>
  </w:style>
  <w:style w:type="paragraph" w:styleId="Heading5">
    <w:name w:val="heading 5"/>
    <w:basedOn w:val="Normal"/>
    <w:next w:val="Normal"/>
    <w:link w:val="Heading5Char"/>
    <w:uiPriority w:val="1"/>
    <w:qFormat/>
    <w:rsid w:val="00857803"/>
    <w:pPr>
      <w:keepNext/>
      <w:numPr>
        <w:ilvl w:val="4"/>
        <w:numId w:val="7"/>
      </w:numPr>
      <w:spacing w:before="240" w:after="60"/>
      <w:outlineLvl w:val="4"/>
    </w:pPr>
    <w:rPr>
      <w:rFonts w:eastAsia="Times New Roman"/>
      <w:b/>
      <w:color w:val="808080"/>
      <w:sz w:val="20"/>
      <w:szCs w:val="24"/>
      <w:lang w:eastAsia="en-AU"/>
    </w:rPr>
  </w:style>
  <w:style w:type="paragraph" w:styleId="Heading6">
    <w:name w:val="heading 6"/>
    <w:basedOn w:val="Normal"/>
    <w:next w:val="Normal"/>
    <w:link w:val="Heading6Char"/>
    <w:uiPriority w:val="19"/>
    <w:qFormat/>
    <w:rsid w:val="00BA3DB6"/>
    <w:pPr>
      <w:keepNext/>
      <w:keepLines/>
      <w:numPr>
        <w:ilvl w:val="5"/>
        <w:numId w:val="7"/>
      </w:numPr>
      <w:spacing w:before="200" w:after="60"/>
      <w:outlineLvl w:val="5"/>
    </w:pPr>
    <w:rPr>
      <w:rFonts w:eastAsia="Times New Roman"/>
      <w:b/>
      <w:i/>
      <w:iCs/>
      <w:color w:val="00264D"/>
      <w:szCs w:val="19"/>
      <w:lang w:eastAsia="en-AU"/>
    </w:rPr>
  </w:style>
  <w:style w:type="paragraph" w:styleId="Heading7">
    <w:name w:val="heading 7"/>
    <w:basedOn w:val="Normal"/>
    <w:next w:val="Normal"/>
    <w:link w:val="Heading7Char"/>
    <w:uiPriority w:val="19"/>
    <w:qFormat/>
    <w:rsid w:val="000137FA"/>
    <w:pPr>
      <w:keepNext/>
      <w:keepLines/>
      <w:spacing w:before="200" w:after="0"/>
      <w:outlineLvl w:val="6"/>
    </w:pPr>
    <w:rPr>
      <w:rFonts w:eastAsia="Times New Roman"/>
      <w:i/>
      <w:iCs/>
      <w:color w:val="404040"/>
    </w:rPr>
  </w:style>
  <w:style w:type="paragraph" w:styleId="Heading8">
    <w:name w:val="heading 8"/>
    <w:basedOn w:val="Normal"/>
    <w:next w:val="Normal"/>
    <w:link w:val="Heading8Char"/>
    <w:uiPriority w:val="19"/>
    <w:qFormat/>
    <w:rsid w:val="000137FA"/>
    <w:pPr>
      <w:keepNext/>
      <w:keepLines/>
      <w:spacing w:before="200" w:after="0"/>
      <w:outlineLvl w:val="7"/>
    </w:pPr>
    <w:rPr>
      <w:rFonts w:eastAsia="Times New Roman"/>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rPr>
      <w:rFonts w:eastAsia="Times New Roman"/>
    </w:rPr>
    <w:tblPr>
      <w:tblStyleRowBandSize w:val="1"/>
      <w:jc w:val="center"/>
      <w:tblBorders>
        <w:insideH w:val="single" w:sz="4" w:space="0" w:color="FF888B"/>
        <w:insideV w:val="single" w:sz="4" w:space="0" w:color="FF888B"/>
      </w:tblBorders>
    </w:tblPr>
    <w:trPr>
      <w:cantSplit/>
      <w:jc w:val="center"/>
    </w:trPr>
    <w:tcPr>
      <w:tcMar>
        <w:top w:w="57" w:type="dxa"/>
        <w:left w:w="57" w:type="dxa"/>
        <w:bottom w:w="57" w:type="dxa"/>
        <w:right w:w="57" w:type="dxa"/>
      </w:tcMar>
      <w:vAlign w:val="center"/>
    </w:tcPr>
    <w:tblStylePr w:type="firstRow">
      <w:pPr>
        <w:keepNext/>
        <w:wordWrap/>
      </w:pPr>
      <w:rPr>
        <w:b w:val="0"/>
        <w:color w:val="FFFFFF"/>
      </w:rPr>
      <w:tblPr/>
      <w:trPr>
        <w:tblHeader/>
      </w:trPr>
      <w:tcPr>
        <w:shd w:val="clear" w:color="auto" w:fill="FF3A40"/>
      </w:tcPr>
    </w:tblStylePr>
    <w:tblStylePr w:type="lastRow">
      <w:tblPr/>
      <w:tcPr>
        <w:tcBorders>
          <w:top w:val="double" w:sz="4" w:space="0" w:color="FF3A40"/>
        </w:tcBorders>
      </w:tcPr>
    </w:tblStylePr>
    <w:tblStylePr w:type="firstCol">
      <w:rPr>
        <w:b w:val="0"/>
        <w:color w:val="FFFFFF"/>
      </w:rPr>
      <w:tblPr/>
      <w:tcPr>
        <w:shd w:val="clear" w:color="auto" w:fill="FF3A40"/>
      </w:tcPr>
    </w:tblStylePr>
    <w:tblStylePr w:type="lastCol">
      <w:tblPr/>
      <w:tcPr>
        <w:tcBorders>
          <w:left w:val="double" w:sz="4" w:space="0" w:color="FF3A40"/>
        </w:tcBorders>
      </w:tcPr>
    </w:tblStylePr>
  </w:style>
  <w:style w:type="character" w:customStyle="1" w:styleId="Heading1Char">
    <w:name w:val="Heading 1 Char"/>
    <w:link w:val="Heading1"/>
    <w:uiPriority w:val="1"/>
    <w:rsid w:val="008C19F4"/>
    <w:rPr>
      <w:rFonts w:ascii="Segoe UI" w:eastAsia="Times New Roman" w:hAnsi="Segoe UI"/>
      <w:b/>
      <w:color w:val="00264D"/>
      <w:sz w:val="36"/>
      <w:szCs w:val="19"/>
    </w:rPr>
  </w:style>
  <w:style w:type="character" w:customStyle="1" w:styleId="Heading2Char">
    <w:name w:val="Heading 2 Char"/>
    <w:link w:val="Heading2"/>
    <w:uiPriority w:val="1"/>
    <w:rsid w:val="008C19F4"/>
    <w:rPr>
      <w:rFonts w:ascii="Segoe UI Semibold" w:eastAsia="Times New Roman" w:hAnsi="Segoe UI Semibold"/>
      <w:color w:val="00264D"/>
      <w:sz w:val="30"/>
      <w:szCs w:val="19"/>
    </w:rPr>
  </w:style>
  <w:style w:type="character" w:customStyle="1" w:styleId="Heading3Char">
    <w:name w:val="Heading 3 Char"/>
    <w:link w:val="Heading3"/>
    <w:uiPriority w:val="1"/>
    <w:rsid w:val="008C19F4"/>
    <w:rPr>
      <w:rFonts w:ascii="Segoe UI Semibold" w:eastAsia="Times New Roman" w:hAnsi="Segoe UI Semibold"/>
      <w:color w:val="00264D"/>
      <w:sz w:val="26"/>
      <w:szCs w:val="19"/>
    </w:rPr>
  </w:style>
  <w:style w:type="character" w:customStyle="1" w:styleId="Heading4Char">
    <w:name w:val="Heading 4 Char"/>
    <w:link w:val="Heading4"/>
    <w:uiPriority w:val="1"/>
    <w:rsid w:val="008C19F4"/>
    <w:rPr>
      <w:rFonts w:ascii="Segoe UI Semibold" w:eastAsia="Times New Roman" w:hAnsi="Segoe UI Semibold"/>
      <w:color w:val="00264D"/>
      <w:sz w:val="22"/>
      <w:szCs w:val="19"/>
    </w:rPr>
  </w:style>
  <w:style w:type="character" w:customStyle="1" w:styleId="Heading5Char">
    <w:name w:val="Heading 5 Char"/>
    <w:link w:val="Heading5"/>
    <w:uiPriority w:val="1"/>
    <w:rsid w:val="008C19F4"/>
    <w:rPr>
      <w:rFonts w:ascii="Segoe UI" w:eastAsia="Times New Roman" w:hAnsi="Segoe UI"/>
      <w:b/>
      <w:color w:val="808080"/>
      <w:szCs w:val="24"/>
    </w:rPr>
  </w:style>
  <w:style w:type="character" w:customStyle="1" w:styleId="Heading6Char">
    <w:name w:val="Heading 6 Char"/>
    <w:link w:val="Heading6"/>
    <w:uiPriority w:val="19"/>
    <w:rsid w:val="008C19F4"/>
    <w:rPr>
      <w:rFonts w:ascii="Segoe UI" w:eastAsia="Times New Roman" w:hAnsi="Segoe UI"/>
      <w:b/>
      <w:i/>
      <w:iCs/>
      <w:color w:val="00264D"/>
      <w:sz w:val="19"/>
      <w:szCs w:val="19"/>
    </w:rPr>
  </w:style>
  <w:style w:type="paragraph" w:customStyle="1" w:styleId="Bullet">
    <w:name w:val="Bullet"/>
    <w:basedOn w:val="Normal"/>
    <w:link w:val="BulletChar"/>
    <w:uiPriority w:val="2"/>
    <w:qFormat/>
    <w:rsid w:val="00E20B2B"/>
    <w:pPr>
      <w:suppressAutoHyphens/>
    </w:pPr>
    <w:rPr>
      <w:rFonts w:eastAsia="Times New Roman"/>
      <w:szCs w:val="19"/>
      <w:lang w:eastAsia="en-AU"/>
    </w:rPr>
  </w:style>
  <w:style w:type="paragraph" w:customStyle="1" w:styleId="TableNheader">
    <w:name w:val="Table N header"/>
    <w:basedOn w:val="Heading5"/>
    <w:uiPriority w:val="1"/>
    <w:qFormat/>
    <w:rsid w:val="00294C7F"/>
    <w:pPr>
      <w:numPr>
        <w:ilvl w:val="0"/>
        <w:numId w:val="0"/>
      </w:numPr>
      <w:spacing w:before="40" w:after="40"/>
    </w:pPr>
    <w:rPr>
      <w:rFonts w:ascii="Segoe UI Semibold" w:hAnsi="Segoe UI Semibold"/>
      <w:b w:val="0"/>
      <w:color w:val="00264D"/>
      <w:sz w:val="18"/>
    </w:rPr>
  </w:style>
  <w:style w:type="paragraph" w:customStyle="1" w:styleId="TableNText">
    <w:name w:val="Table N Text"/>
    <w:basedOn w:val="TableNheader"/>
    <w:uiPriority w:val="1"/>
    <w:qFormat/>
    <w:rsid w:val="00294C7F"/>
    <w:rPr>
      <w:rFonts w:ascii="Segoe UI" w:hAnsi="Segoe UI"/>
      <w:color w:val="auto"/>
      <w:sz w:val="17"/>
    </w:r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link w:val="Header"/>
    <w:uiPriority w:val="99"/>
    <w:rsid w:val="00302076"/>
    <w:rPr>
      <w:rFonts w:ascii="Segoe UI" w:hAnsi="Segoe UI"/>
      <w:sz w:val="19"/>
    </w:rPr>
  </w:style>
  <w:style w:type="paragraph" w:styleId="Footer">
    <w:name w:val="footer"/>
    <w:basedOn w:val="Normal"/>
    <w:link w:val="FooterChar"/>
    <w:uiPriority w:val="99"/>
    <w:unhideWhenUsed/>
    <w:rsid w:val="00302076"/>
    <w:pPr>
      <w:tabs>
        <w:tab w:val="center" w:pos="4513"/>
        <w:tab w:val="right" w:pos="9026"/>
      </w:tabs>
      <w:spacing w:after="0"/>
    </w:pPr>
  </w:style>
  <w:style w:type="character" w:customStyle="1" w:styleId="FooterChar">
    <w:name w:val="Footer Char"/>
    <w:link w:val="Footer"/>
    <w:uiPriority w:val="99"/>
    <w:rsid w:val="00302076"/>
    <w:rPr>
      <w:rFonts w:ascii="Segoe UI" w:hAnsi="Segoe UI"/>
      <w:sz w:val="19"/>
    </w:rPr>
  </w:style>
  <w:style w:type="paragraph" w:styleId="Caption">
    <w:name w:val="caption"/>
    <w:basedOn w:val="Normal"/>
    <w:next w:val="Normal"/>
    <w:uiPriority w:val="39"/>
    <w:qFormat/>
    <w:rsid w:val="00294C7F"/>
    <w:pPr>
      <w:spacing w:before="360"/>
    </w:pPr>
    <w:rPr>
      <w:rFonts w:ascii="Segoe UI Semibold" w:hAnsi="Segoe UI Semibold"/>
      <w:bCs/>
      <w:color w:val="00264D"/>
      <w:sz w:val="20"/>
      <w:szCs w:val="18"/>
    </w:rPr>
  </w:style>
  <w:style w:type="paragraph" w:customStyle="1" w:styleId="TableNBullet">
    <w:name w:val="Table N Bullet"/>
    <w:basedOn w:val="Bullet"/>
    <w:link w:val="TableNBulletChar"/>
    <w:uiPriority w:val="3"/>
    <w:qFormat/>
    <w:rsid w:val="0073030E"/>
    <w:pPr>
      <w:numPr>
        <w:numId w:val="6"/>
      </w:numPr>
      <w:spacing w:before="40" w:after="40"/>
    </w:pPr>
    <w:rPr>
      <w:sz w:val="17"/>
    </w:rPr>
  </w:style>
  <w:style w:type="paragraph" w:customStyle="1" w:styleId="TableNListnumbered">
    <w:name w:val="Table N List (numbered)"/>
    <w:basedOn w:val="TableNBullet"/>
    <w:uiPriority w:val="2"/>
    <w:qFormat/>
    <w:rsid w:val="0029320C"/>
    <w:pPr>
      <w:numPr>
        <w:numId w:val="1"/>
      </w:numPr>
      <w:ind w:left="170" w:hanging="170"/>
    </w:pPr>
  </w:style>
  <w:style w:type="paragraph" w:customStyle="1" w:styleId="xAppendixLevel1">
    <w:name w:val="xAppendix Level 1"/>
    <w:basedOn w:val="Heading1"/>
    <w:next w:val="Normal"/>
    <w:uiPriority w:val="98"/>
    <w:qFormat/>
    <w:rsid w:val="0004033A"/>
    <w:pPr>
      <w:pageBreakBefore/>
      <w:numPr>
        <w:numId w:val="2"/>
      </w:numPr>
      <w:ind w:hanging="2410"/>
      <w:jc w:val="both"/>
    </w:pPr>
    <w:rPr>
      <w:rFonts w:cs="Segoe UI"/>
      <w:bCs/>
      <w:szCs w:val="36"/>
    </w:rPr>
  </w:style>
  <w:style w:type="paragraph" w:customStyle="1" w:styleId="xAppendixLevel2">
    <w:name w:val="xAppendix Level 2"/>
    <w:basedOn w:val="Heading2"/>
    <w:next w:val="Normal"/>
    <w:uiPriority w:val="98"/>
    <w:qFormat/>
    <w:rsid w:val="002B5822"/>
    <w:pPr>
      <w:numPr>
        <w:numId w:val="3"/>
      </w:numPr>
    </w:pPr>
    <w:rPr>
      <w:bCs/>
      <w:sz w:val="34"/>
    </w:rPr>
  </w:style>
  <w:style w:type="paragraph" w:customStyle="1" w:styleId="xAppendixLevel3">
    <w:name w:val="xAppendix Level 3"/>
    <w:basedOn w:val="Heading3"/>
    <w:next w:val="Normal"/>
    <w:uiPriority w:val="98"/>
    <w:qFormat/>
    <w:rsid w:val="002B5822"/>
    <w:pPr>
      <w:numPr>
        <w:numId w:val="3"/>
      </w:numPr>
    </w:pPr>
    <w:rPr>
      <w:bCs/>
    </w:rPr>
  </w:style>
  <w:style w:type="paragraph" w:customStyle="1" w:styleId="Listnumbered">
    <w:name w:val="List (numbered)"/>
    <w:basedOn w:val="Normal"/>
    <w:uiPriority w:val="1"/>
    <w:qFormat/>
    <w:rsid w:val="00294C7F"/>
    <w:pPr>
      <w:numPr>
        <w:numId w:val="5"/>
      </w:numPr>
    </w:pPr>
  </w:style>
  <w:style w:type="paragraph" w:customStyle="1" w:styleId="Figure">
    <w:name w:val="Figure"/>
    <w:basedOn w:val="Normal"/>
    <w:next w:val="Normal"/>
    <w:uiPriority w:val="40"/>
    <w:unhideWhenUsed/>
    <w:rsid w:val="0020000D"/>
    <w:pPr>
      <w:jc w:val="center"/>
    </w:pPr>
    <w:rPr>
      <w:rFonts w:eastAsia="Times New Roman"/>
      <w:szCs w:val="19"/>
      <w:lang w:eastAsia="en-AU"/>
    </w:rPr>
  </w:style>
  <w:style w:type="paragraph" w:customStyle="1" w:styleId="Source">
    <w:name w:val="Source"/>
    <w:basedOn w:val="Normal"/>
    <w:next w:val="Normal"/>
    <w:link w:val="SourceChar"/>
    <w:uiPriority w:val="39"/>
    <w:rsid w:val="0020000D"/>
    <w:pPr>
      <w:spacing w:before="120" w:after="240"/>
      <w:jc w:val="center"/>
    </w:pPr>
    <w:rPr>
      <w:rFonts w:eastAsia="Times New Roman"/>
      <w:i/>
      <w:sz w:val="17"/>
      <w:szCs w:val="19"/>
      <w:lang w:eastAsia="en-AU"/>
    </w:rPr>
  </w:style>
  <w:style w:type="character" w:customStyle="1" w:styleId="SourceChar">
    <w:name w:val="Source Char"/>
    <w:link w:val="Source"/>
    <w:uiPriority w:val="39"/>
    <w:rsid w:val="0020000D"/>
    <w:rPr>
      <w:rFonts w:ascii="Segoe UI" w:eastAsia="Times New Roman" w:hAnsi="Segoe UI" w:cs="Times New Roman"/>
      <w:i/>
      <w:sz w:val="17"/>
      <w:szCs w:val="19"/>
      <w:lang w:val="en-AU" w:eastAsia="en-AU"/>
    </w:rPr>
  </w:style>
  <w:style w:type="paragraph" w:customStyle="1" w:styleId="TableExpbullet">
    <w:name w:val="Table Exp bullet"/>
    <w:basedOn w:val="TableNBullet"/>
    <w:uiPriority w:val="3"/>
    <w:qFormat/>
    <w:rsid w:val="00A10340"/>
    <w:pPr>
      <w:numPr>
        <w:numId w:val="4"/>
      </w:numPr>
    </w:pPr>
    <w:rPr>
      <w:sz w:val="16"/>
    </w:rPr>
  </w:style>
  <w:style w:type="paragraph" w:customStyle="1" w:styleId="Tableexpheader">
    <w:name w:val="Table exp header"/>
    <w:basedOn w:val="TableNheader"/>
    <w:uiPriority w:val="2"/>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2"/>
    <w:qFormat/>
    <w:rsid w:val="0029320C"/>
    <w:rPr>
      <w:sz w:val="16"/>
    </w:rPr>
  </w:style>
  <w:style w:type="character" w:customStyle="1" w:styleId="Heading7Char">
    <w:name w:val="Heading 7 Char"/>
    <w:link w:val="Heading7"/>
    <w:uiPriority w:val="19"/>
    <w:semiHidden/>
    <w:rsid w:val="000137FA"/>
    <w:rPr>
      <w:rFonts w:ascii="Segoe UI" w:eastAsia="Times New Roman" w:hAnsi="Segoe UI" w:cs="Times New Roman"/>
      <w:i/>
      <w:iCs/>
      <w:color w:val="404040"/>
      <w:sz w:val="19"/>
    </w:rPr>
  </w:style>
  <w:style w:type="paragraph" w:customStyle="1" w:styleId="TableText">
    <w:name w:val="Table Text"/>
    <w:link w:val="TableTextChar"/>
    <w:uiPriority w:val="1"/>
    <w:rsid w:val="00653916"/>
    <w:pPr>
      <w:spacing w:before="40" w:after="40"/>
    </w:pPr>
    <w:rPr>
      <w:rFonts w:ascii="Segoe UI" w:eastAsia="Times New Roman" w:hAnsi="Segoe UI"/>
      <w:sz w:val="17"/>
      <w:szCs w:val="19"/>
    </w:rPr>
  </w:style>
  <w:style w:type="paragraph" w:customStyle="1" w:styleId="Tablecolumnheading">
    <w:name w:val="Table column heading"/>
    <w:basedOn w:val="Normal"/>
    <w:link w:val="TablecolumnheadingChar"/>
    <w:uiPriority w:val="1"/>
    <w:rsid w:val="00653916"/>
    <w:pPr>
      <w:keepNext/>
      <w:spacing w:before="40" w:after="40"/>
    </w:pPr>
    <w:rPr>
      <w:rFonts w:ascii="Segoe UI Semibold" w:eastAsia="Times New Roman" w:hAnsi="Segoe UI Semibold"/>
      <w:color w:val="00264D"/>
      <w:sz w:val="18"/>
      <w:szCs w:val="17"/>
      <w:lang w:eastAsia="en-AU"/>
    </w:rPr>
  </w:style>
  <w:style w:type="character" w:customStyle="1" w:styleId="TableTextChar">
    <w:name w:val="Table Text Char"/>
    <w:link w:val="TableText"/>
    <w:uiPriority w:val="1"/>
    <w:rsid w:val="00653916"/>
    <w:rPr>
      <w:rFonts w:ascii="Segoe UI" w:eastAsia="Times New Roman" w:hAnsi="Segoe UI"/>
      <w:sz w:val="17"/>
      <w:szCs w:val="19"/>
      <w:lang w:val="en-AU" w:eastAsia="en-AU" w:bidi="ar-SA"/>
    </w:rPr>
  </w:style>
  <w:style w:type="character" w:customStyle="1" w:styleId="TablecolumnheadingChar">
    <w:name w:val="Table column heading Char"/>
    <w:link w:val="Tablecolumnheading"/>
    <w:uiPriority w:val="1"/>
    <w:rsid w:val="00653916"/>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tblPr/>
    <w:tcPr>
      <w:shd w:val="clear" w:color="auto" w:fill="EDEDE8"/>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olor w:val="2E368F"/>
      <w:spacing w:val="20"/>
      <w:sz w:val="14"/>
      <w:szCs w:val="19"/>
      <w:lang w:eastAsia="en-AU"/>
    </w:rPr>
  </w:style>
  <w:style w:type="character" w:customStyle="1" w:styleId="URL-groupcomauChar">
    <w:name w:val="URL - group.com.au Char"/>
    <w:link w:val="URL-groupcomau"/>
    <w:uiPriority w:val="89"/>
    <w:semiHidden/>
    <w:rsid w:val="00FD4AB1"/>
    <w:rPr>
      <w:rFonts w:ascii="Segoe UI" w:eastAsia="Times New Roman" w:hAnsi="Segoe UI" w:cs="Times New Roman"/>
      <w:color w:val="2E368F"/>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olor w:val="FF3A40"/>
      <w:spacing w:val="20"/>
      <w:sz w:val="14"/>
      <w:szCs w:val="19"/>
      <w:lang w:eastAsia="en-AU"/>
    </w:rPr>
  </w:style>
  <w:style w:type="character" w:customStyle="1" w:styleId="URL-nousChar">
    <w:name w:val="URL - nous Char"/>
    <w:link w:val="URL-nous"/>
    <w:uiPriority w:val="89"/>
    <w:semiHidden/>
    <w:rsid w:val="00FD4AB1"/>
    <w:rPr>
      <w:rFonts w:ascii="Segoe UI" w:eastAsia="Times New Roman" w:hAnsi="Segoe UI" w:cs="Times New Roman"/>
      <w:color w:val="FF3A40"/>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eastAsia="en-AU"/>
    </w:rPr>
  </w:style>
  <w:style w:type="paragraph" w:styleId="BodyText">
    <w:name w:val="Body Text"/>
    <w:basedOn w:val="Normal"/>
    <w:link w:val="BodyTextChar"/>
    <w:uiPriority w:val="1"/>
    <w:rsid w:val="00621CEB"/>
    <w:pPr>
      <w:widowControl w:val="0"/>
    </w:pPr>
    <w:rPr>
      <w:rFonts w:eastAsia="Source Sans Pro Light"/>
      <w:szCs w:val="17"/>
    </w:rPr>
  </w:style>
  <w:style w:type="character" w:customStyle="1" w:styleId="BodyTextChar">
    <w:name w:val="Body Text Char"/>
    <w:link w:val="BodyText"/>
    <w:uiPriority w:val="1"/>
    <w:rsid w:val="00621CEB"/>
    <w:rPr>
      <w:rFonts w:ascii="Segoe UI" w:eastAsia="Source Sans Pro Light" w:hAnsi="Segoe UI"/>
      <w:sz w:val="19"/>
      <w:szCs w:val="17"/>
    </w:rPr>
  </w:style>
  <w:style w:type="character" w:customStyle="1" w:styleId="BulletChar">
    <w:name w:val="Bullet Char"/>
    <w:link w:val="Bullet"/>
    <w:uiPriority w:val="2"/>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1"/>
    <w:qFormat/>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link w:val="Sectiondividerheading"/>
    <w:uiPriority w:val="1"/>
    <w:rsid w:val="00A10340"/>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8A4363"/>
    <w:pPr>
      <w:spacing w:after="100"/>
    </w:pPr>
  </w:style>
  <w:style w:type="character" w:styleId="Hyperlink">
    <w:name w:val="Hyperlink"/>
    <w:uiPriority w:val="99"/>
    <w:unhideWhenUsed/>
    <w:rsid w:val="008A4363"/>
    <w:rPr>
      <w:color w:val="0048C7"/>
      <w:u w:val="single"/>
    </w:rPr>
  </w:style>
  <w:style w:type="table" w:styleId="TableGrid">
    <w:name w:val="Table Grid"/>
    <w:aliases w:val="Table"/>
    <w:basedOn w:val="TableNormal"/>
    <w:uiPriority w:val="39"/>
    <w:rsid w:val="00547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tblPr>
      <w:tblStyleRowBandSize w:val="1"/>
      <w:tblStyleColBandSize w:val="1"/>
      <w:tblBorders>
        <w:top w:val="single" w:sz="8" w:space="0" w:color="EDEDE8"/>
        <w:left w:val="single" w:sz="8" w:space="0" w:color="EDEDE8"/>
        <w:bottom w:val="single" w:sz="8" w:space="0" w:color="EDEDE8"/>
        <w:right w:val="single" w:sz="8" w:space="0" w:color="EDEDE8"/>
        <w:insideH w:val="single" w:sz="8" w:space="0" w:color="EDEDE8"/>
        <w:insideV w:val="single" w:sz="8" w:space="0" w:color="EDEDE8"/>
      </w:tblBorders>
    </w:tblPr>
    <w:tblStylePr w:type="firstRow">
      <w:pPr>
        <w:spacing w:before="0" w:after="0" w:line="240" w:lineRule="auto"/>
      </w:pPr>
      <w:rPr>
        <w:rFonts w:ascii="@Batang" w:eastAsia="Times New Roman" w:hAnsi="@Batang" w:cs="Times New Roman"/>
        <w:b/>
        <w:bCs/>
      </w:rPr>
      <w:tblPr/>
      <w:tcPr>
        <w:tcBorders>
          <w:top w:val="single" w:sz="8" w:space="0" w:color="EDEDE8"/>
          <w:left w:val="single" w:sz="8" w:space="0" w:color="EDEDE8"/>
          <w:bottom w:val="single" w:sz="18" w:space="0" w:color="EDEDE8"/>
          <w:right w:val="single" w:sz="8" w:space="0" w:color="EDEDE8"/>
          <w:insideH w:val="nil"/>
          <w:insideV w:val="single" w:sz="8" w:space="0" w:color="EDEDE8"/>
        </w:tcBorders>
      </w:tcPr>
    </w:tblStylePr>
    <w:tblStylePr w:type="lastRow">
      <w:pPr>
        <w:spacing w:before="0" w:after="0" w:line="240" w:lineRule="auto"/>
      </w:pPr>
      <w:rPr>
        <w:rFonts w:ascii="@Batang" w:eastAsia="Times New Roman" w:hAnsi="@Batang" w:cs="Times New Roman"/>
        <w:b/>
        <w:bCs/>
      </w:rPr>
      <w:tblPr/>
      <w:tcPr>
        <w:tcBorders>
          <w:top w:val="double" w:sz="6" w:space="0" w:color="EDEDE8"/>
          <w:left w:val="single" w:sz="8" w:space="0" w:color="EDEDE8"/>
          <w:bottom w:val="single" w:sz="8" w:space="0" w:color="EDEDE8"/>
          <w:right w:val="single" w:sz="8" w:space="0" w:color="EDEDE8"/>
          <w:insideH w:val="nil"/>
          <w:insideV w:val="single" w:sz="8" w:space="0" w:color="EDEDE8"/>
        </w:tcBorders>
      </w:tcPr>
    </w:tblStylePr>
    <w:tblStylePr w:type="firstCol">
      <w:rPr>
        <w:rFonts w:ascii="@Batang" w:eastAsia="Times New Roman" w:hAnsi="@Batang" w:cs="Times New Roman"/>
        <w:b/>
        <w:bCs/>
      </w:rPr>
    </w:tblStylePr>
    <w:tblStylePr w:type="lastCol">
      <w:rPr>
        <w:rFonts w:ascii="@Batang" w:eastAsia="Times New Roman" w:hAnsi="@Batang" w:cs="Times New Roman"/>
        <w:b/>
        <w:bCs/>
      </w:rPr>
      <w:tblPr/>
      <w:tcPr>
        <w:tcBorders>
          <w:top w:val="single" w:sz="8" w:space="0" w:color="EDEDE8"/>
          <w:left w:val="single" w:sz="8" w:space="0" w:color="EDEDE8"/>
          <w:bottom w:val="single" w:sz="8" w:space="0" w:color="EDEDE8"/>
          <w:right w:val="single" w:sz="8" w:space="0" w:color="EDEDE8"/>
        </w:tcBorders>
      </w:tcPr>
    </w:tblStylePr>
    <w:tblStylePr w:type="band1Vert">
      <w:tblPr/>
      <w:tcPr>
        <w:tcBorders>
          <w:top w:val="single" w:sz="8" w:space="0" w:color="EDEDE8"/>
          <w:left w:val="single" w:sz="8" w:space="0" w:color="EDEDE8"/>
          <w:bottom w:val="single" w:sz="8" w:space="0" w:color="EDEDE8"/>
          <w:right w:val="single" w:sz="8" w:space="0" w:color="EDEDE8"/>
        </w:tcBorders>
        <w:shd w:val="clear" w:color="auto" w:fill="FAFAF9"/>
      </w:tcPr>
    </w:tblStylePr>
    <w:tblStylePr w:type="band1Horz">
      <w:tblPr/>
      <w:tcPr>
        <w:tcBorders>
          <w:top w:val="single" w:sz="8" w:space="0" w:color="EDEDE8"/>
          <w:left w:val="single" w:sz="8" w:space="0" w:color="EDEDE8"/>
          <w:bottom w:val="single" w:sz="8" w:space="0" w:color="EDEDE8"/>
          <w:right w:val="single" w:sz="8" w:space="0" w:color="EDEDE8"/>
          <w:insideV w:val="single" w:sz="8" w:space="0" w:color="EDEDE8"/>
        </w:tcBorders>
        <w:shd w:val="clear" w:color="auto" w:fill="FAFAF9"/>
      </w:tcPr>
    </w:tblStylePr>
    <w:tblStylePr w:type="band2Horz">
      <w:tblPr/>
      <w:tcPr>
        <w:tcBorders>
          <w:top w:val="single" w:sz="8" w:space="0" w:color="EDEDE8"/>
          <w:left w:val="single" w:sz="8" w:space="0" w:color="EDEDE8"/>
          <w:bottom w:val="single" w:sz="8" w:space="0" w:color="EDEDE8"/>
          <w:right w:val="single" w:sz="8" w:space="0" w:color="EDEDE8"/>
          <w:insideV w:val="single" w:sz="8" w:space="0" w:color="EDEDE8"/>
        </w:tcBorders>
      </w:tcPr>
    </w:tblStylePr>
  </w:style>
  <w:style w:type="table" w:styleId="LightList-Accent5">
    <w:name w:val="Light List Accent 5"/>
    <w:basedOn w:val="TableNormal"/>
    <w:uiPriority w:val="61"/>
    <w:rsid w:val="00071DFF"/>
    <w:tblPr>
      <w:tblStyleRowBandSize w:val="1"/>
      <w:tblStyleColBandSize w:val="1"/>
      <w:tblBorders>
        <w:top w:val="single" w:sz="8" w:space="0" w:color="EDEDE8"/>
        <w:left w:val="single" w:sz="8" w:space="0" w:color="EDEDE8"/>
        <w:bottom w:val="single" w:sz="8" w:space="0" w:color="EDEDE8"/>
        <w:right w:val="single" w:sz="8" w:space="0" w:color="EDEDE8"/>
      </w:tblBorders>
    </w:tblPr>
    <w:tblStylePr w:type="firstRow">
      <w:pPr>
        <w:spacing w:before="0" w:after="0" w:line="240" w:lineRule="auto"/>
      </w:pPr>
      <w:rPr>
        <w:b/>
        <w:bCs/>
        <w:color w:val="FFFFFF"/>
      </w:rPr>
      <w:tblPr/>
      <w:tcPr>
        <w:shd w:val="clear" w:color="auto" w:fill="EDEDE8"/>
      </w:tcPr>
    </w:tblStylePr>
    <w:tblStylePr w:type="lastRow">
      <w:pPr>
        <w:spacing w:before="0" w:after="0" w:line="240" w:lineRule="auto"/>
      </w:pPr>
      <w:rPr>
        <w:b/>
        <w:bCs/>
      </w:rPr>
      <w:tblPr/>
      <w:tcPr>
        <w:tcBorders>
          <w:top w:val="double" w:sz="6" w:space="0" w:color="EDEDE8"/>
          <w:left w:val="single" w:sz="8" w:space="0" w:color="EDEDE8"/>
          <w:bottom w:val="single" w:sz="8" w:space="0" w:color="EDEDE8"/>
          <w:right w:val="single" w:sz="8" w:space="0" w:color="EDEDE8"/>
        </w:tcBorders>
      </w:tcPr>
    </w:tblStylePr>
    <w:tblStylePr w:type="firstCol">
      <w:rPr>
        <w:b/>
        <w:bCs/>
      </w:rPr>
    </w:tblStylePr>
    <w:tblStylePr w:type="lastCol">
      <w:rPr>
        <w:b/>
        <w:bCs/>
      </w:rPr>
    </w:tblStylePr>
    <w:tblStylePr w:type="band1Vert">
      <w:tblPr/>
      <w:tcPr>
        <w:tcBorders>
          <w:top w:val="single" w:sz="8" w:space="0" w:color="EDEDE8"/>
          <w:left w:val="single" w:sz="8" w:space="0" w:color="EDEDE8"/>
          <w:bottom w:val="single" w:sz="8" w:space="0" w:color="EDEDE8"/>
          <w:right w:val="single" w:sz="8" w:space="0" w:color="EDEDE8"/>
        </w:tcBorders>
      </w:tcPr>
    </w:tblStylePr>
    <w:tblStylePr w:type="band1Horz">
      <w:tblPr/>
      <w:tcPr>
        <w:tcBorders>
          <w:top w:val="single" w:sz="8" w:space="0" w:color="EDEDE8"/>
          <w:left w:val="single" w:sz="8" w:space="0" w:color="EDEDE8"/>
          <w:bottom w:val="single" w:sz="8" w:space="0" w:color="EDEDE8"/>
          <w:right w:val="single" w:sz="8" w:space="0" w:color="EDEDE8"/>
        </w:tcBorders>
      </w:tcPr>
    </w:tblStylePr>
  </w:style>
  <w:style w:type="table" w:styleId="MediumShading1-Accent5">
    <w:name w:val="Medium Shading 1 Accent 5"/>
    <w:basedOn w:val="TableNormal"/>
    <w:uiPriority w:val="63"/>
    <w:rsid w:val="00071DFF"/>
    <w:tblPr>
      <w:tblStyleRowBandSize w:val="1"/>
      <w:tblStyleColBandSize w:val="1"/>
      <w:tblBorders>
        <w:top w:val="single" w:sz="8" w:space="0" w:color="F1F1ED"/>
        <w:left w:val="single" w:sz="8" w:space="0" w:color="F1F1ED"/>
        <w:bottom w:val="single" w:sz="8" w:space="0" w:color="F1F1ED"/>
        <w:right w:val="single" w:sz="8" w:space="0" w:color="F1F1ED"/>
        <w:insideH w:val="single" w:sz="8" w:space="0" w:color="F1F1ED"/>
      </w:tblBorders>
    </w:tblPr>
    <w:tblStylePr w:type="firstRow">
      <w:pPr>
        <w:spacing w:before="0" w:after="0" w:line="240" w:lineRule="auto"/>
      </w:pPr>
      <w:rPr>
        <w:b/>
        <w:bCs/>
        <w:color w:val="FFFFFF"/>
      </w:rPr>
      <w:tblPr/>
      <w:tcPr>
        <w:tcBorders>
          <w:top w:val="single" w:sz="8" w:space="0" w:color="F1F1ED"/>
          <w:left w:val="single" w:sz="8" w:space="0" w:color="F1F1ED"/>
          <w:bottom w:val="single" w:sz="8" w:space="0" w:color="F1F1ED"/>
          <w:right w:val="single" w:sz="8" w:space="0" w:color="F1F1ED"/>
          <w:insideH w:val="nil"/>
          <w:insideV w:val="nil"/>
        </w:tcBorders>
        <w:shd w:val="clear" w:color="auto" w:fill="EDEDE8"/>
      </w:tcPr>
    </w:tblStylePr>
    <w:tblStylePr w:type="lastRow">
      <w:pPr>
        <w:spacing w:before="0" w:after="0" w:line="240" w:lineRule="auto"/>
      </w:pPr>
      <w:rPr>
        <w:b/>
        <w:bCs/>
      </w:rPr>
      <w:tblPr/>
      <w:tcPr>
        <w:tcBorders>
          <w:top w:val="double" w:sz="6" w:space="0" w:color="F1F1ED"/>
          <w:left w:val="single" w:sz="8" w:space="0" w:color="F1F1ED"/>
          <w:bottom w:val="single" w:sz="8" w:space="0" w:color="F1F1ED"/>
          <w:right w:val="single" w:sz="8" w:space="0" w:color="F1F1ED"/>
          <w:insideH w:val="nil"/>
          <w:insideV w:val="nil"/>
        </w:tcBorders>
      </w:tcPr>
    </w:tblStylePr>
    <w:tblStylePr w:type="firstCol">
      <w:rPr>
        <w:b/>
        <w:bCs/>
      </w:rPr>
    </w:tblStylePr>
    <w:tblStylePr w:type="lastCol">
      <w:rPr>
        <w:b/>
        <w:bCs/>
      </w:rPr>
    </w:tblStylePr>
    <w:tblStylePr w:type="band1Vert">
      <w:tblPr/>
      <w:tcPr>
        <w:shd w:val="clear" w:color="auto" w:fill="FAFAF9"/>
      </w:tcPr>
    </w:tblStylePr>
    <w:tblStylePr w:type="band1Horz">
      <w:tblPr/>
      <w:tcPr>
        <w:tcBorders>
          <w:insideH w:val="nil"/>
          <w:insideV w:val="nil"/>
        </w:tcBorders>
        <w:shd w:val="clear" w:color="auto" w:fill="FAFAF9"/>
      </w:tcPr>
    </w:tblStylePr>
    <w:tblStylePr w:type="band2Horz">
      <w:tblPr/>
      <w:tcPr>
        <w:tcBorders>
          <w:insideH w:val="nil"/>
          <w:insideV w:val="nil"/>
        </w:tcBorders>
      </w:tcPr>
    </w:tblStylePr>
  </w:style>
  <w:style w:type="character" w:customStyle="1" w:styleId="TableNBulletChar">
    <w:name w:val="Table N Bullet Char"/>
    <w:link w:val="TableNBullet"/>
    <w:uiPriority w:val="3"/>
    <w:rsid w:val="0073030E"/>
    <w:rPr>
      <w:rFonts w:ascii="Segoe UI" w:eastAsia="Times New Roman" w:hAnsi="Segoe UI"/>
      <w:sz w:val="17"/>
      <w:szCs w:val="19"/>
    </w:rPr>
  </w:style>
  <w:style w:type="table" w:customStyle="1" w:styleId="NOUSSideHeader">
    <w:name w:val="NOUS Side Header"/>
    <w:basedOn w:val="TableNormal"/>
    <w:uiPriority w:val="99"/>
    <w:rsid w:val="006937F2"/>
    <w:pPr>
      <w:ind w:left="57"/>
    </w:pPr>
    <w:rPr>
      <w:rFonts w:ascii="Segoe UI" w:hAnsi="Segoe UI"/>
      <w:sz w:val="17"/>
    </w:rPr>
    <w:tblPr>
      <w:tblBorders>
        <w:top w:val="single" w:sz="8" w:space="0" w:color="EDEDE8"/>
        <w:bottom w:val="single" w:sz="8" w:space="0" w:color="EDEDE8"/>
        <w:insideH w:val="single" w:sz="8" w:space="0" w:color="EDEDE8"/>
      </w:tblBorders>
    </w:tblPr>
    <w:tblStylePr w:type="firstCol">
      <w:pPr>
        <w:wordWrap/>
        <w:jc w:val="center"/>
      </w:pPr>
      <w:rPr>
        <w:rFonts w:ascii="BatangChe" w:hAnsi="BatangChe"/>
        <w:b/>
        <w:color w:val="00264D"/>
        <w:sz w:val="18"/>
      </w:rPr>
      <w:tblPr/>
      <w:tcPr>
        <w:tcBorders>
          <w:top w:val="nil"/>
          <w:left w:val="single" w:sz="24" w:space="0" w:color="F8981D"/>
          <w:bottom w:val="nil"/>
          <w:right w:val="nil"/>
          <w:insideH w:val="nil"/>
          <w:insideV w:val="nil"/>
          <w:tl2br w:val="nil"/>
          <w:tr2bl w:val="nil"/>
        </w:tcBorders>
        <w:shd w:val="clear" w:color="auto" w:fill="EDEDE8"/>
      </w:tcPr>
    </w:tblStylePr>
  </w:style>
  <w:style w:type="table" w:customStyle="1" w:styleId="NOUS">
    <w:name w:val="NOUS"/>
    <w:basedOn w:val="TableNormal"/>
    <w:uiPriority w:val="99"/>
    <w:rsid w:val="0017660C"/>
    <w:rPr>
      <w:rFonts w:ascii="Segoe UI" w:hAnsi="Segoe UI"/>
      <w:sz w:val="17"/>
    </w:rPr>
    <w:tblPr>
      <w:tblBorders>
        <w:bottom w:val="single" w:sz="8" w:space="0" w:color="EDEDE8"/>
        <w:insideH w:val="single" w:sz="8" w:space="0" w:color="EDEDE8"/>
      </w:tblBorders>
      <w:tblCellMar>
        <w:top w:w="57" w:type="dxa"/>
        <w:left w:w="85" w:type="dxa"/>
        <w:bottom w:w="57" w:type="dxa"/>
        <w:right w:w="85" w:type="dxa"/>
      </w:tblCellMar>
    </w:tblPr>
    <w:tblStylePr w:type="firstRow">
      <w:rPr>
        <w:rFonts w:ascii="BatangChe" w:hAnsi="BatangChe"/>
        <w:b/>
        <w:color w:val="00264D"/>
        <w:sz w:val="18"/>
      </w:rPr>
      <w:tblPr/>
      <w:tcPr>
        <w:tcBorders>
          <w:top w:val="single" w:sz="24" w:space="0" w:color="F8981D"/>
          <w:left w:val="nil"/>
          <w:bottom w:val="nil"/>
          <w:right w:val="nil"/>
          <w:insideH w:val="nil"/>
          <w:insideV w:val="single" w:sz="8" w:space="0" w:color="FFFFFF"/>
          <w:tl2br w:val="nil"/>
          <w:tr2bl w:val="nil"/>
        </w:tcBorders>
        <w:shd w:val="clear" w:color="auto" w:fill="EDEDE8"/>
      </w:tcPr>
    </w:tblStylePr>
  </w:style>
  <w:style w:type="character" w:customStyle="1" w:styleId="Heading8Char">
    <w:name w:val="Heading 8 Char"/>
    <w:link w:val="Heading8"/>
    <w:uiPriority w:val="19"/>
    <w:semiHidden/>
    <w:rsid w:val="000137FA"/>
    <w:rPr>
      <w:rFonts w:ascii="Segoe UI" w:eastAsia="Times New Roman" w:hAnsi="Segoe UI" w:cs="Times New Roman"/>
      <w:color w:val="404040"/>
      <w:sz w:val="20"/>
      <w:szCs w:val="20"/>
    </w:rPr>
  </w:style>
  <w:style w:type="paragraph" w:customStyle="1" w:styleId="Covertitle">
    <w:name w:val="Cover title"/>
    <w:basedOn w:val="Normal"/>
    <w:link w:val="CovertitleChar"/>
    <w:uiPriority w:val="99"/>
    <w:semiHidden/>
    <w:rsid w:val="00F41E7F"/>
    <w:pPr>
      <w:suppressAutoHyphens/>
      <w:spacing w:after="0" w:line="720" w:lineRule="exact"/>
    </w:pPr>
    <w:rPr>
      <w:rFonts w:eastAsia="Times New Roman"/>
      <w:color w:val="2E368F"/>
      <w:sz w:val="84"/>
      <w:szCs w:val="19"/>
      <w:lang w:eastAsia="en-AU"/>
    </w:rPr>
  </w:style>
  <w:style w:type="character" w:customStyle="1" w:styleId="CovertitleChar">
    <w:name w:val="Cover title Char"/>
    <w:link w:val="Covertitle"/>
    <w:uiPriority w:val="99"/>
    <w:semiHidden/>
    <w:rsid w:val="00F41E7F"/>
    <w:rPr>
      <w:rFonts w:ascii="Segoe UI" w:eastAsia="Times New Roman" w:hAnsi="Segoe UI" w:cs="Times New Roman"/>
      <w:color w:val="2E368F"/>
      <w:sz w:val="84"/>
      <w:szCs w:val="19"/>
      <w:lang w:val="en-AU" w:eastAsia="en-AU"/>
    </w:rPr>
  </w:style>
  <w:style w:type="paragraph" w:customStyle="1" w:styleId="CoverPage-Client">
    <w:name w:val="Cover Page - Client"/>
    <w:basedOn w:val="Normal"/>
    <w:link w:val="CoverPage-ClientChar"/>
    <w:uiPriority w:val="99"/>
    <w:semiHidden/>
    <w:rsid w:val="00F41E7F"/>
    <w:pPr>
      <w:suppressAutoHyphens/>
      <w:spacing w:before="480" w:after="0" w:line="380" w:lineRule="exact"/>
    </w:pPr>
    <w:rPr>
      <w:rFonts w:eastAsia="Times New Roman"/>
      <w:color w:val="2E368F"/>
      <w:sz w:val="36"/>
      <w:szCs w:val="19"/>
      <w:lang w:eastAsia="en-AU"/>
    </w:rPr>
  </w:style>
  <w:style w:type="character" w:customStyle="1" w:styleId="CoverPage-ClientChar">
    <w:name w:val="Cover Page - Client Char"/>
    <w:link w:val="CoverPage-Client"/>
    <w:uiPriority w:val="99"/>
    <w:semiHidden/>
    <w:rsid w:val="00F41E7F"/>
    <w:rPr>
      <w:rFonts w:ascii="Segoe UI" w:eastAsia="Times New Roman" w:hAnsi="Segoe UI" w:cs="Times New Roman"/>
      <w:color w:val="2E368F"/>
      <w:sz w:val="36"/>
      <w:szCs w:val="19"/>
      <w:lang w:val="en-AU" w:eastAsia="en-AU"/>
    </w:rPr>
  </w:style>
  <w:style w:type="paragraph" w:customStyle="1" w:styleId="CoverPage-Date">
    <w:name w:val="Cover Page - Date"/>
    <w:basedOn w:val="Normal"/>
    <w:link w:val="CoverPage-DateChar"/>
    <w:uiPriority w:val="99"/>
    <w:semiHidden/>
    <w:rsid w:val="00F41E7F"/>
    <w:pPr>
      <w:suppressAutoHyphens/>
      <w:spacing w:before="320" w:after="0" w:line="280" w:lineRule="exact"/>
    </w:pPr>
    <w:rPr>
      <w:rFonts w:eastAsia="Times New Roman"/>
      <w:color w:val="00264D"/>
      <w:sz w:val="24"/>
      <w:szCs w:val="19"/>
      <w:lang w:eastAsia="en-AU"/>
    </w:rPr>
  </w:style>
  <w:style w:type="character" w:customStyle="1" w:styleId="CoverPage-DateChar">
    <w:name w:val="Cover Page - Date Char"/>
    <w:link w:val="CoverPage-Date"/>
    <w:uiPriority w:val="99"/>
    <w:semiHidden/>
    <w:rsid w:val="00F41E7F"/>
    <w:rPr>
      <w:rFonts w:ascii="Segoe UI" w:eastAsia="Times New Roman" w:hAnsi="Segoe UI" w:cs="Times New Roman"/>
      <w:color w:val="00264D"/>
      <w:sz w:val="24"/>
      <w:szCs w:val="19"/>
      <w:lang w:val="en-AU" w:eastAsia="en-AU"/>
    </w:rPr>
  </w:style>
  <w:style w:type="character" w:styleId="PlaceholderText">
    <w:name w:val="Placeholder Text"/>
    <w:uiPriority w:val="99"/>
    <w:semiHidden/>
    <w:rsid w:val="00F41E7F"/>
    <w:rPr>
      <w:color w:val="808080"/>
    </w:rPr>
  </w:style>
  <w:style w:type="paragraph" w:styleId="ListParagraph">
    <w:name w:val="List Paragraph"/>
    <w:aliases w:val="Bullet point,Bullet text,Bulleted Para,Bullets,CV text,Dot pt,F5 List Paragraph,FooterText,L,List Paragraph1,List Paragraph11,List Paragraph111,List Paragraph2,Medium Grid 1 - Accent 21,NFP GP Bulleted List,Recommendation,NAST Quote,列"/>
    <w:basedOn w:val="Normal"/>
    <w:link w:val="ListParagraphChar"/>
    <w:uiPriority w:val="34"/>
    <w:qFormat/>
    <w:rsid w:val="003E5907"/>
    <w:pPr>
      <w:ind w:left="720"/>
      <w:contextualSpacing/>
    </w:pPr>
    <w:rPr>
      <w:szCs w:val="20"/>
      <w:lang w:eastAsia="x-none"/>
    </w:rPr>
  </w:style>
  <w:style w:type="character" w:styleId="CommentReference">
    <w:name w:val="annotation reference"/>
    <w:uiPriority w:val="99"/>
    <w:unhideWhenUsed/>
    <w:rsid w:val="003E5907"/>
    <w:rPr>
      <w:sz w:val="16"/>
      <w:szCs w:val="16"/>
    </w:rPr>
  </w:style>
  <w:style w:type="paragraph" w:styleId="CommentText">
    <w:name w:val="annotation text"/>
    <w:basedOn w:val="Normal"/>
    <w:link w:val="CommentTextChar"/>
    <w:uiPriority w:val="99"/>
    <w:unhideWhenUsed/>
    <w:rsid w:val="003E5907"/>
    <w:rPr>
      <w:sz w:val="20"/>
      <w:szCs w:val="20"/>
    </w:rPr>
  </w:style>
  <w:style w:type="character" w:customStyle="1" w:styleId="CommentTextChar">
    <w:name w:val="Comment Text Char"/>
    <w:link w:val="CommentText"/>
    <w:uiPriority w:val="99"/>
    <w:rsid w:val="003E5907"/>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3E5907"/>
    <w:rPr>
      <w:b/>
      <w:bCs/>
    </w:rPr>
  </w:style>
  <w:style w:type="character" w:customStyle="1" w:styleId="CommentSubjectChar">
    <w:name w:val="Comment Subject Char"/>
    <w:link w:val="CommentSubject"/>
    <w:uiPriority w:val="99"/>
    <w:semiHidden/>
    <w:rsid w:val="003E5907"/>
    <w:rPr>
      <w:rFonts w:ascii="Segoe UI" w:hAnsi="Segoe UI"/>
      <w:b/>
      <w:bCs/>
      <w:sz w:val="20"/>
      <w:szCs w:val="20"/>
    </w:rPr>
  </w:style>
  <w:style w:type="paragraph" w:styleId="TOC3">
    <w:name w:val="toc 3"/>
    <w:basedOn w:val="Normal"/>
    <w:next w:val="Normal"/>
    <w:autoRedefine/>
    <w:uiPriority w:val="39"/>
    <w:unhideWhenUsed/>
    <w:rsid w:val="00025E0B"/>
    <w:pPr>
      <w:spacing w:after="100"/>
      <w:ind w:left="380"/>
    </w:pPr>
  </w:style>
  <w:style w:type="paragraph" w:styleId="Revision">
    <w:name w:val="Revision"/>
    <w:hidden/>
    <w:uiPriority w:val="99"/>
    <w:semiHidden/>
    <w:rsid w:val="00D34F1E"/>
    <w:rPr>
      <w:rFonts w:ascii="Segoe UI" w:hAnsi="Segoe UI"/>
      <w:sz w:val="19"/>
      <w:szCs w:val="22"/>
      <w:lang w:val="en-US" w:eastAsia="en-US"/>
    </w:rPr>
  </w:style>
  <w:style w:type="paragraph" w:styleId="EndnoteText">
    <w:name w:val="endnote text"/>
    <w:basedOn w:val="Normal"/>
    <w:link w:val="EndnoteTextChar"/>
    <w:uiPriority w:val="99"/>
    <w:unhideWhenUsed/>
    <w:rsid w:val="009476C4"/>
    <w:pPr>
      <w:spacing w:after="0"/>
    </w:pPr>
    <w:rPr>
      <w:sz w:val="20"/>
      <w:szCs w:val="20"/>
    </w:rPr>
  </w:style>
  <w:style w:type="character" w:customStyle="1" w:styleId="EndnoteTextChar">
    <w:name w:val="Endnote Text Char"/>
    <w:link w:val="EndnoteText"/>
    <w:uiPriority w:val="99"/>
    <w:rsid w:val="009476C4"/>
    <w:rPr>
      <w:rFonts w:ascii="Segoe UI" w:hAnsi="Segoe UI"/>
      <w:sz w:val="20"/>
      <w:szCs w:val="20"/>
      <w:lang w:val="en-AU"/>
    </w:rPr>
  </w:style>
  <w:style w:type="character" w:styleId="EndnoteReference">
    <w:name w:val="endnote reference"/>
    <w:uiPriority w:val="99"/>
    <w:unhideWhenUsed/>
    <w:rsid w:val="009476C4"/>
    <w:rPr>
      <w:vertAlign w:val="superscript"/>
    </w:rPr>
  </w:style>
  <w:style w:type="paragraph" w:styleId="FootnoteText">
    <w:name w:val="footnote text"/>
    <w:basedOn w:val="Normal"/>
    <w:link w:val="FootnoteTextChar"/>
    <w:unhideWhenUsed/>
    <w:rsid w:val="003D5691"/>
    <w:pPr>
      <w:spacing w:after="0"/>
    </w:pPr>
    <w:rPr>
      <w:sz w:val="20"/>
      <w:szCs w:val="20"/>
    </w:rPr>
  </w:style>
  <w:style w:type="character" w:customStyle="1" w:styleId="FootnoteTextChar">
    <w:name w:val="Footnote Text Char"/>
    <w:link w:val="FootnoteText"/>
    <w:rsid w:val="003D5691"/>
    <w:rPr>
      <w:rFonts w:ascii="Segoe UI" w:hAnsi="Segoe UI"/>
      <w:sz w:val="20"/>
      <w:szCs w:val="20"/>
    </w:rPr>
  </w:style>
  <w:style w:type="character" w:styleId="FootnoteReference">
    <w:name w:val="footnote reference"/>
    <w:unhideWhenUsed/>
    <w:rsid w:val="003D5691"/>
    <w:rPr>
      <w:vertAlign w:val="superscript"/>
    </w:rPr>
  </w:style>
  <w:style w:type="character" w:styleId="FollowedHyperlink">
    <w:name w:val="FollowedHyperlink"/>
    <w:uiPriority w:val="99"/>
    <w:semiHidden/>
    <w:unhideWhenUsed/>
    <w:rsid w:val="00947572"/>
    <w:rPr>
      <w:color w:val="0048C7"/>
      <w:u w:val="single"/>
    </w:rPr>
  </w:style>
  <w:style w:type="paragraph" w:styleId="NormalWeb">
    <w:name w:val="Normal (Web)"/>
    <w:basedOn w:val="Normal"/>
    <w:uiPriority w:val="99"/>
    <w:semiHidden/>
    <w:unhideWhenUsed/>
    <w:rsid w:val="00C102C9"/>
    <w:pPr>
      <w:spacing w:before="100" w:beforeAutospacing="1" w:after="100" w:afterAutospacing="1"/>
    </w:pPr>
    <w:rPr>
      <w:rFonts w:ascii="Times New Roman" w:eastAsia="Times New Roman" w:hAnsi="Times New Roman"/>
      <w:sz w:val="24"/>
      <w:szCs w:val="24"/>
      <w:lang w:eastAsia="en-AU"/>
    </w:rPr>
  </w:style>
  <w:style w:type="character" w:styleId="Emphasis">
    <w:name w:val="Emphasis"/>
    <w:uiPriority w:val="20"/>
    <w:qFormat/>
    <w:rsid w:val="00BD3B74"/>
    <w:rPr>
      <w:i/>
      <w:iCs/>
    </w:rPr>
  </w:style>
  <w:style w:type="table" w:customStyle="1" w:styleId="Table1">
    <w:name w:val="Table1"/>
    <w:basedOn w:val="TableNormal"/>
    <w:next w:val="TableGrid"/>
    <w:uiPriority w:val="39"/>
    <w:rsid w:val="000F3157"/>
    <w:rPr>
      <w:rFonts w:ascii="Segoe UI" w:hAnsi="Segoe UI"/>
      <w:sz w:val="18"/>
    </w:rPr>
    <w:tblPr>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Marlett" w:hAnsi="Marlett"/>
        <w:b/>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style>
  <w:style w:type="character" w:customStyle="1" w:styleId="ListParagraphChar">
    <w:name w:val="List Paragraph Char"/>
    <w:aliases w:val="Bullet point Char,Bullet text Char,Bulleted Para Char,Bullets Char,CV text Char,Dot pt Char,F5 List Paragraph Char,FooterText Char,L Char,List Paragraph1 Char,List Paragraph11 Char,List Paragraph111 Char,List Paragraph2 Char,列 Char"/>
    <w:link w:val="ListParagraph"/>
    <w:uiPriority w:val="34"/>
    <w:qFormat/>
    <w:locked/>
    <w:rsid w:val="00B34272"/>
    <w:rPr>
      <w:rFonts w:ascii="Segoe UI" w:hAnsi="Segoe UI"/>
      <w:sz w:val="19"/>
      <w:lang w:val="en-AU"/>
    </w:rPr>
  </w:style>
  <w:style w:type="character" w:customStyle="1" w:styleId="articletitle">
    <w:name w:val="articletitle"/>
    <w:rsid w:val="00D15050"/>
  </w:style>
  <w:style w:type="character" w:customStyle="1" w:styleId="vol3">
    <w:name w:val="vol3"/>
    <w:rsid w:val="00D15050"/>
  </w:style>
  <w:style w:type="paragraph" w:customStyle="1" w:styleId="Default">
    <w:name w:val="Default"/>
    <w:rsid w:val="004A138A"/>
    <w:pPr>
      <w:autoSpaceDE w:val="0"/>
      <w:autoSpaceDN w:val="0"/>
      <w:adjustRightInd w:val="0"/>
    </w:pPr>
    <w:rPr>
      <w:rFonts w:ascii="Arial" w:hAnsi="Arial" w:cs="Arial"/>
      <w:color w:val="000000"/>
      <w:sz w:val="24"/>
      <w:szCs w:val="24"/>
    </w:rPr>
  </w:style>
  <w:style w:type="character" w:styleId="Strong">
    <w:name w:val="Strong"/>
    <w:uiPriority w:val="22"/>
    <w:qFormat/>
    <w:rsid w:val="00693F8E"/>
    <w:rPr>
      <w:b/>
      <w:bCs/>
    </w:rPr>
  </w:style>
  <w:style w:type="paragraph" w:customStyle="1" w:styleId="articledoi1">
    <w:name w:val="articledoi1"/>
    <w:basedOn w:val="Normal"/>
    <w:rsid w:val="00693F8E"/>
    <w:pPr>
      <w:pBdr>
        <w:right w:val="single" w:sz="6" w:space="6" w:color="CCCCCC"/>
      </w:pBdr>
      <w:spacing w:after="0"/>
      <w:ind w:right="120"/>
    </w:pPr>
    <w:rPr>
      <w:rFonts w:ascii="Europa" w:eastAsia="Times New Roman" w:hAnsi="Europa"/>
      <w:sz w:val="24"/>
      <w:szCs w:val="24"/>
      <w:lang w:eastAsia="en-AU"/>
    </w:rPr>
  </w:style>
  <w:style w:type="paragraph" w:customStyle="1" w:styleId="copyright1">
    <w:name w:val="copyright1"/>
    <w:basedOn w:val="Normal"/>
    <w:rsid w:val="00693F8E"/>
    <w:pPr>
      <w:spacing w:after="0"/>
    </w:pPr>
    <w:rPr>
      <w:rFonts w:ascii="Europa" w:eastAsia="Times New Roman" w:hAnsi="Europa"/>
      <w:sz w:val="24"/>
      <w:szCs w:val="24"/>
      <w:lang w:eastAsia="en-AU"/>
    </w:rPr>
  </w:style>
  <w:style w:type="paragraph" w:customStyle="1" w:styleId="history1">
    <w:name w:val="history1"/>
    <w:basedOn w:val="Normal"/>
    <w:rsid w:val="00693F8E"/>
    <w:pPr>
      <w:spacing w:after="0"/>
    </w:pPr>
    <w:rPr>
      <w:rFonts w:ascii="Europa" w:eastAsia="Times New Roman" w:hAnsi="Europa"/>
      <w:sz w:val="24"/>
      <w:szCs w:val="24"/>
      <w:lang w:eastAsia="en-AU"/>
    </w:rPr>
  </w:style>
  <w:style w:type="character" w:customStyle="1" w:styleId="authorname4">
    <w:name w:val="authorname4"/>
    <w:rsid w:val="00693F8E"/>
  </w:style>
  <w:style w:type="character" w:customStyle="1" w:styleId="u-sronly1">
    <w:name w:val="u-sronly1"/>
    <w:rsid w:val="00693F8E"/>
    <w:rPr>
      <w:bdr w:val="none" w:sz="0" w:space="0" w:color="auto" w:frame="1"/>
    </w:rPr>
  </w:style>
  <w:style w:type="character" w:customStyle="1" w:styleId="articlecitation">
    <w:name w:val="articlecitation"/>
    <w:rsid w:val="00693F8E"/>
  </w:style>
  <w:style w:type="character" w:customStyle="1" w:styleId="journaltitle2">
    <w:name w:val="journaltitle2"/>
    <w:rsid w:val="00693F8E"/>
    <w:rPr>
      <w:i/>
      <w:iCs/>
    </w:rPr>
  </w:style>
  <w:style w:type="character" w:customStyle="1" w:styleId="externalref">
    <w:name w:val="externalref"/>
    <w:rsid w:val="00693F8E"/>
  </w:style>
  <w:style w:type="character" w:customStyle="1" w:styleId="refsource">
    <w:name w:val="refsource"/>
    <w:rsid w:val="00693F8E"/>
  </w:style>
  <w:style w:type="character" w:customStyle="1" w:styleId="occurrence1">
    <w:name w:val="occurrence1"/>
    <w:rsid w:val="00693F8E"/>
  </w:style>
  <w:style w:type="character" w:customStyle="1" w:styleId="apple-converted-space">
    <w:name w:val="apple-converted-space"/>
    <w:rsid w:val="00693F8E"/>
  </w:style>
  <w:style w:type="character" w:customStyle="1" w:styleId="current-selection">
    <w:name w:val="current-selection"/>
    <w:rsid w:val="005D7F9E"/>
  </w:style>
  <w:style w:type="character" w:customStyle="1" w:styleId="enhanced-reference">
    <w:name w:val="enhanced-reference"/>
    <w:rsid w:val="005D7F9E"/>
  </w:style>
  <w:style w:type="character" w:customStyle="1" w:styleId="editors">
    <w:name w:val="editors"/>
    <w:rsid w:val="00D92831"/>
  </w:style>
  <w:style w:type="table" w:styleId="ColorfulShading-Accent5">
    <w:name w:val="Colorful Shading Accent 5"/>
    <w:basedOn w:val="TableNormal"/>
    <w:uiPriority w:val="62"/>
    <w:rsid w:val="007C7CE6"/>
    <w:tblPr>
      <w:tblStyleRowBandSize w:val="1"/>
      <w:tblStyleColBandSize w:val="1"/>
      <w:tblBorders>
        <w:top w:val="single" w:sz="8" w:space="0" w:color="EDEDE8"/>
        <w:left w:val="single" w:sz="8" w:space="0" w:color="EDEDE8"/>
        <w:bottom w:val="single" w:sz="8" w:space="0" w:color="EDEDE8"/>
        <w:right w:val="single" w:sz="8" w:space="0" w:color="EDEDE8"/>
        <w:insideH w:val="single" w:sz="8" w:space="0" w:color="EDEDE8"/>
        <w:insideV w:val="single" w:sz="8" w:space="0" w:color="EDEDE8"/>
      </w:tblBorders>
    </w:tblPr>
    <w:tblStylePr w:type="firstRow">
      <w:pPr>
        <w:spacing w:before="0" w:after="0" w:line="240" w:lineRule="auto"/>
      </w:pPr>
      <w:rPr>
        <w:rFonts w:ascii="MS Gothic" w:eastAsia="Times New Roman" w:hAnsi="MS Gothic" w:cs="Times New Roman"/>
        <w:b/>
        <w:bCs/>
      </w:rPr>
      <w:tblPr/>
      <w:tcPr>
        <w:tcBorders>
          <w:top w:val="single" w:sz="8" w:space="0" w:color="EDEDE8"/>
          <w:left w:val="single" w:sz="8" w:space="0" w:color="EDEDE8"/>
          <w:bottom w:val="single" w:sz="18" w:space="0" w:color="EDEDE8"/>
          <w:right w:val="single" w:sz="8" w:space="0" w:color="EDEDE8"/>
          <w:insideH w:val="nil"/>
          <w:insideV w:val="single" w:sz="8" w:space="0" w:color="EDEDE8"/>
        </w:tcBorders>
      </w:tcPr>
    </w:tblStylePr>
    <w:tblStylePr w:type="lastRow">
      <w:pPr>
        <w:spacing w:before="0" w:after="0" w:line="240" w:lineRule="auto"/>
      </w:pPr>
      <w:rPr>
        <w:rFonts w:ascii="MS Gothic" w:eastAsia="Times New Roman" w:hAnsi="MS Gothic" w:cs="Times New Roman"/>
        <w:b/>
        <w:bCs/>
      </w:rPr>
      <w:tblPr/>
      <w:tcPr>
        <w:tcBorders>
          <w:top w:val="double" w:sz="6" w:space="0" w:color="EDEDE8"/>
          <w:left w:val="single" w:sz="8" w:space="0" w:color="EDEDE8"/>
          <w:bottom w:val="single" w:sz="8" w:space="0" w:color="EDEDE8"/>
          <w:right w:val="single" w:sz="8" w:space="0" w:color="EDEDE8"/>
          <w:insideH w:val="nil"/>
          <w:insideV w:val="single" w:sz="8" w:space="0" w:color="EDEDE8"/>
        </w:tcBorders>
      </w:tcPr>
    </w:tblStylePr>
    <w:tblStylePr w:type="firstCol">
      <w:rPr>
        <w:rFonts w:ascii="MS Gothic" w:eastAsia="Times New Roman" w:hAnsi="MS Gothic" w:cs="Times New Roman"/>
        <w:b/>
        <w:bCs/>
      </w:rPr>
    </w:tblStylePr>
    <w:tblStylePr w:type="lastCol">
      <w:rPr>
        <w:rFonts w:ascii="MS Gothic" w:eastAsia="Times New Roman" w:hAnsi="MS Gothic" w:cs="Times New Roman"/>
        <w:b/>
        <w:bCs/>
      </w:rPr>
      <w:tblPr/>
      <w:tcPr>
        <w:tcBorders>
          <w:top w:val="single" w:sz="8" w:space="0" w:color="EDEDE8"/>
          <w:left w:val="single" w:sz="8" w:space="0" w:color="EDEDE8"/>
          <w:bottom w:val="single" w:sz="8" w:space="0" w:color="EDEDE8"/>
          <w:right w:val="single" w:sz="8" w:space="0" w:color="EDEDE8"/>
        </w:tcBorders>
      </w:tcPr>
    </w:tblStylePr>
    <w:tblStylePr w:type="band1Vert">
      <w:tblPr/>
      <w:tcPr>
        <w:tcBorders>
          <w:top w:val="single" w:sz="8" w:space="0" w:color="EDEDE8"/>
          <w:left w:val="single" w:sz="8" w:space="0" w:color="EDEDE8"/>
          <w:bottom w:val="single" w:sz="8" w:space="0" w:color="EDEDE8"/>
          <w:right w:val="single" w:sz="8" w:space="0" w:color="EDEDE8"/>
        </w:tcBorders>
        <w:shd w:val="clear" w:color="auto" w:fill="FAFAF9"/>
      </w:tcPr>
    </w:tblStylePr>
    <w:tblStylePr w:type="band1Horz">
      <w:tblPr/>
      <w:tcPr>
        <w:tcBorders>
          <w:top w:val="single" w:sz="8" w:space="0" w:color="EDEDE8"/>
          <w:left w:val="single" w:sz="8" w:space="0" w:color="EDEDE8"/>
          <w:bottom w:val="single" w:sz="8" w:space="0" w:color="EDEDE8"/>
          <w:right w:val="single" w:sz="8" w:space="0" w:color="EDEDE8"/>
          <w:insideV w:val="single" w:sz="8" w:space="0" w:color="EDEDE8"/>
        </w:tcBorders>
        <w:shd w:val="clear" w:color="auto" w:fill="FAFAF9"/>
      </w:tcPr>
    </w:tblStylePr>
    <w:tblStylePr w:type="band2Horz">
      <w:tblPr/>
      <w:tcPr>
        <w:tcBorders>
          <w:top w:val="single" w:sz="8" w:space="0" w:color="EDEDE8"/>
          <w:left w:val="single" w:sz="8" w:space="0" w:color="EDEDE8"/>
          <w:bottom w:val="single" w:sz="8" w:space="0" w:color="EDEDE8"/>
          <w:right w:val="single" w:sz="8" w:space="0" w:color="EDEDE8"/>
          <w:insideV w:val="single" w:sz="8" w:space="0" w:color="EDEDE8"/>
        </w:tcBorders>
      </w:tcPr>
    </w:tblStylePr>
  </w:style>
  <w:style w:type="table" w:styleId="DarkList-Accent5">
    <w:name w:val="Dark List Accent 5"/>
    <w:basedOn w:val="TableNormal"/>
    <w:uiPriority w:val="61"/>
    <w:rsid w:val="007C7CE6"/>
    <w:tblPr>
      <w:tblStyleRowBandSize w:val="1"/>
      <w:tblStyleColBandSize w:val="1"/>
      <w:tblBorders>
        <w:top w:val="single" w:sz="8" w:space="0" w:color="EDEDE8"/>
        <w:left w:val="single" w:sz="8" w:space="0" w:color="EDEDE8"/>
        <w:bottom w:val="single" w:sz="8" w:space="0" w:color="EDEDE8"/>
        <w:right w:val="single" w:sz="8" w:space="0" w:color="EDEDE8"/>
      </w:tblBorders>
    </w:tblPr>
    <w:tblStylePr w:type="firstRow">
      <w:pPr>
        <w:spacing w:before="0" w:after="0" w:line="240" w:lineRule="auto"/>
      </w:pPr>
      <w:rPr>
        <w:b/>
        <w:bCs/>
        <w:color w:val="FFFFFF"/>
      </w:rPr>
      <w:tblPr/>
      <w:tcPr>
        <w:shd w:val="clear" w:color="auto" w:fill="EDEDE8"/>
      </w:tcPr>
    </w:tblStylePr>
    <w:tblStylePr w:type="lastRow">
      <w:pPr>
        <w:spacing w:before="0" w:after="0" w:line="240" w:lineRule="auto"/>
      </w:pPr>
      <w:rPr>
        <w:b/>
        <w:bCs/>
      </w:rPr>
      <w:tblPr/>
      <w:tcPr>
        <w:tcBorders>
          <w:top w:val="double" w:sz="6" w:space="0" w:color="EDEDE8"/>
          <w:left w:val="single" w:sz="8" w:space="0" w:color="EDEDE8"/>
          <w:bottom w:val="single" w:sz="8" w:space="0" w:color="EDEDE8"/>
          <w:right w:val="single" w:sz="8" w:space="0" w:color="EDEDE8"/>
        </w:tcBorders>
      </w:tcPr>
    </w:tblStylePr>
    <w:tblStylePr w:type="firstCol">
      <w:rPr>
        <w:b/>
        <w:bCs/>
      </w:rPr>
    </w:tblStylePr>
    <w:tblStylePr w:type="lastCol">
      <w:rPr>
        <w:b/>
        <w:bCs/>
      </w:rPr>
    </w:tblStylePr>
    <w:tblStylePr w:type="band1Vert">
      <w:tblPr/>
      <w:tcPr>
        <w:tcBorders>
          <w:top w:val="single" w:sz="8" w:space="0" w:color="EDEDE8"/>
          <w:left w:val="single" w:sz="8" w:space="0" w:color="EDEDE8"/>
          <w:bottom w:val="single" w:sz="8" w:space="0" w:color="EDEDE8"/>
          <w:right w:val="single" w:sz="8" w:space="0" w:color="EDEDE8"/>
        </w:tcBorders>
      </w:tcPr>
    </w:tblStylePr>
    <w:tblStylePr w:type="band1Horz">
      <w:tblPr/>
      <w:tcPr>
        <w:tcBorders>
          <w:top w:val="single" w:sz="8" w:space="0" w:color="EDEDE8"/>
          <w:left w:val="single" w:sz="8" w:space="0" w:color="EDEDE8"/>
          <w:bottom w:val="single" w:sz="8" w:space="0" w:color="EDEDE8"/>
          <w:right w:val="single" w:sz="8" w:space="0" w:color="EDEDE8"/>
        </w:tcBorders>
      </w:tcPr>
    </w:tblStylePr>
  </w:style>
  <w:style w:type="table" w:styleId="ColorfulList-Accent5">
    <w:name w:val="Colorful List Accent 5"/>
    <w:basedOn w:val="TableNormal"/>
    <w:uiPriority w:val="63"/>
    <w:rsid w:val="007C7CE6"/>
    <w:tblPr>
      <w:tblStyleRowBandSize w:val="1"/>
      <w:tblStyleColBandSize w:val="1"/>
      <w:tblBorders>
        <w:top w:val="single" w:sz="8" w:space="0" w:color="F1F1ED"/>
        <w:left w:val="single" w:sz="8" w:space="0" w:color="F1F1ED"/>
        <w:bottom w:val="single" w:sz="8" w:space="0" w:color="F1F1ED"/>
        <w:right w:val="single" w:sz="8" w:space="0" w:color="F1F1ED"/>
        <w:insideH w:val="single" w:sz="8" w:space="0" w:color="F1F1ED"/>
      </w:tblBorders>
    </w:tblPr>
    <w:tblStylePr w:type="firstRow">
      <w:pPr>
        <w:spacing w:before="0" w:after="0" w:line="240" w:lineRule="auto"/>
      </w:pPr>
      <w:rPr>
        <w:b/>
        <w:bCs/>
        <w:color w:val="FFFFFF"/>
      </w:rPr>
      <w:tblPr/>
      <w:tcPr>
        <w:tcBorders>
          <w:top w:val="single" w:sz="8" w:space="0" w:color="F1F1ED"/>
          <w:left w:val="single" w:sz="8" w:space="0" w:color="F1F1ED"/>
          <w:bottom w:val="single" w:sz="8" w:space="0" w:color="F1F1ED"/>
          <w:right w:val="single" w:sz="8" w:space="0" w:color="F1F1ED"/>
          <w:insideH w:val="nil"/>
          <w:insideV w:val="nil"/>
        </w:tcBorders>
        <w:shd w:val="clear" w:color="auto" w:fill="EDEDE8"/>
      </w:tcPr>
    </w:tblStylePr>
    <w:tblStylePr w:type="lastRow">
      <w:pPr>
        <w:spacing w:before="0" w:after="0" w:line="240" w:lineRule="auto"/>
      </w:pPr>
      <w:rPr>
        <w:b/>
        <w:bCs/>
      </w:rPr>
      <w:tblPr/>
      <w:tcPr>
        <w:tcBorders>
          <w:top w:val="double" w:sz="6" w:space="0" w:color="F1F1ED"/>
          <w:left w:val="single" w:sz="8" w:space="0" w:color="F1F1ED"/>
          <w:bottom w:val="single" w:sz="8" w:space="0" w:color="F1F1ED"/>
          <w:right w:val="single" w:sz="8" w:space="0" w:color="F1F1ED"/>
          <w:insideH w:val="nil"/>
          <w:insideV w:val="nil"/>
        </w:tcBorders>
      </w:tcPr>
    </w:tblStylePr>
    <w:tblStylePr w:type="firstCol">
      <w:rPr>
        <w:b/>
        <w:bCs/>
      </w:rPr>
    </w:tblStylePr>
    <w:tblStylePr w:type="lastCol">
      <w:rPr>
        <w:b/>
        <w:bCs/>
      </w:rPr>
    </w:tblStylePr>
    <w:tblStylePr w:type="band1Vert">
      <w:tblPr/>
      <w:tcPr>
        <w:shd w:val="clear" w:color="auto" w:fill="FAFAF9"/>
      </w:tcPr>
    </w:tblStylePr>
    <w:tblStylePr w:type="band1Horz">
      <w:tblPr/>
      <w:tcPr>
        <w:tcBorders>
          <w:insideH w:val="nil"/>
          <w:insideV w:val="nil"/>
        </w:tcBorders>
        <w:shd w:val="clear" w:color="auto" w:fill="FAFAF9"/>
      </w:tcPr>
    </w:tblStylePr>
    <w:tblStylePr w:type="band2Horz">
      <w:tblPr/>
      <w:tcPr>
        <w:tcBorders>
          <w:insideH w:val="nil"/>
          <w:insideV w:val="nil"/>
        </w:tcBorders>
      </w:tcPr>
    </w:tblStylePr>
  </w:style>
  <w:style w:type="character" w:customStyle="1" w:styleId="st1">
    <w:name w:val="st1"/>
    <w:basedOn w:val="DefaultParagraphFont"/>
    <w:rsid w:val="00D54484"/>
  </w:style>
  <w:style w:type="character" w:customStyle="1" w:styleId="UnresolvedMention1">
    <w:name w:val="Unresolved Mention1"/>
    <w:basedOn w:val="DefaultParagraphFont"/>
    <w:uiPriority w:val="99"/>
    <w:semiHidden/>
    <w:unhideWhenUsed/>
    <w:rsid w:val="00801BC6"/>
    <w:rPr>
      <w:color w:val="605E5C"/>
      <w:shd w:val="clear" w:color="auto" w:fill="E1DFDD"/>
    </w:rPr>
  </w:style>
  <w:style w:type="character" w:customStyle="1" w:styleId="A1">
    <w:name w:val="A1"/>
    <w:uiPriority w:val="99"/>
    <w:rsid w:val="00A53B24"/>
    <w:rPr>
      <w:rFonts w:cs="Chaparral Pro"/>
      <w:color w:val="000000"/>
      <w:sz w:val="17"/>
      <w:szCs w:val="17"/>
    </w:rPr>
  </w:style>
  <w:style w:type="paragraph" w:customStyle="1" w:styleId="01Title">
    <w:name w:val="01 Title"/>
    <w:basedOn w:val="Heading1"/>
    <w:next w:val="Date"/>
    <w:rsid w:val="00876F98"/>
    <w:pPr>
      <w:keepNext w:val="0"/>
      <w:keepLines/>
      <w:numPr>
        <w:numId w:val="0"/>
      </w:numPr>
      <w:spacing w:before="1200" w:after="600" w:line="600" w:lineRule="atLeast"/>
      <w:jc w:val="center"/>
    </w:pPr>
    <w:rPr>
      <w:rFonts w:ascii="Arial" w:hAnsi="Arial"/>
      <w:color w:val="000000"/>
      <w:sz w:val="48"/>
      <w:szCs w:val="20"/>
      <w:lang w:eastAsia="en-US"/>
    </w:rPr>
  </w:style>
  <w:style w:type="paragraph" w:styleId="Date">
    <w:name w:val="Date"/>
    <w:aliases w:val="05 Author"/>
    <w:basedOn w:val="02Subtitle"/>
    <w:next w:val="Normal"/>
    <w:link w:val="DateChar"/>
    <w:uiPriority w:val="99"/>
    <w:semiHidden/>
    <w:rsid w:val="00876F98"/>
    <w:pPr>
      <w:keepLines w:val="0"/>
      <w:spacing w:before="0" w:after="0" w:line="240" w:lineRule="auto"/>
      <w:jc w:val="left"/>
      <w:outlineLvl w:val="9"/>
    </w:pPr>
    <w:rPr>
      <w:rFonts w:ascii="Times New Roman" w:hAnsi="Times New Roman"/>
      <w:b w:val="0"/>
      <w:color w:val="auto"/>
      <w:sz w:val="24"/>
      <w:szCs w:val="24"/>
      <w:lang w:eastAsia="en-AU"/>
    </w:rPr>
  </w:style>
  <w:style w:type="character" w:customStyle="1" w:styleId="DateChar">
    <w:name w:val="Date Char"/>
    <w:aliases w:val="05 Author Char"/>
    <w:basedOn w:val="DefaultParagraphFont"/>
    <w:link w:val="Date"/>
    <w:uiPriority w:val="99"/>
    <w:semiHidden/>
    <w:rsid w:val="00876F98"/>
    <w:rPr>
      <w:rFonts w:ascii="Times New Roman" w:eastAsia="Times New Roman" w:hAnsi="Times New Roman"/>
      <w:sz w:val="24"/>
      <w:szCs w:val="24"/>
    </w:rPr>
  </w:style>
  <w:style w:type="paragraph" w:customStyle="1" w:styleId="02Subtitle">
    <w:name w:val="02 Subtitle"/>
    <w:basedOn w:val="01Title"/>
    <w:next w:val="Date"/>
    <w:rsid w:val="00876F98"/>
    <w:pPr>
      <w:spacing w:before="120" w:after="1680" w:line="480" w:lineRule="atLeast"/>
      <w:outlineLvl w:val="1"/>
    </w:pPr>
    <w:rPr>
      <w:sz w:val="36"/>
    </w:rPr>
  </w:style>
  <w:style w:type="paragraph" w:customStyle="1" w:styleId="Pa10">
    <w:name w:val="Pa10"/>
    <w:basedOn w:val="Default"/>
    <w:next w:val="Default"/>
    <w:uiPriority w:val="99"/>
    <w:rsid w:val="00742FAB"/>
    <w:pPr>
      <w:spacing w:line="211" w:lineRule="atLeast"/>
    </w:pPr>
    <w:rPr>
      <w:rFonts w:ascii="ITC Garamond Std Lt" w:hAnsi="ITC Garamond Std Lt" w:cs="Times New Roman"/>
      <w:color w:val="auto"/>
    </w:rPr>
  </w:style>
  <w:style w:type="character" w:customStyle="1" w:styleId="A3">
    <w:name w:val="A3"/>
    <w:uiPriority w:val="99"/>
    <w:rsid w:val="003C0FE2"/>
    <w:rPr>
      <w:rFonts w:cs="Helvetica 45 Light"/>
      <w:color w:val="000000"/>
    </w:rPr>
  </w:style>
  <w:style w:type="character" w:customStyle="1" w:styleId="type1">
    <w:name w:val="type1"/>
    <w:basedOn w:val="DefaultParagraphFont"/>
    <w:rsid w:val="003C03AF"/>
    <w:rPr>
      <w:b/>
      <w:bCs/>
    </w:rPr>
  </w:style>
  <w:style w:type="paragraph" w:customStyle="1" w:styleId="roles">
    <w:name w:val="roles"/>
    <w:basedOn w:val="Normal"/>
    <w:rsid w:val="003C03AF"/>
    <w:pPr>
      <w:spacing w:after="0"/>
    </w:pPr>
    <w:rPr>
      <w:rFonts w:ascii="inherit" w:eastAsia="Times New Roman" w:hAnsi="inherit"/>
      <w:sz w:val="24"/>
      <w:szCs w:val="24"/>
      <w:lang w:eastAsia="en-AU"/>
    </w:rPr>
  </w:style>
  <w:style w:type="character" w:customStyle="1" w:styleId="email4">
    <w:name w:val="email4"/>
    <w:basedOn w:val="DefaultParagraphFont"/>
    <w:rsid w:val="003C03AF"/>
  </w:style>
  <w:style w:type="paragraph" w:customStyle="1" w:styleId="orcid">
    <w:name w:val="orcid"/>
    <w:basedOn w:val="Normal"/>
    <w:rsid w:val="003C03AF"/>
    <w:pPr>
      <w:spacing w:after="0"/>
    </w:pPr>
    <w:rPr>
      <w:rFonts w:ascii="inherit" w:eastAsia="Times New Roman" w:hAnsi="inherit"/>
      <w:sz w:val="24"/>
      <w:szCs w:val="24"/>
      <w:lang w:eastAsia="en-AU"/>
    </w:rPr>
  </w:style>
  <w:style w:type="character" w:customStyle="1" w:styleId="cit">
    <w:name w:val="cit"/>
    <w:basedOn w:val="DefaultParagraphFont"/>
    <w:rsid w:val="00250F4B"/>
  </w:style>
  <w:style w:type="character" w:customStyle="1" w:styleId="citation2">
    <w:name w:val="citation2"/>
    <w:basedOn w:val="DefaultParagraphFont"/>
    <w:rsid w:val="00167A06"/>
  </w:style>
  <w:style w:type="character" w:customStyle="1" w:styleId="doi2">
    <w:name w:val="doi2"/>
    <w:basedOn w:val="DefaultParagraphFont"/>
    <w:rsid w:val="00167A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3016">
      <w:bodyDiv w:val="1"/>
      <w:marLeft w:val="0"/>
      <w:marRight w:val="0"/>
      <w:marTop w:val="0"/>
      <w:marBottom w:val="0"/>
      <w:divBdr>
        <w:top w:val="none" w:sz="0" w:space="0" w:color="auto"/>
        <w:left w:val="none" w:sz="0" w:space="0" w:color="auto"/>
        <w:bottom w:val="none" w:sz="0" w:space="0" w:color="auto"/>
        <w:right w:val="none" w:sz="0" w:space="0" w:color="auto"/>
      </w:divBdr>
    </w:div>
    <w:div w:id="91124284">
      <w:bodyDiv w:val="1"/>
      <w:marLeft w:val="0"/>
      <w:marRight w:val="0"/>
      <w:marTop w:val="0"/>
      <w:marBottom w:val="0"/>
      <w:divBdr>
        <w:top w:val="none" w:sz="0" w:space="0" w:color="auto"/>
        <w:left w:val="none" w:sz="0" w:space="0" w:color="auto"/>
        <w:bottom w:val="none" w:sz="0" w:space="0" w:color="auto"/>
        <w:right w:val="none" w:sz="0" w:space="0" w:color="auto"/>
      </w:divBdr>
    </w:div>
    <w:div w:id="164714127">
      <w:bodyDiv w:val="1"/>
      <w:marLeft w:val="0"/>
      <w:marRight w:val="0"/>
      <w:marTop w:val="0"/>
      <w:marBottom w:val="0"/>
      <w:divBdr>
        <w:top w:val="none" w:sz="0" w:space="0" w:color="auto"/>
        <w:left w:val="none" w:sz="0" w:space="0" w:color="auto"/>
        <w:bottom w:val="none" w:sz="0" w:space="0" w:color="auto"/>
        <w:right w:val="none" w:sz="0" w:space="0" w:color="auto"/>
      </w:divBdr>
    </w:div>
    <w:div w:id="177307334">
      <w:bodyDiv w:val="1"/>
      <w:marLeft w:val="0"/>
      <w:marRight w:val="0"/>
      <w:marTop w:val="0"/>
      <w:marBottom w:val="0"/>
      <w:divBdr>
        <w:top w:val="none" w:sz="0" w:space="0" w:color="auto"/>
        <w:left w:val="none" w:sz="0" w:space="0" w:color="auto"/>
        <w:bottom w:val="none" w:sz="0" w:space="0" w:color="auto"/>
        <w:right w:val="none" w:sz="0" w:space="0" w:color="auto"/>
      </w:divBdr>
    </w:div>
    <w:div w:id="214509521">
      <w:bodyDiv w:val="1"/>
      <w:marLeft w:val="0"/>
      <w:marRight w:val="0"/>
      <w:marTop w:val="0"/>
      <w:marBottom w:val="0"/>
      <w:divBdr>
        <w:top w:val="none" w:sz="0" w:space="0" w:color="auto"/>
        <w:left w:val="none" w:sz="0" w:space="0" w:color="auto"/>
        <w:bottom w:val="none" w:sz="0" w:space="0" w:color="auto"/>
        <w:right w:val="none" w:sz="0" w:space="0" w:color="auto"/>
      </w:divBdr>
    </w:div>
    <w:div w:id="217785448">
      <w:bodyDiv w:val="1"/>
      <w:marLeft w:val="0"/>
      <w:marRight w:val="0"/>
      <w:marTop w:val="0"/>
      <w:marBottom w:val="0"/>
      <w:divBdr>
        <w:top w:val="none" w:sz="0" w:space="0" w:color="auto"/>
        <w:left w:val="none" w:sz="0" w:space="0" w:color="auto"/>
        <w:bottom w:val="none" w:sz="0" w:space="0" w:color="auto"/>
        <w:right w:val="none" w:sz="0" w:space="0" w:color="auto"/>
      </w:divBdr>
    </w:div>
    <w:div w:id="306593376">
      <w:bodyDiv w:val="1"/>
      <w:marLeft w:val="0"/>
      <w:marRight w:val="0"/>
      <w:marTop w:val="0"/>
      <w:marBottom w:val="0"/>
      <w:divBdr>
        <w:top w:val="none" w:sz="0" w:space="0" w:color="auto"/>
        <w:left w:val="none" w:sz="0" w:space="0" w:color="auto"/>
        <w:bottom w:val="none" w:sz="0" w:space="0" w:color="auto"/>
        <w:right w:val="none" w:sz="0" w:space="0" w:color="auto"/>
      </w:divBdr>
    </w:div>
    <w:div w:id="323512339">
      <w:bodyDiv w:val="1"/>
      <w:marLeft w:val="0"/>
      <w:marRight w:val="0"/>
      <w:marTop w:val="0"/>
      <w:marBottom w:val="0"/>
      <w:divBdr>
        <w:top w:val="none" w:sz="0" w:space="0" w:color="auto"/>
        <w:left w:val="none" w:sz="0" w:space="0" w:color="auto"/>
        <w:bottom w:val="none" w:sz="0" w:space="0" w:color="auto"/>
        <w:right w:val="none" w:sz="0" w:space="0" w:color="auto"/>
      </w:divBdr>
    </w:div>
    <w:div w:id="341399105">
      <w:bodyDiv w:val="1"/>
      <w:marLeft w:val="0"/>
      <w:marRight w:val="0"/>
      <w:marTop w:val="0"/>
      <w:marBottom w:val="0"/>
      <w:divBdr>
        <w:top w:val="none" w:sz="0" w:space="0" w:color="auto"/>
        <w:left w:val="none" w:sz="0" w:space="0" w:color="auto"/>
        <w:bottom w:val="none" w:sz="0" w:space="0" w:color="auto"/>
        <w:right w:val="none" w:sz="0" w:space="0" w:color="auto"/>
      </w:divBdr>
      <w:divsChild>
        <w:div w:id="1608731173">
          <w:marLeft w:val="0"/>
          <w:marRight w:val="0"/>
          <w:marTop w:val="0"/>
          <w:marBottom w:val="0"/>
          <w:divBdr>
            <w:top w:val="none" w:sz="0" w:space="0" w:color="auto"/>
            <w:left w:val="none" w:sz="0" w:space="0" w:color="auto"/>
            <w:bottom w:val="none" w:sz="0" w:space="0" w:color="auto"/>
            <w:right w:val="none" w:sz="0" w:space="0" w:color="auto"/>
          </w:divBdr>
          <w:divsChild>
            <w:div w:id="1149901668">
              <w:marLeft w:val="0"/>
              <w:marRight w:val="0"/>
              <w:marTop w:val="0"/>
              <w:marBottom w:val="0"/>
              <w:divBdr>
                <w:top w:val="none" w:sz="0" w:space="0" w:color="auto"/>
                <w:left w:val="none" w:sz="0" w:space="0" w:color="auto"/>
                <w:bottom w:val="none" w:sz="0" w:space="0" w:color="auto"/>
                <w:right w:val="none" w:sz="0" w:space="0" w:color="auto"/>
              </w:divBdr>
              <w:divsChild>
                <w:div w:id="478964285">
                  <w:marLeft w:val="0"/>
                  <w:marRight w:val="0"/>
                  <w:marTop w:val="181"/>
                  <w:marBottom w:val="181"/>
                  <w:divBdr>
                    <w:top w:val="none" w:sz="0" w:space="0" w:color="auto"/>
                    <w:left w:val="none" w:sz="0" w:space="0" w:color="auto"/>
                    <w:bottom w:val="none" w:sz="0" w:space="0" w:color="auto"/>
                    <w:right w:val="none" w:sz="0" w:space="0" w:color="auto"/>
                  </w:divBdr>
                  <w:divsChild>
                    <w:div w:id="928344332">
                      <w:marLeft w:val="0"/>
                      <w:marRight w:val="0"/>
                      <w:marTop w:val="0"/>
                      <w:marBottom w:val="0"/>
                      <w:divBdr>
                        <w:top w:val="none" w:sz="0" w:space="0" w:color="auto"/>
                        <w:left w:val="none" w:sz="0" w:space="0" w:color="auto"/>
                        <w:bottom w:val="none" w:sz="0" w:space="0" w:color="auto"/>
                        <w:right w:val="none" w:sz="0" w:space="0" w:color="auto"/>
                      </w:divBdr>
                      <w:divsChild>
                        <w:div w:id="506989106">
                          <w:marLeft w:val="0"/>
                          <w:marRight w:val="0"/>
                          <w:marTop w:val="0"/>
                          <w:marBottom w:val="0"/>
                          <w:divBdr>
                            <w:top w:val="none" w:sz="0" w:space="0" w:color="auto"/>
                            <w:left w:val="none" w:sz="0" w:space="0" w:color="auto"/>
                            <w:bottom w:val="none" w:sz="0" w:space="0" w:color="auto"/>
                            <w:right w:val="none" w:sz="0" w:space="0" w:color="auto"/>
                          </w:divBdr>
                        </w:div>
                        <w:div w:id="94531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05899">
      <w:bodyDiv w:val="1"/>
      <w:marLeft w:val="0"/>
      <w:marRight w:val="0"/>
      <w:marTop w:val="0"/>
      <w:marBottom w:val="0"/>
      <w:divBdr>
        <w:top w:val="none" w:sz="0" w:space="0" w:color="auto"/>
        <w:left w:val="none" w:sz="0" w:space="0" w:color="auto"/>
        <w:bottom w:val="none" w:sz="0" w:space="0" w:color="auto"/>
        <w:right w:val="none" w:sz="0" w:space="0" w:color="auto"/>
      </w:divBdr>
      <w:divsChild>
        <w:div w:id="528761498">
          <w:marLeft w:val="0"/>
          <w:marRight w:val="0"/>
          <w:marTop w:val="0"/>
          <w:marBottom w:val="0"/>
          <w:divBdr>
            <w:top w:val="none" w:sz="0" w:space="0" w:color="auto"/>
            <w:left w:val="none" w:sz="0" w:space="0" w:color="auto"/>
            <w:bottom w:val="none" w:sz="0" w:space="0" w:color="auto"/>
            <w:right w:val="none" w:sz="0" w:space="0" w:color="auto"/>
          </w:divBdr>
          <w:divsChild>
            <w:div w:id="1669281820">
              <w:marLeft w:val="0"/>
              <w:marRight w:val="0"/>
              <w:marTop w:val="0"/>
              <w:marBottom w:val="0"/>
              <w:divBdr>
                <w:top w:val="none" w:sz="0" w:space="0" w:color="auto"/>
                <w:left w:val="none" w:sz="0" w:space="0" w:color="auto"/>
                <w:bottom w:val="none" w:sz="0" w:space="0" w:color="auto"/>
                <w:right w:val="none" w:sz="0" w:space="0" w:color="auto"/>
              </w:divBdr>
              <w:divsChild>
                <w:div w:id="1445034248">
                  <w:marLeft w:val="0"/>
                  <w:marRight w:val="0"/>
                  <w:marTop w:val="0"/>
                  <w:marBottom w:val="0"/>
                  <w:divBdr>
                    <w:top w:val="none" w:sz="0" w:space="0" w:color="auto"/>
                    <w:left w:val="none" w:sz="0" w:space="0" w:color="auto"/>
                    <w:bottom w:val="none" w:sz="0" w:space="0" w:color="auto"/>
                    <w:right w:val="none" w:sz="0" w:space="0" w:color="auto"/>
                  </w:divBdr>
                  <w:divsChild>
                    <w:div w:id="1005209120">
                      <w:marLeft w:val="0"/>
                      <w:marRight w:val="0"/>
                      <w:marTop w:val="0"/>
                      <w:marBottom w:val="0"/>
                      <w:divBdr>
                        <w:top w:val="none" w:sz="0" w:space="0" w:color="auto"/>
                        <w:left w:val="none" w:sz="0" w:space="0" w:color="auto"/>
                        <w:bottom w:val="none" w:sz="0" w:space="0" w:color="auto"/>
                        <w:right w:val="none" w:sz="0" w:space="0" w:color="auto"/>
                      </w:divBdr>
                      <w:divsChild>
                        <w:div w:id="530922490">
                          <w:marLeft w:val="0"/>
                          <w:marRight w:val="0"/>
                          <w:marTop w:val="0"/>
                          <w:marBottom w:val="0"/>
                          <w:divBdr>
                            <w:top w:val="none" w:sz="0" w:space="0" w:color="auto"/>
                            <w:left w:val="none" w:sz="0" w:space="0" w:color="auto"/>
                            <w:bottom w:val="none" w:sz="0" w:space="0" w:color="auto"/>
                            <w:right w:val="none" w:sz="0" w:space="0" w:color="auto"/>
                          </w:divBdr>
                        </w:div>
                        <w:div w:id="277881606">
                          <w:marLeft w:val="0"/>
                          <w:marRight w:val="0"/>
                          <w:marTop w:val="0"/>
                          <w:marBottom w:val="0"/>
                          <w:divBdr>
                            <w:top w:val="none" w:sz="0" w:space="0" w:color="auto"/>
                            <w:left w:val="none" w:sz="0" w:space="0" w:color="auto"/>
                            <w:bottom w:val="none" w:sz="0" w:space="0" w:color="auto"/>
                            <w:right w:val="none" w:sz="0" w:space="0" w:color="auto"/>
                          </w:divBdr>
                          <w:divsChild>
                            <w:div w:id="278344621">
                              <w:marLeft w:val="0"/>
                              <w:marRight w:val="0"/>
                              <w:marTop w:val="0"/>
                              <w:marBottom w:val="0"/>
                              <w:divBdr>
                                <w:top w:val="none" w:sz="0" w:space="0" w:color="auto"/>
                                <w:left w:val="none" w:sz="0" w:space="0" w:color="auto"/>
                                <w:bottom w:val="none" w:sz="0" w:space="0" w:color="auto"/>
                                <w:right w:val="none" w:sz="0" w:space="0" w:color="auto"/>
                              </w:divBdr>
                            </w:div>
                          </w:divsChild>
                        </w:div>
                        <w:div w:id="827284428">
                          <w:marLeft w:val="0"/>
                          <w:marRight w:val="0"/>
                          <w:marTop w:val="0"/>
                          <w:marBottom w:val="0"/>
                          <w:divBdr>
                            <w:top w:val="none" w:sz="0" w:space="0" w:color="auto"/>
                            <w:left w:val="none" w:sz="0" w:space="0" w:color="auto"/>
                            <w:bottom w:val="none" w:sz="0" w:space="0" w:color="auto"/>
                            <w:right w:val="none" w:sz="0" w:space="0" w:color="auto"/>
                          </w:divBdr>
                          <w:divsChild>
                            <w:div w:id="1013804801">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sChild>
                </w:div>
              </w:divsChild>
            </w:div>
          </w:divsChild>
        </w:div>
      </w:divsChild>
    </w:div>
    <w:div w:id="457114700">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86240815">
      <w:bodyDiv w:val="1"/>
      <w:marLeft w:val="0"/>
      <w:marRight w:val="0"/>
      <w:marTop w:val="0"/>
      <w:marBottom w:val="0"/>
      <w:divBdr>
        <w:top w:val="none" w:sz="0" w:space="0" w:color="auto"/>
        <w:left w:val="none" w:sz="0" w:space="0" w:color="auto"/>
        <w:bottom w:val="none" w:sz="0" w:space="0" w:color="auto"/>
        <w:right w:val="none" w:sz="0" w:space="0" w:color="auto"/>
      </w:divBdr>
    </w:div>
    <w:div w:id="528614042">
      <w:bodyDiv w:val="1"/>
      <w:marLeft w:val="0"/>
      <w:marRight w:val="0"/>
      <w:marTop w:val="0"/>
      <w:marBottom w:val="0"/>
      <w:divBdr>
        <w:top w:val="none" w:sz="0" w:space="0" w:color="auto"/>
        <w:left w:val="none" w:sz="0" w:space="0" w:color="auto"/>
        <w:bottom w:val="none" w:sz="0" w:space="0" w:color="auto"/>
        <w:right w:val="none" w:sz="0" w:space="0" w:color="auto"/>
      </w:divBdr>
      <w:divsChild>
        <w:div w:id="1322925768">
          <w:marLeft w:val="0"/>
          <w:marRight w:val="0"/>
          <w:marTop w:val="240"/>
          <w:marBottom w:val="480"/>
          <w:divBdr>
            <w:top w:val="none" w:sz="0" w:space="0" w:color="auto"/>
            <w:left w:val="none" w:sz="0" w:space="0" w:color="auto"/>
            <w:bottom w:val="none" w:sz="0" w:space="0" w:color="auto"/>
            <w:right w:val="none" w:sz="0" w:space="0" w:color="auto"/>
          </w:divBdr>
          <w:divsChild>
            <w:div w:id="1766881217">
              <w:marLeft w:val="0"/>
              <w:marRight w:val="0"/>
              <w:marTop w:val="0"/>
              <w:marBottom w:val="0"/>
              <w:divBdr>
                <w:top w:val="none" w:sz="0" w:space="0" w:color="auto"/>
                <w:left w:val="none" w:sz="0" w:space="0" w:color="auto"/>
                <w:bottom w:val="none" w:sz="0" w:space="0" w:color="auto"/>
                <w:right w:val="none" w:sz="0" w:space="0" w:color="auto"/>
              </w:divBdr>
              <w:divsChild>
                <w:div w:id="609897390">
                  <w:marLeft w:val="0"/>
                  <w:marRight w:val="0"/>
                  <w:marTop w:val="0"/>
                  <w:marBottom w:val="0"/>
                  <w:divBdr>
                    <w:top w:val="none" w:sz="0" w:space="0" w:color="auto"/>
                    <w:left w:val="none" w:sz="0" w:space="0" w:color="auto"/>
                    <w:bottom w:val="none" w:sz="0" w:space="0" w:color="auto"/>
                    <w:right w:val="none" w:sz="0" w:space="0" w:color="auto"/>
                  </w:divBdr>
                  <w:divsChild>
                    <w:div w:id="404576043">
                      <w:marLeft w:val="0"/>
                      <w:marRight w:val="0"/>
                      <w:marTop w:val="0"/>
                      <w:marBottom w:val="0"/>
                      <w:divBdr>
                        <w:top w:val="none" w:sz="0" w:space="0" w:color="auto"/>
                        <w:left w:val="none" w:sz="0" w:space="0" w:color="auto"/>
                        <w:bottom w:val="none" w:sz="0" w:space="0" w:color="auto"/>
                        <w:right w:val="none" w:sz="0" w:space="0" w:color="auto"/>
                      </w:divBdr>
                      <w:divsChild>
                        <w:div w:id="121295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676312">
      <w:bodyDiv w:val="1"/>
      <w:marLeft w:val="0"/>
      <w:marRight w:val="0"/>
      <w:marTop w:val="0"/>
      <w:marBottom w:val="0"/>
      <w:divBdr>
        <w:top w:val="none" w:sz="0" w:space="0" w:color="auto"/>
        <w:left w:val="none" w:sz="0" w:space="0" w:color="auto"/>
        <w:bottom w:val="none" w:sz="0" w:space="0" w:color="auto"/>
        <w:right w:val="none" w:sz="0" w:space="0" w:color="auto"/>
      </w:divBdr>
    </w:div>
    <w:div w:id="591666314">
      <w:bodyDiv w:val="1"/>
      <w:marLeft w:val="0"/>
      <w:marRight w:val="0"/>
      <w:marTop w:val="0"/>
      <w:marBottom w:val="0"/>
      <w:divBdr>
        <w:top w:val="none" w:sz="0" w:space="0" w:color="auto"/>
        <w:left w:val="none" w:sz="0" w:space="0" w:color="auto"/>
        <w:bottom w:val="none" w:sz="0" w:space="0" w:color="auto"/>
        <w:right w:val="none" w:sz="0" w:space="0" w:color="auto"/>
      </w:divBdr>
    </w:div>
    <w:div w:id="616331402">
      <w:bodyDiv w:val="1"/>
      <w:marLeft w:val="0"/>
      <w:marRight w:val="0"/>
      <w:marTop w:val="0"/>
      <w:marBottom w:val="0"/>
      <w:divBdr>
        <w:top w:val="none" w:sz="0" w:space="0" w:color="auto"/>
        <w:left w:val="none" w:sz="0" w:space="0" w:color="auto"/>
        <w:bottom w:val="none" w:sz="0" w:space="0" w:color="auto"/>
        <w:right w:val="none" w:sz="0" w:space="0" w:color="auto"/>
      </w:divBdr>
    </w:div>
    <w:div w:id="727805477">
      <w:bodyDiv w:val="1"/>
      <w:marLeft w:val="0"/>
      <w:marRight w:val="0"/>
      <w:marTop w:val="0"/>
      <w:marBottom w:val="0"/>
      <w:divBdr>
        <w:top w:val="none" w:sz="0" w:space="0" w:color="auto"/>
        <w:left w:val="none" w:sz="0" w:space="0" w:color="auto"/>
        <w:bottom w:val="none" w:sz="0" w:space="0" w:color="auto"/>
        <w:right w:val="none" w:sz="0" w:space="0" w:color="auto"/>
      </w:divBdr>
    </w:div>
    <w:div w:id="843594993">
      <w:bodyDiv w:val="1"/>
      <w:marLeft w:val="0"/>
      <w:marRight w:val="0"/>
      <w:marTop w:val="0"/>
      <w:marBottom w:val="0"/>
      <w:divBdr>
        <w:top w:val="none" w:sz="0" w:space="0" w:color="auto"/>
        <w:left w:val="none" w:sz="0" w:space="0" w:color="auto"/>
        <w:bottom w:val="none" w:sz="0" w:space="0" w:color="auto"/>
        <w:right w:val="none" w:sz="0" w:space="0" w:color="auto"/>
      </w:divBdr>
      <w:divsChild>
        <w:div w:id="51006871">
          <w:marLeft w:val="0"/>
          <w:marRight w:val="0"/>
          <w:marTop w:val="0"/>
          <w:marBottom w:val="0"/>
          <w:divBdr>
            <w:top w:val="none" w:sz="0" w:space="0" w:color="auto"/>
            <w:left w:val="none" w:sz="0" w:space="0" w:color="auto"/>
            <w:bottom w:val="none" w:sz="0" w:space="0" w:color="auto"/>
            <w:right w:val="none" w:sz="0" w:space="0" w:color="auto"/>
          </w:divBdr>
        </w:div>
        <w:div w:id="745079437">
          <w:marLeft w:val="0"/>
          <w:marRight w:val="0"/>
          <w:marTop w:val="0"/>
          <w:marBottom w:val="0"/>
          <w:divBdr>
            <w:top w:val="none" w:sz="0" w:space="0" w:color="auto"/>
            <w:left w:val="none" w:sz="0" w:space="0" w:color="auto"/>
            <w:bottom w:val="none" w:sz="0" w:space="0" w:color="auto"/>
            <w:right w:val="none" w:sz="0" w:space="0" w:color="auto"/>
          </w:divBdr>
        </w:div>
        <w:div w:id="1177379273">
          <w:marLeft w:val="0"/>
          <w:marRight w:val="0"/>
          <w:marTop w:val="0"/>
          <w:marBottom w:val="0"/>
          <w:divBdr>
            <w:top w:val="none" w:sz="0" w:space="0" w:color="auto"/>
            <w:left w:val="none" w:sz="0" w:space="0" w:color="auto"/>
            <w:bottom w:val="none" w:sz="0" w:space="0" w:color="auto"/>
            <w:right w:val="none" w:sz="0" w:space="0" w:color="auto"/>
          </w:divBdr>
        </w:div>
        <w:div w:id="1242721159">
          <w:marLeft w:val="0"/>
          <w:marRight w:val="0"/>
          <w:marTop w:val="0"/>
          <w:marBottom w:val="0"/>
          <w:divBdr>
            <w:top w:val="none" w:sz="0" w:space="0" w:color="auto"/>
            <w:left w:val="none" w:sz="0" w:space="0" w:color="auto"/>
            <w:bottom w:val="none" w:sz="0" w:space="0" w:color="auto"/>
            <w:right w:val="none" w:sz="0" w:space="0" w:color="auto"/>
          </w:divBdr>
        </w:div>
        <w:div w:id="1505434739">
          <w:marLeft w:val="0"/>
          <w:marRight w:val="0"/>
          <w:marTop w:val="0"/>
          <w:marBottom w:val="0"/>
          <w:divBdr>
            <w:top w:val="none" w:sz="0" w:space="0" w:color="auto"/>
            <w:left w:val="none" w:sz="0" w:space="0" w:color="auto"/>
            <w:bottom w:val="none" w:sz="0" w:space="0" w:color="auto"/>
            <w:right w:val="none" w:sz="0" w:space="0" w:color="auto"/>
          </w:divBdr>
        </w:div>
        <w:div w:id="1975868389">
          <w:marLeft w:val="0"/>
          <w:marRight w:val="0"/>
          <w:marTop w:val="0"/>
          <w:marBottom w:val="0"/>
          <w:divBdr>
            <w:top w:val="none" w:sz="0" w:space="0" w:color="auto"/>
            <w:left w:val="none" w:sz="0" w:space="0" w:color="auto"/>
            <w:bottom w:val="none" w:sz="0" w:space="0" w:color="auto"/>
            <w:right w:val="none" w:sz="0" w:space="0" w:color="auto"/>
          </w:divBdr>
        </w:div>
        <w:div w:id="1999577062">
          <w:marLeft w:val="0"/>
          <w:marRight w:val="0"/>
          <w:marTop w:val="0"/>
          <w:marBottom w:val="0"/>
          <w:divBdr>
            <w:top w:val="none" w:sz="0" w:space="0" w:color="auto"/>
            <w:left w:val="none" w:sz="0" w:space="0" w:color="auto"/>
            <w:bottom w:val="none" w:sz="0" w:space="0" w:color="auto"/>
            <w:right w:val="none" w:sz="0" w:space="0" w:color="auto"/>
          </w:divBdr>
        </w:div>
        <w:div w:id="2066568033">
          <w:marLeft w:val="0"/>
          <w:marRight w:val="0"/>
          <w:marTop w:val="0"/>
          <w:marBottom w:val="0"/>
          <w:divBdr>
            <w:top w:val="none" w:sz="0" w:space="0" w:color="auto"/>
            <w:left w:val="none" w:sz="0" w:space="0" w:color="auto"/>
            <w:bottom w:val="none" w:sz="0" w:space="0" w:color="auto"/>
            <w:right w:val="none" w:sz="0" w:space="0" w:color="auto"/>
          </w:divBdr>
        </w:div>
      </w:divsChild>
    </w:div>
    <w:div w:id="878054371">
      <w:bodyDiv w:val="1"/>
      <w:marLeft w:val="0"/>
      <w:marRight w:val="0"/>
      <w:marTop w:val="0"/>
      <w:marBottom w:val="0"/>
      <w:divBdr>
        <w:top w:val="none" w:sz="0" w:space="0" w:color="auto"/>
        <w:left w:val="none" w:sz="0" w:space="0" w:color="auto"/>
        <w:bottom w:val="none" w:sz="0" w:space="0" w:color="auto"/>
        <w:right w:val="none" w:sz="0" w:space="0" w:color="auto"/>
      </w:divBdr>
    </w:div>
    <w:div w:id="891581017">
      <w:bodyDiv w:val="1"/>
      <w:marLeft w:val="0"/>
      <w:marRight w:val="0"/>
      <w:marTop w:val="0"/>
      <w:marBottom w:val="0"/>
      <w:divBdr>
        <w:top w:val="none" w:sz="0" w:space="0" w:color="auto"/>
        <w:left w:val="none" w:sz="0" w:space="0" w:color="auto"/>
        <w:bottom w:val="none" w:sz="0" w:space="0" w:color="auto"/>
        <w:right w:val="none" w:sz="0" w:space="0" w:color="auto"/>
      </w:divBdr>
    </w:div>
    <w:div w:id="905190397">
      <w:bodyDiv w:val="1"/>
      <w:marLeft w:val="0"/>
      <w:marRight w:val="0"/>
      <w:marTop w:val="0"/>
      <w:marBottom w:val="0"/>
      <w:divBdr>
        <w:top w:val="none" w:sz="0" w:space="0" w:color="auto"/>
        <w:left w:val="none" w:sz="0" w:space="0" w:color="auto"/>
        <w:bottom w:val="none" w:sz="0" w:space="0" w:color="auto"/>
        <w:right w:val="none" w:sz="0" w:space="0" w:color="auto"/>
      </w:divBdr>
    </w:div>
    <w:div w:id="909998922">
      <w:bodyDiv w:val="1"/>
      <w:marLeft w:val="0"/>
      <w:marRight w:val="0"/>
      <w:marTop w:val="0"/>
      <w:marBottom w:val="0"/>
      <w:divBdr>
        <w:top w:val="none" w:sz="0" w:space="0" w:color="auto"/>
        <w:left w:val="none" w:sz="0" w:space="0" w:color="auto"/>
        <w:bottom w:val="none" w:sz="0" w:space="0" w:color="auto"/>
        <w:right w:val="none" w:sz="0" w:space="0" w:color="auto"/>
      </w:divBdr>
    </w:div>
    <w:div w:id="979000349">
      <w:bodyDiv w:val="1"/>
      <w:marLeft w:val="0"/>
      <w:marRight w:val="0"/>
      <w:marTop w:val="0"/>
      <w:marBottom w:val="0"/>
      <w:divBdr>
        <w:top w:val="none" w:sz="0" w:space="0" w:color="auto"/>
        <w:left w:val="none" w:sz="0" w:space="0" w:color="auto"/>
        <w:bottom w:val="none" w:sz="0" w:space="0" w:color="auto"/>
        <w:right w:val="none" w:sz="0" w:space="0" w:color="auto"/>
      </w:divBdr>
      <w:divsChild>
        <w:div w:id="1939948497">
          <w:marLeft w:val="0"/>
          <w:marRight w:val="0"/>
          <w:marTop w:val="0"/>
          <w:marBottom w:val="0"/>
          <w:divBdr>
            <w:top w:val="none" w:sz="0" w:space="0" w:color="auto"/>
            <w:left w:val="none" w:sz="0" w:space="0" w:color="auto"/>
            <w:bottom w:val="none" w:sz="0" w:space="0" w:color="auto"/>
            <w:right w:val="none" w:sz="0" w:space="0" w:color="auto"/>
          </w:divBdr>
          <w:divsChild>
            <w:div w:id="274603473">
              <w:marLeft w:val="0"/>
              <w:marRight w:val="0"/>
              <w:marTop w:val="0"/>
              <w:marBottom w:val="0"/>
              <w:divBdr>
                <w:top w:val="none" w:sz="0" w:space="0" w:color="auto"/>
                <w:left w:val="none" w:sz="0" w:space="0" w:color="auto"/>
                <w:bottom w:val="none" w:sz="0" w:space="0" w:color="auto"/>
                <w:right w:val="none" w:sz="0" w:space="0" w:color="auto"/>
              </w:divBdr>
              <w:divsChild>
                <w:div w:id="395981101">
                  <w:marLeft w:val="0"/>
                  <w:marRight w:val="0"/>
                  <w:marTop w:val="0"/>
                  <w:marBottom w:val="0"/>
                  <w:divBdr>
                    <w:top w:val="none" w:sz="0" w:space="0" w:color="auto"/>
                    <w:left w:val="none" w:sz="0" w:space="0" w:color="auto"/>
                    <w:bottom w:val="none" w:sz="0" w:space="0" w:color="auto"/>
                    <w:right w:val="none" w:sz="0" w:space="0" w:color="auto"/>
                  </w:divBdr>
                  <w:divsChild>
                    <w:div w:id="923034054">
                      <w:marLeft w:val="0"/>
                      <w:marRight w:val="0"/>
                      <w:marTop w:val="0"/>
                      <w:marBottom w:val="0"/>
                      <w:divBdr>
                        <w:top w:val="none" w:sz="0" w:space="0" w:color="auto"/>
                        <w:left w:val="none" w:sz="0" w:space="0" w:color="auto"/>
                        <w:bottom w:val="none" w:sz="0" w:space="0" w:color="auto"/>
                        <w:right w:val="none" w:sz="0" w:space="0" w:color="auto"/>
                      </w:divBdr>
                      <w:divsChild>
                        <w:div w:id="516114875">
                          <w:marLeft w:val="0"/>
                          <w:marRight w:val="0"/>
                          <w:marTop w:val="0"/>
                          <w:marBottom w:val="0"/>
                          <w:divBdr>
                            <w:top w:val="none" w:sz="0" w:space="0" w:color="auto"/>
                            <w:left w:val="none" w:sz="0" w:space="0" w:color="auto"/>
                            <w:bottom w:val="none" w:sz="0" w:space="0" w:color="auto"/>
                            <w:right w:val="none" w:sz="0" w:space="0" w:color="auto"/>
                          </w:divBdr>
                          <w:divsChild>
                            <w:div w:id="1971085716">
                              <w:marLeft w:val="0"/>
                              <w:marRight w:val="0"/>
                              <w:marTop w:val="0"/>
                              <w:marBottom w:val="0"/>
                              <w:divBdr>
                                <w:top w:val="none" w:sz="0" w:space="0" w:color="auto"/>
                                <w:left w:val="none" w:sz="0" w:space="0" w:color="auto"/>
                                <w:bottom w:val="none" w:sz="0" w:space="0" w:color="auto"/>
                                <w:right w:val="none" w:sz="0" w:space="0" w:color="auto"/>
                              </w:divBdr>
                              <w:divsChild>
                                <w:div w:id="561409915">
                                  <w:marLeft w:val="0"/>
                                  <w:marRight w:val="0"/>
                                  <w:marTop w:val="0"/>
                                  <w:marBottom w:val="0"/>
                                  <w:divBdr>
                                    <w:top w:val="none" w:sz="0" w:space="0" w:color="auto"/>
                                    <w:left w:val="none" w:sz="0" w:space="0" w:color="auto"/>
                                    <w:bottom w:val="none" w:sz="0" w:space="0" w:color="auto"/>
                                    <w:right w:val="none" w:sz="0" w:space="0" w:color="auto"/>
                                  </w:divBdr>
                                  <w:divsChild>
                                    <w:div w:id="1311977630">
                                      <w:marLeft w:val="0"/>
                                      <w:marRight w:val="0"/>
                                      <w:marTop w:val="0"/>
                                      <w:marBottom w:val="0"/>
                                      <w:divBdr>
                                        <w:top w:val="none" w:sz="0" w:space="0" w:color="auto"/>
                                        <w:left w:val="none" w:sz="0" w:space="0" w:color="auto"/>
                                        <w:bottom w:val="none" w:sz="0" w:space="0" w:color="auto"/>
                                        <w:right w:val="none" w:sz="0" w:space="0" w:color="auto"/>
                                      </w:divBdr>
                                      <w:divsChild>
                                        <w:div w:id="142283676">
                                          <w:marLeft w:val="0"/>
                                          <w:marRight w:val="0"/>
                                          <w:marTop w:val="0"/>
                                          <w:marBottom w:val="0"/>
                                          <w:divBdr>
                                            <w:top w:val="none" w:sz="0" w:space="0" w:color="auto"/>
                                            <w:left w:val="none" w:sz="0" w:space="0" w:color="auto"/>
                                            <w:bottom w:val="none" w:sz="0" w:space="0" w:color="auto"/>
                                            <w:right w:val="none" w:sz="0" w:space="0" w:color="auto"/>
                                          </w:divBdr>
                                          <w:divsChild>
                                            <w:div w:id="549905">
                                              <w:marLeft w:val="0"/>
                                              <w:marRight w:val="0"/>
                                              <w:marTop w:val="0"/>
                                              <w:marBottom w:val="0"/>
                                              <w:divBdr>
                                                <w:top w:val="none" w:sz="0" w:space="0" w:color="auto"/>
                                                <w:left w:val="none" w:sz="0" w:space="0" w:color="auto"/>
                                                <w:bottom w:val="none" w:sz="0" w:space="0" w:color="auto"/>
                                                <w:right w:val="none" w:sz="0" w:space="0" w:color="auto"/>
                                              </w:divBdr>
                                              <w:divsChild>
                                                <w:div w:id="1894153556">
                                                  <w:marLeft w:val="0"/>
                                                  <w:marRight w:val="0"/>
                                                  <w:marTop w:val="0"/>
                                                  <w:marBottom w:val="0"/>
                                                  <w:divBdr>
                                                    <w:top w:val="none" w:sz="0" w:space="0" w:color="auto"/>
                                                    <w:left w:val="none" w:sz="0" w:space="0" w:color="auto"/>
                                                    <w:bottom w:val="none" w:sz="0" w:space="0" w:color="auto"/>
                                                    <w:right w:val="none" w:sz="0" w:space="0" w:color="auto"/>
                                                  </w:divBdr>
                                                </w:div>
                                                <w:div w:id="6008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907080">
      <w:bodyDiv w:val="1"/>
      <w:marLeft w:val="0"/>
      <w:marRight w:val="0"/>
      <w:marTop w:val="0"/>
      <w:marBottom w:val="0"/>
      <w:divBdr>
        <w:top w:val="none" w:sz="0" w:space="0" w:color="auto"/>
        <w:left w:val="none" w:sz="0" w:space="0" w:color="auto"/>
        <w:bottom w:val="none" w:sz="0" w:space="0" w:color="auto"/>
        <w:right w:val="none" w:sz="0" w:space="0" w:color="auto"/>
      </w:divBdr>
    </w:div>
    <w:div w:id="1026491299">
      <w:bodyDiv w:val="1"/>
      <w:marLeft w:val="0"/>
      <w:marRight w:val="0"/>
      <w:marTop w:val="0"/>
      <w:marBottom w:val="0"/>
      <w:divBdr>
        <w:top w:val="none" w:sz="0" w:space="0" w:color="auto"/>
        <w:left w:val="none" w:sz="0" w:space="0" w:color="auto"/>
        <w:bottom w:val="none" w:sz="0" w:space="0" w:color="auto"/>
        <w:right w:val="none" w:sz="0" w:space="0" w:color="auto"/>
      </w:divBdr>
    </w:div>
    <w:div w:id="1070420568">
      <w:bodyDiv w:val="1"/>
      <w:marLeft w:val="0"/>
      <w:marRight w:val="0"/>
      <w:marTop w:val="0"/>
      <w:marBottom w:val="0"/>
      <w:divBdr>
        <w:top w:val="none" w:sz="0" w:space="0" w:color="auto"/>
        <w:left w:val="none" w:sz="0" w:space="0" w:color="auto"/>
        <w:bottom w:val="none" w:sz="0" w:space="0" w:color="auto"/>
        <w:right w:val="none" w:sz="0" w:space="0" w:color="auto"/>
      </w:divBdr>
    </w:div>
    <w:div w:id="1117530853">
      <w:bodyDiv w:val="1"/>
      <w:marLeft w:val="0"/>
      <w:marRight w:val="0"/>
      <w:marTop w:val="0"/>
      <w:marBottom w:val="0"/>
      <w:divBdr>
        <w:top w:val="none" w:sz="0" w:space="0" w:color="auto"/>
        <w:left w:val="none" w:sz="0" w:space="0" w:color="auto"/>
        <w:bottom w:val="none" w:sz="0" w:space="0" w:color="auto"/>
        <w:right w:val="none" w:sz="0" w:space="0" w:color="auto"/>
      </w:divBdr>
    </w:div>
    <w:div w:id="1310018310">
      <w:bodyDiv w:val="1"/>
      <w:marLeft w:val="0"/>
      <w:marRight w:val="0"/>
      <w:marTop w:val="0"/>
      <w:marBottom w:val="0"/>
      <w:divBdr>
        <w:top w:val="none" w:sz="0" w:space="0" w:color="auto"/>
        <w:left w:val="none" w:sz="0" w:space="0" w:color="auto"/>
        <w:bottom w:val="none" w:sz="0" w:space="0" w:color="auto"/>
        <w:right w:val="none" w:sz="0" w:space="0" w:color="auto"/>
      </w:divBdr>
      <w:divsChild>
        <w:div w:id="245774719">
          <w:marLeft w:val="0"/>
          <w:marRight w:val="0"/>
          <w:marTop w:val="0"/>
          <w:marBottom w:val="0"/>
          <w:divBdr>
            <w:top w:val="none" w:sz="0" w:space="0" w:color="auto"/>
            <w:left w:val="none" w:sz="0" w:space="0" w:color="auto"/>
            <w:bottom w:val="none" w:sz="0" w:space="0" w:color="auto"/>
            <w:right w:val="none" w:sz="0" w:space="0" w:color="auto"/>
          </w:divBdr>
          <w:divsChild>
            <w:div w:id="1439718126">
              <w:marLeft w:val="0"/>
              <w:marRight w:val="0"/>
              <w:marTop w:val="0"/>
              <w:marBottom w:val="0"/>
              <w:divBdr>
                <w:top w:val="none" w:sz="0" w:space="0" w:color="auto"/>
                <w:left w:val="none" w:sz="0" w:space="0" w:color="auto"/>
                <w:bottom w:val="none" w:sz="0" w:space="0" w:color="auto"/>
                <w:right w:val="none" w:sz="0" w:space="0" w:color="auto"/>
              </w:divBdr>
              <w:divsChild>
                <w:div w:id="351299220">
                  <w:marLeft w:val="0"/>
                  <w:marRight w:val="0"/>
                  <w:marTop w:val="225"/>
                  <w:marBottom w:val="0"/>
                  <w:divBdr>
                    <w:top w:val="none" w:sz="0" w:space="0" w:color="auto"/>
                    <w:left w:val="none" w:sz="0" w:space="0" w:color="auto"/>
                    <w:bottom w:val="none" w:sz="0" w:space="0" w:color="auto"/>
                    <w:right w:val="none" w:sz="0" w:space="0" w:color="auto"/>
                  </w:divBdr>
                  <w:divsChild>
                    <w:div w:id="999238309">
                      <w:marLeft w:val="0"/>
                      <w:marRight w:val="0"/>
                      <w:marTop w:val="0"/>
                      <w:marBottom w:val="0"/>
                      <w:divBdr>
                        <w:top w:val="none" w:sz="0" w:space="0" w:color="auto"/>
                        <w:left w:val="none" w:sz="0" w:space="0" w:color="auto"/>
                        <w:bottom w:val="none" w:sz="0" w:space="0" w:color="auto"/>
                        <w:right w:val="none" w:sz="0" w:space="0" w:color="auto"/>
                      </w:divBdr>
                    </w:div>
                  </w:divsChild>
                </w:div>
                <w:div w:id="185946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92249">
      <w:bodyDiv w:val="1"/>
      <w:marLeft w:val="0"/>
      <w:marRight w:val="0"/>
      <w:marTop w:val="0"/>
      <w:marBottom w:val="0"/>
      <w:divBdr>
        <w:top w:val="none" w:sz="0" w:space="0" w:color="auto"/>
        <w:left w:val="none" w:sz="0" w:space="0" w:color="auto"/>
        <w:bottom w:val="none" w:sz="0" w:space="0" w:color="auto"/>
        <w:right w:val="none" w:sz="0" w:space="0" w:color="auto"/>
      </w:divBdr>
      <w:divsChild>
        <w:div w:id="1957711796">
          <w:marLeft w:val="0"/>
          <w:marRight w:val="0"/>
          <w:marTop w:val="0"/>
          <w:marBottom w:val="0"/>
          <w:divBdr>
            <w:top w:val="none" w:sz="0" w:space="0" w:color="auto"/>
            <w:left w:val="none" w:sz="0" w:space="0" w:color="auto"/>
            <w:bottom w:val="none" w:sz="0" w:space="0" w:color="auto"/>
            <w:right w:val="none" w:sz="0" w:space="0" w:color="auto"/>
          </w:divBdr>
          <w:divsChild>
            <w:div w:id="665592988">
              <w:marLeft w:val="0"/>
              <w:marRight w:val="0"/>
              <w:marTop w:val="0"/>
              <w:marBottom w:val="0"/>
              <w:divBdr>
                <w:top w:val="none" w:sz="0" w:space="0" w:color="auto"/>
                <w:left w:val="none" w:sz="0" w:space="0" w:color="auto"/>
                <w:bottom w:val="none" w:sz="0" w:space="0" w:color="auto"/>
                <w:right w:val="none" w:sz="0" w:space="0" w:color="auto"/>
              </w:divBdr>
              <w:divsChild>
                <w:div w:id="1578636217">
                  <w:marLeft w:val="0"/>
                  <w:marRight w:val="0"/>
                  <w:marTop w:val="0"/>
                  <w:marBottom w:val="0"/>
                  <w:divBdr>
                    <w:top w:val="none" w:sz="0" w:space="0" w:color="auto"/>
                    <w:left w:val="none" w:sz="0" w:space="0" w:color="auto"/>
                    <w:bottom w:val="none" w:sz="0" w:space="0" w:color="auto"/>
                    <w:right w:val="none" w:sz="0" w:space="0" w:color="auto"/>
                  </w:divBdr>
                  <w:divsChild>
                    <w:div w:id="392966905">
                      <w:marLeft w:val="0"/>
                      <w:marRight w:val="0"/>
                      <w:marTop w:val="0"/>
                      <w:marBottom w:val="0"/>
                      <w:divBdr>
                        <w:top w:val="none" w:sz="0" w:space="0" w:color="auto"/>
                        <w:left w:val="none" w:sz="0" w:space="0" w:color="auto"/>
                        <w:bottom w:val="none" w:sz="0" w:space="0" w:color="auto"/>
                        <w:right w:val="none" w:sz="0" w:space="0" w:color="auto"/>
                      </w:divBdr>
                      <w:divsChild>
                        <w:div w:id="1034427821">
                          <w:marLeft w:val="0"/>
                          <w:marRight w:val="0"/>
                          <w:marTop w:val="0"/>
                          <w:marBottom w:val="0"/>
                          <w:divBdr>
                            <w:top w:val="none" w:sz="0" w:space="0" w:color="auto"/>
                            <w:left w:val="none" w:sz="0" w:space="0" w:color="auto"/>
                            <w:bottom w:val="none" w:sz="0" w:space="0" w:color="auto"/>
                            <w:right w:val="none" w:sz="0" w:space="0" w:color="auto"/>
                          </w:divBdr>
                        </w:div>
                      </w:divsChild>
                    </w:div>
                    <w:div w:id="495851095">
                      <w:marLeft w:val="0"/>
                      <w:marRight w:val="0"/>
                      <w:marTop w:val="0"/>
                      <w:marBottom w:val="0"/>
                      <w:divBdr>
                        <w:top w:val="none" w:sz="0" w:space="0" w:color="auto"/>
                        <w:left w:val="none" w:sz="0" w:space="0" w:color="auto"/>
                        <w:bottom w:val="none" w:sz="0" w:space="0" w:color="auto"/>
                        <w:right w:val="none" w:sz="0" w:space="0" w:color="auto"/>
                      </w:divBdr>
                    </w:div>
                    <w:div w:id="270163601">
                      <w:marLeft w:val="0"/>
                      <w:marRight w:val="0"/>
                      <w:marTop w:val="0"/>
                      <w:marBottom w:val="0"/>
                      <w:divBdr>
                        <w:top w:val="none" w:sz="0" w:space="0" w:color="auto"/>
                        <w:left w:val="none" w:sz="0" w:space="0" w:color="auto"/>
                        <w:bottom w:val="none" w:sz="0" w:space="0" w:color="auto"/>
                        <w:right w:val="none" w:sz="0" w:space="0" w:color="auto"/>
                      </w:divBdr>
                    </w:div>
                    <w:div w:id="303200035">
                      <w:marLeft w:val="0"/>
                      <w:marRight w:val="0"/>
                      <w:marTop w:val="0"/>
                      <w:marBottom w:val="0"/>
                      <w:divBdr>
                        <w:top w:val="none" w:sz="0" w:space="0" w:color="auto"/>
                        <w:left w:val="none" w:sz="0" w:space="0" w:color="auto"/>
                        <w:bottom w:val="none" w:sz="0" w:space="0" w:color="auto"/>
                        <w:right w:val="none" w:sz="0" w:space="0" w:color="auto"/>
                      </w:divBdr>
                    </w:div>
                    <w:div w:id="589895340">
                      <w:marLeft w:val="0"/>
                      <w:marRight w:val="0"/>
                      <w:marTop w:val="0"/>
                      <w:marBottom w:val="0"/>
                      <w:divBdr>
                        <w:top w:val="none" w:sz="0" w:space="0" w:color="auto"/>
                        <w:left w:val="none" w:sz="0" w:space="0" w:color="auto"/>
                        <w:bottom w:val="none" w:sz="0" w:space="0" w:color="auto"/>
                        <w:right w:val="none" w:sz="0" w:space="0" w:color="auto"/>
                      </w:divBdr>
                    </w:div>
                    <w:div w:id="1292437168">
                      <w:marLeft w:val="0"/>
                      <w:marRight w:val="0"/>
                      <w:marTop w:val="0"/>
                      <w:marBottom w:val="0"/>
                      <w:divBdr>
                        <w:top w:val="none" w:sz="0" w:space="0" w:color="auto"/>
                        <w:left w:val="none" w:sz="0" w:space="0" w:color="auto"/>
                        <w:bottom w:val="none" w:sz="0" w:space="0" w:color="auto"/>
                        <w:right w:val="none" w:sz="0" w:space="0" w:color="auto"/>
                      </w:divBdr>
                    </w:div>
                    <w:div w:id="1473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342614">
      <w:bodyDiv w:val="1"/>
      <w:marLeft w:val="0"/>
      <w:marRight w:val="0"/>
      <w:marTop w:val="0"/>
      <w:marBottom w:val="0"/>
      <w:divBdr>
        <w:top w:val="none" w:sz="0" w:space="0" w:color="auto"/>
        <w:left w:val="none" w:sz="0" w:space="0" w:color="auto"/>
        <w:bottom w:val="none" w:sz="0" w:space="0" w:color="auto"/>
        <w:right w:val="none" w:sz="0" w:space="0" w:color="auto"/>
      </w:divBdr>
      <w:divsChild>
        <w:div w:id="1751075591">
          <w:marLeft w:val="0"/>
          <w:marRight w:val="0"/>
          <w:marTop w:val="0"/>
          <w:marBottom w:val="0"/>
          <w:divBdr>
            <w:top w:val="none" w:sz="0" w:space="0" w:color="auto"/>
            <w:left w:val="none" w:sz="0" w:space="0" w:color="auto"/>
            <w:bottom w:val="none" w:sz="0" w:space="0" w:color="auto"/>
            <w:right w:val="none" w:sz="0" w:space="0" w:color="auto"/>
          </w:divBdr>
          <w:divsChild>
            <w:div w:id="2082676474">
              <w:marLeft w:val="0"/>
              <w:marRight w:val="0"/>
              <w:marTop w:val="100"/>
              <w:marBottom w:val="100"/>
              <w:divBdr>
                <w:top w:val="none" w:sz="0" w:space="0" w:color="auto"/>
                <w:left w:val="none" w:sz="0" w:space="0" w:color="auto"/>
                <w:bottom w:val="none" w:sz="0" w:space="0" w:color="auto"/>
                <w:right w:val="none" w:sz="0" w:space="0" w:color="auto"/>
              </w:divBdr>
              <w:divsChild>
                <w:div w:id="1145661607">
                  <w:marLeft w:val="0"/>
                  <w:marRight w:val="0"/>
                  <w:marTop w:val="0"/>
                  <w:marBottom w:val="0"/>
                  <w:divBdr>
                    <w:top w:val="none" w:sz="0" w:space="0" w:color="auto"/>
                    <w:left w:val="none" w:sz="0" w:space="0" w:color="auto"/>
                    <w:bottom w:val="none" w:sz="0" w:space="0" w:color="auto"/>
                    <w:right w:val="none" w:sz="0" w:space="0" w:color="auto"/>
                  </w:divBdr>
                  <w:divsChild>
                    <w:div w:id="294525438">
                      <w:marLeft w:val="0"/>
                      <w:marRight w:val="0"/>
                      <w:marTop w:val="0"/>
                      <w:marBottom w:val="0"/>
                      <w:divBdr>
                        <w:top w:val="none" w:sz="0" w:space="0" w:color="auto"/>
                        <w:left w:val="none" w:sz="0" w:space="0" w:color="auto"/>
                        <w:bottom w:val="none" w:sz="0" w:space="0" w:color="auto"/>
                        <w:right w:val="none" w:sz="0" w:space="0" w:color="auto"/>
                      </w:divBdr>
                      <w:divsChild>
                        <w:div w:id="137180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756736">
      <w:bodyDiv w:val="1"/>
      <w:marLeft w:val="0"/>
      <w:marRight w:val="0"/>
      <w:marTop w:val="0"/>
      <w:marBottom w:val="0"/>
      <w:divBdr>
        <w:top w:val="none" w:sz="0" w:space="0" w:color="auto"/>
        <w:left w:val="none" w:sz="0" w:space="0" w:color="auto"/>
        <w:bottom w:val="none" w:sz="0" w:space="0" w:color="auto"/>
        <w:right w:val="none" w:sz="0" w:space="0" w:color="auto"/>
      </w:divBdr>
    </w:div>
    <w:div w:id="1624340140">
      <w:bodyDiv w:val="1"/>
      <w:marLeft w:val="0"/>
      <w:marRight w:val="0"/>
      <w:marTop w:val="0"/>
      <w:marBottom w:val="0"/>
      <w:divBdr>
        <w:top w:val="none" w:sz="0" w:space="0" w:color="auto"/>
        <w:left w:val="none" w:sz="0" w:space="0" w:color="auto"/>
        <w:bottom w:val="none" w:sz="0" w:space="0" w:color="auto"/>
        <w:right w:val="none" w:sz="0" w:space="0" w:color="auto"/>
      </w:divBdr>
    </w:div>
    <w:div w:id="1690644716">
      <w:bodyDiv w:val="1"/>
      <w:marLeft w:val="0"/>
      <w:marRight w:val="0"/>
      <w:marTop w:val="0"/>
      <w:marBottom w:val="0"/>
      <w:divBdr>
        <w:top w:val="none" w:sz="0" w:space="0" w:color="auto"/>
        <w:left w:val="none" w:sz="0" w:space="0" w:color="auto"/>
        <w:bottom w:val="none" w:sz="0" w:space="0" w:color="auto"/>
        <w:right w:val="none" w:sz="0" w:space="0" w:color="auto"/>
      </w:divBdr>
    </w:div>
    <w:div w:id="1748182909">
      <w:bodyDiv w:val="1"/>
      <w:marLeft w:val="0"/>
      <w:marRight w:val="0"/>
      <w:marTop w:val="0"/>
      <w:marBottom w:val="0"/>
      <w:divBdr>
        <w:top w:val="none" w:sz="0" w:space="0" w:color="auto"/>
        <w:left w:val="none" w:sz="0" w:space="0" w:color="auto"/>
        <w:bottom w:val="none" w:sz="0" w:space="0" w:color="auto"/>
        <w:right w:val="none" w:sz="0" w:space="0" w:color="auto"/>
      </w:divBdr>
    </w:div>
    <w:div w:id="1793749024">
      <w:bodyDiv w:val="1"/>
      <w:marLeft w:val="0"/>
      <w:marRight w:val="0"/>
      <w:marTop w:val="0"/>
      <w:marBottom w:val="0"/>
      <w:divBdr>
        <w:top w:val="none" w:sz="0" w:space="0" w:color="auto"/>
        <w:left w:val="none" w:sz="0" w:space="0" w:color="auto"/>
        <w:bottom w:val="none" w:sz="0" w:space="0" w:color="auto"/>
        <w:right w:val="none" w:sz="0" w:space="0" w:color="auto"/>
      </w:divBdr>
    </w:div>
    <w:div w:id="1851598400">
      <w:bodyDiv w:val="1"/>
      <w:marLeft w:val="0"/>
      <w:marRight w:val="0"/>
      <w:marTop w:val="0"/>
      <w:marBottom w:val="0"/>
      <w:divBdr>
        <w:top w:val="none" w:sz="0" w:space="0" w:color="auto"/>
        <w:left w:val="none" w:sz="0" w:space="0" w:color="auto"/>
        <w:bottom w:val="none" w:sz="0" w:space="0" w:color="auto"/>
        <w:right w:val="none" w:sz="0" w:space="0" w:color="auto"/>
      </w:divBdr>
      <w:divsChild>
        <w:div w:id="1037662923">
          <w:marLeft w:val="0"/>
          <w:marRight w:val="0"/>
          <w:marTop w:val="0"/>
          <w:marBottom w:val="0"/>
          <w:divBdr>
            <w:top w:val="none" w:sz="0" w:space="0" w:color="auto"/>
            <w:left w:val="none" w:sz="0" w:space="0" w:color="auto"/>
            <w:bottom w:val="none" w:sz="0" w:space="0" w:color="auto"/>
            <w:right w:val="none" w:sz="0" w:space="0" w:color="auto"/>
          </w:divBdr>
          <w:divsChild>
            <w:div w:id="1793747433">
              <w:marLeft w:val="0"/>
              <w:marRight w:val="0"/>
              <w:marTop w:val="0"/>
              <w:marBottom w:val="0"/>
              <w:divBdr>
                <w:top w:val="none" w:sz="0" w:space="0" w:color="auto"/>
                <w:left w:val="none" w:sz="0" w:space="0" w:color="auto"/>
                <w:bottom w:val="none" w:sz="0" w:space="0" w:color="auto"/>
                <w:right w:val="none" w:sz="0" w:space="0" w:color="auto"/>
              </w:divBdr>
              <w:divsChild>
                <w:div w:id="334845203">
                  <w:marLeft w:val="0"/>
                  <w:marRight w:val="0"/>
                  <w:marTop w:val="0"/>
                  <w:marBottom w:val="0"/>
                  <w:divBdr>
                    <w:top w:val="none" w:sz="0" w:space="0" w:color="auto"/>
                    <w:left w:val="none" w:sz="0" w:space="0" w:color="auto"/>
                    <w:bottom w:val="none" w:sz="0" w:space="0" w:color="auto"/>
                    <w:right w:val="none" w:sz="0" w:space="0" w:color="auto"/>
                  </w:divBdr>
                  <w:divsChild>
                    <w:div w:id="1311668103">
                      <w:marLeft w:val="0"/>
                      <w:marRight w:val="0"/>
                      <w:marTop w:val="0"/>
                      <w:marBottom w:val="0"/>
                      <w:divBdr>
                        <w:top w:val="none" w:sz="0" w:space="0" w:color="auto"/>
                        <w:left w:val="none" w:sz="0" w:space="0" w:color="auto"/>
                        <w:bottom w:val="none" w:sz="0" w:space="0" w:color="auto"/>
                        <w:right w:val="none" w:sz="0" w:space="0" w:color="auto"/>
                      </w:divBdr>
                      <w:divsChild>
                        <w:div w:id="1417630057">
                          <w:marLeft w:val="0"/>
                          <w:marRight w:val="0"/>
                          <w:marTop w:val="0"/>
                          <w:marBottom w:val="0"/>
                          <w:divBdr>
                            <w:top w:val="none" w:sz="0" w:space="0" w:color="auto"/>
                            <w:left w:val="none" w:sz="0" w:space="0" w:color="auto"/>
                            <w:bottom w:val="none" w:sz="0" w:space="0" w:color="auto"/>
                            <w:right w:val="none" w:sz="0" w:space="0" w:color="auto"/>
                          </w:divBdr>
                          <w:divsChild>
                            <w:div w:id="1088844947">
                              <w:marLeft w:val="0"/>
                              <w:marRight w:val="0"/>
                              <w:marTop w:val="0"/>
                              <w:marBottom w:val="0"/>
                              <w:divBdr>
                                <w:top w:val="none" w:sz="0" w:space="0" w:color="auto"/>
                                <w:left w:val="none" w:sz="0" w:space="0" w:color="auto"/>
                                <w:bottom w:val="none" w:sz="0" w:space="0" w:color="auto"/>
                                <w:right w:val="none" w:sz="0" w:space="0" w:color="auto"/>
                              </w:divBdr>
                              <w:divsChild>
                                <w:div w:id="1508135596">
                                  <w:marLeft w:val="0"/>
                                  <w:marRight w:val="0"/>
                                  <w:marTop w:val="0"/>
                                  <w:marBottom w:val="0"/>
                                  <w:divBdr>
                                    <w:top w:val="none" w:sz="0" w:space="0" w:color="auto"/>
                                    <w:left w:val="none" w:sz="0" w:space="0" w:color="auto"/>
                                    <w:bottom w:val="none" w:sz="0" w:space="0" w:color="auto"/>
                                    <w:right w:val="none" w:sz="0" w:space="0" w:color="auto"/>
                                  </w:divBdr>
                                  <w:divsChild>
                                    <w:div w:id="494491333">
                                      <w:marLeft w:val="0"/>
                                      <w:marRight w:val="0"/>
                                      <w:marTop w:val="0"/>
                                      <w:marBottom w:val="0"/>
                                      <w:divBdr>
                                        <w:top w:val="none" w:sz="0" w:space="0" w:color="auto"/>
                                        <w:left w:val="none" w:sz="0" w:space="0" w:color="auto"/>
                                        <w:bottom w:val="none" w:sz="0" w:space="0" w:color="auto"/>
                                        <w:right w:val="none" w:sz="0" w:space="0" w:color="auto"/>
                                      </w:divBdr>
                                      <w:divsChild>
                                        <w:div w:id="1237933934">
                                          <w:marLeft w:val="0"/>
                                          <w:marRight w:val="0"/>
                                          <w:marTop w:val="0"/>
                                          <w:marBottom w:val="0"/>
                                          <w:divBdr>
                                            <w:top w:val="none" w:sz="0" w:space="0" w:color="auto"/>
                                            <w:left w:val="none" w:sz="0" w:space="0" w:color="auto"/>
                                            <w:bottom w:val="none" w:sz="0" w:space="0" w:color="auto"/>
                                            <w:right w:val="none" w:sz="0" w:space="0" w:color="auto"/>
                                          </w:divBdr>
                                          <w:divsChild>
                                            <w:div w:id="19531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6672042">
      <w:bodyDiv w:val="1"/>
      <w:marLeft w:val="0"/>
      <w:marRight w:val="0"/>
      <w:marTop w:val="0"/>
      <w:marBottom w:val="0"/>
      <w:divBdr>
        <w:top w:val="none" w:sz="0" w:space="0" w:color="auto"/>
        <w:left w:val="none" w:sz="0" w:space="0" w:color="auto"/>
        <w:bottom w:val="none" w:sz="0" w:space="0" w:color="auto"/>
        <w:right w:val="none" w:sz="0" w:space="0" w:color="auto"/>
      </w:divBdr>
      <w:divsChild>
        <w:div w:id="90667813">
          <w:marLeft w:val="0"/>
          <w:marRight w:val="0"/>
          <w:marTop w:val="0"/>
          <w:marBottom w:val="0"/>
          <w:divBdr>
            <w:top w:val="none" w:sz="0" w:space="0" w:color="auto"/>
            <w:left w:val="none" w:sz="0" w:space="0" w:color="auto"/>
            <w:bottom w:val="none" w:sz="0" w:space="0" w:color="auto"/>
            <w:right w:val="none" w:sz="0" w:space="0" w:color="auto"/>
          </w:divBdr>
          <w:divsChild>
            <w:div w:id="1448620205">
              <w:marLeft w:val="0"/>
              <w:marRight w:val="0"/>
              <w:marTop w:val="100"/>
              <w:marBottom w:val="100"/>
              <w:divBdr>
                <w:top w:val="none" w:sz="0" w:space="0" w:color="auto"/>
                <w:left w:val="none" w:sz="0" w:space="0" w:color="auto"/>
                <w:bottom w:val="none" w:sz="0" w:space="0" w:color="auto"/>
                <w:right w:val="none" w:sz="0" w:space="0" w:color="auto"/>
              </w:divBdr>
              <w:divsChild>
                <w:div w:id="1882865067">
                  <w:marLeft w:val="0"/>
                  <w:marRight w:val="0"/>
                  <w:marTop w:val="0"/>
                  <w:marBottom w:val="0"/>
                  <w:divBdr>
                    <w:top w:val="none" w:sz="0" w:space="0" w:color="auto"/>
                    <w:left w:val="none" w:sz="0" w:space="0" w:color="auto"/>
                    <w:bottom w:val="none" w:sz="0" w:space="0" w:color="auto"/>
                    <w:right w:val="none" w:sz="0" w:space="0" w:color="auto"/>
                  </w:divBdr>
                  <w:divsChild>
                    <w:div w:id="1649896795">
                      <w:marLeft w:val="0"/>
                      <w:marRight w:val="0"/>
                      <w:marTop w:val="0"/>
                      <w:marBottom w:val="0"/>
                      <w:divBdr>
                        <w:top w:val="none" w:sz="0" w:space="0" w:color="auto"/>
                        <w:left w:val="none" w:sz="0" w:space="0" w:color="auto"/>
                        <w:bottom w:val="none" w:sz="0" w:space="0" w:color="auto"/>
                        <w:right w:val="none" w:sz="0" w:space="0" w:color="auto"/>
                      </w:divBdr>
                      <w:divsChild>
                        <w:div w:id="1719158511">
                          <w:marLeft w:val="0"/>
                          <w:marRight w:val="0"/>
                          <w:marTop w:val="180"/>
                          <w:marBottom w:val="0"/>
                          <w:divBdr>
                            <w:top w:val="none" w:sz="0" w:space="0" w:color="auto"/>
                            <w:left w:val="none" w:sz="0" w:space="0" w:color="auto"/>
                            <w:bottom w:val="none" w:sz="0" w:space="0" w:color="auto"/>
                            <w:right w:val="none" w:sz="0" w:space="0" w:color="auto"/>
                          </w:divBdr>
                        </w:div>
                        <w:div w:id="967472800">
                          <w:marLeft w:val="0"/>
                          <w:marRight w:val="0"/>
                          <w:marTop w:val="0"/>
                          <w:marBottom w:val="180"/>
                          <w:divBdr>
                            <w:top w:val="none" w:sz="0" w:space="0" w:color="auto"/>
                            <w:left w:val="none" w:sz="0" w:space="0" w:color="auto"/>
                            <w:bottom w:val="none" w:sz="0" w:space="0" w:color="auto"/>
                            <w:right w:val="none" w:sz="0" w:space="0" w:color="auto"/>
                          </w:divBdr>
                        </w:div>
                        <w:div w:id="329873215">
                          <w:marLeft w:val="0"/>
                          <w:marRight w:val="0"/>
                          <w:marTop w:val="0"/>
                          <w:marBottom w:val="0"/>
                          <w:divBdr>
                            <w:top w:val="none" w:sz="0" w:space="0" w:color="auto"/>
                            <w:left w:val="none" w:sz="0" w:space="0" w:color="auto"/>
                            <w:bottom w:val="none" w:sz="0" w:space="0" w:color="auto"/>
                            <w:right w:val="none" w:sz="0" w:space="0" w:color="auto"/>
                          </w:divBdr>
                          <w:divsChild>
                            <w:div w:id="1062168564">
                              <w:marLeft w:val="0"/>
                              <w:marRight w:val="0"/>
                              <w:marTop w:val="0"/>
                              <w:marBottom w:val="0"/>
                              <w:divBdr>
                                <w:top w:val="none" w:sz="0" w:space="0" w:color="auto"/>
                                <w:left w:val="none" w:sz="0" w:space="0" w:color="auto"/>
                                <w:bottom w:val="none" w:sz="0" w:space="0" w:color="auto"/>
                                <w:right w:val="none" w:sz="0" w:space="0" w:color="auto"/>
                              </w:divBdr>
                              <w:divsChild>
                                <w:div w:id="198515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801890">
      <w:bodyDiv w:val="1"/>
      <w:marLeft w:val="0"/>
      <w:marRight w:val="0"/>
      <w:marTop w:val="0"/>
      <w:marBottom w:val="0"/>
      <w:divBdr>
        <w:top w:val="none" w:sz="0" w:space="0" w:color="auto"/>
        <w:left w:val="none" w:sz="0" w:space="0" w:color="auto"/>
        <w:bottom w:val="none" w:sz="0" w:space="0" w:color="auto"/>
        <w:right w:val="none" w:sz="0" w:space="0" w:color="auto"/>
      </w:divBdr>
    </w:div>
    <w:div w:id="1885362988">
      <w:bodyDiv w:val="1"/>
      <w:marLeft w:val="0"/>
      <w:marRight w:val="0"/>
      <w:marTop w:val="0"/>
      <w:marBottom w:val="0"/>
      <w:divBdr>
        <w:top w:val="none" w:sz="0" w:space="0" w:color="auto"/>
        <w:left w:val="none" w:sz="0" w:space="0" w:color="auto"/>
        <w:bottom w:val="none" w:sz="0" w:space="0" w:color="auto"/>
        <w:right w:val="none" w:sz="0" w:space="0" w:color="auto"/>
      </w:divBdr>
    </w:div>
    <w:div w:id="1943104516">
      <w:bodyDiv w:val="1"/>
      <w:marLeft w:val="0"/>
      <w:marRight w:val="0"/>
      <w:marTop w:val="0"/>
      <w:marBottom w:val="0"/>
      <w:divBdr>
        <w:top w:val="none" w:sz="0" w:space="0" w:color="auto"/>
        <w:left w:val="none" w:sz="0" w:space="0" w:color="auto"/>
        <w:bottom w:val="none" w:sz="0" w:space="0" w:color="auto"/>
        <w:right w:val="none" w:sz="0" w:space="0" w:color="auto"/>
      </w:divBdr>
      <w:divsChild>
        <w:div w:id="1818260067">
          <w:marLeft w:val="0"/>
          <w:marRight w:val="0"/>
          <w:marTop w:val="0"/>
          <w:marBottom w:val="0"/>
          <w:divBdr>
            <w:top w:val="none" w:sz="0" w:space="0" w:color="auto"/>
            <w:left w:val="none" w:sz="0" w:space="0" w:color="auto"/>
            <w:bottom w:val="none" w:sz="0" w:space="0" w:color="auto"/>
            <w:right w:val="none" w:sz="0" w:space="0" w:color="auto"/>
          </w:divBdr>
          <w:divsChild>
            <w:div w:id="911961592">
              <w:marLeft w:val="-225"/>
              <w:marRight w:val="-225"/>
              <w:marTop w:val="0"/>
              <w:marBottom w:val="0"/>
              <w:divBdr>
                <w:top w:val="none" w:sz="0" w:space="0" w:color="auto"/>
                <w:left w:val="none" w:sz="0" w:space="0" w:color="auto"/>
                <w:bottom w:val="none" w:sz="0" w:space="0" w:color="auto"/>
                <w:right w:val="none" w:sz="0" w:space="0" w:color="auto"/>
              </w:divBdr>
              <w:divsChild>
                <w:div w:id="813790007">
                  <w:marLeft w:val="0"/>
                  <w:marRight w:val="0"/>
                  <w:marTop w:val="300"/>
                  <w:marBottom w:val="0"/>
                  <w:divBdr>
                    <w:top w:val="none" w:sz="0" w:space="0" w:color="auto"/>
                    <w:left w:val="none" w:sz="0" w:space="0" w:color="auto"/>
                    <w:bottom w:val="none" w:sz="0" w:space="0" w:color="auto"/>
                    <w:right w:val="none" w:sz="0" w:space="0" w:color="auto"/>
                  </w:divBdr>
                  <w:divsChild>
                    <w:div w:id="942228369">
                      <w:marLeft w:val="-225"/>
                      <w:marRight w:val="-225"/>
                      <w:marTop w:val="0"/>
                      <w:marBottom w:val="0"/>
                      <w:divBdr>
                        <w:top w:val="none" w:sz="0" w:space="0" w:color="auto"/>
                        <w:left w:val="none" w:sz="0" w:space="0" w:color="auto"/>
                        <w:bottom w:val="none" w:sz="0" w:space="0" w:color="auto"/>
                        <w:right w:val="none" w:sz="0" w:space="0" w:color="auto"/>
                      </w:divBdr>
                      <w:divsChild>
                        <w:div w:id="1855028831">
                          <w:marLeft w:val="0"/>
                          <w:marRight w:val="0"/>
                          <w:marTop w:val="0"/>
                          <w:marBottom w:val="0"/>
                          <w:divBdr>
                            <w:top w:val="none" w:sz="0" w:space="0" w:color="auto"/>
                            <w:left w:val="none" w:sz="0" w:space="0" w:color="auto"/>
                            <w:bottom w:val="none" w:sz="0" w:space="0" w:color="auto"/>
                            <w:right w:val="none" w:sz="0" w:space="0" w:color="auto"/>
                          </w:divBdr>
                          <w:divsChild>
                            <w:div w:id="860901254">
                              <w:marLeft w:val="0"/>
                              <w:marRight w:val="0"/>
                              <w:marTop w:val="0"/>
                              <w:marBottom w:val="300"/>
                              <w:divBdr>
                                <w:top w:val="none" w:sz="0" w:space="0" w:color="auto"/>
                                <w:left w:val="none" w:sz="0" w:space="0" w:color="auto"/>
                                <w:bottom w:val="none" w:sz="0" w:space="0" w:color="auto"/>
                                <w:right w:val="none" w:sz="0" w:space="0" w:color="auto"/>
                              </w:divBdr>
                              <w:divsChild>
                                <w:div w:id="6926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pmc.gov.au/resource-centre/indigenous-affairs/national-strategic-framework-mental-health-social-emotional-wellbeing-2017-23" TargetMode="External"/><Relationship Id="rId26" Type="http://schemas.openxmlformats.org/officeDocument/2006/relationships/hyperlink" Target="http://www.who.int/hiv/strategy2016-2021/en/" TargetMode="External"/><Relationship Id="rId39" Type="http://schemas.openxmlformats.org/officeDocument/2006/relationships/hyperlink" Target="https://www.health.gov.au/internet/main/publishing.nsf/Content/4A716747859075FFCA257BF0001C9608/$File/National-Aboriginal-and-Torres-Strait-Islander-Health-Workforce-Strategic-Framework.pdf" TargetMode="External"/><Relationship Id="rId3" Type="http://schemas.openxmlformats.org/officeDocument/2006/relationships/customXml" Target="../customXml/item3.xml"/><Relationship Id="rId21" Type="http://schemas.openxmlformats.org/officeDocument/2006/relationships/hyperlink" Target="https://www.health.gov.au/internet/main/publishing.nsf/Content/71E8A32E7518E532CA25801A0009A217/$File/Action-Plan-May18.pdf" TargetMode="External"/><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health.gov.au/internet/main/publishing.nsf/Content/indigenous-crf" TargetMode="External"/><Relationship Id="rId25" Type="http://schemas.openxmlformats.org/officeDocument/2006/relationships/hyperlink" Target="https://agedcare.health.gov.au/support-services/people-from-diverse-backgrounds/aged-care-diversity-framework" TargetMode="External"/><Relationship Id="rId33" Type="http://schemas.openxmlformats.org/officeDocument/2006/relationships/image" Target="media/image3.png"/><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www.health.gov.au/natsihp" TargetMode="External"/><Relationship Id="rId20" Type="http://schemas.openxmlformats.org/officeDocument/2006/relationships/hyperlink" Target="https://www.health.gov.au/internet/main/publishing.nsf/Content/71E8A32E7518E532CA25801A0009A217/$File/Strategic-Approach-May18.pdf" TargetMode="External"/><Relationship Id="rId29" Type="http://schemas.openxmlformats.org/officeDocument/2006/relationships/hyperlink" Target="http://www.iiwgha.org/key-documents/the-toronto-charter/"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campaigns.health.gov.au/drughelp/resources/publications/report/national-drug-strategy-2017-2026" TargetMode="External"/><Relationship Id="rId32" Type="http://schemas.openxmlformats.org/officeDocument/2006/relationships/hyperlink" Target="https://sustainabledevelopment.un.org/sdg3" TargetMode="External"/><Relationship Id="rId37" Type="http://schemas.openxmlformats.org/officeDocument/2006/relationships/image" Target="media/image7.png"/><Relationship Id="rId40"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www.health.gov.au/internet/main/publishing.nsf/content/ohp-bbvs-atsi" TargetMode="External"/><Relationship Id="rId23" Type="http://schemas.openxmlformats.org/officeDocument/2006/relationships/hyperlink" Target="file:///D:\Users\newtor\AppData\Local\Microsoft\Windows\Temporary%20Internet%20Files\Content.Outlook\XF7ZVR5K\&#8226;%09National%20Aboriginal%20and%20Torres%20Strait%20Islander%20Health%20Workforce%20Strategic%20Framework%202016-2023" TargetMode="External"/><Relationship Id="rId28" Type="http://schemas.openxmlformats.org/officeDocument/2006/relationships/hyperlink" Target="https://www.humanrights.gov.au/publications/un-declaration-rights-indigenous-peoples-1" TargetMode="Externa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www.pmc.gov.au/indigenous-affairs/closing-gap" TargetMode="External"/><Relationship Id="rId31" Type="http://schemas.openxmlformats.org/officeDocument/2006/relationships/hyperlink" Target="http://www.unaids.org/en/resources/documents/2016/2016-political-declaration-HIV-AID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health.gov.au/internet/ministers/publishing.nsf/Content/6DA3F43553CD3D4DCA257D1B0023553A/$File/LEGACY_SPEECH_2014_A5_WEB.pdf" TargetMode="External"/><Relationship Id="rId27" Type="http://schemas.openxmlformats.org/officeDocument/2006/relationships/hyperlink" Target="http://www.wpro.who.int/hepatitis/resource/features/regional_action_plan/en/" TargetMode="External"/><Relationship Id="rId30" Type="http://schemas.openxmlformats.org/officeDocument/2006/relationships/hyperlink" Target="http://www.iiwgha.org/iiwgha-strategic-plan/" TargetMode="External"/><Relationship Id="rId35" Type="http://schemas.openxmlformats.org/officeDocument/2006/relationships/image" Target="media/image5.png"/></Relationships>
</file>

<file path=word/_rels/endnotes.xml.rels><?xml version="1.0" encoding="UTF-8" standalone="yes"?>
<Relationships xmlns="http://schemas.openxmlformats.org/package/2006/relationships"><Relationship Id="rId8" Type="http://schemas.openxmlformats.org/officeDocument/2006/relationships/hyperlink" Target="https://www.cdc.gov/std/hiv/stdfact-std-hiv-detailed.htm" TargetMode="External"/><Relationship Id="rId13" Type="http://schemas.openxmlformats.org/officeDocument/2006/relationships/hyperlink" Target="https://www.ncbi.nlm.nih.gov/pmc/articles/PMC3009733/" TargetMode="External"/><Relationship Id="rId18" Type="http://schemas.openxmlformats.org/officeDocument/2006/relationships/hyperlink" Target="https://www.health.qld.gov.au/__data/assets/pdf_file/0018/161541/adolescent_sexual_health_guideline.pdf" TargetMode="External"/><Relationship Id="rId26" Type="http://schemas.openxmlformats.org/officeDocument/2006/relationships/hyperlink" Target="https://www.health.gov.au/internet/main/publishing.nsf/Content/4A716747859075FFCA257BF0001C9608/$File/National-Aboriginal-and-Torres-Strait-Islander-Health-Workforce-Strategic-Framework.pdf" TargetMode="External"/><Relationship Id="rId3" Type="http://schemas.openxmlformats.org/officeDocument/2006/relationships/hyperlink" Target="http://www.abs.gov.au/AUSSTATS/abs@.nsf/DetailsPage/2071.02016?OpenDocument" TargetMode="External"/><Relationship Id="rId21" Type="http://schemas.openxmlformats.org/officeDocument/2006/relationships/hyperlink" Target="https://www.malcolmturnbull.com.au/media/announcement-of-the-addition-of-gardasil-9-to-the-national-immunisation-pro" TargetMode="External"/><Relationship Id="rId7" Type="http://schemas.openxmlformats.org/officeDocument/2006/relationships/hyperlink" Target="https://americanaddictioncenters.org/substance-abuse-hiv/" TargetMode="External"/><Relationship Id="rId12" Type="http://schemas.openxmlformats.org/officeDocument/2006/relationships/hyperlink" Target="http://hivlegal.ashm.org.au/index.php/guide-to-australian-hiv-laws-and-policies-for-healthcare-professionals/antenatal-testing" TargetMode="External"/><Relationship Id="rId17" Type="http://schemas.openxmlformats.org/officeDocument/2006/relationships/hyperlink" Target="http://youngdeadlyfree.org.au/for-young-people/peer-education/" TargetMode="External"/><Relationship Id="rId25" Type="http://schemas.openxmlformats.org/officeDocument/2006/relationships/hyperlink" Target="https://www.health.gov.au/internet/main/publishing.nsf/Content/72C7E23E1BD5E9CFCA257F640082CD48/$File/Health%20Curriculum%20Framework.pdf" TargetMode="External"/><Relationship Id="rId2" Type="http://schemas.openxmlformats.org/officeDocument/2006/relationships/hyperlink" Target="https://hptn.org/sites/default/files/inline-files/HPTN052PressReleaseIASJul2011final.pdf" TargetMode="External"/><Relationship Id="rId16" Type="http://schemas.openxmlformats.org/officeDocument/2006/relationships/hyperlink" Target="https://youngdeadlyfree.org.au/about-us/the-remote-sti-and-bbv-project" TargetMode="External"/><Relationship Id="rId20" Type="http://schemas.openxmlformats.org/officeDocument/2006/relationships/hyperlink" Target="http://www.ashm.org.au/resources/PEP_GUIDELINES_2016.FINAL_ONLINE_VERSION.pdf" TargetMode="External"/><Relationship Id="rId29" Type="http://schemas.openxmlformats.org/officeDocument/2006/relationships/hyperlink" Target="http://www.who.int/hiv/pub/sti/sex_worker_implementation/en/" TargetMode="External"/><Relationship Id="rId1" Type="http://schemas.openxmlformats.org/officeDocument/2006/relationships/hyperlink" Target="https://kirby.unsw.edu.au/news/promising-news-hiv-treatment-prevention-study-finds-hiv-transmission-rare-couples-when-hiv" TargetMode="External"/><Relationship Id="rId6" Type="http://schemas.openxmlformats.org/officeDocument/2006/relationships/hyperlink" Target="https://www.cdc.gov/std/pregnancy/stdfact-pregnancy-detailed.htm" TargetMode="External"/><Relationship Id="rId11" Type="http://schemas.openxmlformats.org/officeDocument/2006/relationships/hyperlink" Target="https://www.aihw.gov.au/getmedia/0a735742-42c0-49af-a910-4a56a8211007/aihw-aus-220.pdf.aspx?inline=true" TargetMode="External"/><Relationship Id="rId24" Type="http://schemas.openxmlformats.org/officeDocument/2006/relationships/hyperlink" Target="https://www.cmtedd.act.gov.au/open_government/inform/act_government_media_releases/rattenbury/2017/world-hepatitis-day-2017-effective-treatment-reducing-hepatitis-c-rates-in-amc" TargetMode="External"/><Relationship Id="rId5" Type="http://schemas.openxmlformats.org/officeDocument/2006/relationships/hyperlink" Target="https://journals.lww.com/stdjournal/toc/2016/03000" TargetMode="External"/><Relationship Id="rId15" Type="http://schemas.openxmlformats.org/officeDocument/2006/relationships/hyperlink" Target="https://www.aihw.gov.au/getmedia/00250e14-7b83-4da8-994e-723a25d96ab7/ctgc-rs14.pdf.aspx?inline=true" TargetMode="External"/><Relationship Id="rId23" Type="http://schemas.openxmlformats.org/officeDocument/2006/relationships/hyperlink" Target="https://nova.newcastle.edu.au/vital/access/%20/manager/Repository?view=null&amp;f0=sm_relation%3A%22Sexual+Health+Vol.+13%2C+Issue+2%2C+p.+140-147%22&amp;sort=sort_ss_title%2F" TargetMode="External"/><Relationship Id="rId28" Type="http://schemas.openxmlformats.org/officeDocument/2006/relationships/hyperlink" Target="https://rsph.anu.edu.au/files/international_retention_strategies_research_pdf_10642.pdf" TargetMode="External"/><Relationship Id="rId10" Type="http://schemas.openxmlformats.org/officeDocument/2006/relationships/hyperlink" Target="http://www.abs.gov.au/ausstats/abs@.nsf/mf/4517.0" TargetMode="External"/><Relationship Id="rId19" Type="http://schemas.openxmlformats.org/officeDocument/2006/relationships/hyperlink" Target="https://www.mja.com.au/journal/2018/209/1/priorities-preventing-concentrated-hiv-epidemic-among-aboriginal-and-torres" TargetMode="External"/><Relationship Id="rId4" Type="http://schemas.openxmlformats.org/officeDocument/2006/relationships/hyperlink" Target="http://www.intranet.nslhd.health.nsw.gov.au/" TargetMode="External"/><Relationship Id="rId9" Type="http://schemas.openxmlformats.org/officeDocument/2006/relationships/hyperlink" Target="http://www.health.gov.au/internet/main/publishing.nsf/Content/55E4796388E9EDE5CA25808F00035035/$File/National-Drug-Strategy-2017-2026.pdf" TargetMode="External"/><Relationship Id="rId14" Type="http://schemas.openxmlformats.org/officeDocument/2006/relationships/hyperlink" Target="https://www.aidsdatahub.org/kauntim-mi-tu-%E2%80%93-port-moresby-key-findings-key-population-integrated-bio-behavioural-survey-port" TargetMode="External"/><Relationship Id="rId22" Type="http://schemas.openxmlformats.org/officeDocument/2006/relationships/hyperlink" Target="http://www.sti.guidelines.org.au/" TargetMode="External"/><Relationship Id="rId27" Type="http://schemas.openxmlformats.org/officeDocument/2006/relationships/hyperlink" Target="http://www.nursingmidwiferyboard.gov.au/Codes-Guidelines-Statements/Position-Statements/joint-statement-on-culturally-safe-care.aspx" TargetMode="External"/><Relationship Id="rId30" Type="http://schemas.openxmlformats.org/officeDocument/2006/relationships/hyperlink" Target="http://www.unaids.org/sites/default/files/media_asset/UNAIDS_JC2725_CommunitiesDeliver_en.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pbs.gov.au/info/publication/factsheets/closing-the-gap-pbs-co-payment-measur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y.norrie\AppData\Roaming\Microsoft\Templates\2%20Report\Report%20template%20-%20Portrai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2018-01-08T00:00:00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AAA90A6044A946998B6A8D480D9E4B" ma:contentTypeVersion="" ma:contentTypeDescription="Create a new document." ma:contentTypeScope="" ma:versionID="dfe6c0f2c02e2b732aee51d581c06d44">
  <xsd:schema xmlns:xsd="http://www.w3.org/2001/XMLSchema" xmlns:xs="http://www.w3.org/2001/XMLSchema" xmlns:p="http://schemas.microsoft.com/office/2006/metadata/properties" xmlns:ns2="5C676FE6-B487-45BE-9847-DC022B6FE6F3" xmlns:ns3="176e9d42-f00c-4951-a3f2-ca011614ad33" targetNamespace="http://schemas.microsoft.com/office/2006/metadata/properties" ma:root="true" ma:fieldsID="551ddef6a34f7a8eab74ba7ce87d8601" ns2:_="" ns3:_="">
    <xsd:import namespace="5C676FE6-B487-45BE-9847-DC022B6FE6F3"/>
    <xsd:import namespace="176e9d42-f00c-4951-a3f2-ca011614ad33"/>
    <xsd:element name="properties">
      <xsd:complexType>
        <xsd:sequence>
          <xsd:element name="documentManagement">
            <xsd:complexType>
              <xsd:all>
                <xsd:element ref="ns2:pc8457cba08d42be841822dbe092508a" minOccurs="0"/>
                <xsd:element ref="ns3:TaxCatchAll" minOccurs="0"/>
                <xsd:element ref="ns2:n881213a598c43e19c46d2040c5fc651" minOccurs="0"/>
                <xsd:element ref="ns2:Archive_x003f_" minOccurs="0"/>
                <xsd:element ref="ns2:Key_x0020_do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76FE6-B487-45BE-9847-DC022B6FE6F3" elementFormDefault="qualified">
    <xsd:import namespace="http://schemas.microsoft.com/office/2006/documentManagement/types"/>
    <xsd:import namespace="http://schemas.microsoft.com/office/infopath/2007/PartnerControls"/>
    <xsd:element name="pc8457cba08d42be841822dbe092508a" ma:index="9" nillable="true" ma:taxonomy="true" ma:internalName="pc8457cba08d42be841822dbe092508a" ma:taxonomyFieldName="Project_x0020_doc_x0020_type" ma:displayName="Doc type - level 1" ma:indexed="true" ma:default="54;#A. Admin ＆ Planning|b1f780b9-1325-41ee-b0f8-f9c50aa7f53e" ma:fieldId="{9c8457cb-a08d-42be-8418-22dbe092508a}"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n881213a598c43e19c46d2040c5fc651" ma:index="12" nillable="true" ma:taxonomy="true" ma:internalName="n881213a598c43e19c46d2040c5fc651" ma:taxonomyFieldName="Doc_x0020_type_x0020__x002d__x0020_level_x0020_2" ma:displayName="Doc type - level 2" ma:indexed="true" ma:default="" ma:fieldId="{7881213a-598c-43e1-9c46-d2040c5fc651}" ma:sspId="fedc91e1-0723-4b19-918f-d2290fbc9877" ma:termSetId="3bda15ed-e623-4b4d-b65f-38bb1b335511" ma:anchorId="cc91d83d-1e1c-4c13-b867-348b43ba510f" ma:open="true" ma:isKeyword="false">
      <xsd:complexType>
        <xsd:sequence>
          <xsd:element ref="pc:Terms" minOccurs="0" maxOccurs="1"/>
        </xsd:sequence>
      </xsd:complexType>
    </xsd:element>
    <xsd:element name="Archive_x003f_" ma:index="13" nillable="true" ma:displayName="Archive?" ma:default="0" ma:internalName="Archive_x003f_">
      <xsd:simpleType>
        <xsd:restriction base="dms:Boolean"/>
      </xsd:simpleType>
    </xsd:element>
    <xsd:element name="Key_x0020_doc_x003f_" ma:index="14" nillable="true" ma:displayName="Key doc?" ma:default="0" ma:internalName="Key_x0020_doc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76e9d42-f00c-4951-a3f2-ca011614ad3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E55A9F2-6D63-4D76-8C95-B270ACB04950}" ma:internalName="TaxCatchAll" ma:showField="CatchAllData" ma:web="{1e38e079-2029-4933-8525-a41bc320ed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c8457cba08d42be841822dbe092508a xmlns="5C676FE6-B487-45BE-9847-DC022B6FE6F3">
      <Terms xmlns="http://schemas.microsoft.com/office/infopath/2007/PartnerControls">
        <TermInfo xmlns="http://schemas.microsoft.com/office/infopath/2007/PartnerControls">
          <TermName xmlns="http://schemas.microsoft.com/office/infopath/2007/PartnerControls">A. Admin ＆ Planning</TermName>
          <TermId xmlns="http://schemas.microsoft.com/office/infopath/2007/PartnerControls">b1f780b9-1325-41ee-b0f8-f9c50aa7f53e</TermId>
        </TermInfo>
      </Terms>
    </pc8457cba08d42be841822dbe092508a>
    <Key_x0020_doc_x003f_ xmlns="5C676FE6-B487-45BE-9847-DC022B6FE6F3">false</Key_x0020_doc_x003f_>
    <n881213a598c43e19c46d2040c5fc651 xmlns="5C676FE6-B487-45BE-9847-DC022B6FE6F3">
      <Terms xmlns="http://schemas.microsoft.com/office/infopath/2007/PartnerControls"/>
    </n881213a598c43e19c46d2040c5fc651>
    <TaxCatchAll xmlns="176e9d42-f00c-4951-a3f2-ca011614ad33">
      <Value xmlns="176e9d42-f00c-4951-a3f2-ca011614ad33">48</Value>
    </TaxCatchAll>
    <Archive_x003f_ xmlns="5C676FE6-B487-45BE-9847-DC022B6FE6F3">false</Archive_x003f_>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985294-C98F-4129-8911-9E5E15421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76FE6-B487-45BE-9847-DC022B6FE6F3"/>
    <ds:schemaRef ds:uri="176e9d42-f00c-4951-a3f2-ca011614a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CCAE10-E0AA-48FD-B269-99E56E8D5EE5}">
  <ds:schemaRefs>
    <ds:schemaRef ds:uri="http://purl.org/dc/terms/"/>
    <ds:schemaRef ds:uri="http://schemas.openxmlformats.org/package/2006/metadata/core-properties"/>
    <ds:schemaRef ds:uri="http://purl.org/dc/dcmitype/"/>
    <ds:schemaRef ds:uri="176e9d42-f00c-4951-a3f2-ca011614ad33"/>
    <ds:schemaRef ds:uri="http://schemas.microsoft.com/office/2006/documentManagement/types"/>
    <ds:schemaRef ds:uri="http://purl.org/dc/elements/1.1/"/>
    <ds:schemaRef ds:uri="http://schemas.microsoft.com/office/2006/metadata/properties"/>
    <ds:schemaRef ds:uri="http://schemas.microsoft.com/office/infopath/2007/PartnerControls"/>
    <ds:schemaRef ds:uri="5C676FE6-B487-45BE-9847-DC022B6FE6F3"/>
    <ds:schemaRef ds:uri="http://www.w3.org/XML/1998/namespace"/>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2E793250-528D-49E2-A6F6-97359DD8E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 Portrait</Template>
  <TotalTime>461</TotalTime>
  <Pages>50</Pages>
  <Words>21374</Words>
  <Characters>121832</Characters>
  <Application>Microsoft Office Word</Application>
  <DocSecurity>0</DocSecurity>
  <Lines>1015</Lines>
  <Paragraphs>285</Paragraphs>
  <ScaleCrop>false</ScaleCrop>
  <HeadingPairs>
    <vt:vector size="2" baseType="variant">
      <vt:variant>
        <vt:lpstr>Title</vt:lpstr>
      </vt:variant>
      <vt:variant>
        <vt:i4>1</vt:i4>
      </vt:variant>
    </vt:vector>
  </HeadingPairs>
  <TitlesOfParts>
    <vt:vector size="1" baseType="lpstr">
      <vt:lpstr>Fifth National Aboriginal and Torres Strait Islander Blood Borne Viruses and Sexually Transmissible Infections Strategy 2018-2022 (Draft for BBVSS Consultation)</vt:lpstr>
    </vt:vector>
  </TitlesOfParts>
  <Company>The Nous Group</Company>
  <LinksUpToDate>false</LinksUpToDate>
  <CharactersWithSpaces>142921</CharactersWithSpaces>
  <SharedDoc>false</SharedDoc>
  <HLinks>
    <vt:vector size="288" baseType="variant">
      <vt:variant>
        <vt:i4>5898266</vt:i4>
      </vt:variant>
      <vt:variant>
        <vt:i4>99</vt:i4>
      </vt:variant>
      <vt:variant>
        <vt:i4>0</vt:i4>
      </vt:variant>
      <vt:variant>
        <vt:i4>5</vt:i4>
      </vt:variant>
      <vt:variant>
        <vt:lpwstr>https://www.health.gov.au/internet/main/publishing.nsf/Content/4A716747859075FFCA257BF0001C9608/$File/National-Aboriginal-and-Torres-Strait-Islander-Health-Workforce-Strategic-Framework.pdf</vt:lpwstr>
      </vt:variant>
      <vt:variant>
        <vt:lpwstr/>
      </vt:variant>
      <vt:variant>
        <vt:i4>1966130</vt:i4>
      </vt:variant>
      <vt:variant>
        <vt:i4>56</vt:i4>
      </vt:variant>
      <vt:variant>
        <vt:i4>0</vt:i4>
      </vt:variant>
      <vt:variant>
        <vt:i4>5</vt:i4>
      </vt:variant>
      <vt:variant>
        <vt:lpwstr/>
      </vt:variant>
      <vt:variant>
        <vt:lpwstr>_Toc515868486</vt:lpwstr>
      </vt:variant>
      <vt:variant>
        <vt:i4>1966130</vt:i4>
      </vt:variant>
      <vt:variant>
        <vt:i4>50</vt:i4>
      </vt:variant>
      <vt:variant>
        <vt:i4>0</vt:i4>
      </vt:variant>
      <vt:variant>
        <vt:i4>5</vt:i4>
      </vt:variant>
      <vt:variant>
        <vt:lpwstr/>
      </vt:variant>
      <vt:variant>
        <vt:lpwstr>_Toc515868485</vt:lpwstr>
      </vt:variant>
      <vt:variant>
        <vt:i4>1966130</vt:i4>
      </vt:variant>
      <vt:variant>
        <vt:i4>44</vt:i4>
      </vt:variant>
      <vt:variant>
        <vt:i4>0</vt:i4>
      </vt:variant>
      <vt:variant>
        <vt:i4>5</vt:i4>
      </vt:variant>
      <vt:variant>
        <vt:lpwstr/>
      </vt:variant>
      <vt:variant>
        <vt:lpwstr>_Toc515868484</vt:lpwstr>
      </vt:variant>
      <vt:variant>
        <vt:i4>1966130</vt:i4>
      </vt:variant>
      <vt:variant>
        <vt:i4>38</vt:i4>
      </vt:variant>
      <vt:variant>
        <vt:i4>0</vt:i4>
      </vt:variant>
      <vt:variant>
        <vt:i4>5</vt:i4>
      </vt:variant>
      <vt:variant>
        <vt:lpwstr/>
      </vt:variant>
      <vt:variant>
        <vt:lpwstr>_Toc515868483</vt:lpwstr>
      </vt:variant>
      <vt:variant>
        <vt:i4>1966130</vt:i4>
      </vt:variant>
      <vt:variant>
        <vt:i4>32</vt:i4>
      </vt:variant>
      <vt:variant>
        <vt:i4>0</vt:i4>
      </vt:variant>
      <vt:variant>
        <vt:i4>5</vt:i4>
      </vt:variant>
      <vt:variant>
        <vt:lpwstr/>
      </vt:variant>
      <vt:variant>
        <vt:lpwstr>_Toc515868482</vt:lpwstr>
      </vt:variant>
      <vt:variant>
        <vt:i4>1966130</vt:i4>
      </vt:variant>
      <vt:variant>
        <vt:i4>26</vt:i4>
      </vt:variant>
      <vt:variant>
        <vt:i4>0</vt:i4>
      </vt:variant>
      <vt:variant>
        <vt:i4>5</vt:i4>
      </vt:variant>
      <vt:variant>
        <vt:lpwstr/>
      </vt:variant>
      <vt:variant>
        <vt:lpwstr>_Toc515868481</vt:lpwstr>
      </vt:variant>
      <vt:variant>
        <vt:i4>1966130</vt:i4>
      </vt:variant>
      <vt:variant>
        <vt:i4>20</vt:i4>
      </vt:variant>
      <vt:variant>
        <vt:i4>0</vt:i4>
      </vt:variant>
      <vt:variant>
        <vt:i4>5</vt:i4>
      </vt:variant>
      <vt:variant>
        <vt:lpwstr/>
      </vt:variant>
      <vt:variant>
        <vt:lpwstr>_Toc515868480</vt:lpwstr>
      </vt:variant>
      <vt:variant>
        <vt:i4>1114162</vt:i4>
      </vt:variant>
      <vt:variant>
        <vt:i4>14</vt:i4>
      </vt:variant>
      <vt:variant>
        <vt:i4>0</vt:i4>
      </vt:variant>
      <vt:variant>
        <vt:i4>5</vt:i4>
      </vt:variant>
      <vt:variant>
        <vt:lpwstr/>
      </vt:variant>
      <vt:variant>
        <vt:lpwstr>_Toc515868479</vt:lpwstr>
      </vt:variant>
      <vt:variant>
        <vt:i4>1114162</vt:i4>
      </vt:variant>
      <vt:variant>
        <vt:i4>8</vt:i4>
      </vt:variant>
      <vt:variant>
        <vt:i4>0</vt:i4>
      </vt:variant>
      <vt:variant>
        <vt:i4>5</vt:i4>
      </vt:variant>
      <vt:variant>
        <vt:lpwstr/>
      </vt:variant>
      <vt:variant>
        <vt:lpwstr>_Toc515868478</vt:lpwstr>
      </vt:variant>
      <vt:variant>
        <vt:i4>1114162</vt:i4>
      </vt:variant>
      <vt:variant>
        <vt:i4>2</vt:i4>
      </vt:variant>
      <vt:variant>
        <vt:i4>0</vt:i4>
      </vt:variant>
      <vt:variant>
        <vt:i4>5</vt:i4>
      </vt:variant>
      <vt:variant>
        <vt:lpwstr/>
      </vt:variant>
      <vt:variant>
        <vt:lpwstr>_Toc515868477</vt:lpwstr>
      </vt:variant>
      <vt:variant>
        <vt:i4>5373982</vt:i4>
      </vt:variant>
      <vt:variant>
        <vt:i4>9</vt:i4>
      </vt:variant>
      <vt:variant>
        <vt:i4>0</vt:i4>
      </vt:variant>
      <vt:variant>
        <vt:i4>5</vt:i4>
      </vt:variant>
      <vt:variant>
        <vt:lpwstr>https://kirby.unsw.edu.au/report/kauntim-mi-tu-port-moresby-2017</vt:lpwstr>
      </vt:variant>
      <vt:variant>
        <vt:lpwstr/>
      </vt:variant>
      <vt:variant>
        <vt:i4>1245256</vt:i4>
      </vt:variant>
      <vt:variant>
        <vt:i4>6</vt:i4>
      </vt:variant>
      <vt:variant>
        <vt:i4>0</vt:i4>
      </vt:variant>
      <vt:variant>
        <vt:i4>5</vt:i4>
      </vt:variant>
      <vt:variant>
        <vt:lpwstr>https://www.ncbi.nlm.nih.gov/pmc/articles/PMC3009733/</vt:lpwstr>
      </vt:variant>
      <vt:variant>
        <vt:lpwstr/>
      </vt:variant>
      <vt:variant>
        <vt:i4>8257579</vt:i4>
      </vt:variant>
      <vt:variant>
        <vt:i4>3</vt:i4>
      </vt:variant>
      <vt:variant>
        <vt:i4>0</vt:i4>
      </vt:variant>
      <vt:variant>
        <vt:i4>5</vt:i4>
      </vt:variant>
      <vt:variant>
        <vt:lpwstr>https://www.pwc.com.au/indigenous-consulting/assets/indigenous-incarceration-may17.pdf</vt:lpwstr>
      </vt:variant>
      <vt:variant>
        <vt:lpwstr/>
      </vt:variant>
      <vt:variant>
        <vt:i4>458772</vt:i4>
      </vt:variant>
      <vt:variant>
        <vt:i4>0</vt:i4>
      </vt:variant>
      <vt:variant>
        <vt:i4>0</vt:i4>
      </vt:variant>
      <vt:variant>
        <vt:i4>5</vt:i4>
      </vt:variant>
      <vt:variant>
        <vt:lpwstr>http://www.health.gov.au/internet/main/publishing.nsf/content/B92E980680486C3BCA257BF0001BAF01/$File/health-plan.pdf</vt:lpwstr>
      </vt:variant>
      <vt:variant>
        <vt:lpwstr/>
      </vt:variant>
      <vt:variant>
        <vt:i4>1704002</vt:i4>
      </vt:variant>
      <vt:variant>
        <vt:i4>96</vt:i4>
      </vt:variant>
      <vt:variant>
        <vt:i4>0</vt:i4>
      </vt:variant>
      <vt:variant>
        <vt:i4>5</vt:i4>
      </vt:variant>
      <vt:variant>
        <vt:lpwstr>http://www.unaids.org/sites/default/files/media_asset/UNAIDS_JC2725_CommunitiesDeliver_en.pdf</vt:lpwstr>
      </vt:variant>
      <vt:variant>
        <vt:lpwstr/>
      </vt:variant>
      <vt:variant>
        <vt:i4>2228331</vt:i4>
      </vt:variant>
      <vt:variant>
        <vt:i4>93</vt:i4>
      </vt:variant>
      <vt:variant>
        <vt:i4>0</vt:i4>
      </vt:variant>
      <vt:variant>
        <vt:i4>5</vt:i4>
      </vt:variant>
      <vt:variant>
        <vt:lpwstr>http://www.who.int/hiv/pub/sti/sex_worker_implementation/en/</vt:lpwstr>
      </vt:variant>
      <vt:variant>
        <vt:lpwstr/>
      </vt:variant>
      <vt:variant>
        <vt:i4>5046358</vt:i4>
      </vt:variant>
      <vt:variant>
        <vt:i4>90</vt:i4>
      </vt:variant>
      <vt:variant>
        <vt:i4>0</vt:i4>
      </vt:variant>
      <vt:variant>
        <vt:i4>5</vt:i4>
      </vt:variant>
      <vt:variant>
        <vt:lpwstr>https://harmreductionjournal.biomedcentral.com/articles/10.1186/s12954-018-0209-y</vt:lpwstr>
      </vt:variant>
      <vt:variant>
        <vt:lpwstr/>
      </vt:variant>
      <vt:variant>
        <vt:i4>3866739</vt:i4>
      </vt:variant>
      <vt:variant>
        <vt:i4>87</vt:i4>
      </vt:variant>
      <vt:variant>
        <vt:i4>0</vt:i4>
      </vt:variant>
      <vt:variant>
        <vt:i4>5</vt:i4>
      </vt:variant>
      <vt:variant>
        <vt:lpwstr>https://doi.org/10.1111/1753-6405.12078</vt:lpwstr>
      </vt:variant>
      <vt:variant>
        <vt:lpwstr/>
      </vt:variant>
      <vt:variant>
        <vt:i4>5046358</vt:i4>
      </vt:variant>
      <vt:variant>
        <vt:i4>84</vt:i4>
      </vt:variant>
      <vt:variant>
        <vt:i4>0</vt:i4>
      </vt:variant>
      <vt:variant>
        <vt:i4>5</vt:i4>
      </vt:variant>
      <vt:variant>
        <vt:lpwstr>https://harmreductionjournal.biomedcentral.com/articles/10.1186/s12954-018-0209-y</vt:lpwstr>
      </vt:variant>
      <vt:variant>
        <vt:lpwstr/>
      </vt:variant>
      <vt:variant>
        <vt:i4>5046358</vt:i4>
      </vt:variant>
      <vt:variant>
        <vt:i4>81</vt:i4>
      </vt:variant>
      <vt:variant>
        <vt:i4>0</vt:i4>
      </vt:variant>
      <vt:variant>
        <vt:i4>5</vt:i4>
      </vt:variant>
      <vt:variant>
        <vt:lpwstr>https://harmreductionjournal.biomedcentral.com/articles/10.1186/s12954-018-0209-y</vt:lpwstr>
      </vt:variant>
      <vt:variant>
        <vt:lpwstr/>
      </vt:variant>
      <vt:variant>
        <vt:i4>65628</vt:i4>
      </vt:variant>
      <vt:variant>
        <vt:i4>78</vt:i4>
      </vt:variant>
      <vt:variant>
        <vt:i4>0</vt:i4>
      </vt:variant>
      <vt:variant>
        <vt:i4>5</vt:i4>
      </vt:variant>
      <vt:variant>
        <vt:lpwstr>https://www.health.gov.au/internet/main/publishing.nsf/Content/72C7E23E1BD5E9CFCA257F640082CD48/$File/Health Curriculum Framework.pdf</vt:lpwstr>
      </vt:variant>
      <vt:variant>
        <vt:lpwstr/>
      </vt:variant>
      <vt:variant>
        <vt:i4>1245209</vt:i4>
      </vt:variant>
      <vt:variant>
        <vt:i4>75</vt:i4>
      </vt:variant>
      <vt:variant>
        <vt:i4>0</vt:i4>
      </vt:variant>
      <vt:variant>
        <vt:i4>5</vt:i4>
      </vt:variant>
      <vt:variant>
        <vt:lpwstr>https://www.cmtedd.act.gov.au/open_government/inform/act_government_media_releases/rattenbury/2017/world-hepatitis-day-2017-effective-treatment-reducing-hepatitis-c-rates-in-amc</vt:lpwstr>
      </vt:variant>
      <vt:variant>
        <vt:lpwstr/>
      </vt:variant>
      <vt:variant>
        <vt:i4>5701669</vt:i4>
      </vt:variant>
      <vt:variant>
        <vt:i4>72</vt:i4>
      </vt:variant>
      <vt:variant>
        <vt:i4>0</vt:i4>
      </vt:variant>
      <vt:variant>
        <vt:i4>5</vt:i4>
      </vt:variant>
      <vt:variant>
        <vt:lpwstr>http://scholar.google.com/scholar_lookup?title=A%20randomised%20controlled%20trial%20of%20financial%20incentives%20to%20increase%20hepatitis%20B%20vaccination%20completion%20among%20people%20who%20inject%20drugs%20in%20Australia&amp;author=L.%20Topp&amp;author=CA.%20Day&amp;author=H.%20Wand&amp;author=RM.%20Deacon&amp;author=I.%20van%20Beek&amp;author=PS.%20Haber&amp;journal=Prev%20Med&amp;volume=57&amp;issue=4&amp;pages=297-303&amp;publication_year=2013</vt:lpwstr>
      </vt:variant>
      <vt:variant>
        <vt:lpwstr/>
      </vt:variant>
      <vt:variant>
        <vt:i4>6553604</vt:i4>
      </vt:variant>
      <vt:variant>
        <vt:i4>69</vt:i4>
      </vt:variant>
      <vt:variant>
        <vt:i4>0</vt:i4>
      </vt:variant>
      <vt:variant>
        <vt:i4>5</vt:i4>
      </vt:variant>
      <vt:variant>
        <vt:lpwstr>http://www.ncbi.nlm.nih.gov/entrez/query.fcgi?cmd=Retrieve&amp;db=PubMed&amp;dopt=Abstract&amp;list_uids=23639625</vt:lpwstr>
      </vt:variant>
      <vt:variant>
        <vt:lpwstr/>
      </vt:variant>
      <vt:variant>
        <vt:i4>2818159</vt:i4>
      </vt:variant>
      <vt:variant>
        <vt:i4>66</vt:i4>
      </vt:variant>
      <vt:variant>
        <vt:i4>0</vt:i4>
      </vt:variant>
      <vt:variant>
        <vt:i4>5</vt:i4>
      </vt:variant>
      <vt:variant>
        <vt:lpwstr>https://doi.org/10.1016/j.ypmed.2013.04.013</vt:lpwstr>
      </vt:variant>
      <vt:variant>
        <vt:lpwstr/>
      </vt:variant>
      <vt:variant>
        <vt:i4>3866739</vt:i4>
      </vt:variant>
      <vt:variant>
        <vt:i4>63</vt:i4>
      </vt:variant>
      <vt:variant>
        <vt:i4>0</vt:i4>
      </vt:variant>
      <vt:variant>
        <vt:i4>5</vt:i4>
      </vt:variant>
      <vt:variant>
        <vt:lpwstr>https://doi.org/10.1111/1753-6405.12078</vt:lpwstr>
      </vt:variant>
      <vt:variant>
        <vt:lpwstr/>
      </vt:variant>
      <vt:variant>
        <vt:i4>196709</vt:i4>
      </vt:variant>
      <vt:variant>
        <vt:i4>60</vt:i4>
      </vt:variant>
      <vt:variant>
        <vt:i4>0</vt:i4>
      </vt:variant>
      <vt:variant>
        <vt:i4>5</vt:i4>
      </vt:variant>
      <vt:variant>
        <vt:lpwstr>http://scholar.google.com/scholar_lookup?title=%E2%80%98Catching%20chlamydia%E2%80%99%3A%20combining%20cash%20incentives%20and%20community%20pharmacy%20access%20for%20increased%20chlamydia%20screening%2C%20the%20view%20of%20young%20people&amp;author=RM.%20Parker&amp;author=A.%20Bell&amp;author=MJ.%20Currie&amp;author=LS.%20Deeks&amp;author=G.%20Cooper&amp;author=SJ.%20Martin&amp;journal=Aust%20J%20Prim%20Health&amp;volume=21&amp;issue=1&amp;pages=79-83&amp;publication_year=2015</vt:lpwstr>
      </vt:variant>
      <vt:variant>
        <vt:lpwstr/>
      </vt:variant>
      <vt:variant>
        <vt:i4>6881282</vt:i4>
      </vt:variant>
      <vt:variant>
        <vt:i4>57</vt:i4>
      </vt:variant>
      <vt:variant>
        <vt:i4>0</vt:i4>
      </vt:variant>
      <vt:variant>
        <vt:i4>5</vt:i4>
      </vt:variant>
      <vt:variant>
        <vt:lpwstr>http://www.ncbi.nlm.nih.gov/entrez/query.fcgi?cmd=Retrieve&amp;db=PubMed&amp;dopt=Abstract&amp;list_uids=24139788</vt:lpwstr>
      </vt:variant>
      <vt:variant>
        <vt:lpwstr/>
      </vt:variant>
      <vt:variant>
        <vt:i4>7077931</vt:i4>
      </vt:variant>
      <vt:variant>
        <vt:i4>54</vt:i4>
      </vt:variant>
      <vt:variant>
        <vt:i4>0</vt:i4>
      </vt:variant>
      <vt:variant>
        <vt:i4>5</vt:i4>
      </vt:variant>
      <vt:variant>
        <vt:lpwstr>https://doi.org/10.1071/PY12135</vt:lpwstr>
      </vt:variant>
      <vt:variant>
        <vt:lpwstr/>
      </vt:variant>
      <vt:variant>
        <vt:i4>1048615</vt:i4>
      </vt:variant>
      <vt:variant>
        <vt:i4>51</vt:i4>
      </vt:variant>
      <vt:variant>
        <vt:i4>0</vt:i4>
      </vt:variant>
      <vt:variant>
        <vt:i4>5</vt:i4>
      </vt:variant>
      <vt:variant>
        <vt:lpwstr>http://scholar.google.com/scholar_lookup?title=Increasing%20chlamydia%20test%20of%20re-infection%20rates%20using%20SMS%20reminders%20and%20incentives&amp;author=SG.%20Downing&amp;author=C.%20Cashman&amp;author=H.%20McNamee&amp;author=D.%20Penney&amp;author=DB.%20Russell&amp;author=ME.%20Hellard&amp;journal=Sex%20Transm%20Infect&amp;volume=89&amp;issue=1&amp;pages=16-19&amp;publication_year=2013&amp;doi=10.1136%2Fsextrans-2011-050454</vt:lpwstr>
      </vt:variant>
      <vt:variant>
        <vt:lpwstr/>
      </vt:variant>
      <vt:variant>
        <vt:i4>6750219</vt:i4>
      </vt:variant>
      <vt:variant>
        <vt:i4>48</vt:i4>
      </vt:variant>
      <vt:variant>
        <vt:i4>0</vt:i4>
      </vt:variant>
      <vt:variant>
        <vt:i4>5</vt:i4>
      </vt:variant>
      <vt:variant>
        <vt:lpwstr>http://www.ncbi.nlm.nih.gov/entrez/query.fcgi?cmd=Retrieve&amp;db=PubMed&amp;dopt=Abstract&amp;list_uids=22728911</vt:lpwstr>
      </vt:variant>
      <vt:variant>
        <vt:lpwstr/>
      </vt:variant>
      <vt:variant>
        <vt:i4>524371</vt:i4>
      </vt:variant>
      <vt:variant>
        <vt:i4>45</vt:i4>
      </vt:variant>
      <vt:variant>
        <vt:i4>0</vt:i4>
      </vt:variant>
      <vt:variant>
        <vt:i4>5</vt:i4>
      </vt:variant>
      <vt:variant>
        <vt:lpwstr>https://doi.org/10.1136/sextrans-2011-050454</vt:lpwstr>
      </vt:variant>
      <vt:variant>
        <vt:lpwstr/>
      </vt:variant>
      <vt:variant>
        <vt:i4>524371</vt:i4>
      </vt:variant>
      <vt:variant>
        <vt:i4>42</vt:i4>
      </vt:variant>
      <vt:variant>
        <vt:i4>0</vt:i4>
      </vt:variant>
      <vt:variant>
        <vt:i4>5</vt:i4>
      </vt:variant>
      <vt:variant>
        <vt:lpwstr>https://doi.org/10.1136/sextrans-2011-050454</vt:lpwstr>
      </vt:variant>
      <vt:variant>
        <vt:lpwstr/>
      </vt:variant>
      <vt:variant>
        <vt:i4>1114166</vt:i4>
      </vt:variant>
      <vt:variant>
        <vt:i4>39</vt:i4>
      </vt:variant>
      <vt:variant>
        <vt:i4>0</vt:i4>
      </vt:variant>
      <vt:variant>
        <vt:i4>5</vt:i4>
      </vt:variant>
      <vt:variant>
        <vt:lpwstr>https://nova.newcastle.edu.au/vital/access/ /manager/Repository?view=null&amp;f0=sm_relation%3A%22Sexual+Health+Vol.+13%2C+Issue+2%2C+p.+140-147%22&amp;sort=sort_ss_title%2F</vt:lpwstr>
      </vt:variant>
      <vt:variant>
        <vt:lpwstr/>
      </vt:variant>
      <vt:variant>
        <vt:i4>3932172</vt:i4>
      </vt:variant>
      <vt:variant>
        <vt:i4>36</vt:i4>
      </vt:variant>
      <vt:variant>
        <vt:i4>0</vt:i4>
      </vt:variant>
      <vt:variant>
        <vt:i4>5</vt:i4>
      </vt:variant>
      <vt:variant>
        <vt:lpwstr>https://nova.newcastle.edu.au/vital/access/ /manager/Repository?view=null&amp;f0=sm_creator%3A%22Guy%2C+Rebecca+J.%22&amp;sort=sort_ss_title%2F</vt:lpwstr>
      </vt:variant>
      <vt:variant>
        <vt:lpwstr/>
      </vt:variant>
      <vt:variant>
        <vt:i4>524392</vt:i4>
      </vt:variant>
      <vt:variant>
        <vt:i4>33</vt:i4>
      </vt:variant>
      <vt:variant>
        <vt:i4>0</vt:i4>
      </vt:variant>
      <vt:variant>
        <vt:i4>5</vt:i4>
      </vt:variant>
      <vt:variant>
        <vt:lpwstr>https://nova.newcastle.edu.au/vital/access/ /manager/Repository?view=null&amp;f0=sm_creator%3A%22Su%2C+Jiunn-Yih%22&amp;sort=sort_ss_title%2F</vt:lpwstr>
      </vt:variant>
      <vt:variant>
        <vt:lpwstr/>
      </vt:variant>
      <vt:variant>
        <vt:i4>7536659</vt:i4>
      </vt:variant>
      <vt:variant>
        <vt:i4>30</vt:i4>
      </vt:variant>
      <vt:variant>
        <vt:i4>0</vt:i4>
      </vt:variant>
      <vt:variant>
        <vt:i4>5</vt:i4>
      </vt:variant>
      <vt:variant>
        <vt:lpwstr>https://nova.newcastle.edu.au/vital/access/ /manager/Repository?view=null&amp;f0=sm_creator%3A%22Yip%2C+Teem-Wing%22&amp;sort=sort_ss_title%2F</vt:lpwstr>
      </vt:variant>
      <vt:variant>
        <vt:lpwstr/>
      </vt:variant>
      <vt:variant>
        <vt:i4>4653158</vt:i4>
      </vt:variant>
      <vt:variant>
        <vt:i4>27</vt:i4>
      </vt:variant>
      <vt:variant>
        <vt:i4>0</vt:i4>
      </vt:variant>
      <vt:variant>
        <vt:i4>5</vt:i4>
      </vt:variant>
      <vt:variant>
        <vt:lpwstr>https://nova.newcastle.edu.au/vital/access/ /manager/Repository?view=null&amp;f0=sm_creator%3A%22Ryder%2C+Nathan%22&amp;sort=sort_ss_title%2F</vt:lpwstr>
      </vt:variant>
      <vt:variant>
        <vt:lpwstr/>
      </vt:variant>
      <vt:variant>
        <vt:i4>6094955</vt:i4>
      </vt:variant>
      <vt:variant>
        <vt:i4>24</vt:i4>
      </vt:variant>
      <vt:variant>
        <vt:i4>0</vt:i4>
      </vt:variant>
      <vt:variant>
        <vt:i4>5</vt:i4>
      </vt:variant>
      <vt:variant>
        <vt:lpwstr>https://nova.newcastle.edu.au/vital/access/ /manager/Repository?view=null&amp;f0=sm_creator%3A%22Dyda%2C+Amalie%22&amp;sort=sort_ss_title%2F</vt:lpwstr>
      </vt:variant>
      <vt:variant>
        <vt:lpwstr/>
      </vt:variant>
      <vt:variant>
        <vt:i4>5570677</vt:i4>
      </vt:variant>
      <vt:variant>
        <vt:i4>21</vt:i4>
      </vt:variant>
      <vt:variant>
        <vt:i4>0</vt:i4>
      </vt:variant>
      <vt:variant>
        <vt:i4>5</vt:i4>
      </vt:variant>
      <vt:variant>
        <vt:lpwstr>https://nova.newcastle.edu.au/vital/access/ /manager/Repository?view=null&amp;f0=sm_creator%3A%22Smith%2C+Kirsty%22&amp;sort=sort_ss_title%2F</vt:lpwstr>
      </vt:variant>
      <vt:variant>
        <vt:lpwstr/>
      </vt:variant>
      <vt:variant>
        <vt:i4>6946911</vt:i4>
      </vt:variant>
      <vt:variant>
        <vt:i4>18</vt:i4>
      </vt:variant>
      <vt:variant>
        <vt:i4>0</vt:i4>
      </vt:variant>
      <vt:variant>
        <vt:i4>5</vt:i4>
      </vt:variant>
      <vt:variant>
        <vt:lpwstr>https://nova.newcastle.edu.au/vital/access/ /manager/Repository?view=null&amp;f0=sm_creator%3A%22Ward%2C+James%22&amp;sort=sort_ss_title%2F</vt:lpwstr>
      </vt:variant>
      <vt:variant>
        <vt:lpwstr/>
      </vt:variant>
      <vt:variant>
        <vt:i4>7340126</vt:i4>
      </vt:variant>
      <vt:variant>
        <vt:i4>15</vt:i4>
      </vt:variant>
      <vt:variant>
        <vt:i4>0</vt:i4>
      </vt:variant>
      <vt:variant>
        <vt:i4>5</vt:i4>
      </vt:variant>
      <vt:variant>
        <vt:lpwstr>https://nova.newcastle.edu.au/vital/access/ /manager/Repository?view=null&amp;f0=sm_creator%3A%22Rumbold%2C+Alice%22&amp;sort=sort_ss_title%2F</vt:lpwstr>
      </vt:variant>
      <vt:variant>
        <vt:lpwstr/>
      </vt:variant>
      <vt:variant>
        <vt:i4>7602245</vt:i4>
      </vt:variant>
      <vt:variant>
        <vt:i4>12</vt:i4>
      </vt:variant>
      <vt:variant>
        <vt:i4>0</vt:i4>
      </vt:variant>
      <vt:variant>
        <vt:i4>5</vt:i4>
      </vt:variant>
      <vt:variant>
        <vt:lpwstr>https://nova.newcastle.edu.au/vital/access/ /manager/Repository?view=null&amp;f0=sm_creator%3A%22Kaldor%2C+John+M.%22&amp;sort=sort_ss_title%2F</vt:lpwstr>
      </vt:variant>
      <vt:variant>
        <vt:lpwstr/>
      </vt:variant>
      <vt:variant>
        <vt:i4>7667798</vt:i4>
      </vt:variant>
      <vt:variant>
        <vt:i4>9</vt:i4>
      </vt:variant>
      <vt:variant>
        <vt:i4>0</vt:i4>
      </vt:variant>
      <vt:variant>
        <vt:i4>5</vt:i4>
      </vt:variant>
      <vt:variant>
        <vt:lpwstr>https://nova.newcastle.edu.au/vital/access/ /manager/Repository?view=null&amp;f0=sm_creator%3A%22Silver%2C+Bronwyn%22&amp;sort=sort_ss_title%2F</vt:lpwstr>
      </vt:variant>
      <vt:variant>
        <vt:lpwstr/>
      </vt:variant>
      <vt:variant>
        <vt:i4>5308419</vt:i4>
      </vt:variant>
      <vt:variant>
        <vt:i4>6</vt:i4>
      </vt:variant>
      <vt:variant>
        <vt:i4>0</vt:i4>
      </vt:variant>
      <vt:variant>
        <vt:i4>5</vt:i4>
      </vt:variant>
      <vt:variant>
        <vt:lpwstr>http://www.sti.guidelines.org.au/</vt:lpwstr>
      </vt:variant>
      <vt:variant>
        <vt:lpwstr/>
      </vt:variant>
      <vt:variant>
        <vt:i4>7012465</vt:i4>
      </vt:variant>
      <vt:variant>
        <vt:i4>3</vt:i4>
      </vt:variant>
      <vt:variant>
        <vt:i4>0</vt:i4>
      </vt:variant>
      <vt:variant>
        <vt:i4>5</vt:i4>
      </vt:variant>
      <vt:variant>
        <vt:lpwstr>http://hivlegal.ashm.org.au/index.php/guide-to-australian-hiv-laws-and-policies-for-healthcare-professionals/antenatal-testing</vt:lpwstr>
      </vt:variant>
      <vt:variant>
        <vt:lpwstr/>
      </vt:variant>
      <vt:variant>
        <vt:i4>8060999</vt:i4>
      </vt:variant>
      <vt:variant>
        <vt:i4>0</vt:i4>
      </vt:variant>
      <vt:variant>
        <vt:i4>0</vt:i4>
      </vt:variant>
      <vt:variant>
        <vt:i4>5</vt:i4>
      </vt:variant>
      <vt:variant>
        <vt:lpwstr>http://www.abs.gov.au/AUSSTATS/abs@.nsf/DetailsPage/2071.02016?OpenDocument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Fifth National Aboriginal and Torres Strait Islander Blood Borne Viruses and Sexually Transmissible Infections Strategy 2018-2022 (Draft for BBVSS Consultation)</dc:title>
  <dc:subject>Commonwealth Department of Health</dc:subject>
  <dc:creator>Holly Norrie</dc:creator>
  <cp:lastModifiedBy>Office of Health Protection</cp:lastModifiedBy>
  <cp:revision>67</cp:revision>
  <cp:lastPrinted>2018-11-12T00:56:00Z</cp:lastPrinted>
  <dcterms:created xsi:type="dcterms:W3CDTF">2018-11-08T22:52:00Z</dcterms:created>
  <dcterms:modified xsi:type="dcterms:W3CDTF">2018-11-27T00:45:00Z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0x01010040AAA90A6044A946998B6A8D480D9E4B</vt:lpwstr>
  </property>
  <property fmtid="{D5CDD505-2E9C-101B-9397-08002B2CF9AE}" pid="3" name="Doc type - level 2">
    <vt:lpwstr/>
  </property>
  <property fmtid="{D5CDD505-2E9C-101B-9397-08002B2CF9AE}" pid="4" name="Project doc type">
    <vt:lpwstr>48;#E. Deliverables|0f05b71d-e5f3-4d2e-afe4-cc2f30331a3f</vt:lpwstr>
  </property>
  <property fmtid="{D5CDD505-2E9C-101B-9397-08002B2CF9AE}" pid="5" name="pc8457cba08d42be841822dbe092508a">
    <vt:lpwstr>E. Deliverables0f05b71d-e5f3-4d2e-afe4-cc2f30331a3f</vt:lpwstr>
  </property>
  <property fmtid="{D5CDD505-2E9C-101B-9397-08002B2CF9AE}" pid="6" name="Key doc?">
    <vt:lpwstr>0</vt:lpwstr>
  </property>
  <property fmtid="{D5CDD505-2E9C-101B-9397-08002B2CF9AE}" pid="7" name="n881213a598c43e19c46d2040c5fc651">
    <vt:lpwstr/>
  </property>
  <property fmtid="{D5CDD505-2E9C-101B-9397-08002B2CF9AE}" pid="8" name="TaxCatchAll">
    <vt:lpwstr>48;#</vt:lpwstr>
  </property>
  <property fmtid="{D5CDD505-2E9C-101B-9397-08002B2CF9AE}" pid="9" name="Archive?">
    <vt:lpwstr>0</vt:lpwstr>
  </property>
</Properties>
</file>