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482D536E" w14:textId="77777777" w:rsidTr="00800DEB">
        <w:tc>
          <w:tcPr>
            <w:tcW w:w="2547" w:type="dxa"/>
          </w:tcPr>
          <w:p w14:paraId="29F964A3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553F988A" wp14:editId="03CBC00D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F9680D4" w14:textId="5A68E36F" w:rsidR="00800DEB" w:rsidRDefault="00771CD2" w:rsidP="00800DEB">
            <w:pPr>
              <w:pStyle w:val="Title"/>
            </w:pPr>
            <w:r w:rsidRPr="00771CD2">
              <w:t>Brucellosis</w:t>
            </w:r>
          </w:p>
          <w:p w14:paraId="2BD93E07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0DE68858" w14:textId="44BC3D11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771CD2">
        <w:t>b</w:t>
      </w:r>
      <w:r w:rsidR="00771CD2" w:rsidRPr="00771CD2">
        <w:t>rucellosis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382"/>
        <w:gridCol w:w="1695"/>
        <w:gridCol w:w="1970"/>
      </w:tblGrid>
      <w:tr w:rsidR="00800DEB" w:rsidRPr="00872414" w14:paraId="6D3E4A61" w14:textId="77777777" w:rsidTr="00771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09423A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5E3E95F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20D12D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A983BE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158AF891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8600E" w14:textId="2277565D" w:rsidR="00800DEB" w:rsidRPr="00872414" w:rsidRDefault="00771CD2" w:rsidP="00650561">
            <w:pPr>
              <w:pStyle w:val="TableText"/>
              <w:rPr>
                <w:lang w:eastAsia="en-AU"/>
              </w:rPr>
            </w:pPr>
            <w:r w:rsidRPr="00771CD2">
              <w:rPr>
                <w:lang w:eastAsia="en-AU"/>
              </w:rPr>
              <w:t>1.2</w:t>
            </w:r>
            <w:r w:rsidRPr="00771CD2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28AD91DD" w14:textId="77777777" w:rsidR="00771CD2" w:rsidRP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771CD2">
              <w:rPr>
                <w:b/>
                <w:bCs/>
                <w:lang w:eastAsia="en-AU"/>
              </w:rPr>
              <w:t>Laboratory definitive evidence</w:t>
            </w:r>
          </w:p>
          <w:p w14:paraId="25C19192" w14:textId="77777777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0DFA500E" w14:textId="77777777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Addition of “Detection of Brucella species by nucleic acid testing in a blood sample”.</w:t>
            </w:r>
          </w:p>
          <w:p w14:paraId="56DDDD89" w14:textId="77777777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IgG seroconversion description re-worded.</w:t>
            </w:r>
          </w:p>
          <w:p w14:paraId="1888B04E" w14:textId="7646611F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Removal of “agglutination and complement fixation titres”.</w:t>
            </w:r>
          </w:p>
          <w:p w14:paraId="0508D043" w14:textId="77777777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4EE06A84" w14:textId="77777777" w:rsidR="00771CD2" w:rsidRP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771CD2">
              <w:rPr>
                <w:b/>
                <w:bCs/>
                <w:lang w:eastAsia="en-AU"/>
              </w:rPr>
              <w:t>Laboratory suggestive evidence</w:t>
            </w:r>
          </w:p>
          <w:p w14:paraId="12631D0D" w14:textId="77777777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0149B376" w14:textId="7F5E400E" w:rsidR="00800DEB" w:rsidRPr="00872414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Addition of “detection of Brucella species by nucleic acid testing from a sterile site other than blood”.</w:t>
            </w:r>
            <w:r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03765617" w14:textId="73E27337" w:rsidR="00800DEB" w:rsidRPr="00872414" w:rsidRDefault="00771CD2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lang w:eastAsia="en-AU"/>
              </w:rPr>
              <w:t>CDWG 8 December 2015</w:t>
            </w:r>
            <w:r w:rsidRPr="00771CD2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6DD167E0" w14:textId="35130B1C" w:rsidR="00800DEB" w:rsidRPr="00872414" w:rsidRDefault="00771CD2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lang w:eastAsia="en-AU"/>
              </w:rPr>
              <w:t>1 July 2016</w:t>
            </w:r>
          </w:p>
        </w:tc>
      </w:tr>
      <w:tr w:rsidR="00800DEB" w:rsidRPr="00872414" w14:paraId="1D495DA6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CC4B0D" w14:textId="77777777" w:rsidR="00771CD2" w:rsidRPr="00771CD2" w:rsidRDefault="00771CD2" w:rsidP="00771CD2">
            <w:pPr>
              <w:rPr>
                <w:lang w:eastAsia="en-AU"/>
              </w:rPr>
            </w:pPr>
            <w:r w:rsidRPr="00771CD2">
              <w:rPr>
                <w:lang w:eastAsia="en-AU"/>
              </w:rPr>
              <w:t>1.1</w:t>
            </w:r>
          </w:p>
          <w:p w14:paraId="0F6E9464" w14:textId="77777777" w:rsidR="00800DEB" w:rsidRPr="00872414" w:rsidRDefault="00800DEB" w:rsidP="00650561">
            <w:pPr>
              <w:pStyle w:val="TableText"/>
              <w:rPr>
                <w:lang w:eastAsia="en-AU"/>
              </w:rPr>
            </w:pPr>
          </w:p>
        </w:tc>
        <w:tc>
          <w:tcPr>
            <w:tcW w:w="0" w:type="auto"/>
          </w:tcPr>
          <w:p w14:paraId="27D46A0E" w14:textId="3041F331" w:rsidR="00771CD2" w:rsidRDefault="00771CD2" w:rsidP="00771CD2">
            <w:pPr>
              <w:pStyle w:val="TableText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Members agreed to add a definition for probable case requiring laboratory suggestive and clinical evidence:</w:t>
            </w:r>
          </w:p>
          <w:p w14:paraId="5AA2AED5" w14:textId="77777777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  <w:p w14:paraId="1AF56857" w14:textId="447BC0DD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b/>
                <w:bCs/>
                <w:lang w:eastAsia="en-AU"/>
              </w:rPr>
              <w:t>Probable</w:t>
            </w:r>
            <w:r>
              <w:rPr>
                <w:lang w:eastAsia="en-AU"/>
              </w:rPr>
              <w:t xml:space="preserve"> </w:t>
            </w:r>
            <w:r w:rsidRPr="00771CD2">
              <w:rPr>
                <w:b/>
                <w:bCs/>
                <w:lang w:eastAsia="en-AU"/>
              </w:rPr>
              <w:t>case</w:t>
            </w:r>
          </w:p>
          <w:p w14:paraId="53B08F7F" w14:textId="77777777" w:rsidR="00771CD2" w:rsidRPr="00781B2B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"/>
                <w:szCs w:val="6"/>
                <w:lang w:eastAsia="en-AU"/>
              </w:rPr>
            </w:pPr>
          </w:p>
          <w:p w14:paraId="377DD653" w14:textId="77777777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 probable case requires laboratory suggestive and clinical evidence.</w:t>
            </w:r>
          </w:p>
          <w:p w14:paraId="2C763E1B" w14:textId="77777777" w:rsidR="00781B2B" w:rsidRDefault="00781B2B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en-AU"/>
              </w:rPr>
            </w:pPr>
          </w:p>
          <w:p w14:paraId="5756C932" w14:textId="14FC41D5" w:rsidR="00771CD2" w:rsidRP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771CD2">
              <w:rPr>
                <w:b/>
                <w:bCs/>
                <w:lang w:eastAsia="en-AU"/>
              </w:rPr>
              <w:t>Laboratory suggestive evidence</w:t>
            </w:r>
          </w:p>
          <w:p w14:paraId="37715835" w14:textId="77777777" w:rsidR="00771CD2" w:rsidRPr="00781B2B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6"/>
                <w:szCs w:val="8"/>
                <w:lang w:eastAsia="en-AU"/>
              </w:rPr>
            </w:pPr>
          </w:p>
          <w:p w14:paraId="66A4D6A8" w14:textId="3DB7B987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 single high Brucella agglutination titre</w:t>
            </w:r>
          </w:p>
          <w:p w14:paraId="5CCBC7A4" w14:textId="77777777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b/>
                <w:bCs/>
                <w:lang w:eastAsia="en-AU"/>
              </w:rPr>
              <w:lastRenderedPageBreak/>
              <w:t>Clinical</w:t>
            </w:r>
            <w:r>
              <w:rPr>
                <w:lang w:eastAsia="en-AU"/>
              </w:rPr>
              <w:t xml:space="preserve"> </w:t>
            </w:r>
            <w:r w:rsidRPr="00771CD2">
              <w:rPr>
                <w:b/>
                <w:bCs/>
                <w:lang w:eastAsia="en-AU"/>
              </w:rPr>
              <w:t>evidence</w:t>
            </w:r>
          </w:p>
          <w:p w14:paraId="10B6CBE7" w14:textId="77777777" w:rsidR="00771CD2" w:rsidRPr="00781B2B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"/>
                <w:szCs w:val="2"/>
                <w:lang w:eastAsia="en-AU"/>
              </w:rPr>
            </w:pPr>
          </w:p>
          <w:p w14:paraId="4FB910EB" w14:textId="77777777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 clinically compatible illness</w:t>
            </w:r>
          </w:p>
          <w:p w14:paraId="09CAE376" w14:textId="77777777" w:rsidR="00771CD2" w:rsidRDefault="00771CD2" w:rsidP="00771CD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  <w:p w14:paraId="203F7F45" w14:textId="680CF3C6" w:rsidR="00800DEB" w:rsidRPr="00872414" w:rsidRDefault="00771CD2" w:rsidP="00771CD2">
            <w:pPr>
              <w:pStyle w:val="TableText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The words “in parallel” were added to point 2 under “Laboratory definitive evidence”</w:t>
            </w:r>
          </w:p>
        </w:tc>
        <w:tc>
          <w:tcPr>
            <w:tcW w:w="0" w:type="auto"/>
          </w:tcPr>
          <w:p w14:paraId="3F0243B9" w14:textId="58CC94D0" w:rsidR="00800DEB" w:rsidRPr="00872414" w:rsidRDefault="00771CD2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lang w:eastAsia="en-AU"/>
              </w:rPr>
              <w:lastRenderedPageBreak/>
              <w:t>CDWG 29 June 2010</w:t>
            </w:r>
          </w:p>
        </w:tc>
        <w:tc>
          <w:tcPr>
            <w:tcW w:w="0" w:type="auto"/>
          </w:tcPr>
          <w:p w14:paraId="54ECD8E3" w14:textId="4B415C16" w:rsidR="00800DEB" w:rsidRPr="00872414" w:rsidRDefault="00771CD2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lang w:eastAsia="en-AU"/>
              </w:rPr>
              <w:t>1 July 2010</w:t>
            </w:r>
          </w:p>
        </w:tc>
      </w:tr>
      <w:tr w:rsidR="00771CD2" w:rsidRPr="00872414" w14:paraId="2B0FF8F5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82905" w14:textId="3717E9EE" w:rsidR="00771CD2" w:rsidRPr="00771CD2" w:rsidRDefault="00771CD2" w:rsidP="00771CD2">
            <w:pPr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7CA8613" w14:textId="40634B39" w:rsidR="00771CD2" w:rsidRDefault="00771CD2" w:rsidP="00771C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71CD2">
              <w:rPr>
                <w:lang w:eastAsia="en-AU"/>
              </w:rPr>
              <w:t>Initial CDNA case definition</w:t>
            </w:r>
            <w:r>
              <w:rPr>
                <w:lang w:eastAsia="en-AU"/>
              </w:rPr>
              <w:t>.</w:t>
            </w:r>
          </w:p>
        </w:tc>
        <w:tc>
          <w:tcPr>
            <w:tcW w:w="0" w:type="auto"/>
          </w:tcPr>
          <w:p w14:paraId="6F8657E6" w14:textId="40330AFA" w:rsidR="00771CD2" w:rsidRPr="00771CD2" w:rsidRDefault="00771CD2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0FE6F9F6" w14:textId="1448F505" w:rsidR="00771CD2" w:rsidRPr="00771CD2" w:rsidRDefault="00771CD2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229A7356" w14:textId="77777777" w:rsidR="009E0B84" w:rsidRDefault="009E0B84" w:rsidP="00800DEB"/>
    <w:p w14:paraId="57A8C802" w14:textId="77777777" w:rsidR="00771CD2" w:rsidRPr="00771CD2" w:rsidRDefault="00771CD2" w:rsidP="00771CD2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771CD2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010DDCF5" w14:textId="77777777" w:rsidR="00771CD2" w:rsidRPr="00771CD2" w:rsidRDefault="00771CD2" w:rsidP="00771CD2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71CD2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0BE24985" w14:textId="77777777" w:rsidR="00771CD2" w:rsidRPr="00771CD2" w:rsidRDefault="00771CD2" w:rsidP="00771CD2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71CD2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032B34BC" w14:textId="77777777" w:rsidR="00771CD2" w:rsidRPr="00771CD2" w:rsidRDefault="00771CD2" w:rsidP="00771CD2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771CD2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2B92BEDE" w14:textId="77777777" w:rsidR="00771CD2" w:rsidRPr="00771CD2" w:rsidRDefault="00771CD2" w:rsidP="00771CD2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71CD2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37B10D13" w14:textId="77777777" w:rsidR="00771CD2" w:rsidRPr="00771CD2" w:rsidRDefault="00771CD2" w:rsidP="00771CD2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Isolation of </w:t>
      </w:r>
      <w:r w:rsidRPr="00771CD2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Brucella 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species</w:t>
      </w:r>
    </w:p>
    <w:p w14:paraId="1E4F7080" w14:textId="77777777" w:rsidR="00771CD2" w:rsidRPr="00771CD2" w:rsidRDefault="00771CD2" w:rsidP="00771CD2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89BB185" w14:textId="77777777" w:rsidR="00771CD2" w:rsidRPr="00771CD2" w:rsidRDefault="00771CD2" w:rsidP="00771CD2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Detection of </w:t>
      </w:r>
      <w:r w:rsidRPr="00771CD2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Brucella 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species by nucleic acid testing from a blood sample</w:t>
      </w:r>
    </w:p>
    <w:p w14:paraId="37F61F0C" w14:textId="77777777" w:rsidR="00771CD2" w:rsidRPr="00771CD2" w:rsidRDefault="00771CD2" w:rsidP="00771CD2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811E021" w14:textId="77777777" w:rsidR="00771CD2" w:rsidRPr="00771CD2" w:rsidRDefault="00771CD2" w:rsidP="00771CD2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significant increase in IgG antibody level (</w:t>
      </w:r>
      <w:proofErr w:type="gramStart"/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fourfold or greater rise) to </w:t>
      </w:r>
      <w:r w:rsidRPr="00771CD2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Brucella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60D04AD9" w14:textId="77777777" w:rsidR="00771CD2" w:rsidRPr="00771CD2" w:rsidRDefault="00771CD2" w:rsidP="00771CD2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71CD2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31D44039" w14:textId="77777777" w:rsidR="00771CD2" w:rsidRPr="00771CD2" w:rsidRDefault="00771CD2" w:rsidP="00771CD2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771CD2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71CD2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evidence.</w:t>
      </w:r>
    </w:p>
    <w:p w14:paraId="36B098EF" w14:textId="77777777" w:rsidR="00771CD2" w:rsidRPr="00771CD2" w:rsidRDefault="00771CD2" w:rsidP="00771CD2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71CD2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2FE7D494" w14:textId="77777777" w:rsidR="00771CD2" w:rsidRPr="00771CD2" w:rsidRDefault="00771CD2" w:rsidP="00771CD2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A single high agglutination titre to</w:t>
      </w:r>
      <w:r w:rsidRPr="00771CD2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Brucella</w:t>
      </w:r>
    </w:p>
    <w:p w14:paraId="6BD2FDBE" w14:textId="77777777" w:rsidR="00771CD2" w:rsidRPr="00771CD2" w:rsidRDefault="00771CD2" w:rsidP="00771CD2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85D42E9" w14:textId="77777777" w:rsidR="00771CD2" w:rsidRPr="00771CD2" w:rsidRDefault="00771CD2" w:rsidP="00771CD2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Detection of</w:t>
      </w:r>
      <w:r w:rsidRPr="00771CD2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Brucella</w:t>
      </w: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 species by nucleic acid testing from a normally sterile site other than blood.</w:t>
      </w:r>
    </w:p>
    <w:p w14:paraId="4CDC92E0" w14:textId="77777777" w:rsidR="00771CD2" w:rsidRPr="00771CD2" w:rsidRDefault="00771CD2" w:rsidP="00771CD2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71CD2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41898EFF" w14:textId="1286157F" w:rsidR="009E0B84" w:rsidRPr="00771CD2" w:rsidRDefault="00771CD2" w:rsidP="00771CD2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71CD2">
        <w:rPr>
          <w:rFonts w:ascii="Helvetica" w:hAnsi="Helvetica" w:cs="Helvetica"/>
          <w:color w:val="222222"/>
          <w:sz w:val="20"/>
          <w:szCs w:val="20"/>
          <w:lang w:eastAsia="en-AU"/>
        </w:rPr>
        <w:t>A clinically compatible illness.</w:t>
      </w:r>
    </w:p>
    <w:sectPr w:rsidR="009E0B84" w:rsidRPr="00771CD2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B01CE" w14:textId="77777777" w:rsidR="00771CD2" w:rsidRDefault="00771CD2" w:rsidP="006B56BB">
      <w:r>
        <w:separator/>
      </w:r>
    </w:p>
    <w:p w14:paraId="2F910737" w14:textId="77777777" w:rsidR="00771CD2" w:rsidRDefault="00771CD2"/>
  </w:endnote>
  <w:endnote w:type="continuationSeparator" w:id="0">
    <w:p w14:paraId="35BC75CF" w14:textId="77777777" w:rsidR="00771CD2" w:rsidRDefault="00771CD2" w:rsidP="006B56BB">
      <w:r>
        <w:continuationSeparator/>
      </w:r>
    </w:p>
    <w:p w14:paraId="1A0058D9" w14:textId="77777777" w:rsidR="00771CD2" w:rsidRDefault="00771CD2"/>
  </w:endnote>
  <w:endnote w:type="continuationNotice" w:id="1">
    <w:p w14:paraId="0615A13A" w14:textId="77777777" w:rsidR="00771CD2" w:rsidRDefault="00771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35F96F" w14:textId="71F64937" w:rsidR="00CD407A" w:rsidRDefault="00771CD2">
            <w:pPr>
              <w:pStyle w:val="Footer"/>
              <w:jc w:val="right"/>
            </w:pPr>
            <w:r w:rsidRPr="00771CD2">
              <w:t xml:space="preserve">Brucellosis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0AF1F3E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36500" w14:textId="77777777" w:rsidR="00771CD2" w:rsidRDefault="00771CD2" w:rsidP="006B56BB">
      <w:r>
        <w:separator/>
      </w:r>
    </w:p>
    <w:p w14:paraId="43968645" w14:textId="77777777" w:rsidR="00771CD2" w:rsidRDefault="00771CD2"/>
  </w:footnote>
  <w:footnote w:type="continuationSeparator" w:id="0">
    <w:p w14:paraId="0E2A0F5B" w14:textId="77777777" w:rsidR="00771CD2" w:rsidRDefault="00771CD2" w:rsidP="006B56BB">
      <w:r>
        <w:continuationSeparator/>
      </w:r>
    </w:p>
    <w:p w14:paraId="7E9BCD6E" w14:textId="77777777" w:rsidR="00771CD2" w:rsidRDefault="00771CD2"/>
  </w:footnote>
  <w:footnote w:type="continuationNotice" w:id="1">
    <w:p w14:paraId="342DACF1" w14:textId="77777777" w:rsidR="00771CD2" w:rsidRDefault="00771C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D96359"/>
    <w:multiLevelType w:val="multilevel"/>
    <w:tmpl w:val="1C52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4690"/>
    <w:multiLevelType w:val="multilevel"/>
    <w:tmpl w:val="7E621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DE162F"/>
    <w:multiLevelType w:val="multilevel"/>
    <w:tmpl w:val="9C82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4FE9"/>
    <w:multiLevelType w:val="hybridMultilevel"/>
    <w:tmpl w:val="76809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799"/>
    <w:multiLevelType w:val="multilevel"/>
    <w:tmpl w:val="6338E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85FDA"/>
    <w:multiLevelType w:val="multilevel"/>
    <w:tmpl w:val="0FC8A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6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1"/>
  </w:num>
  <w:num w:numId="18">
    <w:abstractNumId w:val="12"/>
  </w:num>
  <w:num w:numId="19">
    <w:abstractNumId w:val="14"/>
  </w:num>
  <w:num w:numId="20">
    <w:abstractNumId w:val="20"/>
  </w:num>
  <w:num w:numId="21">
    <w:abstractNumId w:val="9"/>
  </w:num>
  <w:num w:numId="22">
    <w:abstractNumId w:val="13"/>
  </w:num>
  <w:num w:numId="23">
    <w:abstractNumId w:val="22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D2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6F2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1CD2"/>
    <w:rsid w:val="00775E45"/>
    <w:rsid w:val="00776E74"/>
    <w:rsid w:val="00781B2B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D1C54"/>
  <w15:docId w15:val="{25004D8C-2F2A-4CA1-80DB-ECD8F23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771CD2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71CD2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71CD2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7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553922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261521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F1317264-AED6-4DF4-A0D7-427B0A025D82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http://schemas.microsoft.com/office/2006/metadata/properti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8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Brucellosis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2022-06-07T01:08:00Z</dcterms:created>
  <dcterms:modified xsi:type="dcterms:W3CDTF">2022-06-07T01:16:00Z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