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4028D" w14:textId="77777777" w:rsidR="00751A23" w:rsidRPr="007020BA" w:rsidRDefault="00E80059" w:rsidP="00751A23">
      <w:pPr>
        <w:pStyle w:val="Title"/>
        <w:rPr>
          <w:rFonts w:cs="Arial"/>
          <w:sz w:val="36"/>
          <w:szCs w:val="36"/>
        </w:rPr>
      </w:pPr>
      <w:r w:rsidRPr="007020BA">
        <w:rPr>
          <w:rFonts w:cs="Arial"/>
          <w:sz w:val="36"/>
          <w:szCs w:val="36"/>
        </w:rPr>
        <w:t xml:space="preserve">Bonded Medical Program – program update webinar number 3 </w:t>
      </w:r>
    </w:p>
    <w:p w14:paraId="4D429EF5" w14:textId="77777777" w:rsidR="00E80059" w:rsidRPr="007020BA" w:rsidRDefault="00E80059" w:rsidP="00E80059">
      <w:pPr>
        <w:pStyle w:val="Subtitle"/>
        <w:rPr>
          <w:rFonts w:cs="Arial"/>
          <w:sz w:val="24"/>
        </w:rPr>
      </w:pPr>
      <w:r w:rsidRPr="007020BA">
        <w:rPr>
          <w:rFonts w:cs="Arial"/>
          <w:sz w:val="24"/>
        </w:rPr>
        <w:t>14 December 2021</w:t>
      </w:r>
    </w:p>
    <w:p w14:paraId="0FD8FEA4" w14:textId="77777777" w:rsidR="00CA4BE3" w:rsidRPr="007020BA" w:rsidRDefault="00E80059" w:rsidP="00CA4BE3">
      <w:pPr>
        <w:pStyle w:val="Heading2"/>
        <w:rPr>
          <w:sz w:val="24"/>
          <w:szCs w:val="24"/>
        </w:rPr>
      </w:pPr>
      <w:r w:rsidRPr="007020BA">
        <w:rPr>
          <w:sz w:val="24"/>
          <w:szCs w:val="24"/>
        </w:rPr>
        <w:t>Overview</w:t>
      </w:r>
    </w:p>
    <w:p w14:paraId="12AD80B2" w14:textId="77777777" w:rsidR="00E80059" w:rsidRPr="007020BA" w:rsidRDefault="00E80059" w:rsidP="00CA4BE3">
      <w:pPr>
        <w:pStyle w:val="Heading2"/>
        <w:rPr>
          <w:sz w:val="24"/>
          <w:szCs w:val="24"/>
        </w:rPr>
      </w:pPr>
      <w:r w:rsidRPr="007020BA">
        <w:rPr>
          <w:sz w:val="24"/>
          <w:szCs w:val="24"/>
        </w:rPr>
        <w:t xml:space="preserve">The Issues </w:t>
      </w:r>
    </w:p>
    <w:p w14:paraId="252ED919" w14:textId="77777777" w:rsidR="00E80059" w:rsidRPr="007020BA" w:rsidRDefault="00E80059" w:rsidP="007020BA">
      <w:pPr>
        <w:pStyle w:val="Heading2"/>
        <w:rPr>
          <w:sz w:val="24"/>
          <w:szCs w:val="24"/>
        </w:rPr>
      </w:pPr>
      <w:r w:rsidRPr="007020BA">
        <w:rPr>
          <w:sz w:val="24"/>
          <w:szCs w:val="24"/>
        </w:rPr>
        <w:t xml:space="preserve">Our priority groups </w:t>
      </w:r>
    </w:p>
    <w:p w14:paraId="114B62E9" w14:textId="77777777" w:rsidR="00E80059" w:rsidRPr="007020BA" w:rsidRDefault="00E80059" w:rsidP="007020BA">
      <w:pPr>
        <w:pStyle w:val="Heading2"/>
        <w:rPr>
          <w:sz w:val="24"/>
          <w:szCs w:val="24"/>
        </w:rPr>
      </w:pPr>
      <w:r w:rsidRPr="007020BA">
        <w:rPr>
          <w:sz w:val="24"/>
          <w:szCs w:val="24"/>
        </w:rPr>
        <w:t xml:space="preserve">How we are progressing </w:t>
      </w:r>
    </w:p>
    <w:p w14:paraId="141E3B6C" w14:textId="77777777" w:rsidR="00E80059" w:rsidRPr="007020BA" w:rsidRDefault="00E80059" w:rsidP="007020BA">
      <w:pPr>
        <w:pStyle w:val="Heading2"/>
        <w:rPr>
          <w:sz w:val="24"/>
          <w:szCs w:val="24"/>
        </w:rPr>
      </w:pPr>
      <w:r w:rsidRPr="007020BA">
        <w:rPr>
          <w:sz w:val="24"/>
          <w:szCs w:val="24"/>
        </w:rPr>
        <w:t xml:space="preserve">The opt in process </w:t>
      </w:r>
    </w:p>
    <w:p w14:paraId="66DA493E" w14:textId="77777777" w:rsidR="00E80059" w:rsidRPr="007020BA" w:rsidRDefault="00E80059" w:rsidP="007020BA">
      <w:pPr>
        <w:pStyle w:val="Heading2"/>
        <w:rPr>
          <w:sz w:val="24"/>
          <w:szCs w:val="24"/>
        </w:rPr>
      </w:pPr>
      <w:r w:rsidRPr="007020BA">
        <w:rPr>
          <w:sz w:val="24"/>
          <w:szCs w:val="24"/>
        </w:rPr>
        <w:t xml:space="preserve">How you can prepare BRoSS roll out Q &amp; A </w:t>
      </w:r>
    </w:p>
    <w:p w14:paraId="5F38B367" w14:textId="77777777" w:rsidR="00E80059" w:rsidRPr="007020BA" w:rsidRDefault="00E80059" w:rsidP="007020BA">
      <w:pPr>
        <w:pStyle w:val="Heading2"/>
        <w:rPr>
          <w:sz w:val="24"/>
          <w:szCs w:val="24"/>
        </w:rPr>
      </w:pPr>
      <w:r w:rsidRPr="007020BA">
        <w:rPr>
          <w:sz w:val="24"/>
          <w:szCs w:val="24"/>
        </w:rPr>
        <w:t>Information on the Bonded Medical Program</w:t>
      </w:r>
    </w:p>
    <w:p w14:paraId="1D475521" w14:textId="77777777" w:rsidR="00CE6502" w:rsidRPr="007020BA" w:rsidRDefault="00E80059" w:rsidP="007020BA">
      <w:pPr>
        <w:pStyle w:val="Heading1"/>
        <w:rPr>
          <w:sz w:val="32"/>
          <w:szCs w:val="32"/>
        </w:rPr>
      </w:pPr>
      <w:r w:rsidRPr="007020BA">
        <w:rPr>
          <w:sz w:val="32"/>
          <w:szCs w:val="32"/>
        </w:rPr>
        <w:t>Early implementation issues - timeline</w:t>
      </w:r>
    </w:p>
    <w:p w14:paraId="54999D3E" w14:textId="77777777" w:rsidR="00E80059" w:rsidRPr="007020BA" w:rsidRDefault="00E80059" w:rsidP="007020BA">
      <w:pPr>
        <w:pStyle w:val="IntroPara"/>
        <w:spacing w:before="240"/>
        <w:rPr>
          <w:rFonts w:cs="Arial"/>
          <w:color w:val="auto"/>
          <w:sz w:val="24"/>
        </w:rPr>
      </w:pPr>
      <w:r w:rsidRPr="007020BA">
        <w:rPr>
          <w:rFonts w:cs="Arial"/>
          <w:color w:val="auto"/>
          <w:sz w:val="24"/>
        </w:rPr>
        <w:t>The legislation allows 18 years from completion of a course of study in medicine at an Australian university to complete the RoSO. Early program materials advised participants that they would have 18 years from opt in to complete the RoSO. This was incorrect and Program materials were corrected. Some legacy scheme participants, if opted in, may not have time to complete their obligations within 18 years from completing their course of study in medicine and, if opted in, would face penalties under the legislation.</w:t>
      </w:r>
    </w:p>
    <w:p w14:paraId="24322D97" w14:textId="77777777" w:rsidR="00CE6502" w:rsidRPr="007020BA" w:rsidRDefault="00E80059" w:rsidP="007020BA">
      <w:pPr>
        <w:pStyle w:val="Heading1"/>
        <w:rPr>
          <w:sz w:val="32"/>
          <w:szCs w:val="32"/>
        </w:rPr>
      </w:pPr>
      <w:r w:rsidRPr="007020BA">
        <w:rPr>
          <w:sz w:val="32"/>
          <w:szCs w:val="32"/>
        </w:rPr>
        <w:t>Early implementation issues – Opt in</w:t>
      </w:r>
    </w:p>
    <w:p w14:paraId="340BBA12" w14:textId="77777777" w:rsidR="00B40A0F" w:rsidRPr="007020BA" w:rsidRDefault="00E80059" w:rsidP="007020BA">
      <w:pPr>
        <w:pStyle w:val="IntroPara"/>
        <w:spacing w:before="240"/>
        <w:rPr>
          <w:rFonts w:cs="Arial"/>
          <w:color w:val="auto"/>
          <w:sz w:val="24"/>
        </w:rPr>
      </w:pPr>
      <w:r w:rsidRPr="007020BA">
        <w:rPr>
          <w:rFonts w:cs="Arial"/>
          <w:color w:val="auto"/>
          <w:sz w:val="24"/>
        </w:rPr>
        <w:t>Under the legislation, specific administrative steps are required for an individual to become a ‘bonded participant’ under the Program. Due to departmental errors with the opt in process during 2020, some participants were not correctly bonded under the Program. Opt in processes were paused in mid-2020.</w:t>
      </w:r>
    </w:p>
    <w:p w14:paraId="40EE1191" w14:textId="77777777" w:rsidR="00B40A0F" w:rsidRPr="007020BA" w:rsidRDefault="00B40A0F" w:rsidP="007020BA">
      <w:pPr>
        <w:pStyle w:val="Heading1"/>
        <w:rPr>
          <w:sz w:val="32"/>
          <w:szCs w:val="32"/>
        </w:rPr>
      </w:pPr>
      <w:r w:rsidRPr="007020BA">
        <w:rPr>
          <w:sz w:val="32"/>
          <w:szCs w:val="32"/>
        </w:rPr>
        <w:lastRenderedPageBreak/>
        <w:t>Who were the affected individuals?</w:t>
      </w:r>
    </w:p>
    <w:p w14:paraId="0824B707" w14:textId="77777777" w:rsidR="00B40A0F" w:rsidRPr="007020BA" w:rsidRDefault="00B40A0F" w:rsidP="007020BA">
      <w:pPr>
        <w:pStyle w:val="IntroPara"/>
        <w:spacing w:before="240"/>
        <w:rPr>
          <w:rFonts w:cs="Arial"/>
          <w:color w:val="auto"/>
          <w:sz w:val="24"/>
        </w:rPr>
      </w:pPr>
      <w:r w:rsidRPr="007020BA">
        <w:rPr>
          <w:rFonts w:cs="Arial"/>
          <w:color w:val="auto"/>
          <w:sz w:val="24"/>
        </w:rPr>
        <w:t xml:space="preserve">On 16 March 2021, the department wrote to over 2,000 affected individuals to advise of the issues. In agreement with stakeholders – including the Australian Medical Association and the Australian Medical Students’ Association – the department has prioritised affected individuals as follows: </w:t>
      </w:r>
    </w:p>
    <w:p w14:paraId="038E48BC" w14:textId="77777777" w:rsidR="00B40A0F" w:rsidRPr="007020BA" w:rsidRDefault="00B40A0F" w:rsidP="007020BA">
      <w:pPr>
        <w:pStyle w:val="IntroPara"/>
        <w:spacing w:before="240"/>
        <w:rPr>
          <w:rFonts w:cs="Arial"/>
          <w:color w:val="auto"/>
          <w:sz w:val="24"/>
        </w:rPr>
      </w:pPr>
      <w:r w:rsidRPr="007020BA">
        <w:rPr>
          <w:rFonts w:cs="Arial"/>
          <w:color w:val="auto"/>
          <w:sz w:val="24"/>
        </w:rPr>
        <w:t xml:space="preserve">1. Individuals who thought they were bonded, had completed their obligations and had exited the Program; </w:t>
      </w:r>
    </w:p>
    <w:p w14:paraId="048908D3" w14:textId="77777777" w:rsidR="00B40A0F" w:rsidRPr="007020BA" w:rsidRDefault="00B40A0F" w:rsidP="007020BA">
      <w:pPr>
        <w:pStyle w:val="IntroPara"/>
        <w:spacing w:before="240"/>
        <w:rPr>
          <w:rFonts w:cs="Arial"/>
          <w:color w:val="auto"/>
          <w:sz w:val="24"/>
        </w:rPr>
      </w:pPr>
      <w:r w:rsidRPr="007020BA">
        <w:rPr>
          <w:rFonts w:cs="Arial"/>
          <w:color w:val="auto"/>
          <w:sz w:val="24"/>
        </w:rPr>
        <w:t xml:space="preserve">2. Individuals who thought they were bonded and still need to complete their RoSO; and </w:t>
      </w:r>
    </w:p>
    <w:p w14:paraId="182446CB" w14:textId="77777777" w:rsidR="00E80059" w:rsidRPr="007020BA" w:rsidRDefault="00B40A0F" w:rsidP="007020BA">
      <w:pPr>
        <w:pStyle w:val="IntroPara"/>
        <w:spacing w:before="240"/>
        <w:rPr>
          <w:rFonts w:cs="Arial"/>
          <w:color w:val="auto"/>
          <w:sz w:val="24"/>
        </w:rPr>
      </w:pPr>
      <w:r w:rsidRPr="007020BA">
        <w:rPr>
          <w:rFonts w:cs="Arial"/>
          <w:color w:val="auto"/>
          <w:sz w:val="24"/>
        </w:rPr>
        <w:t>3. Individuals who had expressed their interest to opt in and await a response. The department is working hard to resolve each case</w:t>
      </w:r>
    </w:p>
    <w:p w14:paraId="42BC9FCE" w14:textId="77777777" w:rsidR="00DC7910" w:rsidRPr="007020BA" w:rsidRDefault="00B40A0F" w:rsidP="007020BA">
      <w:pPr>
        <w:pStyle w:val="Heading1"/>
        <w:rPr>
          <w:sz w:val="32"/>
          <w:szCs w:val="32"/>
        </w:rPr>
      </w:pPr>
      <w:r w:rsidRPr="007020BA">
        <w:rPr>
          <w:sz w:val="32"/>
          <w:szCs w:val="32"/>
        </w:rPr>
        <w:t>Opportunities to simultaneously progress other cases</w:t>
      </w:r>
    </w:p>
    <w:p w14:paraId="594B754E" w14:textId="77777777" w:rsidR="006B1956" w:rsidRDefault="00B40A0F" w:rsidP="007020BA">
      <w:pPr>
        <w:pStyle w:val="IntroPara"/>
        <w:spacing w:before="240"/>
        <w:rPr>
          <w:rFonts w:cs="Arial"/>
          <w:color w:val="auto"/>
          <w:sz w:val="24"/>
        </w:rPr>
      </w:pPr>
      <w:r w:rsidRPr="007020BA">
        <w:rPr>
          <w:rFonts w:cs="Arial"/>
          <w:color w:val="auto"/>
          <w:sz w:val="24"/>
        </w:rPr>
        <w:t xml:space="preserve">While we continue to resolve the priority group cases listed on the earlier slide, the department has identified opportunities to simultaneously progress some cases in addition to resolving the priority groups. Initially, these new sub-groups include: </w:t>
      </w:r>
    </w:p>
    <w:p w14:paraId="3EE01883" w14:textId="77777777" w:rsidR="006B1956" w:rsidRDefault="00B40A0F" w:rsidP="006B1956">
      <w:pPr>
        <w:pStyle w:val="IntroPara"/>
        <w:numPr>
          <w:ilvl w:val="0"/>
          <w:numId w:val="30"/>
        </w:numPr>
        <w:spacing w:before="240"/>
        <w:rPr>
          <w:rFonts w:cs="Arial"/>
          <w:color w:val="auto"/>
          <w:sz w:val="24"/>
        </w:rPr>
      </w:pPr>
      <w:r w:rsidRPr="007020BA">
        <w:rPr>
          <w:rFonts w:cs="Arial"/>
          <w:color w:val="auto"/>
          <w:sz w:val="24"/>
        </w:rPr>
        <w:t xml:space="preserve">participants without any breaches who have completed 3 years RoSO and have satisfied the requirements of the Program; </w:t>
      </w:r>
    </w:p>
    <w:p w14:paraId="36193800" w14:textId="77777777" w:rsidR="006B1956" w:rsidRDefault="00B40A0F" w:rsidP="006B1956">
      <w:pPr>
        <w:pStyle w:val="IntroPara"/>
        <w:numPr>
          <w:ilvl w:val="0"/>
          <w:numId w:val="30"/>
        </w:numPr>
        <w:spacing w:before="240"/>
        <w:rPr>
          <w:rFonts w:cs="Arial"/>
          <w:color w:val="auto"/>
          <w:sz w:val="24"/>
        </w:rPr>
      </w:pPr>
      <w:r w:rsidRPr="007020BA">
        <w:rPr>
          <w:rFonts w:cs="Arial"/>
          <w:color w:val="auto"/>
          <w:sz w:val="24"/>
        </w:rPr>
        <w:t xml:space="preserve">individuals seeking deferrals under their legacy scheme agreement while also waiting to opt in; </w:t>
      </w:r>
    </w:p>
    <w:p w14:paraId="00862CC0" w14:textId="77777777" w:rsidR="00B40A0F" w:rsidRPr="007020BA" w:rsidRDefault="00B40A0F" w:rsidP="006B1956">
      <w:pPr>
        <w:pStyle w:val="IntroPara"/>
        <w:numPr>
          <w:ilvl w:val="0"/>
          <w:numId w:val="30"/>
        </w:numPr>
        <w:spacing w:before="240"/>
        <w:rPr>
          <w:rFonts w:cs="Arial"/>
          <w:color w:val="auto"/>
          <w:sz w:val="24"/>
        </w:rPr>
      </w:pPr>
      <w:r w:rsidRPr="007020BA">
        <w:rPr>
          <w:rFonts w:cs="Arial"/>
          <w:color w:val="auto"/>
          <w:sz w:val="24"/>
        </w:rPr>
        <w:t>final year medical students seeking to commence RoSO in an initial work placement.</w:t>
      </w:r>
    </w:p>
    <w:p w14:paraId="366F5F93" w14:textId="77777777" w:rsidR="00B40A0F" w:rsidRPr="007020BA" w:rsidRDefault="00B40A0F" w:rsidP="007020BA">
      <w:pPr>
        <w:pStyle w:val="Heading1"/>
        <w:rPr>
          <w:sz w:val="32"/>
          <w:szCs w:val="32"/>
        </w:rPr>
      </w:pPr>
      <w:r w:rsidRPr="007020BA">
        <w:rPr>
          <w:sz w:val="32"/>
          <w:szCs w:val="32"/>
        </w:rPr>
        <w:t>What is the process the department must go through to correctly bond a participant?</w:t>
      </w:r>
    </w:p>
    <w:p w14:paraId="69B2491E" w14:textId="77777777" w:rsidR="00B40A0F" w:rsidRPr="007020BA" w:rsidRDefault="00B40A0F" w:rsidP="007020BA">
      <w:pPr>
        <w:pStyle w:val="IntroPara"/>
        <w:spacing w:before="240"/>
        <w:rPr>
          <w:rFonts w:cs="Arial"/>
          <w:color w:val="auto"/>
          <w:sz w:val="24"/>
        </w:rPr>
      </w:pPr>
      <w:r w:rsidRPr="007020BA">
        <w:rPr>
          <w:rFonts w:cs="Arial"/>
          <w:color w:val="auto"/>
          <w:sz w:val="24"/>
        </w:rPr>
        <w:t xml:space="preserve">The process to resolve cases involves understanding the affected individual’s personal circumstances since they were not correctly bonded in 2020. This includes a thorough assessment of both recent and historic actions taken. As the department works through the cases in the date order that participants sought to opt in, you will be assigned a case manager. The department will review your record to check all </w:t>
      </w:r>
      <w:r w:rsidRPr="007020BA">
        <w:rPr>
          <w:rFonts w:cs="Arial"/>
          <w:color w:val="auto"/>
          <w:sz w:val="24"/>
        </w:rPr>
        <w:lastRenderedPageBreak/>
        <w:t>current obligations are up to date and that you are eligible to opt in. This may require you to provide additional information to confirm your RoSO. A requirement for eligibility to opt in is that the individual must not be in breach of their legacy scheme agreement. Thereafter, you will need to advise the department in writing that you wish to opt in to the Program and that you agree to participate in the Program using the Bonded Return of Service System (BRoSS). The Secretary needs to agree to your participation in the Program. You become a bonded participant in the Program the day after the Secretary agrees to your participation and notifies you in writing.</w:t>
      </w:r>
    </w:p>
    <w:p w14:paraId="77ABEA79" w14:textId="77777777" w:rsidR="00AC057E" w:rsidRPr="007020BA" w:rsidRDefault="00AC057E" w:rsidP="007020BA">
      <w:pPr>
        <w:pStyle w:val="Paragraphtext"/>
        <w:spacing w:before="240"/>
        <w:rPr>
          <w:rFonts w:cs="Arial"/>
          <w:sz w:val="24"/>
        </w:rPr>
      </w:pPr>
      <w:r w:rsidRPr="007020BA">
        <w:rPr>
          <w:rFonts w:cs="Arial"/>
          <w:sz w:val="24"/>
        </w:rPr>
        <w:t>Advise the department of your intention to opt in by emailing BondedMedicalProgram@health.gov.au using the subject convention: (Scheme/Program): (Name): (Request type)</w:t>
      </w:r>
    </w:p>
    <w:p w14:paraId="194F1759" w14:textId="77777777" w:rsidR="00AC057E" w:rsidRPr="007020BA" w:rsidRDefault="00AC057E" w:rsidP="007020BA">
      <w:pPr>
        <w:pStyle w:val="Heading1"/>
        <w:rPr>
          <w:sz w:val="32"/>
          <w:szCs w:val="32"/>
        </w:rPr>
      </w:pPr>
      <w:r w:rsidRPr="007020BA">
        <w:rPr>
          <w:sz w:val="32"/>
          <w:szCs w:val="32"/>
        </w:rPr>
        <w:t>What if there is a breach?</w:t>
      </w:r>
    </w:p>
    <w:p w14:paraId="0A3F80AF" w14:textId="77777777" w:rsidR="00AC057E" w:rsidRPr="007020BA" w:rsidRDefault="00AC057E" w:rsidP="007020BA">
      <w:pPr>
        <w:pStyle w:val="IntroPara"/>
        <w:spacing w:before="240"/>
        <w:rPr>
          <w:rFonts w:cs="Arial"/>
          <w:color w:val="auto"/>
          <w:sz w:val="24"/>
        </w:rPr>
      </w:pPr>
      <w:r w:rsidRPr="007020BA">
        <w:rPr>
          <w:rFonts w:cs="Arial"/>
          <w:color w:val="auto"/>
          <w:sz w:val="24"/>
        </w:rPr>
        <w:t>It is important to be aware that there are a number of complexities in progressing the Medical Rural Bonded Scholarship (MRBS) Scheme cases. A requirement for eligibility to opt in to the Program is that the individual must not be in breach of their legacy scheme agreement. If, in changing your work activities since 2020, you have breached your legacy scheme agreement, we will work with you – applying the ‘no disadvantage’ approach – to manage that breach, including removal of the related Medicare ban and waiver of any financial liability. In accordance with the legislation, the Breach must be managed before the individual can advise the department in writing that they wish to opt in to the Program.</w:t>
      </w:r>
    </w:p>
    <w:p w14:paraId="41387AC3" w14:textId="77777777" w:rsidR="00AC057E" w:rsidRPr="007020BA" w:rsidRDefault="00AC057E" w:rsidP="007020BA">
      <w:pPr>
        <w:pStyle w:val="Heading1"/>
        <w:rPr>
          <w:sz w:val="32"/>
          <w:szCs w:val="32"/>
        </w:rPr>
      </w:pPr>
      <w:r w:rsidRPr="007020BA">
        <w:rPr>
          <w:sz w:val="32"/>
          <w:szCs w:val="32"/>
        </w:rPr>
        <w:t>Avoid a breach - seek a deferral</w:t>
      </w:r>
    </w:p>
    <w:p w14:paraId="2ECA65BB" w14:textId="77777777" w:rsidR="00AC057E" w:rsidRPr="007020BA" w:rsidRDefault="00AC057E" w:rsidP="007020BA">
      <w:pPr>
        <w:pStyle w:val="IntroPara"/>
        <w:spacing w:before="240"/>
        <w:rPr>
          <w:rFonts w:cs="Arial"/>
          <w:color w:val="auto"/>
          <w:sz w:val="24"/>
        </w:rPr>
      </w:pPr>
      <w:r w:rsidRPr="007020BA">
        <w:rPr>
          <w:rFonts w:cs="Arial"/>
          <w:color w:val="auto"/>
          <w:sz w:val="24"/>
        </w:rPr>
        <w:t xml:space="preserve">If you are considering a change to your work activities, you should take measures to ensure the change won’t breach your current agreement. MRBS Scheme participants who are seeking a change to work activities which are not eligible for RoSO under their current contract, must obtain approval for deferral of RoSO or seek a simultaneous work approval before commencing work in the ineligible area. Under the legislation, the department cannot approve retrospective approvals for MRBS Scheme participants. The department appreciates that BMP Scheme participants may also wish to make a change to their work activities which are not eligible for RoSO under their deed of agreement. BMP Scheme participants, deferrals and </w:t>
      </w:r>
      <w:r w:rsidRPr="007020BA">
        <w:rPr>
          <w:rFonts w:cs="Arial"/>
          <w:color w:val="auto"/>
          <w:sz w:val="24"/>
        </w:rPr>
        <w:lastRenderedPageBreak/>
        <w:t>simultaneous work approvals can be provided retrospectively but we encourage participants to email the department as soon as possible</w:t>
      </w:r>
    </w:p>
    <w:p w14:paraId="25AD7713" w14:textId="77777777" w:rsidR="00AC057E" w:rsidRPr="007020BA" w:rsidRDefault="00AC057E" w:rsidP="007020BA">
      <w:pPr>
        <w:pStyle w:val="Paragraphtext"/>
        <w:spacing w:before="240"/>
        <w:rPr>
          <w:rFonts w:cs="Arial"/>
          <w:i/>
          <w:iCs/>
          <w:sz w:val="24"/>
        </w:rPr>
      </w:pPr>
      <w:r w:rsidRPr="007020BA">
        <w:rPr>
          <w:rFonts w:cs="Arial"/>
          <w:i/>
          <w:iCs/>
          <w:sz w:val="24"/>
        </w:rPr>
        <w:t>We encourage participants to email the department as soon as possible at: BondedMedicalProgram@health.gov.au with [Scheme] – [Name] – Request for Deferral/Simultaneous Work Approval’ as the subject.</w:t>
      </w:r>
    </w:p>
    <w:p w14:paraId="0ABDD9F7" w14:textId="77777777" w:rsidR="00AC057E" w:rsidRPr="007020BA" w:rsidRDefault="00AC057E" w:rsidP="007020BA">
      <w:pPr>
        <w:pStyle w:val="Heading1"/>
        <w:rPr>
          <w:sz w:val="32"/>
          <w:szCs w:val="32"/>
        </w:rPr>
      </w:pPr>
      <w:r w:rsidRPr="007020BA">
        <w:rPr>
          <w:sz w:val="32"/>
          <w:szCs w:val="32"/>
        </w:rPr>
        <w:t>How can I prepare?</w:t>
      </w:r>
    </w:p>
    <w:p w14:paraId="305F85D7" w14:textId="77777777" w:rsidR="00AC057E" w:rsidRPr="007020BA" w:rsidRDefault="00AC057E" w:rsidP="007020BA">
      <w:pPr>
        <w:pStyle w:val="IntroPara"/>
        <w:spacing w:before="240"/>
        <w:rPr>
          <w:rFonts w:cs="Arial"/>
          <w:color w:val="auto"/>
          <w:sz w:val="24"/>
        </w:rPr>
      </w:pPr>
      <w:r w:rsidRPr="007020BA">
        <w:rPr>
          <w:rFonts w:cs="Arial"/>
          <w:color w:val="auto"/>
          <w:sz w:val="24"/>
        </w:rPr>
        <w:t xml:space="preserve">To prepare for your case to be managed, we ask that you approach your employer seeking one, or a combination, of the following as evidence of eligible work completed: </w:t>
      </w:r>
    </w:p>
    <w:p w14:paraId="5B9E49EB" w14:textId="77777777" w:rsidR="00AC057E" w:rsidRPr="007020BA" w:rsidRDefault="00AC057E" w:rsidP="006B1956">
      <w:pPr>
        <w:pStyle w:val="IntroPara"/>
        <w:numPr>
          <w:ilvl w:val="0"/>
          <w:numId w:val="31"/>
        </w:numPr>
        <w:spacing w:before="240"/>
        <w:rPr>
          <w:rFonts w:cs="Arial"/>
          <w:color w:val="auto"/>
          <w:sz w:val="24"/>
        </w:rPr>
      </w:pPr>
      <w:r w:rsidRPr="007020BA">
        <w:rPr>
          <w:rFonts w:cs="Arial"/>
          <w:color w:val="auto"/>
          <w:sz w:val="24"/>
        </w:rPr>
        <w:t xml:space="preserve">Contract of employment – verifying the dates, hours and location(s) of work completed; </w:t>
      </w:r>
    </w:p>
    <w:p w14:paraId="62869AC7" w14:textId="77777777" w:rsidR="00AC057E" w:rsidRPr="007020BA" w:rsidRDefault="00AC057E" w:rsidP="006B1956">
      <w:pPr>
        <w:pStyle w:val="IntroPara"/>
        <w:numPr>
          <w:ilvl w:val="0"/>
          <w:numId w:val="31"/>
        </w:numPr>
        <w:spacing w:before="240"/>
        <w:rPr>
          <w:rFonts w:cs="Arial"/>
          <w:color w:val="auto"/>
          <w:sz w:val="24"/>
        </w:rPr>
      </w:pPr>
      <w:r w:rsidRPr="007020BA">
        <w:rPr>
          <w:rFonts w:cs="Arial"/>
          <w:color w:val="auto"/>
          <w:sz w:val="24"/>
        </w:rPr>
        <w:t xml:space="preserve">Letter of Offer – verifying the dates, hours and location(s) of work completed; • Statement of service – verifying dates, hours and location(s) of work completed; and/o </w:t>
      </w:r>
    </w:p>
    <w:p w14:paraId="60ECBF66" w14:textId="77777777" w:rsidR="00AC057E" w:rsidRPr="007020BA" w:rsidRDefault="00AC057E" w:rsidP="006B1956">
      <w:pPr>
        <w:pStyle w:val="IntroPara"/>
        <w:numPr>
          <w:ilvl w:val="0"/>
          <w:numId w:val="31"/>
        </w:numPr>
        <w:spacing w:before="240"/>
        <w:rPr>
          <w:rFonts w:cs="Arial"/>
          <w:color w:val="auto"/>
          <w:sz w:val="24"/>
        </w:rPr>
      </w:pPr>
      <w:r w:rsidRPr="007020BA">
        <w:rPr>
          <w:rFonts w:cs="Arial"/>
          <w:color w:val="auto"/>
          <w:sz w:val="24"/>
        </w:rPr>
        <w:t xml:space="preserve">A signed and witnessed statutory declaration – outlining the dates, hours and location(s) of work completed. </w:t>
      </w:r>
    </w:p>
    <w:p w14:paraId="7577969A" w14:textId="77777777" w:rsidR="00AC057E" w:rsidRPr="007020BA" w:rsidRDefault="00AC057E" w:rsidP="007020BA">
      <w:pPr>
        <w:pStyle w:val="IntroPara"/>
        <w:spacing w:before="240"/>
        <w:rPr>
          <w:rFonts w:cs="Arial"/>
          <w:color w:val="auto"/>
          <w:sz w:val="24"/>
        </w:rPr>
      </w:pPr>
      <w:r w:rsidRPr="007020BA">
        <w:rPr>
          <w:rFonts w:cs="Arial"/>
          <w:color w:val="auto"/>
          <w:sz w:val="24"/>
        </w:rPr>
        <w:t>NB: If you are self-employed, you also have the authority to sign evidentiary RoSO documentation verifying the dates, hours and location(s) of work completed.</w:t>
      </w:r>
    </w:p>
    <w:p w14:paraId="07D97707" w14:textId="77777777" w:rsidR="00AC057E" w:rsidRPr="007020BA" w:rsidRDefault="00AC057E" w:rsidP="007020BA">
      <w:pPr>
        <w:pStyle w:val="Paragraphtext"/>
        <w:spacing w:before="240"/>
        <w:rPr>
          <w:rFonts w:cs="Arial"/>
          <w:i/>
          <w:iCs/>
          <w:sz w:val="24"/>
        </w:rPr>
      </w:pPr>
      <w:r w:rsidRPr="007020BA">
        <w:rPr>
          <w:rFonts w:cs="Arial"/>
          <w:i/>
          <w:iCs/>
          <w:sz w:val="24"/>
        </w:rPr>
        <w:t>While we can access RoSO completed through Medicare claims, if you have completed other eligible work, we well need information from you to confirm your RoSO.</w:t>
      </w:r>
    </w:p>
    <w:p w14:paraId="3CB7FC5E" w14:textId="77777777" w:rsidR="006B1956" w:rsidRDefault="006B1956" w:rsidP="006B1956">
      <w:pPr>
        <w:pStyle w:val="Heading1"/>
        <w:rPr>
          <w:sz w:val="32"/>
          <w:szCs w:val="32"/>
        </w:rPr>
      </w:pPr>
    </w:p>
    <w:p w14:paraId="79597E28" w14:textId="77777777" w:rsidR="006B1956" w:rsidRDefault="006B1956" w:rsidP="006B1956"/>
    <w:p w14:paraId="7949C6D4" w14:textId="77777777" w:rsidR="006B1956" w:rsidRPr="006B1956" w:rsidRDefault="006B1956" w:rsidP="006B1956"/>
    <w:p w14:paraId="1E5DAE6D" w14:textId="77777777" w:rsidR="00AC057E" w:rsidRPr="006B1956" w:rsidRDefault="00AC057E" w:rsidP="006B1956">
      <w:pPr>
        <w:pStyle w:val="Heading1"/>
        <w:rPr>
          <w:sz w:val="32"/>
          <w:szCs w:val="32"/>
        </w:rPr>
      </w:pPr>
      <w:r w:rsidRPr="007020BA">
        <w:rPr>
          <w:sz w:val="32"/>
          <w:szCs w:val="32"/>
        </w:rPr>
        <w:lastRenderedPageBreak/>
        <w:t xml:space="preserve">How many cases are </w:t>
      </w:r>
      <w:r w:rsidR="006B1956" w:rsidRPr="007020BA">
        <w:rPr>
          <w:sz w:val="32"/>
          <w:szCs w:val="32"/>
        </w:rPr>
        <w:t>resolved?</w:t>
      </w:r>
    </w:p>
    <w:tbl>
      <w:tblPr>
        <w:tblStyle w:val="DepartmentofHealthtable"/>
        <w:tblW w:w="0" w:type="auto"/>
        <w:tblLook w:val="04A0" w:firstRow="1" w:lastRow="0" w:firstColumn="1" w:lastColumn="0" w:noHBand="0" w:noVBand="1"/>
        <w:tblDescription w:val="Add Alt Text describing the content of the table"/>
      </w:tblPr>
      <w:tblGrid>
        <w:gridCol w:w="1431"/>
        <w:gridCol w:w="924"/>
        <w:gridCol w:w="1950"/>
        <w:gridCol w:w="1418"/>
        <w:gridCol w:w="1918"/>
        <w:gridCol w:w="1417"/>
      </w:tblGrid>
      <w:tr w:rsidR="000A1ED6" w:rsidRPr="007020BA" w14:paraId="0D17AE14" w14:textId="77777777" w:rsidTr="000A1E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1" w:type="dxa"/>
          </w:tcPr>
          <w:p w14:paraId="0AF9455F" w14:textId="77777777" w:rsidR="000A1ED6" w:rsidRPr="007020BA" w:rsidRDefault="000A1ED6" w:rsidP="007020BA">
            <w:pPr>
              <w:pStyle w:val="TableHeaderWhite"/>
              <w:spacing w:before="240" w:after="60"/>
              <w:rPr>
                <w:rFonts w:cs="Arial"/>
                <w:sz w:val="24"/>
                <w:szCs w:val="24"/>
              </w:rPr>
            </w:pPr>
          </w:p>
        </w:tc>
        <w:tc>
          <w:tcPr>
            <w:tcW w:w="910" w:type="dxa"/>
          </w:tcPr>
          <w:p w14:paraId="17E702B7" w14:textId="77777777" w:rsidR="000A1ED6" w:rsidRPr="007020BA" w:rsidRDefault="000A1ED6" w:rsidP="007020BA">
            <w:pPr>
              <w:pStyle w:val="TableHeader"/>
              <w:spacing w:before="240" w:after="60"/>
              <w:cnfStyle w:val="100000000000" w:firstRow="1" w:lastRow="0" w:firstColumn="0" w:lastColumn="0" w:oddVBand="0" w:evenVBand="0" w:oddHBand="0" w:evenHBand="0" w:firstRowFirstColumn="0" w:firstRowLastColumn="0" w:lastRowFirstColumn="0" w:lastRowLastColumn="0"/>
              <w:rPr>
                <w:rFonts w:cs="Arial"/>
                <w:sz w:val="24"/>
                <w:szCs w:val="24"/>
              </w:rPr>
            </w:pPr>
            <w:r w:rsidRPr="007020BA">
              <w:rPr>
                <w:rFonts w:cs="Arial"/>
                <w:sz w:val="24"/>
                <w:szCs w:val="24"/>
              </w:rPr>
              <w:t>Cases</w:t>
            </w:r>
          </w:p>
        </w:tc>
        <w:tc>
          <w:tcPr>
            <w:tcW w:w="1806" w:type="dxa"/>
          </w:tcPr>
          <w:p w14:paraId="145FD89C" w14:textId="77777777" w:rsidR="000A1ED6" w:rsidRPr="007020BA" w:rsidRDefault="000A1ED6" w:rsidP="007020BA">
            <w:pPr>
              <w:pStyle w:val="TableHeader"/>
              <w:spacing w:before="240" w:after="60"/>
              <w:cnfStyle w:val="100000000000" w:firstRow="1" w:lastRow="0" w:firstColumn="0" w:lastColumn="0" w:oddVBand="0" w:evenVBand="0" w:oddHBand="0" w:evenHBand="0" w:firstRowFirstColumn="0" w:firstRowLastColumn="0" w:lastRowFirstColumn="0" w:lastRowLastColumn="0"/>
              <w:rPr>
                <w:rFonts w:cs="Arial"/>
                <w:sz w:val="24"/>
                <w:szCs w:val="24"/>
              </w:rPr>
            </w:pPr>
            <w:r w:rsidRPr="007020BA">
              <w:rPr>
                <w:rFonts w:cs="Arial"/>
                <w:sz w:val="24"/>
                <w:szCs w:val="24"/>
              </w:rPr>
              <w:t>Confirm wish to opt in based on Dept. 16.03.21 corrosponence</w:t>
            </w:r>
          </w:p>
        </w:tc>
        <w:tc>
          <w:tcPr>
            <w:tcW w:w="1418" w:type="dxa"/>
          </w:tcPr>
          <w:p w14:paraId="3C05A001" w14:textId="77777777" w:rsidR="000A1ED6" w:rsidRPr="007020BA" w:rsidRDefault="000A1ED6" w:rsidP="007020BA">
            <w:pPr>
              <w:pStyle w:val="TableHeader"/>
              <w:spacing w:before="240" w:after="60"/>
              <w:cnfStyle w:val="100000000000" w:firstRow="1" w:lastRow="0" w:firstColumn="0" w:lastColumn="0" w:oddVBand="0" w:evenVBand="0" w:oddHBand="0" w:evenHBand="0" w:firstRowFirstColumn="0" w:firstRowLastColumn="0" w:lastRowFirstColumn="0" w:lastRowLastColumn="0"/>
              <w:rPr>
                <w:rFonts w:cs="Arial"/>
                <w:sz w:val="24"/>
                <w:szCs w:val="24"/>
              </w:rPr>
            </w:pPr>
            <w:r w:rsidRPr="007020BA">
              <w:rPr>
                <w:rFonts w:cs="Arial"/>
                <w:sz w:val="24"/>
                <w:szCs w:val="24"/>
              </w:rPr>
              <w:t>Allocated</w:t>
            </w:r>
          </w:p>
        </w:tc>
        <w:tc>
          <w:tcPr>
            <w:tcW w:w="1918" w:type="dxa"/>
          </w:tcPr>
          <w:p w14:paraId="3ED81D35" w14:textId="77777777" w:rsidR="000A1ED6" w:rsidRPr="007020BA" w:rsidRDefault="000A1ED6" w:rsidP="007020BA">
            <w:pPr>
              <w:pStyle w:val="TableHeader"/>
              <w:spacing w:before="240" w:after="60"/>
              <w:cnfStyle w:val="100000000000" w:firstRow="1" w:lastRow="0" w:firstColumn="0" w:lastColumn="0" w:oddVBand="0" w:evenVBand="0" w:oddHBand="0" w:evenHBand="0" w:firstRowFirstColumn="0" w:firstRowLastColumn="0" w:lastRowFirstColumn="0" w:lastRowLastColumn="0"/>
              <w:rPr>
                <w:rFonts w:cs="Arial"/>
                <w:sz w:val="24"/>
                <w:szCs w:val="24"/>
              </w:rPr>
            </w:pPr>
            <w:r w:rsidRPr="007020BA">
              <w:rPr>
                <w:rFonts w:cs="Arial"/>
                <w:sz w:val="24"/>
                <w:szCs w:val="24"/>
              </w:rPr>
              <w:t>Finalised</w:t>
            </w:r>
          </w:p>
        </w:tc>
        <w:tc>
          <w:tcPr>
            <w:tcW w:w="1317" w:type="dxa"/>
          </w:tcPr>
          <w:p w14:paraId="03E541BD" w14:textId="77777777" w:rsidR="000A1ED6" w:rsidRPr="007020BA" w:rsidRDefault="000A1ED6" w:rsidP="007020BA">
            <w:pPr>
              <w:pStyle w:val="TableHeader"/>
              <w:spacing w:before="240" w:after="60"/>
              <w:cnfStyle w:val="100000000000" w:firstRow="1" w:lastRow="0" w:firstColumn="0" w:lastColumn="0" w:oddVBand="0" w:evenVBand="0" w:oddHBand="0" w:evenHBand="0" w:firstRowFirstColumn="0" w:firstRowLastColumn="0" w:lastRowFirstColumn="0" w:lastRowLastColumn="0"/>
              <w:rPr>
                <w:rFonts w:cs="Arial"/>
                <w:sz w:val="24"/>
                <w:szCs w:val="24"/>
              </w:rPr>
            </w:pPr>
            <w:r w:rsidRPr="007020BA">
              <w:rPr>
                <w:rFonts w:cs="Arial"/>
                <w:sz w:val="24"/>
                <w:szCs w:val="24"/>
              </w:rPr>
              <w:t>% of cases of which confirmed completed</w:t>
            </w:r>
          </w:p>
        </w:tc>
      </w:tr>
      <w:tr w:rsidR="000A1ED6" w:rsidRPr="007020BA" w14:paraId="33A8FB0D" w14:textId="77777777" w:rsidTr="000A1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607DF481" w14:textId="77777777" w:rsidR="000A1ED6" w:rsidRPr="007020BA" w:rsidRDefault="000A1ED6" w:rsidP="007020BA">
            <w:pPr>
              <w:pStyle w:val="Tabletextleft"/>
              <w:spacing w:before="240"/>
              <w:rPr>
                <w:rFonts w:cs="Arial"/>
                <w:sz w:val="24"/>
              </w:rPr>
            </w:pPr>
            <w:r w:rsidRPr="007020BA">
              <w:rPr>
                <w:rFonts w:cs="Arial"/>
                <w:sz w:val="24"/>
              </w:rPr>
              <w:t>Opt in Exit – not correctly bonded</w:t>
            </w:r>
          </w:p>
        </w:tc>
        <w:tc>
          <w:tcPr>
            <w:tcW w:w="910" w:type="dxa"/>
          </w:tcPr>
          <w:p w14:paraId="5B19DE64" w14:textId="77777777" w:rsidR="000A1ED6" w:rsidRPr="007020BA" w:rsidRDefault="000A1ED6" w:rsidP="007020BA">
            <w:pPr>
              <w:pStyle w:val="Tabletextleft"/>
              <w:spacing w:before="240"/>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176</w:t>
            </w:r>
          </w:p>
        </w:tc>
        <w:tc>
          <w:tcPr>
            <w:tcW w:w="1806" w:type="dxa"/>
          </w:tcPr>
          <w:p w14:paraId="0A7580E4" w14:textId="77777777" w:rsidR="000A1ED6" w:rsidRPr="007020BA" w:rsidRDefault="000A1ED6" w:rsidP="007020BA">
            <w:pPr>
              <w:pStyle w:val="Tabletextcentre"/>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NA</w:t>
            </w:r>
          </w:p>
        </w:tc>
        <w:tc>
          <w:tcPr>
            <w:tcW w:w="1418" w:type="dxa"/>
          </w:tcPr>
          <w:p w14:paraId="58DE6725" w14:textId="77777777" w:rsidR="000A1ED6" w:rsidRPr="007020BA" w:rsidRDefault="000A1ED6" w:rsidP="007020BA">
            <w:pPr>
              <w:pStyle w:val="Tabletextcentre"/>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175</w:t>
            </w:r>
          </w:p>
        </w:tc>
        <w:tc>
          <w:tcPr>
            <w:tcW w:w="1918" w:type="dxa"/>
          </w:tcPr>
          <w:p w14:paraId="6727D8BF" w14:textId="77777777" w:rsidR="000A1ED6" w:rsidRPr="007020BA" w:rsidRDefault="000A1ED6" w:rsidP="007020BA">
            <w:pPr>
              <w:pStyle w:val="Tabletextcentre"/>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158</w:t>
            </w:r>
          </w:p>
        </w:tc>
        <w:tc>
          <w:tcPr>
            <w:tcW w:w="1317" w:type="dxa"/>
          </w:tcPr>
          <w:p w14:paraId="7EB2FD36" w14:textId="77777777" w:rsidR="000A1ED6" w:rsidRPr="007020BA" w:rsidRDefault="000A1ED6" w:rsidP="007020BA">
            <w:pPr>
              <w:pStyle w:val="Tabletextright0"/>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90.3*</w:t>
            </w:r>
          </w:p>
        </w:tc>
      </w:tr>
      <w:tr w:rsidR="000A1ED6" w:rsidRPr="007020BA" w14:paraId="38C2389A" w14:textId="77777777" w:rsidTr="000A1E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74B3F411" w14:textId="77777777" w:rsidR="000A1ED6" w:rsidRPr="007020BA" w:rsidRDefault="000A1ED6" w:rsidP="007020BA">
            <w:pPr>
              <w:pStyle w:val="Tabletextleft"/>
              <w:spacing w:before="240"/>
              <w:rPr>
                <w:rFonts w:cs="Arial"/>
                <w:sz w:val="24"/>
              </w:rPr>
            </w:pPr>
            <w:r w:rsidRPr="007020BA">
              <w:rPr>
                <w:rFonts w:cs="Arial"/>
                <w:sz w:val="24"/>
              </w:rPr>
              <w:t>Opt in Stay – not correctly bonded</w:t>
            </w:r>
          </w:p>
        </w:tc>
        <w:tc>
          <w:tcPr>
            <w:tcW w:w="910" w:type="dxa"/>
          </w:tcPr>
          <w:p w14:paraId="36A721EB" w14:textId="77777777" w:rsidR="000A1ED6" w:rsidRPr="007020BA" w:rsidRDefault="000A1ED6" w:rsidP="007020BA">
            <w:pPr>
              <w:pStyle w:val="Tabletextleft"/>
              <w:spacing w:before="240"/>
              <w:cnfStyle w:val="000000010000" w:firstRow="0" w:lastRow="0" w:firstColumn="0" w:lastColumn="0" w:oddVBand="0" w:evenVBand="0" w:oddHBand="0" w:evenHBand="1" w:firstRowFirstColumn="0" w:firstRowLastColumn="0" w:lastRowFirstColumn="0" w:lastRowLastColumn="0"/>
              <w:rPr>
                <w:rFonts w:cs="Arial"/>
                <w:sz w:val="24"/>
              </w:rPr>
            </w:pPr>
            <w:r w:rsidRPr="007020BA">
              <w:rPr>
                <w:rFonts w:cs="Arial"/>
                <w:sz w:val="24"/>
              </w:rPr>
              <w:t>540</w:t>
            </w:r>
          </w:p>
        </w:tc>
        <w:tc>
          <w:tcPr>
            <w:tcW w:w="1806" w:type="dxa"/>
          </w:tcPr>
          <w:p w14:paraId="44CD0405" w14:textId="77777777" w:rsidR="000A1ED6" w:rsidRPr="007020BA" w:rsidRDefault="000A1ED6" w:rsidP="007020BA">
            <w:pPr>
              <w:pStyle w:val="Tabletextcentre"/>
              <w:spacing w:before="240"/>
              <w:jc w:val="left"/>
              <w:cnfStyle w:val="000000010000" w:firstRow="0" w:lastRow="0" w:firstColumn="0" w:lastColumn="0" w:oddVBand="0" w:evenVBand="0" w:oddHBand="0" w:evenHBand="1" w:firstRowFirstColumn="0" w:firstRowLastColumn="0" w:lastRowFirstColumn="0" w:lastRowLastColumn="0"/>
              <w:rPr>
                <w:rFonts w:cs="Arial"/>
                <w:sz w:val="24"/>
              </w:rPr>
            </w:pPr>
            <w:r w:rsidRPr="007020BA">
              <w:rPr>
                <w:rFonts w:cs="Arial"/>
                <w:sz w:val="24"/>
              </w:rPr>
              <w:t>408</w:t>
            </w:r>
          </w:p>
        </w:tc>
        <w:tc>
          <w:tcPr>
            <w:tcW w:w="1418" w:type="dxa"/>
          </w:tcPr>
          <w:p w14:paraId="082010E2" w14:textId="77777777" w:rsidR="000A1ED6" w:rsidRPr="007020BA" w:rsidRDefault="000A1ED6" w:rsidP="007020BA">
            <w:pPr>
              <w:pStyle w:val="Tabletextcentre"/>
              <w:spacing w:before="240"/>
              <w:jc w:val="left"/>
              <w:cnfStyle w:val="000000010000" w:firstRow="0" w:lastRow="0" w:firstColumn="0" w:lastColumn="0" w:oddVBand="0" w:evenVBand="0" w:oddHBand="0" w:evenHBand="1" w:firstRowFirstColumn="0" w:firstRowLastColumn="0" w:lastRowFirstColumn="0" w:lastRowLastColumn="0"/>
              <w:rPr>
                <w:rFonts w:cs="Arial"/>
                <w:sz w:val="24"/>
              </w:rPr>
            </w:pPr>
            <w:r w:rsidRPr="007020BA">
              <w:rPr>
                <w:rFonts w:cs="Arial"/>
                <w:sz w:val="24"/>
              </w:rPr>
              <w:t>477</w:t>
            </w:r>
          </w:p>
        </w:tc>
        <w:tc>
          <w:tcPr>
            <w:tcW w:w="1918" w:type="dxa"/>
          </w:tcPr>
          <w:p w14:paraId="51345224" w14:textId="77777777" w:rsidR="000A1ED6" w:rsidRPr="007020BA" w:rsidRDefault="000A1ED6" w:rsidP="007020BA">
            <w:pPr>
              <w:pStyle w:val="Tabletextcentre"/>
              <w:spacing w:before="240"/>
              <w:jc w:val="left"/>
              <w:cnfStyle w:val="000000010000" w:firstRow="0" w:lastRow="0" w:firstColumn="0" w:lastColumn="0" w:oddVBand="0" w:evenVBand="0" w:oddHBand="0" w:evenHBand="1" w:firstRowFirstColumn="0" w:firstRowLastColumn="0" w:lastRowFirstColumn="0" w:lastRowLastColumn="0"/>
              <w:rPr>
                <w:rFonts w:cs="Arial"/>
                <w:sz w:val="24"/>
              </w:rPr>
            </w:pPr>
            <w:r w:rsidRPr="007020BA">
              <w:rPr>
                <w:rFonts w:cs="Arial"/>
                <w:sz w:val="24"/>
              </w:rPr>
              <w:t>172</w:t>
            </w:r>
          </w:p>
        </w:tc>
        <w:tc>
          <w:tcPr>
            <w:tcW w:w="1317" w:type="dxa"/>
          </w:tcPr>
          <w:p w14:paraId="5F401714" w14:textId="77777777" w:rsidR="000A1ED6" w:rsidRPr="007020BA" w:rsidRDefault="000A1ED6" w:rsidP="007020BA">
            <w:pPr>
              <w:pStyle w:val="Tabletextright0"/>
              <w:spacing w:before="240"/>
              <w:jc w:val="left"/>
              <w:cnfStyle w:val="000000010000" w:firstRow="0" w:lastRow="0" w:firstColumn="0" w:lastColumn="0" w:oddVBand="0" w:evenVBand="0" w:oddHBand="0" w:evenHBand="1" w:firstRowFirstColumn="0" w:firstRowLastColumn="0" w:lastRowFirstColumn="0" w:lastRowLastColumn="0"/>
              <w:rPr>
                <w:rFonts w:cs="Arial"/>
                <w:sz w:val="24"/>
              </w:rPr>
            </w:pPr>
            <w:r w:rsidRPr="007020BA">
              <w:rPr>
                <w:rFonts w:cs="Arial"/>
                <w:sz w:val="24"/>
              </w:rPr>
              <w:t>42.2</w:t>
            </w:r>
          </w:p>
        </w:tc>
      </w:tr>
      <w:tr w:rsidR="000A1ED6" w:rsidRPr="007020BA" w14:paraId="681F5001" w14:textId="77777777" w:rsidTr="000A1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14:paraId="0E0239B9" w14:textId="77777777" w:rsidR="000A1ED6" w:rsidRPr="007020BA" w:rsidRDefault="000A1ED6" w:rsidP="007020BA">
            <w:pPr>
              <w:pStyle w:val="Tabletextleft"/>
              <w:spacing w:before="240"/>
              <w:rPr>
                <w:rFonts w:cs="Arial"/>
                <w:sz w:val="24"/>
              </w:rPr>
            </w:pPr>
            <w:r w:rsidRPr="007020BA">
              <w:rPr>
                <w:rFonts w:cs="Arial"/>
                <w:sz w:val="24"/>
              </w:rPr>
              <w:t>Waiting to Opt in</w:t>
            </w:r>
          </w:p>
        </w:tc>
        <w:tc>
          <w:tcPr>
            <w:tcW w:w="910" w:type="dxa"/>
          </w:tcPr>
          <w:p w14:paraId="066D3684" w14:textId="77777777" w:rsidR="000A1ED6" w:rsidRPr="007020BA" w:rsidRDefault="000A1ED6" w:rsidP="007020BA">
            <w:pPr>
              <w:pStyle w:val="Tabletextleft"/>
              <w:spacing w:before="240"/>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1382</w:t>
            </w:r>
          </w:p>
        </w:tc>
        <w:tc>
          <w:tcPr>
            <w:tcW w:w="1806" w:type="dxa"/>
          </w:tcPr>
          <w:p w14:paraId="26D1244C" w14:textId="77777777" w:rsidR="000A1ED6" w:rsidRPr="007020BA" w:rsidRDefault="000A1ED6" w:rsidP="007020BA">
            <w:pPr>
              <w:pStyle w:val="Tabletextcentre"/>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825</w:t>
            </w:r>
          </w:p>
        </w:tc>
        <w:tc>
          <w:tcPr>
            <w:tcW w:w="1418" w:type="dxa"/>
          </w:tcPr>
          <w:p w14:paraId="406A2FE1" w14:textId="77777777" w:rsidR="000A1ED6" w:rsidRPr="007020BA" w:rsidRDefault="000A1ED6" w:rsidP="007020BA">
            <w:pPr>
              <w:pStyle w:val="Tabletextcentre"/>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171</w:t>
            </w:r>
          </w:p>
        </w:tc>
        <w:tc>
          <w:tcPr>
            <w:tcW w:w="1918" w:type="dxa"/>
          </w:tcPr>
          <w:p w14:paraId="44BBB463" w14:textId="77777777" w:rsidR="000A1ED6" w:rsidRPr="007020BA" w:rsidRDefault="000A1ED6" w:rsidP="007020BA">
            <w:pPr>
              <w:pStyle w:val="Tabletextcentre"/>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43</w:t>
            </w:r>
          </w:p>
        </w:tc>
        <w:tc>
          <w:tcPr>
            <w:tcW w:w="1317" w:type="dxa"/>
          </w:tcPr>
          <w:p w14:paraId="70041826" w14:textId="77777777" w:rsidR="000A1ED6" w:rsidRPr="007020BA" w:rsidRDefault="000A1ED6" w:rsidP="007020BA">
            <w:pPr>
              <w:pStyle w:val="Tabletextright0"/>
              <w:spacing w:before="240"/>
              <w:jc w:val="left"/>
              <w:cnfStyle w:val="000000100000" w:firstRow="0" w:lastRow="0" w:firstColumn="0" w:lastColumn="0" w:oddVBand="0" w:evenVBand="0" w:oddHBand="1" w:evenHBand="0" w:firstRowFirstColumn="0" w:firstRowLastColumn="0" w:lastRowFirstColumn="0" w:lastRowLastColumn="0"/>
              <w:rPr>
                <w:rFonts w:cs="Arial"/>
                <w:sz w:val="24"/>
              </w:rPr>
            </w:pPr>
            <w:r w:rsidRPr="007020BA">
              <w:rPr>
                <w:rFonts w:cs="Arial"/>
                <w:sz w:val="24"/>
              </w:rPr>
              <w:t>5.2</w:t>
            </w:r>
          </w:p>
        </w:tc>
      </w:tr>
    </w:tbl>
    <w:p w14:paraId="144D2D47" w14:textId="77777777" w:rsidR="000A1ED6" w:rsidRPr="007020BA" w:rsidRDefault="000A1ED6" w:rsidP="007020BA">
      <w:pPr>
        <w:pStyle w:val="Paragraphtext"/>
        <w:spacing w:before="240"/>
        <w:rPr>
          <w:rFonts w:cs="Arial"/>
          <w:sz w:val="24"/>
        </w:rPr>
      </w:pPr>
      <w:r w:rsidRPr="007020BA">
        <w:rPr>
          <w:rFonts w:cs="Arial"/>
          <w:sz w:val="24"/>
        </w:rPr>
        <w:t>*refers to per cent completed of allocated</w:t>
      </w:r>
    </w:p>
    <w:p w14:paraId="6FCEBA62" w14:textId="77777777" w:rsidR="000A1ED6" w:rsidRPr="007020BA" w:rsidRDefault="000A1ED6" w:rsidP="007020BA">
      <w:pPr>
        <w:pStyle w:val="Heading1"/>
        <w:rPr>
          <w:sz w:val="32"/>
          <w:szCs w:val="32"/>
        </w:rPr>
      </w:pPr>
      <w:r w:rsidRPr="007020BA">
        <w:rPr>
          <w:sz w:val="32"/>
          <w:szCs w:val="32"/>
        </w:rPr>
        <w:t>What more is the department doing to resolve all cases?</w:t>
      </w:r>
    </w:p>
    <w:p w14:paraId="68D12747" w14:textId="77777777" w:rsidR="00CB449B" w:rsidRPr="007020BA" w:rsidRDefault="00CB449B" w:rsidP="007020BA">
      <w:pPr>
        <w:pStyle w:val="NormalWeb"/>
        <w:spacing w:before="240" w:beforeAutospacing="0" w:after="60" w:afterAutospacing="0"/>
        <w:rPr>
          <w:rFonts w:ascii="Arial" w:hAnsi="Arial" w:cs="Arial"/>
          <w:i/>
          <w:iCs/>
          <w:lang w:eastAsia="en-US"/>
        </w:rPr>
      </w:pPr>
      <w:r w:rsidRPr="007020BA">
        <w:rPr>
          <w:rFonts w:ascii="Arial" w:hAnsi="Arial" w:cs="Arial"/>
          <w:i/>
          <w:iCs/>
          <w:lang w:eastAsia="en-US"/>
        </w:rPr>
        <w:t>The department has been working through these cases ensuring the processes are legally correct. We will continue to be accountable to affected individuals as we work to resolve all cases.</w:t>
      </w:r>
    </w:p>
    <w:p w14:paraId="3ADCBB5D" w14:textId="77777777" w:rsidR="00CB449B" w:rsidRPr="007020BA" w:rsidRDefault="000A1ED6" w:rsidP="007020BA">
      <w:pPr>
        <w:pStyle w:val="IntroPara"/>
        <w:spacing w:before="240"/>
        <w:rPr>
          <w:rFonts w:cs="Arial"/>
          <w:color w:val="auto"/>
          <w:sz w:val="24"/>
        </w:rPr>
      </w:pPr>
      <w:r w:rsidRPr="007020BA">
        <w:rPr>
          <w:rFonts w:cs="Arial"/>
          <w:color w:val="auto"/>
          <w:sz w:val="24"/>
        </w:rPr>
        <w:t xml:space="preserve">There are a number of complexities in progressing individual cases, particularly for MRBS cases. We have developed and refined our processes to ensure they are legally correct. The department has established a “Surge Taskforce” focussed on resolving Bonded Medical Program cases. Having established legally correct processes, we can now focus on administrative efficiency. We are now able to commit to targets to finalise the cases for affected individuals. We will shortly be increasing the resourcing of the taskforce. Amendments to the Health Insurance Act 1973 – that received the Royal Assent on 13 December 2021 – will provide additional flexibility to administer the Program. This is significant as the amendments will allow for some inadvertent and/or minor breaches to be more appropriately managed. We will provide further information on the amendments shortly. </w:t>
      </w:r>
    </w:p>
    <w:p w14:paraId="410CC031" w14:textId="77777777" w:rsidR="000A1ED6" w:rsidRPr="007020BA" w:rsidRDefault="000A1ED6" w:rsidP="007020BA">
      <w:pPr>
        <w:pStyle w:val="IntroPara"/>
        <w:spacing w:before="240"/>
        <w:rPr>
          <w:rFonts w:cs="Arial"/>
          <w:color w:val="auto"/>
          <w:sz w:val="24"/>
        </w:rPr>
      </w:pPr>
      <w:r w:rsidRPr="007020BA">
        <w:rPr>
          <w:rFonts w:cs="Arial"/>
          <w:color w:val="auto"/>
          <w:sz w:val="24"/>
        </w:rPr>
        <w:lastRenderedPageBreak/>
        <w:t>The department is committed to communicate both the targets and our progress towards meeting those targets through regular newsletters – Commencing early 2022.</w:t>
      </w:r>
    </w:p>
    <w:p w14:paraId="2135F6BD" w14:textId="77777777" w:rsidR="00CB449B" w:rsidRPr="007020BA" w:rsidRDefault="00CB449B" w:rsidP="007020BA">
      <w:pPr>
        <w:pStyle w:val="Heading1"/>
        <w:rPr>
          <w:sz w:val="32"/>
          <w:szCs w:val="32"/>
        </w:rPr>
      </w:pPr>
      <w:r w:rsidRPr="007020BA">
        <w:rPr>
          <w:sz w:val="32"/>
          <w:szCs w:val="32"/>
        </w:rPr>
        <w:t>Bonded Return of Service System (BRoSS) – RWAs</w:t>
      </w:r>
    </w:p>
    <w:p w14:paraId="2E476975" w14:textId="77777777" w:rsidR="00CB449B" w:rsidRPr="007020BA" w:rsidRDefault="00CB449B" w:rsidP="007020BA">
      <w:pPr>
        <w:pStyle w:val="NormalWeb"/>
        <w:spacing w:before="240" w:beforeAutospacing="0" w:after="60" w:afterAutospacing="0"/>
        <w:rPr>
          <w:rFonts w:ascii="Arial" w:hAnsi="Arial" w:cs="Arial"/>
          <w:i/>
          <w:iCs/>
          <w:lang w:eastAsia="en-US"/>
        </w:rPr>
      </w:pPr>
      <w:r w:rsidRPr="007020BA">
        <w:rPr>
          <w:rFonts w:ascii="Arial" w:hAnsi="Arial" w:cs="Arial"/>
          <w:i/>
          <w:iCs/>
          <w:lang w:eastAsia="en-US"/>
        </w:rPr>
        <w:t>BRoSS is the ‘web portal’ which allows you to plan, monitor and manage your obligations under the Program.</w:t>
      </w:r>
    </w:p>
    <w:p w14:paraId="04A57B35" w14:textId="77777777" w:rsidR="00CB449B" w:rsidRPr="007020BA" w:rsidRDefault="00CB449B" w:rsidP="007020BA">
      <w:pPr>
        <w:pStyle w:val="IntroPara"/>
        <w:spacing w:before="240"/>
        <w:rPr>
          <w:rFonts w:cs="Arial"/>
          <w:color w:val="auto"/>
          <w:sz w:val="24"/>
        </w:rPr>
      </w:pPr>
      <w:r w:rsidRPr="007020BA">
        <w:rPr>
          <w:rFonts w:cs="Arial"/>
          <w:color w:val="auto"/>
          <w:sz w:val="24"/>
        </w:rPr>
        <w:t>In November 2021, access was extended to Rural Workforce Agencies (RWAs) to assist them to support bonded participants under the Program.</w:t>
      </w:r>
    </w:p>
    <w:p w14:paraId="5B746197" w14:textId="77777777" w:rsidR="00CB449B" w:rsidRPr="007020BA" w:rsidRDefault="00CB449B" w:rsidP="007020BA">
      <w:pPr>
        <w:pStyle w:val="IntroPara"/>
        <w:spacing w:before="240"/>
        <w:rPr>
          <w:rFonts w:cs="Arial"/>
          <w:color w:val="auto"/>
          <w:sz w:val="24"/>
        </w:rPr>
      </w:pPr>
      <w:r w:rsidRPr="007020BA">
        <w:rPr>
          <w:rFonts w:cs="Arial"/>
          <w:color w:val="auto"/>
          <w:sz w:val="24"/>
        </w:rPr>
        <w:t>RWAs can now access information about bonded participants in their area.</w:t>
      </w:r>
    </w:p>
    <w:p w14:paraId="1AD0C6AF" w14:textId="77777777" w:rsidR="00CB449B" w:rsidRPr="007020BA" w:rsidRDefault="00CB449B" w:rsidP="007020BA">
      <w:pPr>
        <w:pStyle w:val="IntroPara"/>
        <w:spacing w:before="240"/>
        <w:rPr>
          <w:rFonts w:cs="Arial"/>
          <w:color w:val="auto"/>
          <w:sz w:val="24"/>
        </w:rPr>
      </w:pPr>
      <w:r w:rsidRPr="007020BA">
        <w:rPr>
          <w:rFonts w:cs="Arial"/>
          <w:color w:val="auto"/>
          <w:sz w:val="24"/>
        </w:rPr>
        <w:t xml:space="preserve">Your RWA can assist you to access rural medical placements and professional development opportunities during undergraduate and early career years. </w:t>
      </w:r>
    </w:p>
    <w:p w14:paraId="5662DF78" w14:textId="77777777" w:rsidR="00CB449B" w:rsidRPr="007020BA" w:rsidRDefault="00CB449B" w:rsidP="007020BA">
      <w:pPr>
        <w:pStyle w:val="Heading1"/>
        <w:rPr>
          <w:sz w:val="32"/>
          <w:szCs w:val="32"/>
        </w:rPr>
      </w:pPr>
      <w:r w:rsidRPr="007020BA">
        <w:rPr>
          <w:sz w:val="32"/>
          <w:szCs w:val="32"/>
        </w:rPr>
        <w:t>More information to help you decide if you want to opt in</w:t>
      </w:r>
    </w:p>
    <w:p w14:paraId="2A23EBC4" w14:textId="77777777" w:rsidR="00CB449B" w:rsidRPr="007020BA" w:rsidRDefault="00CB449B" w:rsidP="007020BA">
      <w:pPr>
        <w:pStyle w:val="NormalWeb"/>
        <w:spacing w:before="240" w:beforeAutospacing="0" w:after="60" w:afterAutospacing="0"/>
        <w:rPr>
          <w:rFonts w:ascii="Arial" w:hAnsi="Arial" w:cs="Arial"/>
          <w:i/>
          <w:iCs/>
          <w:lang w:eastAsia="en-US"/>
        </w:rPr>
      </w:pPr>
      <w:r w:rsidRPr="007020BA">
        <w:rPr>
          <w:rFonts w:ascii="Arial" w:hAnsi="Arial" w:cs="Arial"/>
          <w:i/>
          <w:iCs/>
          <w:lang w:eastAsia="en-US"/>
        </w:rPr>
        <w:t>Medical Rural Bonded Scholarship (MRBS) Scheme participants that have completed their course of study in medicine are able to opt in.</w:t>
      </w:r>
    </w:p>
    <w:p w14:paraId="3F188AA1" w14:textId="77777777" w:rsidR="00CB449B" w:rsidRPr="007020BA" w:rsidRDefault="00CB449B" w:rsidP="007020BA">
      <w:pPr>
        <w:pStyle w:val="NormalWeb"/>
        <w:spacing w:before="240" w:beforeAutospacing="0" w:after="60" w:afterAutospacing="0"/>
        <w:rPr>
          <w:rFonts w:ascii="Arial" w:hAnsi="Arial" w:cs="Arial"/>
          <w:i/>
          <w:iCs/>
          <w:lang w:eastAsia="en-US"/>
        </w:rPr>
      </w:pPr>
      <w:r w:rsidRPr="007020BA">
        <w:rPr>
          <w:rFonts w:ascii="Arial" w:hAnsi="Arial" w:cs="Arial"/>
          <w:i/>
          <w:iCs/>
          <w:lang w:eastAsia="en-US"/>
        </w:rPr>
        <w:t>Bonded Medical Places Scheme participants can choose to opt in to the Program at any time.</w:t>
      </w:r>
    </w:p>
    <w:p w14:paraId="2B8B26D2" w14:textId="77777777" w:rsidR="00CB449B" w:rsidRPr="007020BA" w:rsidRDefault="00CB449B" w:rsidP="007020BA">
      <w:pPr>
        <w:pStyle w:val="IntroPara"/>
        <w:spacing w:before="240"/>
        <w:rPr>
          <w:rFonts w:cs="Arial"/>
          <w:color w:val="auto"/>
          <w:sz w:val="24"/>
        </w:rPr>
      </w:pPr>
      <w:r w:rsidRPr="007020BA">
        <w:rPr>
          <w:rFonts w:cs="Arial"/>
          <w:color w:val="auto"/>
          <w:sz w:val="24"/>
        </w:rPr>
        <w:t>The decision to express an interest to opt in will depend on your assessment of the benefits the new Program offers you when compared to your existing legacy scheme agreement.</w:t>
      </w:r>
    </w:p>
    <w:p w14:paraId="145D0216" w14:textId="77777777" w:rsidR="00CB449B" w:rsidRPr="007020BA" w:rsidRDefault="00CB449B" w:rsidP="007020BA">
      <w:pPr>
        <w:pStyle w:val="IntroPara"/>
        <w:spacing w:before="240"/>
        <w:rPr>
          <w:rFonts w:cs="Arial"/>
          <w:color w:val="auto"/>
          <w:sz w:val="24"/>
        </w:rPr>
      </w:pPr>
      <w:r w:rsidRPr="007020BA">
        <w:rPr>
          <w:rFonts w:cs="Arial"/>
          <w:color w:val="auto"/>
          <w:sz w:val="24"/>
        </w:rPr>
        <w:t>When considering whether to opt in to the Program, the fact sheets – linked on the Bonded Medical Program ‘Resources’ webpage – set out important considerations for legacy scheme participants. Each fact sheet provides a useful comparison table between that legacy scheme and the Program.</w:t>
      </w:r>
    </w:p>
    <w:p w14:paraId="4F25B785" w14:textId="77777777" w:rsidR="00CB449B" w:rsidRPr="007020BA" w:rsidRDefault="00CB449B" w:rsidP="007020BA">
      <w:pPr>
        <w:pStyle w:val="NormalWeb"/>
        <w:spacing w:before="240" w:beforeAutospacing="0" w:after="60" w:afterAutospacing="0"/>
        <w:rPr>
          <w:rFonts w:ascii="Arial" w:hAnsi="Arial" w:cs="Arial"/>
        </w:rPr>
      </w:pPr>
    </w:p>
    <w:p w14:paraId="74FE45A0" w14:textId="77777777" w:rsidR="00CB449B" w:rsidRPr="007020BA" w:rsidRDefault="00CB449B" w:rsidP="007020BA">
      <w:pPr>
        <w:pStyle w:val="NormalWeb"/>
        <w:spacing w:before="240" w:beforeAutospacing="0" w:after="60" w:afterAutospacing="0"/>
        <w:rPr>
          <w:rFonts w:ascii="Arial" w:hAnsi="Arial" w:cs="Arial"/>
        </w:rPr>
      </w:pPr>
      <w:r w:rsidRPr="007020BA">
        <w:rPr>
          <w:rFonts w:ascii="Arial" w:eastAsiaTheme="minorEastAsia" w:hAnsi="Arial" w:cs="Arial"/>
          <w:i/>
          <w:iCs/>
          <w:color w:val="000000" w:themeColor="text1"/>
          <w:kern w:val="24"/>
        </w:rPr>
        <w:t xml:space="preserve">Participants are encouraged to seek independent advice </w:t>
      </w:r>
      <w:r w:rsidRPr="007020BA">
        <w:rPr>
          <w:rFonts w:ascii="Arial" w:eastAsiaTheme="minorEastAsia" w:hAnsi="Arial" w:cs="Arial"/>
          <w:i/>
          <w:iCs/>
          <w:color w:val="000000" w:themeColor="text1"/>
          <w:kern w:val="24"/>
          <w:u w:val="single"/>
        </w:rPr>
        <w:t>prior</w:t>
      </w:r>
      <w:r w:rsidRPr="007020BA">
        <w:rPr>
          <w:rFonts w:ascii="Arial" w:eastAsiaTheme="minorEastAsia" w:hAnsi="Arial" w:cs="Arial"/>
          <w:i/>
          <w:iCs/>
          <w:color w:val="000000" w:themeColor="text1"/>
          <w:kern w:val="24"/>
        </w:rPr>
        <w:t xml:space="preserve"> to making a decision to opt in</w:t>
      </w:r>
      <w:r w:rsidRPr="007020BA">
        <w:rPr>
          <w:rFonts w:ascii="Arial" w:eastAsiaTheme="minorEastAsia" w:hAnsi="Arial" w:cs="Arial"/>
          <w:color w:val="000000" w:themeColor="text1"/>
          <w:kern w:val="24"/>
        </w:rPr>
        <w:t>.</w:t>
      </w:r>
    </w:p>
    <w:p w14:paraId="59C202EF" w14:textId="77777777" w:rsidR="00FB42F7" w:rsidRDefault="00FB42F7" w:rsidP="007020BA">
      <w:pPr>
        <w:pStyle w:val="Heading1"/>
        <w:rPr>
          <w:sz w:val="32"/>
          <w:szCs w:val="32"/>
        </w:rPr>
      </w:pPr>
    </w:p>
    <w:p w14:paraId="02F775C0" w14:textId="77777777" w:rsidR="00CB449B" w:rsidRPr="007020BA" w:rsidRDefault="00CB449B" w:rsidP="007020BA">
      <w:pPr>
        <w:pStyle w:val="Heading1"/>
        <w:rPr>
          <w:sz w:val="32"/>
          <w:szCs w:val="32"/>
        </w:rPr>
      </w:pPr>
      <w:r w:rsidRPr="007020BA">
        <w:rPr>
          <w:sz w:val="32"/>
          <w:szCs w:val="32"/>
        </w:rPr>
        <w:t>Where to go for further information</w:t>
      </w:r>
    </w:p>
    <w:p w14:paraId="6A6D01F1" w14:textId="77777777" w:rsidR="00CB449B" w:rsidRPr="00CB449B" w:rsidRDefault="00CB449B" w:rsidP="007020BA">
      <w:pPr>
        <w:spacing w:before="240" w:after="60"/>
        <w:rPr>
          <w:rFonts w:cs="Arial"/>
          <w:sz w:val="24"/>
          <w:lang w:eastAsia="en-AU"/>
        </w:rPr>
      </w:pPr>
      <w:r w:rsidRPr="00CB449B">
        <w:rPr>
          <w:rFonts w:eastAsiaTheme="minorEastAsia" w:cs="Arial"/>
          <w:b/>
          <w:bCs/>
          <w:color w:val="000000" w:themeColor="text1"/>
          <w:kern w:val="24"/>
          <w:sz w:val="24"/>
          <w:lang w:eastAsia="en-AU"/>
        </w:rPr>
        <w:t>WEBINARS</w:t>
      </w:r>
    </w:p>
    <w:p w14:paraId="72F0676C" w14:textId="77777777" w:rsidR="00CB449B" w:rsidRPr="00CB449B" w:rsidRDefault="00CB449B" w:rsidP="007020BA">
      <w:pPr>
        <w:numPr>
          <w:ilvl w:val="0"/>
          <w:numId w:val="23"/>
        </w:numPr>
        <w:spacing w:before="240" w:after="60"/>
        <w:ind w:left="0"/>
        <w:contextualSpacing/>
        <w:rPr>
          <w:rFonts w:cs="Arial"/>
          <w:sz w:val="24"/>
          <w:lang w:eastAsia="en-AU"/>
        </w:rPr>
      </w:pPr>
      <w:r w:rsidRPr="00CB449B">
        <w:rPr>
          <w:rFonts w:eastAsiaTheme="minorEastAsia" w:cs="Arial"/>
          <w:color w:val="000000" w:themeColor="text1"/>
          <w:kern w:val="24"/>
          <w:sz w:val="24"/>
          <w:lang w:eastAsia="en-AU"/>
        </w:rPr>
        <w:t>Further Program information webinars are available on the department’s website (see below)</w:t>
      </w:r>
    </w:p>
    <w:p w14:paraId="0BBC8828" w14:textId="77777777" w:rsidR="00CB449B" w:rsidRPr="00CB449B" w:rsidRDefault="00CB449B" w:rsidP="007020BA">
      <w:pPr>
        <w:spacing w:before="240" w:after="60"/>
        <w:rPr>
          <w:rFonts w:cs="Arial"/>
          <w:sz w:val="24"/>
          <w:lang w:eastAsia="en-AU"/>
        </w:rPr>
      </w:pPr>
      <w:r w:rsidRPr="00CB449B">
        <w:rPr>
          <w:rFonts w:eastAsiaTheme="minorEastAsia" w:cs="Arial"/>
          <w:b/>
          <w:bCs/>
          <w:color w:val="000000" w:themeColor="text1"/>
          <w:kern w:val="24"/>
          <w:sz w:val="24"/>
          <w:lang w:eastAsia="en-AU"/>
        </w:rPr>
        <w:t>WEBSITE</w:t>
      </w:r>
    </w:p>
    <w:p w14:paraId="5AC02BFD" w14:textId="77777777" w:rsidR="00CB449B" w:rsidRPr="00CB449B" w:rsidRDefault="00D36CD3" w:rsidP="007020BA">
      <w:pPr>
        <w:numPr>
          <w:ilvl w:val="0"/>
          <w:numId w:val="24"/>
        </w:numPr>
        <w:spacing w:before="240" w:after="60"/>
        <w:ind w:left="0"/>
        <w:contextualSpacing/>
        <w:rPr>
          <w:rFonts w:cs="Arial"/>
          <w:sz w:val="24"/>
          <w:lang w:eastAsia="en-AU"/>
        </w:rPr>
      </w:pPr>
      <w:hyperlink r:id="rId11" w:history="1">
        <w:r w:rsidR="00CB449B" w:rsidRPr="00CB449B">
          <w:rPr>
            <w:rFonts w:eastAsiaTheme="minorEastAsia" w:cs="Arial"/>
            <w:color w:val="000000" w:themeColor="text1"/>
            <w:kern w:val="24"/>
            <w:sz w:val="24"/>
            <w:u w:val="single"/>
            <w:lang w:eastAsia="en-AU"/>
          </w:rPr>
          <w:t>www.Health.gov.au</w:t>
        </w:r>
      </w:hyperlink>
      <w:r w:rsidR="00CB449B" w:rsidRPr="00CB449B">
        <w:rPr>
          <w:rFonts w:eastAsiaTheme="minorEastAsia" w:cs="Arial"/>
          <w:color w:val="000000" w:themeColor="text1"/>
          <w:kern w:val="24"/>
          <w:sz w:val="24"/>
          <w:lang w:eastAsia="en-AU"/>
        </w:rPr>
        <w:t xml:space="preserve"> or search for ‘</w:t>
      </w:r>
      <w:r w:rsidR="00CB449B" w:rsidRPr="00CB449B">
        <w:rPr>
          <w:rFonts w:eastAsiaTheme="minorEastAsia" w:cs="Arial"/>
          <w:i/>
          <w:iCs/>
          <w:color w:val="000000" w:themeColor="text1"/>
          <w:kern w:val="24"/>
          <w:sz w:val="24"/>
          <w:lang w:eastAsia="en-AU"/>
        </w:rPr>
        <w:t>Bonded Medical Program</w:t>
      </w:r>
      <w:r w:rsidR="00CB449B" w:rsidRPr="00CB449B">
        <w:rPr>
          <w:rFonts w:eastAsiaTheme="minorEastAsia" w:cs="Arial"/>
          <w:color w:val="000000" w:themeColor="text1"/>
          <w:kern w:val="24"/>
          <w:sz w:val="24"/>
          <w:lang w:eastAsia="en-AU"/>
        </w:rPr>
        <w:t xml:space="preserve">’ </w:t>
      </w:r>
    </w:p>
    <w:p w14:paraId="1964715D" w14:textId="77777777" w:rsidR="00CB449B" w:rsidRPr="00CB449B" w:rsidRDefault="00CB449B" w:rsidP="007020BA">
      <w:pPr>
        <w:numPr>
          <w:ilvl w:val="0"/>
          <w:numId w:val="24"/>
        </w:numPr>
        <w:spacing w:before="240" w:after="60"/>
        <w:ind w:left="0"/>
        <w:contextualSpacing/>
        <w:rPr>
          <w:rFonts w:cs="Arial"/>
          <w:sz w:val="24"/>
          <w:lang w:eastAsia="en-AU"/>
        </w:rPr>
      </w:pPr>
      <w:r w:rsidRPr="00CB449B">
        <w:rPr>
          <w:rFonts w:eastAsiaTheme="minorEastAsia" w:cs="Arial"/>
          <w:color w:val="000000" w:themeColor="text1"/>
          <w:kern w:val="24"/>
          <w:sz w:val="24"/>
          <w:lang w:eastAsia="en-AU"/>
        </w:rPr>
        <w:t>Monthly Program updates and more information available</w:t>
      </w:r>
    </w:p>
    <w:p w14:paraId="3D5DB834" w14:textId="77777777" w:rsidR="00CB449B" w:rsidRPr="00CB449B" w:rsidRDefault="00CB449B" w:rsidP="007020BA">
      <w:pPr>
        <w:spacing w:before="240" w:after="60" w:line="472" w:lineRule="exact"/>
        <w:rPr>
          <w:rFonts w:cs="Arial"/>
          <w:sz w:val="24"/>
          <w:lang w:eastAsia="en-AU"/>
        </w:rPr>
      </w:pPr>
      <w:r w:rsidRPr="00CB449B">
        <w:rPr>
          <w:rFonts w:eastAsiaTheme="minorEastAsia" w:cs="Arial"/>
          <w:b/>
          <w:bCs/>
          <w:color w:val="000000" w:themeColor="text1"/>
          <w:kern w:val="24"/>
          <w:sz w:val="24"/>
          <w:lang w:eastAsia="en-AU"/>
        </w:rPr>
        <w:t>CALL CENTRE</w:t>
      </w:r>
    </w:p>
    <w:p w14:paraId="4F707E4D" w14:textId="77777777" w:rsidR="00CB449B" w:rsidRPr="00CB449B" w:rsidRDefault="00CB449B" w:rsidP="007020BA">
      <w:pPr>
        <w:numPr>
          <w:ilvl w:val="0"/>
          <w:numId w:val="25"/>
        </w:numPr>
        <w:spacing w:before="240" w:after="60" w:line="472" w:lineRule="exact"/>
        <w:ind w:left="0"/>
        <w:contextualSpacing/>
        <w:rPr>
          <w:rFonts w:cs="Arial"/>
          <w:sz w:val="24"/>
          <w:lang w:eastAsia="en-AU"/>
        </w:rPr>
      </w:pPr>
      <w:r w:rsidRPr="00CB449B">
        <w:rPr>
          <w:rFonts w:eastAsiaTheme="minorEastAsia" w:cs="Arial"/>
          <w:color w:val="000000" w:themeColor="text1"/>
          <w:kern w:val="24"/>
          <w:sz w:val="24"/>
          <w:lang w:eastAsia="en-AU"/>
        </w:rPr>
        <w:t xml:space="preserve">The department’s call centre is available for </w:t>
      </w:r>
      <w:r w:rsidRPr="00CB449B">
        <w:rPr>
          <w:rFonts w:eastAsiaTheme="minorEastAsia" w:cs="Arial"/>
          <w:color w:val="000000" w:themeColor="text1"/>
          <w:kern w:val="24"/>
          <w:sz w:val="24"/>
          <w:u w:val="single"/>
          <w:lang w:eastAsia="en-AU"/>
        </w:rPr>
        <w:t>general inquiries</w:t>
      </w:r>
      <w:r w:rsidRPr="00CB449B">
        <w:rPr>
          <w:rFonts w:eastAsiaTheme="minorEastAsia" w:cs="Arial"/>
          <w:color w:val="008A96"/>
          <w:kern w:val="24"/>
          <w:sz w:val="24"/>
          <w:lang w:eastAsia="en-AU"/>
        </w:rPr>
        <w:t xml:space="preserve">  </w:t>
      </w:r>
      <w:r w:rsidRPr="00CB449B">
        <w:rPr>
          <w:rFonts w:eastAsiaTheme="minorEastAsia" w:cs="Arial"/>
          <w:color w:val="000000" w:themeColor="text1"/>
          <w:kern w:val="24"/>
          <w:sz w:val="24"/>
          <w:lang w:eastAsia="en-AU"/>
        </w:rPr>
        <w:t>1800 987 104 (Mon–Fri 8:30am – 5:00pm AEST)</w:t>
      </w:r>
    </w:p>
    <w:p w14:paraId="29AA40E4" w14:textId="77777777" w:rsidR="00CB449B" w:rsidRPr="00CB449B" w:rsidRDefault="00CB449B" w:rsidP="007020BA">
      <w:pPr>
        <w:spacing w:before="240" w:after="60" w:line="472" w:lineRule="exact"/>
        <w:rPr>
          <w:rFonts w:cs="Arial"/>
          <w:sz w:val="24"/>
          <w:lang w:eastAsia="en-AU"/>
        </w:rPr>
      </w:pPr>
      <w:r w:rsidRPr="00CB449B">
        <w:rPr>
          <w:rFonts w:eastAsiaTheme="minorEastAsia" w:cs="Arial"/>
          <w:b/>
          <w:bCs/>
          <w:color w:val="000000" w:themeColor="text1"/>
          <w:kern w:val="24"/>
          <w:sz w:val="24"/>
          <w:lang w:eastAsia="en-AU"/>
        </w:rPr>
        <w:t>EMAIL US</w:t>
      </w:r>
    </w:p>
    <w:p w14:paraId="03883A68" w14:textId="77777777" w:rsidR="00CB449B" w:rsidRPr="00CB449B" w:rsidRDefault="00CB449B" w:rsidP="007020BA">
      <w:pPr>
        <w:numPr>
          <w:ilvl w:val="0"/>
          <w:numId w:val="26"/>
        </w:numPr>
        <w:spacing w:before="240" w:after="60" w:line="472" w:lineRule="exact"/>
        <w:ind w:left="0"/>
        <w:contextualSpacing/>
        <w:rPr>
          <w:rFonts w:cs="Arial"/>
          <w:sz w:val="24"/>
          <w:lang w:eastAsia="en-AU"/>
        </w:rPr>
      </w:pPr>
      <w:r w:rsidRPr="00CB449B">
        <w:rPr>
          <w:rFonts w:eastAsiaTheme="minorEastAsia" w:cs="Arial"/>
          <w:color w:val="000000" w:themeColor="text1"/>
          <w:kern w:val="24"/>
          <w:sz w:val="24"/>
          <w:lang w:eastAsia="en-AU"/>
        </w:rPr>
        <w:t xml:space="preserve">For more specific queries about </w:t>
      </w:r>
      <w:r w:rsidRPr="00CB449B">
        <w:rPr>
          <w:rFonts w:eastAsiaTheme="minorEastAsia" w:cs="Arial"/>
          <w:color w:val="000000" w:themeColor="text1"/>
          <w:kern w:val="24"/>
          <w:sz w:val="24"/>
          <w:u w:val="single"/>
          <w:lang w:eastAsia="en-AU"/>
        </w:rPr>
        <w:t>your</w:t>
      </w:r>
      <w:r w:rsidRPr="00CB449B">
        <w:rPr>
          <w:rFonts w:eastAsiaTheme="minorEastAsia" w:cs="Arial"/>
          <w:color w:val="000000" w:themeColor="text1"/>
          <w:kern w:val="24"/>
          <w:sz w:val="24"/>
          <w:lang w:eastAsia="en-AU"/>
        </w:rPr>
        <w:t xml:space="preserve"> personal arrangements</w:t>
      </w:r>
    </w:p>
    <w:p w14:paraId="1C355783" w14:textId="77777777" w:rsidR="000A1ED6" w:rsidRPr="007020BA" w:rsidRDefault="00D36CD3" w:rsidP="007020BA">
      <w:pPr>
        <w:pStyle w:val="IntroPara"/>
        <w:spacing w:before="240"/>
        <w:rPr>
          <w:rFonts w:eastAsiaTheme="minorEastAsia" w:cs="Arial"/>
          <w:i/>
          <w:iCs/>
          <w:color w:val="000000" w:themeColor="text1"/>
          <w:kern w:val="24"/>
          <w:sz w:val="24"/>
          <w:lang w:eastAsia="en-AU"/>
        </w:rPr>
      </w:pPr>
      <w:hyperlink r:id="rId12" w:history="1">
        <w:r w:rsidR="00CB449B" w:rsidRPr="007020BA">
          <w:rPr>
            <w:rFonts w:eastAsiaTheme="minorEastAsia" w:cs="Arial"/>
            <w:color w:val="000000" w:themeColor="text1"/>
            <w:kern w:val="24"/>
            <w:sz w:val="24"/>
            <w:u w:val="single"/>
            <w:lang w:eastAsia="en-AU"/>
          </w:rPr>
          <w:t>BondedMedicalProgram@health.gov.au</w:t>
        </w:r>
      </w:hyperlink>
      <w:r w:rsidR="00CB449B" w:rsidRPr="007020BA">
        <w:rPr>
          <w:rFonts w:eastAsiaTheme="minorEastAsia" w:cs="Arial"/>
          <w:color w:val="000000" w:themeColor="text1"/>
          <w:kern w:val="24"/>
          <w:sz w:val="24"/>
          <w:lang w:eastAsia="en-AU"/>
        </w:rPr>
        <w:t xml:space="preserve"> Subject: </w:t>
      </w:r>
      <w:r w:rsidR="00CB449B" w:rsidRPr="007020BA">
        <w:rPr>
          <w:rFonts w:eastAsiaTheme="minorEastAsia" w:cs="Arial"/>
          <w:i/>
          <w:iCs/>
          <w:color w:val="000000" w:themeColor="text1"/>
          <w:kern w:val="24"/>
          <w:sz w:val="24"/>
          <w:lang w:eastAsia="en-AU"/>
        </w:rPr>
        <w:t>(Scheme/Program): (Name): (Request type</w:t>
      </w:r>
    </w:p>
    <w:p w14:paraId="456B0B1D" w14:textId="77777777" w:rsidR="00CB449B" w:rsidRPr="007020BA" w:rsidRDefault="00CB449B" w:rsidP="007020BA">
      <w:pPr>
        <w:pStyle w:val="Heading1"/>
        <w:rPr>
          <w:sz w:val="32"/>
          <w:szCs w:val="32"/>
        </w:rPr>
      </w:pPr>
    </w:p>
    <w:p w14:paraId="36963F29" w14:textId="77777777" w:rsidR="00CB449B" w:rsidRPr="007020BA" w:rsidRDefault="00CB449B" w:rsidP="007020BA">
      <w:pPr>
        <w:pStyle w:val="Heading1"/>
        <w:rPr>
          <w:sz w:val="32"/>
          <w:szCs w:val="32"/>
        </w:rPr>
      </w:pPr>
      <w:r w:rsidRPr="007020BA">
        <w:rPr>
          <w:sz w:val="32"/>
          <w:szCs w:val="32"/>
        </w:rPr>
        <w:t>Questions and Answers</w:t>
      </w:r>
    </w:p>
    <w:p w14:paraId="3D01E9C0" w14:textId="77777777" w:rsidR="00CB449B" w:rsidRPr="007020BA" w:rsidRDefault="00CB449B" w:rsidP="004F2E30">
      <w:pPr>
        <w:pStyle w:val="NormalWeb"/>
        <w:shd w:val="clear" w:color="auto" w:fill="FFFFFF" w:themeFill="background1"/>
        <w:spacing w:before="240" w:beforeAutospacing="0" w:after="60" w:afterAutospacing="0"/>
        <w:rPr>
          <w:rFonts w:ascii="Arial" w:hAnsi="Arial" w:cs="Arial"/>
        </w:rPr>
      </w:pPr>
      <w:r w:rsidRPr="004F2E30">
        <w:rPr>
          <w:rFonts w:ascii="Arial" w:eastAsiaTheme="minorEastAsia" w:hAnsi="Arial" w:cs="Arial"/>
          <w:b/>
          <w:bCs/>
          <w:kern w:val="24"/>
          <w:lang w:val="en-US"/>
        </w:rPr>
        <w:t>How many cases has the department resolved?</w:t>
      </w:r>
    </w:p>
    <w:p w14:paraId="0D714D22"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The department has now resolved 158 cases of those individuals who thought they were bonded, had completed their obligations and had exited the Program.</w:t>
      </w:r>
    </w:p>
    <w:p w14:paraId="4EA8D7C9"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We have resolved 172 cases where the affected individual thought they were bonded and still needs to complete their RoSO</w:t>
      </w:r>
    </w:p>
    <w:p w14:paraId="3E6B09F8"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eastAsia="Calibri" w:hAnsi="Arial" w:cs="Arial"/>
          <w:color w:val="000000" w:themeColor="text1"/>
          <w:kern w:val="24"/>
        </w:rPr>
        <w:t>We have resolved 43 cases of individuals waiting to opt in.</w:t>
      </w:r>
    </w:p>
    <w:p w14:paraId="2B6A41AB" w14:textId="77777777" w:rsidR="00CB449B" w:rsidRPr="004F2E30" w:rsidRDefault="00CB449B"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How long will the department take to resolve all the issues?</w:t>
      </w:r>
    </w:p>
    <w:p w14:paraId="2665F70B"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 xml:space="preserve">As discussed during the webinar, it is important to be aware that there are a number of complexities in progressing  individual cases. </w:t>
      </w:r>
    </w:p>
    <w:p w14:paraId="30C32422"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Now that we have developed legally correct processes we are able to focus on administrative efficiencies and commit to targets for finalising cases.</w:t>
      </w:r>
    </w:p>
    <w:p w14:paraId="494DFC99"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lastRenderedPageBreak/>
        <w:t>The department is committed to being accountable and transparent and will communicate both the targets and our progress towards meeting those targets through our regular newsletters - commencing early 2022.</w:t>
      </w:r>
    </w:p>
    <w:p w14:paraId="4FE06807" w14:textId="77777777" w:rsidR="00CB449B" w:rsidRPr="007020BA" w:rsidRDefault="00CB449B"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We understand the frustration this is causing for participants and we ask for your patience as we work through each case.</w:t>
      </w:r>
    </w:p>
    <w:p w14:paraId="6F03A457" w14:textId="77777777" w:rsidR="00CB449B" w:rsidRPr="004F2E30" w:rsidRDefault="00CB449B"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 xml:space="preserve">I was told by the department that I had been opted in to the Program. </w:t>
      </w:r>
    </w:p>
    <w:p w14:paraId="79C4889A" w14:textId="77777777" w:rsidR="00CB449B" w:rsidRPr="004F2E30" w:rsidRDefault="00CB449B"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 xml:space="preserve">I am therefore working in an area eligible under the Program, but not eligible under my legacy scheme. </w:t>
      </w:r>
    </w:p>
    <w:p w14:paraId="03B96479" w14:textId="77777777" w:rsidR="00CB449B" w:rsidRPr="004F2E30" w:rsidRDefault="00CB449B"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Will my RoSO count?</w:t>
      </w:r>
    </w:p>
    <w:p w14:paraId="7A50386A" w14:textId="77777777" w:rsidR="00CB449B" w:rsidRPr="007020BA" w:rsidRDefault="00CB449B" w:rsidP="007020BA">
      <w:pPr>
        <w:pStyle w:val="NormalWeb"/>
        <w:spacing w:before="240" w:beforeAutospacing="0" w:after="60" w:afterAutospacing="0" w:line="264" w:lineRule="auto"/>
        <w:rPr>
          <w:rFonts w:ascii="Arial" w:hAnsi="Arial" w:cs="Arial"/>
        </w:rPr>
      </w:pPr>
      <w:r w:rsidRPr="007020BA">
        <w:rPr>
          <w:rFonts w:ascii="Arial" w:eastAsiaTheme="minorEastAsia" w:hAnsi="Arial" w:cs="Arial"/>
          <w:color w:val="000000" w:themeColor="text1"/>
          <w:kern w:val="24"/>
          <w:lang w:val="en-US"/>
        </w:rPr>
        <w:t>We will ensure that any work activities completed in good faith, consistent with the requirements of the Program, will be counted towards your RoSO.</w:t>
      </w:r>
    </w:p>
    <w:p w14:paraId="72913F21" w14:textId="77777777" w:rsidR="00CB449B" w:rsidRPr="007020BA" w:rsidRDefault="00CB449B" w:rsidP="007020BA">
      <w:pPr>
        <w:pStyle w:val="NormalWeb"/>
        <w:spacing w:before="240" w:beforeAutospacing="0" w:after="60" w:afterAutospacing="0" w:line="264" w:lineRule="auto"/>
        <w:rPr>
          <w:rFonts w:ascii="Arial" w:hAnsi="Arial" w:cs="Arial"/>
        </w:rPr>
      </w:pPr>
      <w:r w:rsidRPr="007020BA">
        <w:rPr>
          <w:rFonts w:ascii="Arial" w:eastAsiaTheme="minorEastAsia" w:hAnsi="Arial" w:cs="Arial"/>
          <w:color w:val="000000" w:themeColor="text1"/>
          <w:kern w:val="24"/>
          <w:lang w:val="en-US"/>
        </w:rPr>
        <w:t xml:space="preserve">The department will work with you to fully understand your personal circumstances from 2020 to now. </w:t>
      </w:r>
    </w:p>
    <w:p w14:paraId="492FC24F" w14:textId="77777777" w:rsidR="00CB449B" w:rsidRPr="007020BA" w:rsidRDefault="00CB449B" w:rsidP="007020BA">
      <w:pPr>
        <w:pStyle w:val="Paragraphtext"/>
        <w:spacing w:before="240"/>
        <w:rPr>
          <w:rFonts w:eastAsiaTheme="minorEastAsia" w:cs="Arial"/>
          <w:kern w:val="24"/>
          <w:sz w:val="24"/>
          <w:lang w:val="en-US"/>
        </w:rPr>
      </w:pPr>
      <w:r w:rsidRPr="007020BA">
        <w:rPr>
          <w:rFonts w:eastAsiaTheme="minorEastAsia" w:cs="Arial"/>
          <w:kern w:val="24"/>
          <w:sz w:val="24"/>
          <w:lang w:val="en-US"/>
        </w:rPr>
        <w:t>As part of this process, you may be asked to provide more information such as any work activities undertaken since you were not correctly bonded</w:t>
      </w:r>
    </w:p>
    <w:p w14:paraId="483E2B23" w14:textId="77777777" w:rsidR="00CB449B" w:rsidRPr="004F2E30" w:rsidRDefault="00CB449B"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What is the ‘no disadvantage’ approach?</w:t>
      </w:r>
    </w:p>
    <w:p w14:paraId="1409C0C6" w14:textId="77777777" w:rsidR="00CB449B" w:rsidRPr="007020BA" w:rsidRDefault="00CB449B" w:rsidP="007020BA">
      <w:pPr>
        <w:pStyle w:val="NormalWeb"/>
        <w:spacing w:before="240" w:beforeAutospacing="0" w:after="60" w:afterAutospacing="0"/>
        <w:rPr>
          <w:rFonts w:ascii="Arial" w:hAnsi="Arial" w:cs="Arial"/>
        </w:rPr>
      </w:pPr>
      <w:r w:rsidRPr="007020BA">
        <w:rPr>
          <w:rFonts w:ascii="Arial" w:eastAsiaTheme="minorEastAsia" w:hAnsi="Arial" w:cs="Arial"/>
          <w:color w:val="000000" w:themeColor="text1"/>
          <w:kern w:val="24"/>
        </w:rPr>
        <w:t>The department recognises that, since implementation commenced, individuals that sought to opt in to the Program – including those that were not correctly bonded during 2020 – have changed their work activities assuming they were, or would be, correctly bonded by now.</w:t>
      </w:r>
    </w:p>
    <w:p w14:paraId="5535245A" w14:textId="77777777" w:rsidR="00CB449B" w:rsidRPr="007020BA" w:rsidRDefault="00CB449B" w:rsidP="007020BA">
      <w:pPr>
        <w:pStyle w:val="NormalWeb"/>
        <w:spacing w:before="240" w:beforeAutospacing="0" w:after="60" w:afterAutospacing="0"/>
        <w:rPr>
          <w:rFonts w:ascii="Arial" w:hAnsi="Arial" w:cs="Arial"/>
        </w:rPr>
      </w:pPr>
      <w:r w:rsidRPr="007020BA">
        <w:rPr>
          <w:rFonts w:ascii="Arial" w:eastAsiaTheme="minorEastAsia" w:hAnsi="Arial" w:cs="Arial"/>
          <w:color w:val="000000" w:themeColor="text1"/>
          <w:kern w:val="24"/>
        </w:rPr>
        <w:t>The department will apply a ‘no disadvantage’ approach to those participants who completed eligible work (i.e. work completed that is compliant with the requirements of the Program), in good faith by counting this work towards the RoSO under the Program.</w:t>
      </w:r>
    </w:p>
    <w:p w14:paraId="72C061EA" w14:textId="77777777" w:rsidR="00CB449B" w:rsidRPr="007020BA" w:rsidRDefault="00CB449B" w:rsidP="007020BA">
      <w:pPr>
        <w:pStyle w:val="NormalWeb"/>
        <w:spacing w:before="240" w:beforeAutospacing="0" w:after="60" w:afterAutospacing="0"/>
        <w:rPr>
          <w:rFonts w:ascii="Arial" w:hAnsi="Arial" w:cs="Arial"/>
        </w:rPr>
      </w:pPr>
      <w:r w:rsidRPr="007020BA">
        <w:rPr>
          <w:rFonts w:ascii="Arial" w:eastAsiaTheme="minorEastAsia" w:hAnsi="Arial" w:cs="Arial"/>
          <w:color w:val="000000" w:themeColor="text1"/>
          <w:kern w:val="24"/>
        </w:rPr>
        <w:t>The ‘no disadvantage’ approach includes managing any breaches that may have occurred since the start of 2020 in relation to the implementation issues. This also includes removing any related Medicare ban and the waiver of any financial liability associated with those breaches.</w:t>
      </w:r>
    </w:p>
    <w:p w14:paraId="59794A50" w14:textId="77777777" w:rsidR="007020BA" w:rsidRPr="004F2E30" w:rsidRDefault="007020BA"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Once I am allocated my case manager, how long will it take to opt me in?</w:t>
      </w:r>
    </w:p>
    <w:p w14:paraId="1D24C617" w14:textId="77777777" w:rsidR="007020BA" w:rsidRPr="007020BA" w:rsidRDefault="007020BA"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Each case is different and therefore it is not possible to provide a timeframe to resolve your individual case.</w:t>
      </w:r>
    </w:p>
    <w:p w14:paraId="26D030D5" w14:textId="77777777" w:rsidR="007020BA" w:rsidRPr="007020BA" w:rsidRDefault="007020BA" w:rsidP="007020BA">
      <w:pPr>
        <w:pStyle w:val="NormalWeb"/>
        <w:spacing w:before="240" w:beforeAutospacing="0" w:after="60" w:afterAutospacing="0" w:line="276" w:lineRule="auto"/>
        <w:rPr>
          <w:rFonts w:ascii="Arial" w:hAnsi="Arial" w:cs="Arial"/>
        </w:rPr>
      </w:pPr>
      <w:r w:rsidRPr="007020BA">
        <w:rPr>
          <w:rFonts w:ascii="Arial" w:eastAsiaTheme="minorEastAsia" w:hAnsi="Arial" w:cs="Arial"/>
          <w:color w:val="000000" w:themeColor="text1"/>
          <w:kern w:val="24"/>
        </w:rPr>
        <w:t>The process to opt in is voluntary. You are free to consider your options at each step.</w:t>
      </w:r>
    </w:p>
    <w:p w14:paraId="1BEE1201" w14:textId="77777777" w:rsidR="007020BA" w:rsidRPr="007020BA" w:rsidRDefault="007020BA" w:rsidP="007020BA">
      <w:pPr>
        <w:pStyle w:val="NormalWeb"/>
        <w:spacing w:before="240" w:beforeAutospacing="0" w:after="60" w:afterAutospacing="0" w:line="276" w:lineRule="auto"/>
        <w:rPr>
          <w:rFonts w:ascii="Arial" w:hAnsi="Arial" w:cs="Arial"/>
        </w:rPr>
      </w:pPr>
      <w:r w:rsidRPr="007020BA">
        <w:rPr>
          <w:rFonts w:ascii="Arial" w:hAnsi="Arial" w:cs="Arial"/>
          <w:color w:val="000000" w:themeColor="text1"/>
          <w:kern w:val="24"/>
        </w:rPr>
        <w:t>Once your case manager is allocated, they will work with you to consider your personal circumstances, including actions taken since you sought to opt in.</w:t>
      </w:r>
    </w:p>
    <w:p w14:paraId="173573CD" w14:textId="77777777" w:rsidR="007020BA" w:rsidRPr="007020BA" w:rsidRDefault="007020BA" w:rsidP="007020BA">
      <w:pPr>
        <w:pStyle w:val="NormalWeb"/>
        <w:spacing w:before="240" w:beforeAutospacing="0" w:after="60" w:afterAutospacing="0" w:line="276" w:lineRule="auto"/>
        <w:rPr>
          <w:rFonts w:ascii="Arial" w:hAnsi="Arial" w:cs="Arial"/>
        </w:rPr>
      </w:pPr>
      <w:r w:rsidRPr="007020BA">
        <w:rPr>
          <w:rFonts w:ascii="Arial" w:eastAsiaTheme="minorEastAsia" w:hAnsi="Arial" w:cs="Arial"/>
          <w:color w:val="000000" w:themeColor="text1"/>
          <w:kern w:val="24"/>
        </w:rPr>
        <w:lastRenderedPageBreak/>
        <w:t>There will be a review of your RoSO and you may be asked to provide further evidence of RoSO.</w:t>
      </w:r>
    </w:p>
    <w:p w14:paraId="78A8453A" w14:textId="77777777" w:rsidR="007020BA" w:rsidRPr="007020BA" w:rsidRDefault="007020BA" w:rsidP="007020BA">
      <w:pPr>
        <w:pStyle w:val="NormalWeb"/>
        <w:spacing w:before="240" w:beforeAutospacing="0" w:after="60" w:afterAutospacing="0" w:line="276" w:lineRule="auto"/>
        <w:rPr>
          <w:rFonts w:ascii="Arial" w:hAnsi="Arial" w:cs="Arial"/>
        </w:rPr>
      </w:pPr>
      <w:r w:rsidRPr="007020BA">
        <w:rPr>
          <w:rFonts w:ascii="Arial" w:eastAsiaTheme="minorEastAsia" w:hAnsi="Arial" w:cs="Arial"/>
          <w:color w:val="000000" w:themeColor="text1"/>
          <w:kern w:val="24"/>
        </w:rPr>
        <w:t>If a breach is found, this will need to be managed before you advise the department in writing that you wish to opt in.</w:t>
      </w:r>
    </w:p>
    <w:p w14:paraId="6A74C664" w14:textId="77777777" w:rsidR="007020BA" w:rsidRPr="007020BA" w:rsidRDefault="007020BA" w:rsidP="007020BA">
      <w:pPr>
        <w:pStyle w:val="NormalWeb"/>
        <w:spacing w:before="240" w:beforeAutospacing="0" w:after="60" w:afterAutospacing="0" w:line="276" w:lineRule="auto"/>
        <w:rPr>
          <w:rFonts w:ascii="Arial" w:hAnsi="Arial" w:cs="Arial"/>
        </w:rPr>
      </w:pPr>
      <w:r w:rsidRPr="007020BA">
        <w:rPr>
          <w:rFonts w:ascii="Arial" w:eastAsiaTheme="minorEastAsia" w:hAnsi="Arial" w:cs="Arial"/>
          <w:color w:val="000000" w:themeColor="text1"/>
          <w:kern w:val="24"/>
        </w:rPr>
        <w:t xml:space="preserve">The process takes time and we appreciate your patience as we carefully work through your case. </w:t>
      </w:r>
    </w:p>
    <w:p w14:paraId="1CEBE224" w14:textId="77777777" w:rsidR="007020BA" w:rsidRPr="004F2E30" w:rsidRDefault="007020BA"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I asked to opt in to the Program 18 months ago. I have now almost completed my RoSO, is it worth me opting in to the Program from my legacy scheme?</w:t>
      </w:r>
    </w:p>
    <w:p w14:paraId="204F4391" w14:textId="77777777" w:rsidR="007020BA" w:rsidRPr="007020BA" w:rsidRDefault="007020BA" w:rsidP="007020BA">
      <w:pPr>
        <w:pStyle w:val="NormalWeb"/>
        <w:spacing w:before="240" w:beforeAutospacing="0" w:after="60" w:afterAutospacing="0"/>
        <w:rPr>
          <w:rFonts w:ascii="Arial" w:hAnsi="Arial" w:cs="Arial"/>
        </w:rPr>
      </w:pPr>
      <w:r w:rsidRPr="007020BA">
        <w:rPr>
          <w:rFonts w:ascii="Arial" w:eastAsiaTheme="minorEastAsia" w:hAnsi="Arial" w:cs="Arial"/>
          <w:kern w:val="24"/>
        </w:rPr>
        <w:t xml:space="preserve">This will depend on </w:t>
      </w:r>
      <w:r w:rsidRPr="007020BA">
        <w:rPr>
          <w:rFonts w:ascii="Arial" w:eastAsiaTheme="minorEastAsia" w:hAnsi="Arial" w:cs="Arial"/>
          <w:kern w:val="24"/>
          <w:lang w:val="en-US"/>
        </w:rPr>
        <w:t>what phase or stage you are at under your existing arrangement.</w:t>
      </w:r>
    </w:p>
    <w:p w14:paraId="1BDFC5E7" w14:textId="77777777" w:rsidR="007020BA" w:rsidRPr="007020BA" w:rsidRDefault="007020BA" w:rsidP="007020BA">
      <w:pPr>
        <w:pStyle w:val="NormalWeb"/>
        <w:spacing w:before="240" w:beforeAutospacing="0" w:after="60" w:afterAutospacing="0"/>
        <w:rPr>
          <w:rFonts w:ascii="Arial" w:hAnsi="Arial" w:cs="Arial"/>
        </w:rPr>
      </w:pPr>
      <w:r w:rsidRPr="007020BA">
        <w:rPr>
          <w:rFonts w:ascii="Arial" w:eastAsiaTheme="minorEastAsia" w:hAnsi="Arial" w:cs="Arial"/>
          <w:kern w:val="24"/>
        </w:rPr>
        <w:t>Check your agreement/contract to see what your current arrangement is and whether there is benefit in opting in to the Program.</w:t>
      </w:r>
    </w:p>
    <w:p w14:paraId="72B7F98B" w14:textId="77777777" w:rsidR="007020BA" w:rsidRPr="007020BA" w:rsidRDefault="007020BA" w:rsidP="007020BA">
      <w:pPr>
        <w:pStyle w:val="NormalWeb"/>
        <w:spacing w:before="240" w:beforeAutospacing="0" w:after="60" w:afterAutospacing="0"/>
        <w:rPr>
          <w:rFonts w:ascii="Arial" w:hAnsi="Arial" w:cs="Arial"/>
        </w:rPr>
      </w:pPr>
      <w:r w:rsidRPr="007020BA">
        <w:rPr>
          <w:rFonts w:ascii="Arial" w:eastAsiaTheme="minorEastAsia" w:hAnsi="Arial" w:cs="Arial"/>
          <w:kern w:val="24"/>
        </w:rPr>
        <w:t xml:space="preserve">Participants are encouraged to seek independent advice </w:t>
      </w:r>
      <w:r w:rsidRPr="007020BA">
        <w:rPr>
          <w:rFonts w:ascii="Arial" w:eastAsiaTheme="minorEastAsia" w:hAnsi="Arial" w:cs="Arial"/>
          <w:kern w:val="24"/>
          <w:u w:val="single"/>
        </w:rPr>
        <w:t>prior</w:t>
      </w:r>
      <w:r w:rsidRPr="007020BA">
        <w:rPr>
          <w:rFonts w:ascii="Arial" w:eastAsiaTheme="minorEastAsia" w:hAnsi="Arial" w:cs="Arial"/>
          <w:kern w:val="24"/>
        </w:rPr>
        <w:t xml:space="preserve"> to making a decision to opt in.</w:t>
      </w:r>
    </w:p>
    <w:p w14:paraId="16ED4668" w14:textId="77777777" w:rsidR="007020BA" w:rsidRPr="004F2E30" w:rsidRDefault="007020BA" w:rsidP="004F2E30">
      <w:pPr>
        <w:pStyle w:val="NormalWeb"/>
        <w:shd w:val="clear" w:color="auto" w:fill="FFFFFF" w:themeFill="background1"/>
        <w:spacing w:before="240" w:beforeAutospacing="0" w:after="60" w:afterAutospacing="0"/>
        <w:rPr>
          <w:rFonts w:ascii="Arial" w:eastAsiaTheme="minorEastAsia" w:hAnsi="Arial" w:cs="Arial"/>
          <w:b/>
          <w:bCs/>
          <w:kern w:val="24"/>
          <w:lang w:val="en-US"/>
        </w:rPr>
      </w:pPr>
      <w:r w:rsidRPr="004F2E30">
        <w:rPr>
          <w:rFonts w:ascii="Arial" w:eastAsiaTheme="minorEastAsia" w:hAnsi="Arial" w:cs="Arial"/>
          <w:b/>
          <w:bCs/>
          <w:kern w:val="24"/>
          <w:lang w:val="en-US"/>
        </w:rPr>
        <w:t>What are the benefits of opting in to the Program from my legacy scheme?</w:t>
      </w:r>
    </w:p>
    <w:p w14:paraId="27B2AF77" w14:textId="77777777" w:rsidR="007020BA" w:rsidRPr="007020BA" w:rsidRDefault="007020BA" w:rsidP="007020BA">
      <w:pPr>
        <w:spacing w:before="240" w:after="60"/>
        <w:rPr>
          <w:rFonts w:cs="Arial"/>
          <w:sz w:val="24"/>
          <w:lang w:eastAsia="en-AU"/>
        </w:rPr>
      </w:pPr>
      <w:r w:rsidRPr="007020BA">
        <w:rPr>
          <w:rFonts w:eastAsiaTheme="minorEastAsia" w:cs="Arial"/>
          <w:kern w:val="24"/>
          <w:sz w:val="24"/>
          <w:lang w:eastAsia="en-AU"/>
        </w:rPr>
        <w:t>The Program provides a number of advantages to participants compared with the legacy schemes including:</w:t>
      </w:r>
    </w:p>
    <w:p w14:paraId="0D023E1A" w14:textId="77777777" w:rsidR="007020BA" w:rsidRPr="004F2E30" w:rsidRDefault="007020BA" w:rsidP="004F2E30">
      <w:pPr>
        <w:pStyle w:val="ListParagraph"/>
        <w:numPr>
          <w:ilvl w:val="0"/>
          <w:numId w:val="28"/>
        </w:numPr>
        <w:spacing w:before="240" w:after="60"/>
        <w:rPr>
          <w:rFonts w:cs="Arial"/>
          <w:sz w:val="24"/>
          <w:lang w:eastAsia="en-AU"/>
        </w:rPr>
      </w:pPr>
      <w:r w:rsidRPr="004F2E30">
        <w:rPr>
          <w:rFonts w:eastAsiaTheme="minorEastAsia" w:cs="Arial"/>
          <w:kern w:val="24"/>
          <w:sz w:val="24"/>
          <w:lang w:eastAsia="en-AU"/>
        </w:rPr>
        <w:t>a standard three year RoSO (rather than up to six years under some of the legacy schemes);</w:t>
      </w:r>
    </w:p>
    <w:p w14:paraId="2A152511" w14:textId="77777777" w:rsidR="007020BA" w:rsidRPr="004F2E30" w:rsidRDefault="007020BA" w:rsidP="004F2E30">
      <w:pPr>
        <w:pStyle w:val="ListParagraph"/>
        <w:numPr>
          <w:ilvl w:val="0"/>
          <w:numId w:val="28"/>
        </w:numPr>
        <w:spacing w:before="240" w:after="60"/>
        <w:rPr>
          <w:rFonts w:cs="Arial"/>
          <w:sz w:val="24"/>
          <w:lang w:eastAsia="en-AU"/>
        </w:rPr>
      </w:pPr>
      <w:r w:rsidRPr="004F2E30">
        <w:rPr>
          <w:rFonts w:eastAsiaTheme="minorEastAsia" w:cs="Arial"/>
          <w:kern w:val="24"/>
          <w:sz w:val="24"/>
          <w:lang w:eastAsia="en-AU"/>
        </w:rPr>
        <w:t>replacement of the individual contract or deed of agreement with statutory provisions</w:t>
      </w:r>
    </w:p>
    <w:p w14:paraId="083BCACE" w14:textId="77777777" w:rsidR="007020BA" w:rsidRPr="004F2E30" w:rsidRDefault="007020BA" w:rsidP="004F2E30">
      <w:pPr>
        <w:pStyle w:val="ListParagraph"/>
        <w:numPr>
          <w:ilvl w:val="0"/>
          <w:numId w:val="28"/>
        </w:numPr>
        <w:spacing w:before="240" w:after="60"/>
        <w:rPr>
          <w:rFonts w:cs="Arial"/>
          <w:sz w:val="24"/>
          <w:lang w:eastAsia="en-AU"/>
        </w:rPr>
      </w:pPr>
      <w:r w:rsidRPr="004F2E30">
        <w:rPr>
          <w:rFonts w:eastAsiaTheme="minorEastAsia" w:cs="Arial"/>
          <w:kern w:val="24"/>
          <w:sz w:val="24"/>
          <w:lang w:eastAsia="en-AU"/>
        </w:rPr>
        <w:t xml:space="preserve">streamlined reporting using the online system (BRoSS); </w:t>
      </w:r>
    </w:p>
    <w:p w14:paraId="78DFFB34" w14:textId="77777777" w:rsidR="007020BA" w:rsidRPr="004F2E30" w:rsidRDefault="007020BA" w:rsidP="004F2E30">
      <w:pPr>
        <w:pStyle w:val="ListParagraph"/>
        <w:numPr>
          <w:ilvl w:val="0"/>
          <w:numId w:val="28"/>
        </w:numPr>
        <w:spacing w:before="240" w:after="60"/>
        <w:rPr>
          <w:rFonts w:cs="Arial"/>
          <w:sz w:val="24"/>
          <w:lang w:eastAsia="en-AU"/>
        </w:rPr>
      </w:pPr>
      <w:r w:rsidRPr="004F2E30">
        <w:rPr>
          <w:rFonts w:eastAsiaTheme="minorEastAsia" w:cs="Arial"/>
          <w:kern w:val="24"/>
          <w:sz w:val="24"/>
          <w:lang w:eastAsia="en-AU"/>
        </w:rPr>
        <w:t xml:space="preserve">more flexibility in completing RoSO.  </w:t>
      </w:r>
    </w:p>
    <w:p w14:paraId="43B4E6D6" w14:textId="77777777" w:rsidR="00CB449B" w:rsidRPr="00FB42F7" w:rsidRDefault="007020BA" w:rsidP="00FB42F7">
      <w:pPr>
        <w:spacing w:before="240" w:after="60"/>
        <w:rPr>
          <w:rFonts w:cs="Arial"/>
          <w:sz w:val="24"/>
          <w:lang w:eastAsia="en-AU"/>
        </w:rPr>
      </w:pPr>
      <w:r w:rsidRPr="007020BA">
        <w:rPr>
          <w:rFonts w:eastAsiaTheme="minorEastAsia" w:cs="Arial"/>
          <w:kern w:val="24"/>
          <w:sz w:val="24"/>
          <w:lang w:eastAsia="en-AU"/>
        </w:rPr>
        <w:t xml:space="preserve">The decision to opt in will depend on your assessment of the benefits of the Program compared to your existing legacy scheme agreement. </w:t>
      </w:r>
      <w:r w:rsidRPr="007020BA">
        <w:rPr>
          <w:rFonts w:eastAsiaTheme="minorEastAsia" w:cs="Arial"/>
          <w:kern w:val="24"/>
          <w:sz w:val="24"/>
          <w:lang w:val="en-US" w:eastAsia="en-AU"/>
        </w:rPr>
        <w:t>  </w:t>
      </w:r>
    </w:p>
    <w:p w14:paraId="0E087DC8" w14:textId="77777777" w:rsidR="00CB449B" w:rsidRPr="00FB42F7" w:rsidRDefault="004F2E30" w:rsidP="007020BA">
      <w:pPr>
        <w:pStyle w:val="Paragraphtext"/>
        <w:spacing w:before="240"/>
        <w:rPr>
          <w:rFonts w:eastAsiaTheme="minorEastAsia" w:cs="Arial"/>
          <w:b/>
          <w:bCs/>
          <w:kern w:val="24"/>
          <w:sz w:val="24"/>
          <w:lang w:val="en-US"/>
        </w:rPr>
      </w:pPr>
      <w:r w:rsidRPr="004F2E30">
        <w:rPr>
          <w:rFonts w:eastAsiaTheme="minorEastAsia" w:cs="Arial"/>
          <w:b/>
          <w:bCs/>
          <w:kern w:val="24"/>
          <w:sz w:val="24"/>
          <w:lang w:val="en-US"/>
        </w:rPr>
        <w:t>THANK YOU</w:t>
      </w:r>
    </w:p>
    <w:sectPr w:rsidR="00CB449B" w:rsidRPr="00FB42F7" w:rsidSect="00A74345">
      <w:headerReference w:type="default" r:id="rId13"/>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2A534" w14:textId="77777777" w:rsidR="00D36CD3" w:rsidRDefault="00D36CD3" w:rsidP="006B56BB">
      <w:r>
        <w:separator/>
      </w:r>
    </w:p>
    <w:p w14:paraId="3B48BD38" w14:textId="77777777" w:rsidR="00D36CD3" w:rsidRDefault="00D36CD3"/>
  </w:endnote>
  <w:endnote w:type="continuationSeparator" w:id="0">
    <w:p w14:paraId="58DBE7D1" w14:textId="77777777" w:rsidR="00D36CD3" w:rsidRDefault="00D36CD3" w:rsidP="006B56BB">
      <w:r>
        <w:continuationSeparator/>
      </w:r>
    </w:p>
    <w:p w14:paraId="07592F0C" w14:textId="77777777" w:rsidR="00D36CD3" w:rsidRDefault="00D36CD3"/>
  </w:endnote>
  <w:endnote w:type="continuationNotice" w:id="1">
    <w:p w14:paraId="41F02557" w14:textId="77777777" w:rsidR="00D36CD3" w:rsidRDefault="00D36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CB395" w14:textId="77777777" w:rsidR="00751A23" w:rsidRPr="00751A23" w:rsidRDefault="00751A23" w:rsidP="00751A23">
    <w:pPr>
      <w:pStyle w:val="Footer"/>
      <w:tabs>
        <w:tab w:val="clear" w:pos="4513"/>
        <w:tab w:val="center" w:pos="0"/>
      </w:tabs>
      <w:jc w:val="right"/>
      <w:rPr>
        <w:szCs w:val="20"/>
      </w:rPr>
    </w:pPr>
    <w:r>
      <w:t xml:space="preserve">Insert </w:t>
    </w:r>
    <w:r w:rsidRPr="006043C7">
      <w:t>Short Document Title</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A74345">
          <w:rPr>
            <w:noProof/>
            <w:szCs w:val="20"/>
          </w:rPr>
          <w:t>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E138E" w14:textId="77777777" w:rsidR="00D36CD3" w:rsidRDefault="00D36CD3" w:rsidP="006B56BB">
      <w:r>
        <w:separator/>
      </w:r>
    </w:p>
    <w:p w14:paraId="5AD12DBD" w14:textId="77777777" w:rsidR="00D36CD3" w:rsidRDefault="00D36CD3"/>
  </w:footnote>
  <w:footnote w:type="continuationSeparator" w:id="0">
    <w:p w14:paraId="667C80E0" w14:textId="77777777" w:rsidR="00D36CD3" w:rsidRDefault="00D36CD3" w:rsidP="006B56BB">
      <w:r>
        <w:continuationSeparator/>
      </w:r>
    </w:p>
    <w:p w14:paraId="5168FC99" w14:textId="77777777" w:rsidR="00D36CD3" w:rsidRDefault="00D36CD3"/>
  </w:footnote>
  <w:footnote w:type="continuationNotice" w:id="1">
    <w:p w14:paraId="37B5CCB1" w14:textId="77777777" w:rsidR="00D36CD3" w:rsidRDefault="00D36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5444"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6458D5"/>
    <w:multiLevelType w:val="hybridMultilevel"/>
    <w:tmpl w:val="347AB94C"/>
    <w:lvl w:ilvl="0" w:tplc="0BECA94E">
      <w:start w:val="1"/>
      <w:numFmt w:val="bullet"/>
      <w:lvlText w:val="•"/>
      <w:lvlJc w:val="left"/>
      <w:pPr>
        <w:tabs>
          <w:tab w:val="num" w:pos="720"/>
        </w:tabs>
        <w:ind w:left="720" w:hanging="360"/>
      </w:pPr>
      <w:rPr>
        <w:rFonts w:ascii="Arial" w:hAnsi="Arial" w:hint="default"/>
      </w:rPr>
    </w:lvl>
    <w:lvl w:ilvl="1" w:tplc="A6442680" w:tentative="1">
      <w:start w:val="1"/>
      <w:numFmt w:val="bullet"/>
      <w:lvlText w:val="•"/>
      <w:lvlJc w:val="left"/>
      <w:pPr>
        <w:tabs>
          <w:tab w:val="num" w:pos="1440"/>
        </w:tabs>
        <w:ind w:left="1440" w:hanging="360"/>
      </w:pPr>
      <w:rPr>
        <w:rFonts w:ascii="Arial" w:hAnsi="Arial" w:hint="default"/>
      </w:rPr>
    </w:lvl>
    <w:lvl w:ilvl="2" w:tplc="63367D10" w:tentative="1">
      <w:start w:val="1"/>
      <w:numFmt w:val="bullet"/>
      <w:lvlText w:val="•"/>
      <w:lvlJc w:val="left"/>
      <w:pPr>
        <w:tabs>
          <w:tab w:val="num" w:pos="2160"/>
        </w:tabs>
        <w:ind w:left="2160" w:hanging="360"/>
      </w:pPr>
      <w:rPr>
        <w:rFonts w:ascii="Arial" w:hAnsi="Arial" w:hint="default"/>
      </w:rPr>
    </w:lvl>
    <w:lvl w:ilvl="3" w:tplc="4DFC1662" w:tentative="1">
      <w:start w:val="1"/>
      <w:numFmt w:val="bullet"/>
      <w:lvlText w:val="•"/>
      <w:lvlJc w:val="left"/>
      <w:pPr>
        <w:tabs>
          <w:tab w:val="num" w:pos="2880"/>
        </w:tabs>
        <w:ind w:left="2880" w:hanging="360"/>
      </w:pPr>
      <w:rPr>
        <w:rFonts w:ascii="Arial" w:hAnsi="Arial" w:hint="default"/>
      </w:rPr>
    </w:lvl>
    <w:lvl w:ilvl="4" w:tplc="3626E078" w:tentative="1">
      <w:start w:val="1"/>
      <w:numFmt w:val="bullet"/>
      <w:lvlText w:val="•"/>
      <w:lvlJc w:val="left"/>
      <w:pPr>
        <w:tabs>
          <w:tab w:val="num" w:pos="3600"/>
        </w:tabs>
        <w:ind w:left="3600" w:hanging="360"/>
      </w:pPr>
      <w:rPr>
        <w:rFonts w:ascii="Arial" w:hAnsi="Arial" w:hint="default"/>
      </w:rPr>
    </w:lvl>
    <w:lvl w:ilvl="5" w:tplc="FCDC20C6" w:tentative="1">
      <w:start w:val="1"/>
      <w:numFmt w:val="bullet"/>
      <w:lvlText w:val="•"/>
      <w:lvlJc w:val="left"/>
      <w:pPr>
        <w:tabs>
          <w:tab w:val="num" w:pos="4320"/>
        </w:tabs>
        <w:ind w:left="4320" w:hanging="360"/>
      </w:pPr>
      <w:rPr>
        <w:rFonts w:ascii="Arial" w:hAnsi="Arial" w:hint="default"/>
      </w:rPr>
    </w:lvl>
    <w:lvl w:ilvl="6" w:tplc="C13CBC5E" w:tentative="1">
      <w:start w:val="1"/>
      <w:numFmt w:val="bullet"/>
      <w:lvlText w:val="•"/>
      <w:lvlJc w:val="left"/>
      <w:pPr>
        <w:tabs>
          <w:tab w:val="num" w:pos="5040"/>
        </w:tabs>
        <w:ind w:left="5040" w:hanging="360"/>
      </w:pPr>
      <w:rPr>
        <w:rFonts w:ascii="Arial" w:hAnsi="Arial" w:hint="default"/>
      </w:rPr>
    </w:lvl>
    <w:lvl w:ilvl="7" w:tplc="DCC4C6BA" w:tentative="1">
      <w:start w:val="1"/>
      <w:numFmt w:val="bullet"/>
      <w:lvlText w:val="•"/>
      <w:lvlJc w:val="left"/>
      <w:pPr>
        <w:tabs>
          <w:tab w:val="num" w:pos="5760"/>
        </w:tabs>
        <w:ind w:left="5760" w:hanging="360"/>
      </w:pPr>
      <w:rPr>
        <w:rFonts w:ascii="Arial" w:hAnsi="Arial" w:hint="default"/>
      </w:rPr>
    </w:lvl>
    <w:lvl w:ilvl="8" w:tplc="42C012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363934"/>
    <w:multiLevelType w:val="hybridMultilevel"/>
    <w:tmpl w:val="96AA6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90247B"/>
    <w:multiLevelType w:val="hybridMultilevel"/>
    <w:tmpl w:val="0EC26B92"/>
    <w:lvl w:ilvl="0" w:tplc="4BD4606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61E4BD6"/>
    <w:multiLevelType w:val="hybridMultilevel"/>
    <w:tmpl w:val="4E349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4A0649"/>
    <w:multiLevelType w:val="hybridMultilevel"/>
    <w:tmpl w:val="A8A4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8311A3"/>
    <w:multiLevelType w:val="hybridMultilevel"/>
    <w:tmpl w:val="8B941452"/>
    <w:lvl w:ilvl="0" w:tplc="A662714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AC8305C"/>
    <w:multiLevelType w:val="hybridMultilevel"/>
    <w:tmpl w:val="E05269C8"/>
    <w:lvl w:ilvl="0" w:tplc="7C80B40C">
      <w:start w:val="1"/>
      <w:numFmt w:val="bullet"/>
      <w:lvlText w:val="•"/>
      <w:lvlJc w:val="left"/>
      <w:pPr>
        <w:tabs>
          <w:tab w:val="num" w:pos="720"/>
        </w:tabs>
        <w:ind w:left="720" w:hanging="360"/>
      </w:pPr>
      <w:rPr>
        <w:rFonts w:ascii="Arial" w:hAnsi="Arial" w:hint="default"/>
      </w:rPr>
    </w:lvl>
    <w:lvl w:ilvl="1" w:tplc="DBD40354" w:tentative="1">
      <w:start w:val="1"/>
      <w:numFmt w:val="bullet"/>
      <w:lvlText w:val="•"/>
      <w:lvlJc w:val="left"/>
      <w:pPr>
        <w:tabs>
          <w:tab w:val="num" w:pos="1440"/>
        </w:tabs>
        <w:ind w:left="1440" w:hanging="360"/>
      </w:pPr>
      <w:rPr>
        <w:rFonts w:ascii="Arial" w:hAnsi="Arial" w:hint="default"/>
      </w:rPr>
    </w:lvl>
    <w:lvl w:ilvl="2" w:tplc="0AA00F10" w:tentative="1">
      <w:start w:val="1"/>
      <w:numFmt w:val="bullet"/>
      <w:lvlText w:val="•"/>
      <w:lvlJc w:val="left"/>
      <w:pPr>
        <w:tabs>
          <w:tab w:val="num" w:pos="2160"/>
        </w:tabs>
        <w:ind w:left="2160" w:hanging="360"/>
      </w:pPr>
      <w:rPr>
        <w:rFonts w:ascii="Arial" w:hAnsi="Arial" w:hint="default"/>
      </w:rPr>
    </w:lvl>
    <w:lvl w:ilvl="3" w:tplc="29BEB2B4" w:tentative="1">
      <w:start w:val="1"/>
      <w:numFmt w:val="bullet"/>
      <w:lvlText w:val="•"/>
      <w:lvlJc w:val="left"/>
      <w:pPr>
        <w:tabs>
          <w:tab w:val="num" w:pos="2880"/>
        </w:tabs>
        <w:ind w:left="2880" w:hanging="360"/>
      </w:pPr>
      <w:rPr>
        <w:rFonts w:ascii="Arial" w:hAnsi="Arial" w:hint="default"/>
      </w:rPr>
    </w:lvl>
    <w:lvl w:ilvl="4" w:tplc="1C705BD6" w:tentative="1">
      <w:start w:val="1"/>
      <w:numFmt w:val="bullet"/>
      <w:lvlText w:val="•"/>
      <w:lvlJc w:val="left"/>
      <w:pPr>
        <w:tabs>
          <w:tab w:val="num" w:pos="3600"/>
        </w:tabs>
        <w:ind w:left="3600" w:hanging="360"/>
      </w:pPr>
      <w:rPr>
        <w:rFonts w:ascii="Arial" w:hAnsi="Arial" w:hint="default"/>
      </w:rPr>
    </w:lvl>
    <w:lvl w:ilvl="5" w:tplc="8CF8AD16" w:tentative="1">
      <w:start w:val="1"/>
      <w:numFmt w:val="bullet"/>
      <w:lvlText w:val="•"/>
      <w:lvlJc w:val="left"/>
      <w:pPr>
        <w:tabs>
          <w:tab w:val="num" w:pos="4320"/>
        </w:tabs>
        <w:ind w:left="4320" w:hanging="360"/>
      </w:pPr>
      <w:rPr>
        <w:rFonts w:ascii="Arial" w:hAnsi="Arial" w:hint="default"/>
      </w:rPr>
    </w:lvl>
    <w:lvl w:ilvl="6" w:tplc="C4C8C0F6" w:tentative="1">
      <w:start w:val="1"/>
      <w:numFmt w:val="bullet"/>
      <w:lvlText w:val="•"/>
      <w:lvlJc w:val="left"/>
      <w:pPr>
        <w:tabs>
          <w:tab w:val="num" w:pos="5040"/>
        </w:tabs>
        <w:ind w:left="5040" w:hanging="360"/>
      </w:pPr>
      <w:rPr>
        <w:rFonts w:ascii="Arial" w:hAnsi="Arial" w:hint="default"/>
      </w:rPr>
    </w:lvl>
    <w:lvl w:ilvl="7" w:tplc="1E945CCA" w:tentative="1">
      <w:start w:val="1"/>
      <w:numFmt w:val="bullet"/>
      <w:lvlText w:val="•"/>
      <w:lvlJc w:val="left"/>
      <w:pPr>
        <w:tabs>
          <w:tab w:val="num" w:pos="5760"/>
        </w:tabs>
        <w:ind w:left="5760" w:hanging="360"/>
      </w:pPr>
      <w:rPr>
        <w:rFonts w:ascii="Arial" w:hAnsi="Arial" w:hint="default"/>
      </w:rPr>
    </w:lvl>
    <w:lvl w:ilvl="8" w:tplc="31C24B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B95F35"/>
    <w:multiLevelType w:val="hybridMultilevel"/>
    <w:tmpl w:val="923C6F66"/>
    <w:lvl w:ilvl="0" w:tplc="16B69A00">
      <w:start w:val="1"/>
      <w:numFmt w:val="bullet"/>
      <w:lvlText w:val="•"/>
      <w:lvlJc w:val="left"/>
      <w:pPr>
        <w:tabs>
          <w:tab w:val="num" w:pos="1440"/>
        </w:tabs>
        <w:ind w:left="1440" w:hanging="360"/>
      </w:pPr>
      <w:rPr>
        <w:rFonts w:ascii="Arial" w:hAnsi="Arial" w:hint="default"/>
      </w:rPr>
    </w:lvl>
    <w:lvl w:ilvl="1" w:tplc="81646FBA" w:tentative="1">
      <w:start w:val="1"/>
      <w:numFmt w:val="bullet"/>
      <w:lvlText w:val="•"/>
      <w:lvlJc w:val="left"/>
      <w:pPr>
        <w:tabs>
          <w:tab w:val="num" w:pos="2160"/>
        </w:tabs>
        <w:ind w:left="2160" w:hanging="360"/>
      </w:pPr>
      <w:rPr>
        <w:rFonts w:ascii="Arial" w:hAnsi="Arial" w:hint="default"/>
      </w:rPr>
    </w:lvl>
    <w:lvl w:ilvl="2" w:tplc="9C260D9E" w:tentative="1">
      <w:start w:val="1"/>
      <w:numFmt w:val="bullet"/>
      <w:lvlText w:val="•"/>
      <w:lvlJc w:val="left"/>
      <w:pPr>
        <w:tabs>
          <w:tab w:val="num" w:pos="2880"/>
        </w:tabs>
        <w:ind w:left="2880" w:hanging="360"/>
      </w:pPr>
      <w:rPr>
        <w:rFonts w:ascii="Arial" w:hAnsi="Arial" w:hint="default"/>
      </w:rPr>
    </w:lvl>
    <w:lvl w:ilvl="3" w:tplc="CFA47DA8" w:tentative="1">
      <w:start w:val="1"/>
      <w:numFmt w:val="bullet"/>
      <w:lvlText w:val="•"/>
      <w:lvlJc w:val="left"/>
      <w:pPr>
        <w:tabs>
          <w:tab w:val="num" w:pos="3600"/>
        </w:tabs>
        <w:ind w:left="3600" w:hanging="360"/>
      </w:pPr>
      <w:rPr>
        <w:rFonts w:ascii="Arial" w:hAnsi="Arial" w:hint="default"/>
      </w:rPr>
    </w:lvl>
    <w:lvl w:ilvl="4" w:tplc="3CFC0832" w:tentative="1">
      <w:start w:val="1"/>
      <w:numFmt w:val="bullet"/>
      <w:lvlText w:val="•"/>
      <w:lvlJc w:val="left"/>
      <w:pPr>
        <w:tabs>
          <w:tab w:val="num" w:pos="4320"/>
        </w:tabs>
        <w:ind w:left="4320" w:hanging="360"/>
      </w:pPr>
      <w:rPr>
        <w:rFonts w:ascii="Arial" w:hAnsi="Arial" w:hint="default"/>
      </w:rPr>
    </w:lvl>
    <w:lvl w:ilvl="5" w:tplc="E8165A3E" w:tentative="1">
      <w:start w:val="1"/>
      <w:numFmt w:val="bullet"/>
      <w:lvlText w:val="•"/>
      <w:lvlJc w:val="left"/>
      <w:pPr>
        <w:tabs>
          <w:tab w:val="num" w:pos="5040"/>
        </w:tabs>
        <w:ind w:left="5040" w:hanging="360"/>
      </w:pPr>
      <w:rPr>
        <w:rFonts w:ascii="Arial" w:hAnsi="Arial" w:hint="default"/>
      </w:rPr>
    </w:lvl>
    <w:lvl w:ilvl="6" w:tplc="8F7E5290" w:tentative="1">
      <w:start w:val="1"/>
      <w:numFmt w:val="bullet"/>
      <w:lvlText w:val="•"/>
      <w:lvlJc w:val="left"/>
      <w:pPr>
        <w:tabs>
          <w:tab w:val="num" w:pos="5760"/>
        </w:tabs>
        <w:ind w:left="5760" w:hanging="360"/>
      </w:pPr>
      <w:rPr>
        <w:rFonts w:ascii="Arial" w:hAnsi="Arial" w:hint="default"/>
      </w:rPr>
    </w:lvl>
    <w:lvl w:ilvl="7" w:tplc="AECA0A96" w:tentative="1">
      <w:start w:val="1"/>
      <w:numFmt w:val="bullet"/>
      <w:lvlText w:val="•"/>
      <w:lvlJc w:val="left"/>
      <w:pPr>
        <w:tabs>
          <w:tab w:val="num" w:pos="6480"/>
        </w:tabs>
        <w:ind w:left="6480" w:hanging="360"/>
      </w:pPr>
      <w:rPr>
        <w:rFonts w:ascii="Arial" w:hAnsi="Arial" w:hint="default"/>
      </w:rPr>
    </w:lvl>
    <w:lvl w:ilvl="8" w:tplc="8452CB8A"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705067"/>
    <w:multiLevelType w:val="hybridMultilevel"/>
    <w:tmpl w:val="6C00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AE3CAE"/>
    <w:multiLevelType w:val="hybridMultilevel"/>
    <w:tmpl w:val="4E3EFC98"/>
    <w:lvl w:ilvl="0" w:tplc="007E58AE">
      <w:start w:val="1"/>
      <w:numFmt w:val="bullet"/>
      <w:lvlText w:val="•"/>
      <w:lvlJc w:val="left"/>
      <w:pPr>
        <w:tabs>
          <w:tab w:val="num" w:pos="720"/>
        </w:tabs>
        <w:ind w:left="720" w:hanging="360"/>
      </w:pPr>
      <w:rPr>
        <w:rFonts w:ascii="Arial" w:hAnsi="Arial" w:hint="default"/>
      </w:rPr>
    </w:lvl>
    <w:lvl w:ilvl="1" w:tplc="76D0A1B6" w:tentative="1">
      <w:start w:val="1"/>
      <w:numFmt w:val="bullet"/>
      <w:lvlText w:val="•"/>
      <w:lvlJc w:val="left"/>
      <w:pPr>
        <w:tabs>
          <w:tab w:val="num" w:pos="1440"/>
        </w:tabs>
        <w:ind w:left="1440" w:hanging="360"/>
      </w:pPr>
      <w:rPr>
        <w:rFonts w:ascii="Arial" w:hAnsi="Arial" w:hint="default"/>
      </w:rPr>
    </w:lvl>
    <w:lvl w:ilvl="2" w:tplc="6A2EC958" w:tentative="1">
      <w:start w:val="1"/>
      <w:numFmt w:val="bullet"/>
      <w:lvlText w:val="•"/>
      <w:lvlJc w:val="left"/>
      <w:pPr>
        <w:tabs>
          <w:tab w:val="num" w:pos="2160"/>
        </w:tabs>
        <w:ind w:left="2160" w:hanging="360"/>
      </w:pPr>
      <w:rPr>
        <w:rFonts w:ascii="Arial" w:hAnsi="Arial" w:hint="default"/>
      </w:rPr>
    </w:lvl>
    <w:lvl w:ilvl="3" w:tplc="A9F4A0B8" w:tentative="1">
      <w:start w:val="1"/>
      <w:numFmt w:val="bullet"/>
      <w:lvlText w:val="•"/>
      <w:lvlJc w:val="left"/>
      <w:pPr>
        <w:tabs>
          <w:tab w:val="num" w:pos="2880"/>
        </w:tabs>
        <w:ind w:left="2880" w:hanging="360"/>
      </w:pPr>
      <w:rPr>
        <w:rFonts w:ascii="Arial" w:hAnsi="Arial" w:hint="default"/>
      </w:rPr>
    </w:lvl>
    <w:lvl w:ilvl="4" w:tplc="6164AEC0" w:tentative="1">
      <w:start w:val="1"/>
      <w:numFmt w:val="bullet"/>
      <w:lvlText w:val="•"/>
      <w:lvlJc w:val="left"/>
      <w:pPr>
        <w:tabs>
          <w:tab w:val="num" w:pos="3600"/>
        </w:tabs>
        <w:ind w:left="3600" w:hanging="360"/>
      </w:pPr>
      <w:rPr>
        <w:rFonts w:ascii="Arial" w:hAnsi="Arial" w:hint="default"/>
      </w:rPr>
    </w:lvl>
    <w:lvl w:ilvl="5" w:tplc="9CC24282" w:tentative="1">
      <w:start w:val="1"/>
      <w:numFmt w:val="bullet"/>
      <w:lvlText w:val="•"/>
      <w:lvlJc w:val="left"/>
      <w:pPr>
        <w:tabs>
          <w:tab w:val="num" w:pos="4320"/>
        </w:tabs>
        <w:ind w:left="4320" w:hanging="360"/>
      </w:pPr>
      <w:rPr>
        <w:rFonts w:ascii="Arial" w:hAnsi="Arial" w:hint="default"/>
      </w:rPr>
    </w:lvl>
    <w:lvl w:ilvl="6" w:tplc="F556ABB0" w:tentative="1">
      <w:start w:val="1"/>
      <w:numFmt w:val="bullet"/>
      <w:lvlText w:val="•"/>
      <w:lvlJc w:val="left"/>
      <w:pPr>
        <w:tabs>
          <w:tab w:val="num" w:pos="5040"/>
        </w:tabs>
        <w:ind w:left="5040" w:hanging="360"/>
      </w:pPr>
      <w:rPr>
        <w:rFonts w:ascii="Arial" w:hAnsi="Arial" w:hint="default"/>
      </w:rPr>
    </w:lvl>
    <w:lvl w:ilvl="7" w:tplc="1DBAB8D8" w:tentative="1">
      <w:start w:val="1"/>
      <w:numFmt w:val="bullet"/>
      <w:lvlText w:val="•"/>
      <w:lvlJc w:val="left"/>
      <w:pPr>
        <w:tabs>
          <w:tab w:val="num" w:pos="5760"/>
        </w:tabs>
        <w:ind w:left="5760" w:hanging="360"/>
      </w:pPr>
      <w:rPr>
        <w:rFonts w:ascii="Arial" w:hAnsi="Arial" w:hint="default"/>
      </w:rPr>
    </w:lvl>
    <w:lvl w:ilvl="8" w:tplc="EDF8D88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031B84"/>
    <w:multiLevelType w:val="hybridMultilevel"/>
    <w:tmpl w:val="182CC5D6"/>
    <w:lvl w:ilvl="0" w:tplc="A662714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B81AAA"/>
    <w:multiLevelType w:val="hybridMultilevel"/>
    <w:tmpl w:val="29BA2754"/>
    <w:lvl w:ilvl="0" w:tplc="090A389E">
      <w:start w:val="1"/>
      <w:numFmt w:val="bullet"/>
      <w:lvlText w:val="•"/>
      <w:lvlJc w:val="left"/>
      <w:pPr>
        <w:tabs>
          <w:tab w:val="num" w:pos="720"/>
        </w:tabs>
        <w:ind w:left="720" w:hanging="360"/>
      </w:pPr>
      <w:rPr>
        <w:rFonts w:ascii="Arial" w:hAnsi="Arial" w:hint="default"/>
      </w:rPr>
    </w:lvl>
    <w:lvl w:ilvl="1" w:tplc="7520C298" w:tentative="1">
      <w:start w:val="1"/>
      <w:numFmt w:val="bullet"/>
      <w:lvlText w:val="•"/>
      <w:lvlJc w:val="left"/>
      <w:pPr>
        <w:tabs>
          <w:tab w:val="num" w:pos="1440"/>
        </w:tabs>
        <w:ind w:left="1440" w:hanging="360"/>
      </w:pPr>
      <w:rPr>
        <w:rFonts w:ascii="Arial" w:hAnsi="Arial" w:hint="default"/>
      </w:rPr>
    </w:lvl>
    <w:lvl w:ilvl="2" w:tplc="E93638D8" w:tentative="1">
      <w:start w:val="1"/>
      <w:numFmt w:val="bullet"/>
      <w:lvlText w:val="•"/>
      <w:lvlJc w:val="left"/>
      <w:pPr>
        <w:tabs>
          <w:tab w:val="num" w:pos="2160"/>
        </w:tabs>
        <w:ind w:left="2160" w:hanging="360"/>
      </w:pPr>
      <w:rPr>
        <w:rFonts w:ascii="Arial" w:hAnsi="Arial" w:hint="default"/>
      </w:rPr>
    </w:lvl>
    <w:lvl w:ilvl="3" w:tplc="110EBFFA" w:tentative="1">
      <w:start w:val="1"/>
      <w:numFmt w:val="bullet"/>
      <w:lvlText w:val="•"/>
      <w:lvlJc w:val="left"/>
      <w:pPr>
        <w:tabs>
          <w:tab w:val="num" w:pos="2880"/>
        </w:tabs>
        <w:ind w:left="2880" w:hanging="360"/>
      </w:pPr>
      <w:rPr>
        <w:rFonts w:ascii="Arial" w:hAnsi="Arial" w:hint="default"/>
      </w:rPr>
    </w:lvl>
    <w:lvl w:ilvl="4" w:tplc="6B30A464" w:tentative="1">
      <w:start w:val="1"/>
      <w:numFmt w:val="bullet"/>
      <w:lvlText w:val="•"/>
      <w:lvlJc w:val="left"/>
      <w:pPr>
        <w:tabs>
          <w:tab w:val="num" w:pos="3600"/>
        </w:tabs>
        <w:ind w:left="3600" w:hanging="360"/>
      </w:pPr>
      <w:rPr>
        <w:rFonts w:ascii="Arial" w:hAnsi="Arial" w:hint="default"/>
      </w:rPr>
    </w:lvl>
    <w:lvl w:ilvl="5" w:tplc="FA264EEE" w:tentative="1">
      <w:start w:val="1"/>
      <w:numFmt w:val="bullet"/>
      <w:lvlText w:val="•"/>
      <w:lvlJc w:val="left"/>
      <w:pPr>
        <w:tabs>
          <w:tab w:val="num" w:pos="4320"/>
        </w:tabs>
        <w:ind w:left="4320" w:hanging="360"/>
      </w:pPr>
      <w:rPr>
        <w:rFonts w:ascii="Arial" w:hAnsi="Arial" w:hint="default"/>
      </w:rPr>
    </w:lvl>
    <w:lvl w:ilvl="6" w:tplc="906E43BE" w:tentative="1">
      <w:start w:val="1"/>
      <w:numFmt w:val="bullet"/>
      <w:lvlText w:val="•"/>
      <w:lvlJc w:val="left"/>
      <w:pPr>
        <w:tabs>
          <w:tab w:val="num" w:pos="5040"/>
        </w:tabs>
        <w:ind w:left="5040" w:hanging="360"/>
      </w:pPr>
      <w:rPr>
        <w:rFonts w:ascii="Arial" w:hAnsi="Arial" w:hint="default"/>
      </w:rPr>
    </w:lvl>
    <w:lvl w:ilvl="7" w:tplc="2D58DEBE" w:tentative="1">
      <w:start w:val="1"/>
      <w:numFmt w:val="bullet"/>
      <w:lvlText w:val="•"/>
      <w:lvlJc w:val="left"/>
      <w:pPr>
        <w:tabs>
          <w:tab w:val="num" w:pos="5760"/>
        </w:tabs>
        <w:ind w:left="5760" w:hanging="360"/>
      </w:pPr>
      <w:rPr>
        <w:rFonts w:ascii="Arial" w:hAnsi="Arial" w:hint="default"/>
      </w:rPr>
    </w:lvl>
    <w:lvl w:ilvl="8" w:tplc="D3FE5C8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27"/>
  </w:num>
  <w:num w:numId="4">
    <w:abstractNumId w:val="8"/>
  </w:num>
  <w:num w:numId="5">
    <w:abstractNumId w:val="8"/>
    <w:lvlOverride w:ilvl="0">
      <w:startOverride w:val="1"/>
    </w:lvlOverride>
  </w:num>
  <w:num w:numId="6">
    <w:abstractNumId w:val="9"/>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0"/>
  </w:num>
  <w:num w:numId="18">
    <w:abstractNumId w:val="14"/>
  </w:num>
  <w:num w:numId="19">
    <w:abstractNumId w:val="15"/>
  </w:num>
  <w:num w:numId="20">
    <w:abstractNumId w:val="12"/>
  </w:num>
  <w:num w:numId="21">
    <w:abstractNumId w:val="17"/>
  </w:num>
  <w:num w:numId="22">
    <w:abstractNumId w:val="13"/>
  </w:num>
  <w:num w:numId="23">
    <w:abstractNumId w:val="11"/>
  </w:num>
  <w:num w:numId="24">
    <w:abstractNumId w:val="24"/>
  </w:num>
  <w:num w:numId="25">
    <w:abstractNumId w:val="28"/>
  </w:num>
  <w:num w:numId="26">
    <w:abstractNumId w:val="20"/>
  </w:num>
  <w:num w:numId="27">
    <w:abstractNumId w:val="21"/>
  </w:num>
  <w:num w:numId="28">
    <w:abstractNumId w:val="16"/>
  </w:num>
  <w:num w:numId="29">
    <w:abstractNumId w:val="23"/>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3"/>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A1ED6"/>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2E30"/>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1956"/>
    <w:rsid w:val="006B2286"/>
    <w:rsid w:val="006B56BB"/>
    <w:rsid w:val="006C77A8"/>
    <w:rsid w:val="006D4098"/>
    <w:rsid w:val="006D7681"/>
    <w:rsid w:val="006D7B2E"/>
    <w:rsid w:val="006E02EA"/>
    <w:rsid w:val="006E0968"/>
    <w:rsid w:val="006E2AF6"/>
    <w:rsid w:val="00701275"/>
    <w:rsid w:val="007020BA"/>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B7341"/>
    <w:rsid w:val="00AC057E"/>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0A0F"/>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449B"/>
    <w:rsid w:val="00CB5B1A"/>
    <w:rsid w:val="00CC220B"/>
    <w:rsid w:val="00CC5C43"/>
    <w:rsid w:val="00CD02AE"/>
    <w:rsid w:val="00CD2A4F"/>
    <w:rsid w:val="00CE03CA"/>
    <w:rsid w:val="00CE22F1"/>
    <w:rsid w:val="00CE50F2"/>
    <w:rsid w:val="00CE6502"/>
    <w:rsid w:val="00CF7D3C"/>
    <w:rsid w:val="00D147EB"/>
    <w:rsid w:val="00D34667"/>
    <w:rsid w:val="00D36CD3"/>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0059"/>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42F7"/>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45229"/>
  <w15:docId w15:val="{02510FAF-EE18-4E6D-B5DD-4A5AA27E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8131">
      <w:bodyDiv w:val="1"/>
      <w:marLeft w:val="0"/>
      <w:marRight w:val="0"/>
      <w:marTop w:val="0"/>
      <w:marBottom w:val="0"/>
      <w:divBdr>
        <w:top w:val="none" w:sz="0" w:space="0" w:color="auto"/>
        <w:left w:val="none" w:sz="0" w:space="0" w:color="auto"/>
        <w:bottom w:val="none" w:sz="0" w:space="0" w:color="auto"/>
        <w:right w:val="none" w:sz="0" w:space="0" w:color="auto"/>
      </w:divBdr>
    </w:div>
    <w:div w:id="17137803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698666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6200676">
      <w:bodyDiv w:val="1"/>
      <w:marLeft w:val="0"/>
      <w:marRight w:val="0"/>
      <w:marTop w:val="0"/>
      <w:marBottom w:val="0"/>
      <w:divBdr>
        <w:top w:val="none" w:sz="0" w:space="0" w:color="auto"/>
        <w:left w:val="none" w:sz="0" w:space="0" w:color="auto"/>
        <w:bottom w:val="none" w:sz="0" w:space="0" w:color="auto"/>
        <w:right w:val="none" w:sz="0" w:space="0" w:color="auto"/>
      </w:divBdr>
    </w:div>
    <w:div w:id="647127672">
      <w:bodyDiv w:val="1"/>
      <w:marLeft w:val="0"/>
      <w:marRight w:val="0"/>
      <w:marTop w:val="0"/>
      <w:marBottom w:val="0"/>
      <w:divBdr>
        <w:top w:val="none" w:sz="0" w:space="0" w:color="auto"/>
        <w:left w:val="none" w:sz="0" w:space="0" w:color="auto"/>
        <w:bottom w:val="none" w:sz="0" w:space="0" w:color="auto"/>
        <w:right w:val="none" w:sz="0" w:space="0" w:color="auto"/>
      </w:divBdr>
    </w:div>
    <w:div w:id="66724883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7156671">
      <w:bodyDiv w:val="1"/>
      <w:marLeft w:val="0"/>
      <w:marRight w:val="0"/>
      <w:marTop w:val="0"/>
      <w:marBottom w:val="0"/>
      <w:divBdr>
        <w:top w:val="none" w:sz="0" w:space="0" w:color="auto"/>
        <w:left w:val="none" w:sz="0" w:space="0" w:color="auto"/>
        <w:bottom w:val="none" w:sz="0" w:space="0" w:color="auto"/>
        <w:right w:val="none" w:sz="0" w:space="0" w:color="auto"/>
      </w:divBdr>
    </w:div>
    <w:div w:id="951281392">
      <w:bodyDiv w:val="1"/>
      <w:marLeft w:val="0"/>
      <w:marRight w:val="0"/>
      <w:marTop w:val="0"/>
      <w:marBottom w:val="0"/>
      <w:divBdr>
        <w:top w:val="none" w:sz="0" w:space="0" w:color="auto"/>
        <w:left w:val="none" w:sz="0" w:space="0" w:color="auto"/>
        <w:bottom w:val="none" w:sz="0" w:space="0" w:color="auto"/>
        <w:right w:val="none" w:sz="0" w:space="0" w:color="auto"/>
      </w:divBdr>
    </w:div>
    <w:div w:id="954016502">
      <w:bodyDiv w:val="1"/>
      <w:marLeft w:val="0"/>
      <w:marRight w:val="0"/>
      <w:marTop w:val="0"/>
      <w:marBottom w:val="0"/>
      <w:divBdr>
        <w:top w:val="none" w:sz="0" w:space="0" w:color="auto"/>
        <w:left w:val="none" w:sz="0" w:space="0" w:color="auto"/>
        <w:bottom w:val="none" w:sz="0" w:space="0" w:color="auto"/>
        <w:right w:val="none" w:sz="0" w:space="0" w:color="auto"/>
      </w:divBdr>
    </w:div>
    <w:div w:id="998311047">
      <w:bodyDiv w:val="1"/>
      <w:marLeft w:val="0"/>
      <w:marRight w:val="0"/>
      <w:marTop w:val="0"/>
      <w:marBottom w:val="0"/>
      <w:divBdr>
        <w:top w:val="none" w:sz="0" w:space="0" w:color="auto"/>
        <w:left w:val="none" w:sz="0" w:space="0" w:color="auto"/>
        <w:bottom w:val="none" w:sz="0" w:space="0" w:color="auto"/>
        <w:right w:val="none" w:sz="0" w:space="0" w:color="auto"/>
      </w:divBdr>
    </w:div>
    <w:div w:id="1019038841">
      <w:bodyDiv w:val="1"/>
      <w:marLeft w:val="0"/>
      <w:marRight w:val="0"/>
      <w:marTop w:val="0"/>
      <w:marBottom w:val="0"/>
      <w:divBdr>
        <w:top w:val="none" w:sz="0" w:space="0" w:color="auto"/>
        <w:left w:val="none" w:sz="0" w:space="0" w:color="auto"/>
        <w:bottom w:val="none" w:sz="0" w:space="0" w:color="auto"/>
        <w:right w:val="none" w:sz="0" w:space="0" w:color="auto"/>
      </w:divBdr>
    </w:div>
    <w:div w:id="1078601966">
      <w:bodyDiv w:val="1"/>
      <w:marLeft w:val="0"/>
      <w:marRight w:val="0"/>
      <w:marTop w:val="0"/>
      <w:marBottom w:val="0"/>
      <w:divBdr>
        <w:top w:val="none" w:sz="0" w:space="0" w:color="auto"/>
        <w:left w:val="none" w:sz="0" w:space="0" w:color="auto"/>
        <w:bottom w:val="none" w:sz="0" w:space="0" w:color="auto"/>
        <w:right w:val="none" w:sz="0" w:space="0" w:color="auto"/>
      </w:divBdr>
    </w:div>
    <w:div w:id="122047737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8416382">
      <w:bodyDiv w:val="1"/>
      <w:marLeft w:val="0"/>
      <w:marRight w:val="0"/>
      <w:marTop w:val="0"/>
      <w:marBottom w:val="0"/>
      <w:divBdr>
        <w:top w:val="none" w:sz="0" w:space="0" w:color="auto"/>
        <w:left w:val="none" w:sz="0" w:space="0" w:color="auto"/>
        <w:bottom w:val="none" w:sz="0" w:space="0" w:color="auto"/>
        <w:right w:val="none" w:sz="0" w:space="0" w:color="auto"/>
      </w:divBdr>
    </w:div>
    <w:div w:id="1276213981">
      <w:bodyDiv w:val="1"/>
      <w:marLeft w:val="0"/>
      <w:marRight w:val="0"/>
      <w:marTop w:val="0"/>
      <w:marBottom w:val="0"/>
      <w:divBdr>
        <w:top w:val="none" w:sz="0" w:space="0" w:color="auto"/>
        <w:left w:val="none" w:sz="0" w:space="0" w:color="auto"/>
        <w:bottom w:val="none" w:sz="0" w:space="0" w:color="auto"/>
        <w:right w:val="none" w:sz="0" w:space="0" w:color="auto"/>
      </w:divBdr>
      <w:divsChild>
        <w:div w:id="530193328">
          <w:marLeft w:val="446"/>
          <w:marRight w:val="0"/>
          <w:marTop w:val="0"/>
          <w:marBottom w:val="0"/>
          <w:divBdr>
            <w:top w:val="none" w:sz="0" w:space="0" w:color="auto"/>
            <w:left w:val="none" w:sz="0" w:space="0" w:color="auto"/>
            <w:bottom w:val="none" w:sz="0" w:space="0" w:color="auto"/>
            <w:right w:val="none" w:sz="0" w:space="0" w:color="auto"/>
          </w:divBdr>
        </w:div>
        <w:div w:id="1724060605">
          <w:marLeft w:val="446"/>
          <w:marRight w:val="0"/>
          <w:marTop w:val="0"/>
          <w:marBottom w:val="0"/>
          <w:divBdr>
            <w:top w:val="none" w:sz="0" w:space="0" w:color="auto"/>
            <w:left w:val="none" w:sz="0" w:space="0" w:color="auto"/>
            <w:bottom w:val="none" w:sz="0" w:space="0" w:color="auto"/>
            <w:right w:val="none" w:sz="0" w:space="0" w:color="auto"/>
          </w:divBdr>
        </w:div>
      </w:divsChild>
    </w:div>
    <w:div w:id="1358196861">
      <w:bodyDiv w:val="1"/>
      <w:marLeft w:val="0"/>
      <w:marRight w:val="0"/>
      <w:marTop w:val="0"/>
      <w:marBottom w:val="0"/>
      <w:divBdr>
        <w:top w:val="none" w:sz="0" w:space="0" w:color="auto"/>
        <w:left w:val="none" w:sz="0" w:space="0" w:color="auto"/>
        <w:bottom w:val="none" w:sz="0" w:space="0" w:color="auto"/>
        <w:right w:val="none" w:sz="0" w:space="0" w:color="auto"/>
      </w:divBdr>
    </w:div>
    <w:div w:id="1410538745">
      <w:bodyDiv w:val="1"/>
      <w:marLeft w:val="0"/>
      <w:marRight w:val="0"/>
      <w:marTop w:val="0"/>
      <w:marBottom w:val="0"/>
      <w:divBdr>
        <w:top w:val="none" w:sz="0" w:space="0" w:color="auto"/>
        <w:left w:val="none" w:sz="0" w:space="0" w:color="auto"/>
        <w:bottom w:val="none" w:sz="0" w:space="0" w:color="auto"/>
        <w:right w:val="none" w:sz="0" w:space="0" w:color="auto"/>
      </w:divBdr>
    </w:div>
    <w:div w:id="1553611217">
      <w:bodyDiv w:val="1"/>
      <w:marLeft w:val="0"/>
      <w:marRight w:val="0"/>
      <w:marTop w:val="0"/>
      <w:marBottom w:val="0"/>
      <w:divBdr>
        <w:top w:val="none" w:sz="0" w:space="0" w:color="auto"/>
        <w:left w:val="none" w:sz="0" w:space="0" w:color="auto"/>
        <w:bottom w:val="none" w:sz="0" w:space="0" w:color="auto"/>
        <w:right w:val="none" w:sz="0" w:space="0" w:color="auto"/>
      </w:divBdr>
    </w:div>
    <w:div w:id="1577280838">
      <w:bodyDiv w:val="1"/>
      <w:marLeft w:val="0"/>
      <w:marRight w:val="0"/>
      <w:marTop w:val="0"/>
      <w:marBottom w:val="0"/>
      <w:divBdr>
        <w:top w:val="none" w:sz="0" w:space="0" w:color="auto"/>
        <w:left w:val="none" w:sz="0" w:space="0" w:color="auto"/>
        <w:bottom w:val="none" w:sz="0" w:space="0" w:color="auto"/>
        <w:right w:val="none" w:sz="0" w:space="0" w:color="auto"/>
      </w:divBdr>
    </w:div>
    <w:div w:id="1634485615">
      <w:bodyDiv w:val="1"/>
      <w:marLeft w:val="0"/>
      <w:marRight w:val="0"/>
      <w:marTop w:val="0"/>
      <w:marBottom w:val="0"/>
      <w:divBdr>
        <w:top w:val="none" w:sz="0" w:space="0" w:color="auto"/>
        <w:left w:val="none" w:sz="0" w:space="0" w:color="auto"/>
        <w:bottom w:val="none" w:sz="0" w:space="0" w:color="auto"/>
        <w:right w:val="none" w:sz="0" w:space="0" w:color="auto"/>
      </w:divBdr>
      <w:divsChild>
        <w:div w:id="220672437">
          <w:marLeft w:val="446"/>
          <w:marRight w:val="0"/>
          <w:marTop w:val="0"/>
          <w:marBottom w:val="0"/>
          <w:divBdr>
            <w:top w:val="none" w:sz="0" w:space="0" w:color="auto"/>
            <w:left w:val="none" w:sz="0" w:space="0" w:color="auto"/>
            <w:bottom w:val="none" w:sz="0" w:space="0" w:color="auto"/>
            <w:right w:val="none" w:sz="0" w:space="0" w:color="auto"/>
          </w:divBdr>
        </w:div>
        <w:div w:id="1443718586">
          <w:marLeft w:val="446"/>
          <w:marRight w:val="0"/>
          <w:marTop w:val="0"/>
          <w:marBottom w:val="0"/>
          <w:divBdr>
            <w:top w:val="none" w:sz="0" w:space="0" w:color="auto"/>
            <w:left w:val="none" w:sz="0" w:space="0" w:color="auto"/>
            <w:bottom w:val="none" w:sz="0" w:space="0" w:color="auto"/>
            <w:right w:val="none" w:sz="0" w:space="0" w:color="auto"/>
          </w:divBdr>
        </w:div>
        <w:div w:id="694695599">
          <w:marLeft w:val="446"/>
          <w:marRight w:val="0"/>
          <w:marTop w:val="0"/>
          <w:marBottom w:val="0"/>
          <w:divBdr>
            <w:top w:val="none" w:sz="0" w:space="0" w:color="auto"/>
            <w:left w:val="none" w:sz="0" w:space="0" w:color="auto"/>
            <w:bottom w:val="none" w:sz="0" w:space="0" w:color="auto"/>
            <w:right w:val="none" w:sz="0" w:space="0" w:color="auto"/>
          </w:divBdr>
        </w:div>
        <w:div w:id="1736317693">
          <w:marLeft w:val="446"/>
          <w:marRight w:val="0"/>
          <w:marTop w:val="0"/>
          <w:marBottom w:val="0"/>
          <w:divBdr>
            <w:top w:val="none" w:sz="0" w:space="0" w:color="auto"/>
            <w:left w:val="none" w:sz="0" w:space="0" w:color="auto"/>
            <w:bottom w:val="none" w:sz="0" w:space="0" w:color="auto"/>
            <w:right w:val="none" w:sz="0" w:space="0" w:color="auto"/>
          </w:divBdr>
        </w:div>
      </w:divsChild>
    </w:div>
    <w:div w:id="1687753275">
      <w:bodyDiv w:val="1"/>
      <w:marLeft w:val="0"/>
      <w:marRight w:val="0"/>
      <w:marTop w:val="0"/>
      <w:marBottom w:val="0"/>
      <w:divBdr>
        <w:top w:val="none" w:sz="0" w:space="0" w:color="auto"/>
        <w:left w:val="none" w:sz="0" w:space="0" w:color="auto"/>
        <w:bottom w:val="none" w:sz="0" w:space="0" w:color="auto"/>
        <w:right w:val="none" w:sz="0" w:space="0" w:color="auto"/>
      </w:divBdr>
    </w:div>
    <w:div w:id="1741251191">
      <w:bodyDiv w:val="1"/>
      <w:marLeft w:val="0"/>
      <w:marRight w:val="0"/>
      <w:marTop w:val="0"/>
      <w:marBottom w:val="0"/>
      <w:divBdr>
        <w:top w:val="none" w:sz="0" w:space="0" w:color="auto"/>
        <w:left w:val="none" w:sz="0" w:space="0" w:color="auto"/>
        <w:bottom w:val="none" w:sz="0" w:space="0" w:color="auto"/>
        <w:right w:val="none" w:sz="0" w:space="0" w:color="auto"/>
      </w:divBdr>
      <w:divsChild>
        <w:div w:id="510216737">
          <w:marLeft w:val="446"/>
          <w:marRight w:val="0"/>
          <w:marTop w:val="0"/>
          <w:marBottom w:val="0"/>
          <w:divBdr>
            <w:top w:val="none" w:sz="0" w:space="0" w:color="auto"/>
            <w:left w:val="none" w:sz="0" w:space="0" w:color="auto"/>
            <w:bottom w:val="none" w:sz="0" w:space="0" w:color="auto"/>
            <w:right w:val="none" w:sz="0" w:space="0" w:color="auto"/>
          </w:divBdr>
        </w:div>
        <w:div w:id="66660599">
          <w:marLeft w:val="446"/>
          <w:marRight w:val="0"/>
          <w:marTop w:val="0"/>
          <w:marBottom w:val="0"/>
          <w:divBdr>
            <w:top w:val="none" w:sz="0" w:space="0" w:color="auto"/>
            <w:left w:val="none" w:sz="0" w:space="0" w:color="auto"/>
            <w:bottom w:val="none" w:sz="0" w:space="0" w:color="auto"/>
            <w:right w:val="none" w:sz="0" w:space="0" w:color="auto"/>
          </w:divBdr>
        </w:div>
        <w:div w:id="1207643712">
          <w:marLeft w:val="446"/>
          <w:marRight w:val="0"/>
          <w:marTop w:val="0"/>
          <w:marBottom w:val="0"/>
          <w:divBdr>
            <w:top w:val="none" w:sz="0" w:space="0" w:color="auto"/>
            <w:left w:val="none" w:sz="0" w:space="0" w:color="auto"/>
            <w:bottom w:val="none" w:sz="0" w:space="0" w:color="auto"/>
            <w:right w:val="none" w:sz="0" w:space="0" w:color="auto"/>
          </w:divBdr>
        </w:div>
      </w:divsChild>
    </w:div>
    <w:div w:id="1779519635">
      <w:bodyDiv w:val="1"/>
      <w:marLeft w:val="0"/>
      <w:marRight w:val="0"/>
      <w:marTop w:val="0"/>
      <w:marBottom w:val="0"/>
      <w:divBdr>
        <w:top w:val="none" w:sz="0" w:space="0" w:color="auto"/>
        <w:left w:val="none" w:sz="0" w:space="0" w:color="auto"/>
        <w:bottom w:val="none" w:sz="0" w:space="0" w:color="auto"/>
        <w:right w:val="none" w:sz="0" w:space="0" w:color="auto"/>
      </w:divBdr>
    </w:div>
    <w:div w:id="1831674581">
      <w:bodyDiv w:val="1"/>
      <w:marLeft w:val="0"/>
      <w:marRight w:val="0"/>
      <w:marTop w:val="0"/>
      <w:marBottom w:val="0"/>
      <w:divBdr>
        <w:top w:val="none" w:sz="0" w:space="0" w:color="auto"/>
        <w:left w:val="none" w:sz="0" w:space="0" w:color="auto"/>
        <w:bottom w:val="none" w:sz="0" w:space="0" w:color="auto"/>
        <w:right w:val="none" w:sz="0" w:space="0" w:color="auto"/>
      </w:divBdr>
    </w:div>
    <w:div w:id="1948927316">
      <w:bodyDiv w:val="1"/>
      <w:marLeft w:val="0"/>
      <w:marRight w:val="0"/>
      <w:marTop w:val="0"/>
      <w:marBottom w:val="0"/>
      <w:divBdr>
        <w:top w:val="none" w:sz="0" w:space="0" w:color="auto"/>
        <w:left w:val="none" w:sz="0" w:space="0" w:color="auto"/>
        <w:bottom w:val="none" w:sz="0" w:space="0" w:color="auto"/>
        <w:right w:val="none" w:sz="0" w:space="0" w:color="auto"/>
      </w:divBdr>
    </w:div>
    <w:div w:id="1977374666">
      <w:bodyDiv w:val="1"/>
      <w:marLeft w:val="0"/>
      <w:marRight w:val="0"/>
      <w:marTop w:val="0"/>
      <w:marBottom w:val="0"/>
      <w:divBdr>
        <w:top w:val="none" w:sz="0" w:space="0" w:color="auto"/>
        <w:left w:val="none" w:sz="0" w:space="0" w:color="auto"/>
        <w:bottom w:val="none" w:sz="0" w:space="0" w:color="auto"/>
        <w:right w:val="none" w:sz="0" w:space="0" w:color="auto"/>
      </w:divBdr>
    </w:div>
    <w:div w:id="207030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ondedMedicalProgram@health.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2\EALSAN\Desktop\Andrew%20Work%20FOLDER\GOVCMS%20JOBS\Top%203\word%20accessible%20doc%20for%20Bonded%20Medical%20Program%20update%20webinar%2014%20December%202021.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38E39-A200-4E90-BE85-F3E67D1E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accessible doc for Bonded Medical Program update webinar 14 December 2021.dotx</Template>
  <TotalTime>0</TotalTime>
  <Pages>9</Pages>
  <Words>2253</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EALS, Andrew</dc:creator>
  <cp:lastModifiedBy>EALS, Andrew</cp:lastModifiedBy>
  <cp:revision>1</cp:revision>
  <dcterms:created xsi:type="dcterms:W3CDTF">2022-06-22T05:32:00Z</dcterms:created>
  <dcterms:modified xsi:type="dcterms:W3CDTF">2022-06-22T05:32:00Z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