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800DEB" w14:paraId="1DF43DA6" w14:textId="77777777" w:rsidTr="00800DEB">
        <w:tc>
          <w:tcPr>
            <w:tcW w:w="2547" w:type="dxa"/>
          </w:tcPr>
          <w:p w14:paraId="488A3A73" w14:textId="77777777" w:rsidR="00800DEB" w:rsidRDefault="00800DEB" w:rsidP="00800DEB">
            <w:r>
              <w:rPr>
                <w:noProof/>
              </w:rPr>
              <w:drawing>
                <wp:inline distT="0" distB="0" distL="0" distR="0" wp14:anchorId="07F20FE6" wp14:editId="6C588D8B">
                  <wp:extent cx="1171575" cy="1714500"/>
                  <wp:effectExtent l="0" t="0" r="9525" b="0"/>
                  <wp:docPr id="2" name="Picture 2" descr="Communicable Diseases Net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unicable Diseases Network Australia logo"/>
                          <pic:cNvPicPr/>
                        </pic:nvPicPr>
                        <pic:blipFill>
                          <a:blip r:embed="rId11">
                            <a:extLst>
                              <a:ext uri="{28A0092B-C50C-407E-A947-70E740481C1C}">
                                <a14:useLocalDpi xmlns:a14="http://schemas.microsoft.com/office/drawing/2010/main" val="0"/>
                              </a:ext>
                            </a:extLst>
                          </a:blip>
                          <a:stretch>
                            <a:fillRect/>
                          </a:stretch>
                        </pic:blipFill>
                        <pic:spPr>
                          <a:xfrm>
                            <a:off x="0" y="0"/>
                            <a:ext cx="1171575" cy="1714500"/>
                          </a:xfrm>
                          <a:prstGeom prst="rect">
                            <a:avLst/>
                          </a:prstGeom>
                        </pic:spPr>
                      </pic:pic>
                    </a:graphicData>
                  </a:graphic>
                </wp:inline>
              </w:drawing>
            </w:r>
          </w:p>
        </w:tc>
        <w:tc>
          <w:tcPr>
            <w:tcW w:w="6513" w:type="dxa"/>
          </w:tcPr>
          <w:p w14:paraId="79F12511" w14:textId="2644A12D" w:rsidR="00800DEB" w:rsidRDefault="009E4275" w:rsidP="00800DEB">
            <w:pPr>
              <w:pStyle w:val="Title"/>
            </w:pPr>
            <w:r w:rsidRPr="009E4275">
              <w:t>Avian influenza in humans (AIH)</w:t>
            </w:r>
          </w:p>
          <w:p w14:paraId="3327EE78" w14:textId="77777777" w:rsidR="00800DEB" w:rsidRDefault="00800DEB" w:rsidP="00800DEB">
            <w:pPr>
              <w:pStyle w:val="Subtitle"/>
            </w:pPr>
            <w:r w:rsidRPr="00800DEB">
              <w:t>Australian national notifiable diseases case definition</w:t>
            </w:r>
          </w:p>
        </w:tc>
      </w:tr>
    </w:tbl>
    <w:p w14:paraId="3DEDCACB" w14:textId="1ABC8A22" w:rsidR="004516E8" w:rsidRDefault="00800DEB" w:rsidP="009E0B84">
      <w:pPr>
        <w:pStyle w:val="IntroPara"/>
      </w:pPr>
      <w:r w:rsidRPr="00872414">
        <w:t xml:space="preserve">This document contains the </w:t>
      </w:r>
      <w:r>
        <w:t xml:space="preserve">surveillance </w:t>
      </w:r>
      <w:r w:rsidRPr="00872414">
        <w:t xml:space="preserve">case definition for </w:t>
      </w:r>
      <w:r w:rsidR="009E4275">
        <w:t>a</w:t>
      </w:r>
      <w:r w:rsidR="009E4275" w:rsidRPr="009E4275">
        <w:t>vian influenza in humans (AIH)</w:t>
      </w:r>
      <w:r w:rsidR="009E4275">
        <w:t xml:space="preserve">, </w:t>
      </w:r>
      <w:r w:rsidRPr="00872414">
        <w:t xml:space="preserve">which is nationally notifiable within Australia. </w:t>
      </w:r>
      <w:r w:rsidR="004516E8">
        <w:t>State and territory health departments use this definition to decide whether to notify the Australian Government Department of Health</w:t>
      </w:r>
      <w:r w:rsidR="00B14926">
        <w:t xml:space="preserve"> and Aged Care</w:t>
      </w:r>
      <w:r w:rsidR="004516E8">
        <w:t xml:space="preserve"> of a case.</w:t>
      </w:r>
    </w:p>
    <w:tbl>
      <w:tblPr>
        <w:tblStyle w:val="DepartmentofHealthtable"/>
        <w:tblW w:w="5000" w:type="pct"/>
        <w:tblLook w:val="04A0" w:firstRow="1" w:lastRow="0" w:firstColumn="1" w:lastColumn="0" w:noHBand="0" w:noVBand="1"/>
        <w:tblDescription w:val="version control table for the cholera case definition"/>
      </w:tblPr>
      <w:tblGrid>
        <w:gridCol w:w="1280"/>
        <w:gridCol w:w="2750"/>
        <w:gridCol w:w="2092"/>
        <w:gridCol w:w="2948"/>
      </w:tblGrid>
      <w:tr w:rsidR="00800DEB" w:rsidRPr="00872414" w14:paraId="43B979AA" w14:textId="77777777" w:rsidTr="00650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899E24" w14:textId="77777777" w:rsidR="00800DEB" w:rsidRPr="00872414" w:rsidRDefault="00800DEB" w:rsidP="00650561">
            <w:pPr>
              <w:pStyle w:val="TableHeader"/>
              <w:rPr>
                <w:color w:val="FFFFFF" w:themeColor="background1"/>
                <w:lang w:eastAsia="en-AU"/>
              </w:rPr>
            </w:pPr>
            <w:r w:rsidRPr="00872414">
              <w:rPr>
                <w:color w:val="FFFFFF" w:themeColor="background1"/>
                <w:lang w:eastAsia="en-AU"/>
              </w:rPr>
              <w:t>Version</w:t>
            </w:r>
          </w:p>
        </w:tc>
        <w:tc>
          <w:tcPr>
            <w:tcW w:w="0" w:type="auto"/>
            <w:hideMark/>
          </w:tcPr>
          <w:p w14:paraId="4884C775"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Status</w:t>
            </w:r>
          </w:p>
        </w:tc>
        <w:tc>
          <w:tcPr>
            <w:tcW w:w="0" w:type="auto"/>
            <w:hideMark/>
          </w:tcPr>
          <w:p w14:paraId="28E4C16D"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Last reviewed</w:t>
            </w:r>
          </w:p>
        </w:tc>
        <w:tc>
          <w:tcPr>
            <w:tcW w:w="0" w:type="auto"/>
            <w:hideMark/>
          </w:tcPr>
          <w:p w14:paraId="6ADD37FB"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Implementation date</w:t>
            </w:r>
          </w:p>
        </w:tc>
      </w:tr>
      <w:tr w:rsidR="00800DEB" w:rsidRPr="00872414" w14:paraId="253A6C63" w14:textId="77777777" w:rsidTr="0080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7D54BC" w14:textId="1F7EE287" w:rsidR="00800DEB" w:rsidRPr="00872414" w:rsidRDefault="009E4275" w:rsidP="00650561">
            <w:pPr>
              <w:pStyle w:val="TableText"/>
              <w:rPr>
                <w:lang w:eastAsia="en-AU"/>
              </w:rPr>
            </w:pPr>
            <w:r>
              <w:rPr>
                <w:lang w:eastAsia="en-AU"/>
              </w:rPr>
              <w:t>1.0</w:t>
            </w:r>
          </w:p>
        </w:tc>
        <w:tc>
          <w:tcPr>
            <w:tcW w:w="0" w:type="auto"/>
          </w:tcPr>
          <w:p w14:paraId="0C28924E" w14:textId="66FF7B3F" w:rsidR="00800DEB" w:rsidRPr="00872414" w:rsidRDefault="009E4275"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Initial case definition</w:t>
            </w:r>
          </w:p>
        </w:tc>
        <w:tc>
          <w:tcPr>
            <w:tcW w:w="0" w:type="auto"/>
          </w:tcPr>
          <w:p w14:paraId="0B81844B" w14:textId="6ED70BB4" w:rsidR="00800DEB" w:rsidRPr="00872414" w:rsidRDefault="009E4275"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1 July 2015</w:t>
            </w:r>
          </w:p>
        </w:tc>
        <w:tc>
          <w:tcPr>
            <w:tcW w:w="0" w:type="auto"/>
          </w:tcPr>
          <w:p w14:paraId="02BCEF71" w14:textId="7C9C744A" w:rsidR="00800DEB" w:rsidRPr="00872414" w:rsidRDefault="009E4275"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1 July 2015</w:t>
            </w:r>
          </w:p>
        </w:tc>
      </w:tr>
    </w:tbl>
    <w:p w14:paraId="64F69E57" w14:textId="77777777" w:rsidR="00800DEB" w:rsidRDefault="00800DEB" w:rsidP="00800DEB"/>
    <w:p w14:paraId="51C5A2A4" w14:textId="77777777" w:rsidR="009E4275" w:rsidRPr="009E4275" w:rsidRDefault="009E4275" w:rsidP="009E4275">
      <w:pPr>
        <w:shd w:val="clear" w:color="auto" w:fill="FFFFFF"/>
        <w:spacing w:before="240" w:after="120"/>
        <w:outlineLvl w:val="1"/>
        <w:rPr>
          <w:rFonts w:ascii="Open Sans" w:hAnsi="Open Sans" w:cs="Open Sans"/>
          <w:color w:val="000000"/>
          <w:sz w:val="36"/>
          <w:szCs w:val="36"/>
          <w:lang w:eastAsia="en-AU"/>
        </w:rPr>
      </w:pPr>
      <w:r w:rsidRPr="009E4275">
        <w:rPr>
          <w:rFonts w:ascii="Open Sans" w:hAnsi="Open Sans" w:cs="Open Sans"/>
          <w:color w:val="000000"/>
          <w:sz w:val="36"/>
          <w:szCs w:val="36"/>
          <w:lang w:eastAsia="en-AU"/>
        </w:rPr>
        <w:t>Reporting</w:t>
      </w:r>
    </w:p>
    <w:p w14:paraId="25FD617E"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Both </w:t>
      </w:r>
      <w:r w:rsidRPr="009E4275">
        <w:rPr>
          <w:rFonts w:ascii="Helvetica" w:hAnsi="Helvetica" w:cs="Helvetica"/>
          <w:b/>
          <w:bCs/>
          <w:color w:val="222222"/>
          <w:sz w:val="20"/>
          <w:szCs w:val="20"/>
          <w:lang w:eastAsia="en-AU"/>
        </w:rPr>
        <w:t>confirmed cases</w:t>
      </w:r>
      <w:r w:rsidRPr="009E4275">
        <w:rPr>
          <w:rFonts w:ascii="Helvetica" w:hAnsi="Helvetica" w:cs="Helvetica"/>
          <w:color w:val="222222"/>
          <w:sz w:val="20"/>
          <w:szCs w:val="20"/>
          <w:lang w:eastAsia="en-AU"/>
        </w:rPr>
        <w:t> and </w:t>
      </w:r>
      <w:r w:rsidRPr="009E4275">
        <w:rPr>
          <w:rFonts w:ascii="Helvetica" w:hAnsi="Helvetica" w:cs="Helvetica"/>
          <w:b/>
          <w:bCs/>
          <w:color w:val="222222"/>
          <w:sz w:val="20"/>
          <w:szCs w:val="20"/>
          <w:lang w:eastAsia="en-AU"/>
        </w:rPr>
        <w:t>probable cases</w:t>
      </w:r>
      <w:r w:rsidRPr="009E4275">
        <w:rPr>
          <w:rFonts w:ascii="Helvetica" w:hAnsi="Helvetica" w:cs="Helvetica"/>
          <w:color w:val="222222"/>
          <w:sz w:val="20"/>
          <w:szCs w:val="20"/>
          <w:lang w:eastAsia="en-AU"/>
        </w:rPr>
        <w:t> should be notified. Suspected cases shouldn’t be notified.</w:t>
      </w:r>
    </w:p>
    <w:p w14:paraId="0491F88B" w14:textId="77777777" w:rsidR="009E4275" w:rsidRPr="009E4275" w:rsidRDefault="009E4275" w:rsidP="009E4275">
      <w:pPr>
        <w:shd w:val="clear" w:color="auto" w:fill="FFFFFF"/>
        <w:spacing w:after="120"/>
        <w:outlineLvl w:val="1"/>
        <w:rPr>
          <w:rFonts w:ascii="Open Sans" w:hAnsi="Open Sans" w:cs="Open Sans"/>
          <w:color w:val="000000"/>
          <w:sz w:val="36"/>
          <w:szCs w:val="36"/>
          <w:lang w:eastAsia="en-AU"/>
        </w:rPr>
      </w:pPr>
      <w:r w:rsidRPr="009E4275">
        <w:rPr>
          <w:rFonts w:ascii="Open Sans" w:hAnsi="Open Sans" w:cs="Open Sans"/>
          <w:color w:val="000000"/>
          <w:sz w:val="36"/>
          <w:szCs w:val="36"/>
          <w:lang w:eastAsia="en-AU"/>
        </w:rPr>
        <w:t>Confirmed case</w:t>
      </w:r>
    </w:p>
    <w:p w14:paraId="6EF890D5"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A confirmed case requires </w:t>
      </w:r>
      <w:r w:rsidRPr="009E4275">
        <w:rPr>
          <w:rFonts w:ascii="Helvetica" w:hAnsi="Helvetica" w:cs="Helvetica"/>
          <w:b/>
          <w:bCs/>
          <w:color w:val="222222"/>
          <w:sz w:val="20"/>
          <w:szCs w:val="20"/>
          <w:lang w:eastAsia="en-AU"/>
        </w:rPr>
        <w:t>laboratory definitive evidence</w:t>
      </w:r>
      <w:r w:rsidRPr="009E4275">
        <w:rPr>
          <w:rFonts w:ascii="Helvetica" w:hAnsi="Helvetica" w:cs="Helvetica"/>
          <w:color w:val="222222"/>
          <w:sz w:val="20"/>
          <w:szCs w:val="20"/>
          <w:lang w:eastAsia="en-AU"/>
        </w:rPr>
        <w:t> AND </w:t>
      </w:r>
      <w:r w:rsidRPr="009E4275">
        <w:rPr>
          <w:rFonts w:ascii="Helvetica" w:hAnsi="Helvetica" w:cs="Helvetica"/>
          <w:b/>
          <w:bCs/>
          <w:color w:val="222222"/>
          <w:sz w:val="20"/>
          <w:szCs w:val="20"/>
          <w:lang w:eastAsia="en-AU"/>
        </w:rPr>
        <w:t>clinical evidence</w:t>
      </w:r>
    </w:p>
    <w:p w14:paraId="50D93F41" w14:textId="77777777" w:rsidR="009E4275" w:rsidRPr="009E4275" w:rsidRDefault="009E4275" w:rsidP="009E4275">
      <w:pPr>
        <w:shd w:val="clear" w:color="auto" w:fill="FFFFFF"/>
        <w:spacing w:after="120"/>
        <w:outlineLvl w:val="2"/>
        <w:rPr>
          <w:rFonts w:ascii="Open Sans" w:hAnsi="Open Sans" w:cs="Open Sans"/>
          <w:color w:val="000000"/>
          <w:sz w:val="27"/>
          <w:szCs w:val="27"/>
          <w:lang w:eastAsia="en-AU"/>
        </w:rPr>
      </w:pPr>
      <w:r w:rsidRPr="009E4275">
        <w:rPr>
          <w:rFonts w:ascii="Open Sans" w:hAnsi="Open Sans" w:cs="Open Sans"/>
          <w:color w:val="000000"/>
          <w:sz w:val="27"/>
          <w:szCs w:val="27"/>
          <w:lang w:eastAsia="en-AU"/>
        </w:rPr>
        <w:t>Laboratory definitive evidence</w:t>
      </w:r>
    </w:p>
    <w:p w14:paraId="395C6E77"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Isolation of an avian influenza (AI) virus</w:t>
      </w:r>
    </w:p>
    <w:p w14:paraId="2A069A82"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OR</w:t>
      </w:r>
    </w:p>
    <w:p w14:paraId="5A622772"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 xml:space="preserve">Detection of AI by nucleic acid testing using two different targets, </w:t>
      </w:r>
      <w:proofErr w:type="gramStart"/>
      <w:r w:rsidRPr="009E4275">
        <w:rPr>
          <w:rFonts w:ascii="Helvetica" w:hAnsi="Helvetica" w:cs="Helvetica"/>
          <w:color w:val="222222"/>
          <w:sz w:val="20"/>
          <w:szCs w:val="20"/>
          <w:lang w:eastAsia="en-AU"/>
        </w:rPr>
        <w:t>e.g.</w:t>
      </w:r>
      <w:proofErr w:type="gramEnd"/>
      <w:r w:rsidRPr="009E4275">
        <w:rPr>
          <w:rFonts w:ascii="Helvetica" w:hAnsi="Helvetica" w:cs="Helvetica"/>
          <w:color w:val="222222"/>
          <w:sz w:val="20"/>
          <w:szCs w:val="20"/>
          <w:lang w:eastAsia="en-AU"/>
        </w:rPr>
        <w:t xml:space="preserve"> primers specific for influenza A and AI haemagglutinin (genetic sequencing should be employed to confirm diagnosis);</w:t>
      </w:r>
    </w:p>
    <w:p w14:paraId="02901F6D"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OR</w:t>
      </w:r>
    </w:p>
    <w:p w14:paraId="6E12585C"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 xml:space="preserve">A fourfold or greater rise in antibody titre to the AI virus detected in the outbreak (or AI virus suspected of causing the human infection), based on testing of an acute serum specimen (collected 7 days or </w:t>
      </w:r>
      <w:r w:rsidRPr="009E4275">
        <w:rPr>
          <w:rFonts w:ascii="Helvetica" w:hAnsi="Helvetica" w:cs="Helvetica"/>
          <w:color w:val="222222"/>
          <w:sz w:val="20"/>
          <w:szCs w:val="20"/>
          <w:lang w:eastAsia="en-AU"/>
        </w:rPr>
        <w:lastRenderedPageBreak/>
        <w:t>less after symptom onset) and a convalescent serum specimen. The convalescent neutralizing antibody titre must also be 80 or higher.</w:t>
      </w:r>
    </w:p>
    <w:p w14:paraId="50D4B15E"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OR</w:t>
      </w:r>
    </w:p>
    <w:p w14:paraId="0AA53BF1"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An antibody titre to the AI virus detected in the outbreak (or AI virus suspected of causing the human infection) of 80 or greater in a single serum specimen collected at day 14 or later after symptom onset. The result should be confirmed in at least two different serological assays (</w:t>
      </w:r>
      <w:proofErr w:type="spellStart"/>
      <w:r w:rsidRPr="009E4275">
        <w:rPr>
          <w:rFonts w:ascii="Helvetica" w:hAnsi="Helvetica" w:cs="Helvetica"/>
          <w:color w:val="222222"/>
          <w:sz w:val="20"/>
          <w:szCs w:val="20"/>
          <w:lang w:eastAsia="en-AU"/>
        </w:rPr>
        <w:t>i.e</w:t>
      </w:r>
      <w:proofErr w:type="spellEnd"/>
      <w:r w:rsidRPr="009E4275">
        <w:rPr>
          <w:rFonts w:ascii="Helvetica" w:hAnsi="Helvetica" w:cs="Helvetica"/>
          <w:color w:val="222222"/>
          <w:sz w:val="20"/>
          <w:szCs w:val="20"/>
          <w:lang w:eastAsia="en-AU"/>
        </w:rPr>
        <w:t xml:space="preserve"> haemagglutinin-inhibition, </w:t>
      </w:r>
      <w:proofErr w:type="spellStart"/>
      <w:r w:rsidRPr="009E4275">
        <w:rPr>
          <w:rFonts w:ascii="Helvetica" w:hAnsi="Helvetica" w:cs="Helvetica"/>
          <w:color w:val="222222"/>
          <w:sz w:val="20"/>
          <w:szCs w:val="20"/>
          <w:lang w:eastAsia="en-AU"/>
        </w:rPr>
        <w:t>microneutralisation</w:t>
      </w:r>
      <w:proofErr w:type="spellEnd"/>
      <w:r w:rsidRPr="009E4275">
        <w:rPr>
          <w:rFonts w:ascii="Helvetica" w:hAnsi="Helvetica" w:cs="Helvetica"/>
          <w:color w:val="222222"/>
          <w:sz w:val="20"/>
          <w:szCs w:val="20"/>
          <w:lang w:eastAsia="en-AU"/>
        </w:rPr>
        <w:t>, positive Western blot, etc).</w:t>
      </w:r>
    </w:p>
    <w:p w14:paraId="7FF94964"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i/>
          <w:iCs/>
          <w:color w:val="222222"/>
          <w:sz w:val="20"/>
          <w:szCs w:val="20"/>
          <w:lang w:eastAsia="en-AU"/>
        </w:rPr>
        <w:t>Note</w:t>
      </w:r>
      <w:r w:rsidRPr="009E4275">
        <w:rPr>
          <w:rFonts w:ascii="Helvetica" w:hAnsi="Helvetica" w:cs="Helvetica"/>
          <w:color w:val="222222"/>
          <w:sz w:val="20"/>
          <w:szCs w:val="20"/>
          <w:lang w:eastAsia="en-AU"/>
        </w:rPr>
        <w:t xml:space="preserve">: Tests must be conducted in a national, </w:t>
      </w:r>
      <w:proofErr w:type="gramStart"/>
      <w:r w:rsidRPr="009E4275">
        <w:rPr>
          <w:rFonts w:ascii="Helvetica" w:hAnsi="Helvetica" w:cs="Helvetica"/>
          <w:color w:val="222222"/>
          <w:sz w:val="20"/>
          <w:szCs w:val="20"/>
          <w:lang w:eastAsia="en-AU"/>
        </w:rPr>
        <w:t>regional</w:t>
      </w:r>
      <w:proofErr w:type="gramEnd"/>
      <w:r w:rsidRPr="009E4275">
        <w:rPr>
          <w:rFonts w:ascii="Helvetica" w:hAnsi="Helvetica" w:cs="Helvetica"/>
          <w:color w:val="222222"/>
          <w:sz w:val="20"/>
          <w:szCs w:val="20"/>
          <w:lang w:eastAsia="en-AU"/>
        </w:rPr>
        <w:t xml:space="preserve"> or international influenza laboratory whose Avian Influenza in Humans (AIH) test results are accepted by WHO as confirmatory</w:t>
      </w:r>
    </w:p>
    <w:p w14:paraId="19816E0D" w14:textId="77777777" w:rsidR="009E4275" w:rsidRPr="009E4275" w:rsidRDefault="009E4275" w:rsidP="009E4275">
      <w:pPr>
        <w:shd w:val="clear" w:color="auto" w:fill="FFFFFF"/>
        <w:spacing w:after="120"/>
        <w:outlineLvl w:val="2"/>
        <w:rPr>
          <w:rFonts w:ascii="Open Sans" w:hAnsi="Open Sans" w:cs="Open Sans"/>
          <w:color w:val="000000"/>
          <w:sz w:val="27"/>
          <w:szCs w:val="27"/>
          <w:lang w:eastAsia="en-AU"/>
        </w:rPr>
      </w:pPr>
      <w:r w:rsidRPr="009E4275">
        <w:rPr>
          <w:rFonts w:ascii="Open Sans" w:hAnsi="Open Sans" w:cs="Open Sans"/>
          <w:color w:val="000000"/>
          <w:sz w:val="27"/>
          <w:szCs w:val="27"/>
          <w:lang w:eastAsia="en-AU"/>
        </w:rPr>
        <w:t>Clinical evidence</w:t>
      </w:r>
    </w:p>
    <w:p w14:paraId="1567B1C8"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An acute illness characterised by:</w:t>
      </w:r>
    </w:p>
    <w:p w14:paraId="461BFCF4" w14:textId="77777777" w:rsidR="009E4275" w:rsidRPr="009E4275" w:rsidRDefault="009E4275" w:rsidP="009E4275">
      <w:pPr>
        <w:numPr>
          <w:ilvl w:val="0"/>
          <w:numId w:val="20"/>
        </w:numPr>
        <w:shd w:val="clear" w:color="auto" w:fill="FFFFFF"/>
        <w:spacing w:after="9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Fever (&gt;38</w:t>
      </w:r>
      <w:proofErr w:type="gramStart"/>
      <w:r w:rsidRPr="009E4275">
        <w:rPr>
          <w:rFonts w:ascii="Helvetica" w:hAnsi="Helvetica" w:cs="Helvetica"/>
          <w:color w:val="222222"/>
          <w:sz w:val="20"/>
          <w:szCs w:val="20"/>
          <w:lang w:eastAsia="en-AU"/>
        </w:rPr>
        <w:t>ºC )</w:t>
      </w:r>
      <w:proofErr w:type="gramEnd"/>
      <w:r w:rsidRPr="009E4275">
        <w:rPr>
          <w:rFonts w:ascii="Helvetica" w:hAnsi="Helvetica" w:cs="Helvetica"/>
          <w:color w:val="222222"/>
          <w:sz w:val="20"/>
          <w:szCs w:val="20"/>
          <w:lang w:eastAsia="en-AU"/>
        </w:rPr>
        <w:t xml:space="preserve"> or history of fever AND one or more of; cough OR rhinorrhoea OR myalgia OR headache OR dyspnoea OR diarrhoea;</w:t>
      </w:r>
    </w:p>
    <w:p w14:paraId="3AC3F86E" w14:textId="77777777" w:rsidR="009E4275" w:rsidRPr="009E4275" w:rsidRDefault="009E4275" w:rsidP="009E4275">
      <w:pPr>
        <w:shd w:val="clear" w:color="auto" w:fill="FFFFFF"/>
        <w:spacing w:before="240"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OR</w:t>
      </w:r>
    </w:p>
    <w:p w14:paraId="0B1E5AFF" w14:textId="77777777" w:rsidR="009E4275" w:rsidRPr="009E4275" w:rsidRDefault="009E4275" w:rsidP="009E4275">
      <w:pPr>
        <w:numPr>
          <w:ilvl w:val="0"/>
          <w:numId w:val="21"/>
        </w:numPr>
        <w:shd w:val="clear" w:color="auto" w:fill="FFFFFF"/>
        <w:spacing w:after="9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Conjunctivitis</w:t>
      </w:r>
    </w:p>
    <w:p w14:paraId="2695A39B" w14:textId="77777777" w:rsidR="009E4275" w:rsidRPr="009E4275" w:rsidRDefault="009E4275" w:rsidP="009E4275">
      <w:pPr>
        <w:shd w:val="clear" w:color="auto" w:fill="FFFFFF"/>
        <w:spacing w:before="240"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OR</w:t>
      </w:r>
    </w:p>
    <w:p w14:paraId="33B1E5B6" w14:textId="6232D720" w:rsidR="009E4275" w:rsidRPr="009E4275" w:rsidRDefault="009E4275" w:rsidP="009E4275">
      <w:pPr>
        <w:numPr>
          <w:ilvl w:val="0"/>
          <w:numId w:val="22"/>
        </w:numPr>
        <w:shd w:val="clear" w:color="auto" w:fill="FFFFFF"/>
        <w:spacing w:after="9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infiltrates or evidence of an acute pneumonia on chest radiograph plus evidence of acute respiratory insufficiency (hypoxaemia, severe tachypnoea).</w:t>
      </w:r>
      <w:hyperlink r:id="rId12" w:anchor="top" w:history="1"/>
    </w:p>
    <w:p w14:paraId="4AC64471" w14:textId="77777777" w:rsidR="009E4275" w:rsidRPr="009E4275" w:rsidRDefault="009E4275" w:rsidP="009E4275">
      <w:pPr>
        <w:shd w:val="clear" w:color="auto" w:fill="FFFFFF"/>
        <w:spacing w:before="240" w:after="120"/>
        <w:outlineLvl w:val="1"/>
        <w:rPr>
          <w:rFonts w:ascii="Open Sans" w:hAnsi="Open Sans" w:cs="Open Sans"/>
          <w:color w:val="000000"/>
          <w:sz w:val="36"/>
          <w:szCs w:val="36"/>
          <w:lang w:eastAsia="en-AU"/>
        </w:rPr>
      </w:pPr>
      <w:r w:rsidRPr="009E4275">
        <w:rPr>
          <w:rFonts w:ascii="Open Sans" w:hAnsi="Open Sans" w:cs="Open Sans"/>
          <w:color w:val="000000"/>
          <w:sz w:val="36"/>
          <w:szCs w:val="36"/>
          <w:lang w:eastAsia="en-AU"/>
        </w:rPr>
        <w:t>Probable case</w:t>
      </w:r>
    </w:p>
    <w:p w14:paraId="333C8E46"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A probable case requires </w:t>
      </w:r>
      <w:r w:rsidRPr="009E4275">
        <w:rPr>
          <w:rFonts w:ascii="Helvetica" w:hAnsi="Helvetica" w:cs="Helvetica"/>
          <w:b/>
          <w:bCs/>
          <w:color w:val="222222"/>
          <w:sz w:val="20"/>
          <w:szCs w:val="20"/>
          <w:lang w:eastAsia="en-AU"/>
        </w:rPr>
        <w:t>laboratory suggestive evidence</w:t>
      </w:r>
      <w:r w:rsidRPr="009E4275">
        <w:rPr>
          <w:rFonts w:ascii="Helvetica" w:hAnsi="Helvetica" w:cs="Helvetica"/>
          <w:color w:val="222222"/>
          <w:sz w:val="20"/>
          <w:szCs w:val="20"/>
          <w:lang w:eastAsia="en-AU"/>
        </w:rPr>
        <w:t> AND </w:t>
      </w:r>
      <w:r w:rsidRPr="009E4275">
        <w:rPr>
          <w:rFonts w:ascii="Helvetica" w:hAnsi="Helvetica" w:cs="Helvetica"/>
          <w:b/>
          <w:bCs/>
          <w:color w:val="222222"/>
          <w:sz w:val="20"/>
          <w:szCs w:val="20"/>
          <w:lang w:eastAsia="en-AU"/>
        </w:rPr>
        <w:t>Clinical evidence</w:t>
      </w:r>
      <w:r w:rsidRPr="009E4275">
        <w:rPr>
          <w:rFonts w:ascii="Helvetica" w:hAnsi="Helvetica" w:cs="Helvetica"/>
          <w:color w:val="222222"/>
          <w:sz w:val="20"/>
          <w:szCs w:val="20"/>
          <w:lang w:eastAsia="en-AU"/>
        </w:rPr>
        <w:t> AND </w:t>
      </w:r>
      <w:r w:rsidRPr="009E4275">
        <w:rPr>
          <w:rFonts w:ascii="Helvetica" w:hAnsi="Helvetica" w:cs="Helvetica"/>
          <w:b/>
          <w:bCs/>
          <w:color w:val="222222"/>
          <w:sz w:val="20"/>
          <w:szCs w:val="20"/>
          <w:lang w:eastAsia="en-AU"/>
        </w:rPr>
        <w:t>Epidemiological evidence</w:t>
      </w:r>
    </w:p>
    <w:p w14:paraId="352AEA7F" w14:textId="77777777" w:rsidR="009E4275" w:rsidRPr="009E4275" w:rsidRDefault="009E4275" w:rsidP="009E4275">
      <w:pPr>
        <w:shd w:val="clear" w:color="auto" w:fill="FFFFFF"/>
        <w:spacing w:after="120"/>
        <w:outlineLvl w:val="2"/>
        <w:rPr>
          <w:rFonts w:ascii="Open Sans" w:hAnsi="Open Sans" w:cs="Open Sans"/>
          <w:color w:val="000000"/>
          <w:sz w:val="27"/>
          <w:szCs w:val="27"/>
          <w:lang w:eastAsia="en-AU"/>
        </w:rPr>
      </w:pPr>
      <w:r w:rsidRPr="009E4275">
        <w:rPr>
          <w:rFonts w:ascii="Open Sans" w:hAnsi="Open Sans" w:cs="Open Sans"/>
          <w:color w:val="000000"/>
          <w:sz w:val="27"/>
          <w:szCs w:val="27"/>
          <w:lang w:eastAsia="en-AU"/>
        </w:rPr>
        <w:t>Laboratory suggestive evidence</w:t>
      </w:r>
    </w:p>
    <w:p w14:paraId="4A72E686"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Confirmation of an influenza A infection but insufficient laboratory evidence for AIH infection.</w:t>
      </w:r>
    </w:p>
    <w:p w14:paraId="35027B19" w14:textId="77777777" w:rsidR="009E4275" w:rsidRPr="009E4275" w:rsidRDefault="009E4275" w:rsidP="009E4275">
      <w:pPr>
        <w:shd w:val="clear" w:color="auto" w:fill="FFFFFF"/>
        <w:spacing w:after="120"/>
        <w:outlineLvl w:val="2"/>
        <w:rPr>
          <w:rFonts w:ascii="Open Sans" w:hAnsi="Open Sans" w:cs="Open Sans"/>
          <w:color w:val="000000"/>
          <w:sz w:val="27"/>
          <w:szCs w:val="27"/>
          <w:lang w:eastAsia="en-AU"/>
        </w:rPr>
      </w:pPr>
      <w:r w:rsidRPr="009E4275">
        <w:rPr>
          <w:rFonts w:ascii="Open Sans" w:hAnsi="Open Sans" w:cs="Open Sans"/>
          <w:color w:val="000000"/>
          <w:sz w:val="27"/>
          <w:szCs w:val="27"/>
          <w:lang w:eastAsia="en-AU"/>
        </w:rPr>
        <w:t>Clinical evidence</w:t>
      </w:r>
    </w:p>
    <w:p w14:paraId="3B392E72"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As with </w:t>
      </w:r>
      <w:r w:rsidRPr="009E4275">
        <w:rPr>
          <w:rFonts w:ascii="Helvetica" w:hAnsi="Helvetica" w:cs="Helvetica"/>
          <w:b/>
          <w:bCs/>
          <w:color w:val="222222"/>
          <w:sz w:val="20"/>
          <w:szCs w:val="20"/>
          <w:lang w:eastAsia="en-AU"/>
        </w:rPr>
        <w:t>confirmed case</w:t>
      </w:r>
    </w:p>
    <w:p w14:paraId="1BB7A661" w14:textId="77777777" w:rsidR="009E4275" w:rsidRPr="009E4275" w:rsidRDefault="009E4275" w:rsidP="009E4275">
      <w:pPr>
        <w:shd w:val="clear" w:color="auto" w:fill="FFFFFF"/>
        <w:spacing w:after="120"/>
        <w:outlineLvl w:val="2"/>
        <w:rPr>
          <w:rFonts w:ascii="Open Sans" w:hAnsi="Open Sans" w:cs="Open Sans"/>
          <w:color w:val="000000"/>
          <w:sz w:val="27"/>
          <w:szCs w:val="27"/>
          <w:lang w:eastAsia="en-AU"/>
        </w:rPr>
      </w:pPr>
      <w:r w:rsidRPr="009E4275">
        <w:rPr>
          <w:rFonts w:ascii="Open Sans" w:hAnsi="Open Sans" w:cs="Open Sans"/>
          <w:color w:val="000000"/>
          <w:sz w:val="27"/>
          <w:szCs w:val="27"/>
          <w:lang w:eastAsia="en-AU"/>
        </w:rPr>
        <w:t>Epidemiological evidence</w:t>
      </w:r>
    </w:p>
    <w:p w14:paraId="6F769E58"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One or more of the following exposures in the 10 days prior to symptom onset:</w:t>
      </w:r>
    </w:p>
    <w:p w14:paraId="34A57E45" w14:textId="77777777" w:rsidR="009E4275" w:rsidRPr="009E4275" w:rsidRDefault="009E4275" w:rsidP="009E4275">
      <w:pPr>
        <w:numPr>
          <w:ilvl w:val="0"/>
          <w:numId w:val="23"/>
        </w:numPr>
        <w:shd w:val="clear" w:color="auto" w:fill="FFFFFF"/>
        <w:spacing w:after="9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Close contact (within 1 metre) with a person (</w:t>
      </w:r>
      <w:proofErr w:type="gramStart"/>
      <w:r w:rsidRPr="009E4275">
        <w:rPr>
          <w:rFonts w:ascii="Helvetica" w:hAnsi="Helvetica" w:cs="Helvetica"/>
          <w:color w:val="222222"/>
          <w:sz w:val="20"/>
          <w:szCs w:val="20"/>
          <w:lang w:eastAsia="en-AU"/>
        </w:rPr>
        <w:t>e.g.</w:t>
      </w:r>
      <w:proofErr w:type="gramEnd"/>
      <w:r w:rsidRPr="009E4275">
        <w:rPr>
          <w:rFonts w:ascii="Helvetica" w:hAnsi="Helvetica" w:cs="Helvetica"/>
          <w:color w:val="222222"/>
          <w:sz w:val="20"/>
          <w:szCs w:val="20"/>
          <w:lang w:eastAsia="en-AU"/>
        </w:rPr>
        <w:t xml:space="preserve"> caring for, speaking with, or touching) who is a probable, or confirmed AIH case;</w:t>
      </w:r>
    </w:p>
    <w:p w14:paraId="4BE9F0E9" w14:textId="77777777" w:rsidR="009E4275" w:rsidRPr="009E4275" w:rsidRDefault="009E4275" w:rsidP="009E4275">
      <w:pPr>
        <w:numPr>
          <w:ilvl w:val="0"/>
          <w:numId w:val="23"/>
        </w:numPr>
        <w:shd w:val="clear" w:color="auto" w:fill="FFFFFF"/>
        <w:spacing w:after="9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lastRenderedPageBreak/>
        <w:t>Exposure (</w:t>
      </w:r>
      <w:proofErr w:type="gramStart"/>
      <w:r w:rsidRPr="009E4275">
        <w:rPr>
          <w:rFonts w:ascii="Helvetica" w:hAnsi="Helvetica" w:cs="Helvetica"/>
          <w:color w:val="222222"/>
          <w:sz w:val="20"/>
          <w:szCs w:val="20"/>
          <w:lang w:eastAsia="en-AU"/>
        </w:rPr>
        <w:t>e.g.</w:t>
      </w:r>
      <w:proofErr w:type="gramEnd"/>
      <w:r w:rsidRPr="009E4275">
        <w:rPr>
          <w:rFonts w:ascii="Helvetica" w:hAnsi="Helvetica" w:cs="Helvetica"/>
          <w:color w:val="222222"/>
          <w:sz w:val="20"/>
          <w:szCs w:val="20"/>
          <w:lang w:eastAsia="en-AU"/>
        </w:rPr>
        <w:t xml:space="preserve"> handling, slaughtering, defeathering, butchering, preparation for consumption) to poultry or wild birds or their remains or to environments contaminated by their faeces in an area where AI infections in animals or humans have been suspected or confirmed in the last month;</w:t>
      </w:r>
    </w:p>
    <w:p w14:paraId="68CBFE4C" w14:textId="77777777" w:rsidR="009E4275" w:rsidRPr="009E4275" w:rsidRDefault="009E4275" w:rsidP="009E4275">
      <w:pPr>
        <w:numPr>
          <w:ilvl w:val="0"/>
          <w:numId w:val="23"/>
        </w:numPr>
        <w:shd w:val="clear" w:color="auto" w:fill="FFFFFF"/>
        <w:spacing w:after="9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 xml:space="preserve">Consumption of raw or undercooked poultry products in an area where AI infections in animals or humans have been suspected or confirmed in the last </w:t>
      </w:r>
      <w:proofErr w:type="gramStart"/>
      <w:r w:rsidRPr="009E4275">
        <w:rPr>
          <w:rFonts w:ascii="Helvetica" w:hAnsi="Helvetica" w:cs="Helvetica"/>
          <w:color w:val="222222"/>
          <w:sz w:val="20"/>
          <w:szCs w:val="20"/>
          <w:lang w:eastAsia="en-AU"/>
        </w:rPr>
        <w:t>month;</w:t>
      </w:r>
      <w:proofErr w:type="gramEnd"/>
    </w:p>
    <w:p w14:paraId="74E799C6" w14:textId="77777777" w:rsidR="009E4275" w:rsidRPr="009E4275" w:rsidRDefault="009E4275" w:rsidP="009E4275">
      <w:pPr>
        <w:numPr>
          <w:ilvl w:val="0"/>
          <w:numId w:val="23"/>
        </w:numPr>
        <w:shd w:val="clear" w:color="auto" w:fill="FFFFFF"/>
        <w:spacing w:after="9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Close contact with a confirmed AI infected animal other than poultry or wild birds (</w:t>
      </w:r>
      <w:proofErr w:type="gramStart"/>
      <w:r w:rsidRPr="009E4275">
        <w:rPr>
          <w:rFonts w:ascii="Helvetica" w:hAnsi="Helvetica" w:cs="Helvetica"/>
          <w:color w:val="222222"/>
          <w:sz w:val="20"/>
          <w:szCs w:val="20"/>
          <w:lang w:eastAsia="en-AU"/>
        </w:rPr>
        <w:t>e.g.</w:t>
      </w:r>
      <w:proofErr w:type="gramEnd"/>
      <w:r w:rsidRPr="009E4275">
        <w:rPr>
          <w:rFonts w:ascii="Helvetica" w:hAnsi="Helvetica" w:cs="Helvetica"/>
          <w:color w:val="222222"/>
          <w:sz w:val="20"/>
          <w:szCs w:val="20"/>
          <w:lang w:eastAsia="en-AU"/>
        </w:rPr>
        <w:t xml:space="preserve"> cat or pig);</w:t>
      </w:r>
    </w:p>
    <w:p w14:paraId="74033DE8" w14:textId="77777777" w:rsidR="009E4275" w:rsidRPr="009E4275" w:rsidRDefault="009E4275" w:rsidP="009E4275">
      <w:pPr>
        <w:numPr>
          <w:ilvl w:val="0"/>
          <w:numId w:val="23"/>
        </w:numPr>
        <w:shd w:val="clear" w:color="auto" w:fill="FFFFFF"/>
        <w:spacing w:after="9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Handling samples (animal or human) suspected of containing AI virus in a laboratory or other setting.</w:t>
      </w:r>
    </w:p>
    <w:p w14:paraId="3B6AEC96" w14:textId="77777777" w:rsidR="009E4275" w:rsidRPr="009E4275" w:rsidRDefault="009E4275" w:rsidP="009E4275">
      <w:pPr>
        <w:shd w:val="clear" w:color="auto" w:fill="FFFFFF"/>
        <w:spacing w:after="120"/>
        <w:outlineLvl w:val="1"/>
        <w:rPr>
          <w:rFonts w:ascii="Open Sans" w:hAnsi="Open Sans" w:cs="Open Sans"/>
          <w:color w:val="000000"/>
          <w:sz w:val="36"/>
          <w:szCs w:val="36"/>
          <w:lang w:eastAsia="en-AU"/>
        </w:rPr>
      </w:pPr>
      <w:r w:rsidRPr="009E4275">
        <w:rPr>
          <w:rFonts w:ascii="Open Sans" w:hAnsi="Open Sans" w:cs="Open Sans"/>
          <w:color w:val="000000"/>
          <w:sz w:val="36"/>
          <w:szCs w:val="36"/>
          <w:lang w:eastAsia="en-AU"/>
        </w:rPr>
        <w:t>Suspected case</w:t>
      </w:r>
    </w:p>
    <w:p w14:paraId="10030159"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A suspected case requires </w:t>
      </w:r>
      <w:r w:rsidRPr="009E4275">
        <w:rPr>
          <w:rFonts w:ascii="Helvetica" w:hAnsi="Helvetica" w:cs="Helvetica"/>
          <w:b/>
          <w:bCs/>
          <w:color w:val="222222"/>
          <w:sz w:val="20"/>
          <w:szCs w:val="20"/>
          <w:lang w:eastAsia="en-AU"/>
        </w:rPr>
        <w:t>clinical evidence</w:t>
      </w:r>
      <w:r w:rsidRPr="009E4275">
        <w:rPr>
          <w:rFonts w:ascii="Helvetica" w:hAnsi="Helvetica" w:cs="Helvetica"/>
          <w:color w:val="222222"/>
          <w:sz w:val="20"/>
          <w:szCs w:val="20"/>
          <w:lang w:eastAsia="en-AU"/>
        </w:rPr>
        <w:t> AND </w:t>
      </w:r>
      <w:r w:rsidRPr="009E4275">
        <w:rPr>
          <w:rFonts w:ascii="Helvetica" w:hAnsi="Helvetica" w:cs="Helvetica"/>
          <w:b/>
          <w:bCs/>
          <w:color w:val="222222"/>
          <w:sz w:val="20"/>
          <w:szCs w:val="20"/>
          <w:lang w:eastAsia="en-AU"/>
        </w:rPr>
        <w:t>epidemiological evidence</w:t>
      </w:r>
    </w:p>
    <w:p w14:paraId="5E57786A" w14:textId="77777777" w:rsidR="009E4275" w:rsidRPr="009E4275" w:rsidRDefault="009E4275" w:rsidP="009E4275">
      <w:pPr>
        <w:shd w:val="clear" w:color="auto" w:fill="FFFFFF"/>
        <w:spacing w:after="120"/>
        <w:outlineLvl w:val="2"/>
        <w:rPr>
          <w:rFonts w:ascii="Open Sans" w:hAnsi="Open Sans" w:cs="Open Sans"/>
          <w:color w:val="000000"/>
          <w:sz w:val="27"/>
          <w:szCs w:val="27"/>
          <w:lang w:eastAsia="en-AU"/>
        </w:rPr>
      </w:pPr>
      <w:r w:rsidRPr="009E4275">
        <w:rPr>
          <w:rFonts w:ascii="Open Sans" w:hAnsi="Open Sans" w:cs="Open Sans"/>
          <w:color w:val="000000"/>
          <w:sz w:val="27"/>
          <w:szCs w:val="27"/>
          <w:lang w:eastAsia="en-AU"/>
        </w:rPr>
        <w:t>Clinical evidence for suspected case</w:t>
      </w:r>
    </w:p>
    <w:p w14:paraId="5CB3667A"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As with </w:t>
      </w:r>
      <w:r w:rsidRPr="009E4275">
        <w:rPr>
          <w:rFonts w:ascii="Helvetica" w:hAnsi="Helvetica" w:cs="Helvetica"/>
          <w:b/>
          <w:bCs/>
          <w:color w:val="222222"/>
          <w:sz w:val="20"/>
          <w:szCs w:val="20"/>
          <w:lang w:eastAsia="en-AU"/>
        </w:rPr>
        <w:t>confirmed case</w:t>
      </w:r>
    </w:p>
    <w:p w14:paraId="696F4CB4" w14:textId="77777777" w:rsidR="009E4275" w:rsidRPr="009E4275" w:rsidRDefault="009E4275" w:rsidP="009E4275">
      <w:pPr>
        <w:shd w:val="clear" w:color="auto" w:fill="FFFFFF"/>
        <w:spacing w:after="120"/>
        <w:outlineLvl w:val="2"/>
        <w:rPr>
          <w:rFonts w:ascii="Open Sans" w:hAnsi="Open Sans" w:cs="Open Sans"/>
          <w:color w:val="000000"/>
          <w:sz w:val="27"/>
          <w:szCs w:val="27"/>
          <w:lang w:eastAsia="en-AU"/>
        </w:rPr>
      </w:pPr>
      <w:r w:rsidRPr="009E4275">
        <w:rPr>
          <w:rFonts w:ascii="Open Sans" w:hAnsi="Open Sans" w:cs="Open Sans"/>
          <w:color w:val="000000"/>
          <w:sz w:val="27"/>
          <w:szCs w:val="27"/>
          <w:lang w:eastAsia="en-AU"/>
        </w:rPr>
        <w:t>Epidemiological evidence</w:t>
      </w:r>
    </w:p>
    <w:p w14:paraId="6DDE954A" w14:textId="77777777" w:rsidR="009E4275"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color w:val="222222"/>
          <w:sz w:val="20"/>
          <w:szCs w:val="20"/>
          <w:lang w:eastAsia="en-AU"/>
        </w:rPr>
        <w:t>As with </w:t>
      </w:r>
      <w:r w:rsidRPr="009E4275">
        <w:rPr>
          <w:rFonts w:ascii="Helvetica" w:hAnsi="Helvetica" w:cs="Helvetica"/>
          <w:b/>
          <w:bCs/>
          <w:color w:val="222222"/>
          <w:sz w:val="20"/>
          <w:szCs w:val="20"/>
          <w:lang w:eastAsia="en-AU"/>
        </w:rPr>
        <w:t>probable case</w:t>
      </w:r>
    </w:p>
    <w:p w14:paraId="642559C7" w14:textId="38BB46C2" w:rsidR="009E0B84" w:rsidRPr="009E4275" w:rsidRDefault="009E4275" w:rsidP="009E4275">
      <w:pPr>
        <w:shd w:val="clear" w:color="auto" w:fill="FFFFFF"/>
        <w:spacing w:after="240" w:line="300" w:lineRule="atLeast"/>
        <w:rPr>
          <w:rFonts w:ascii="Helvetica" w:hAnsi="Helvetica" w:cs="Helvetica"/>
          <w:color w:val="222222"/>
          <w:sz w:val="20"/>
          <w:szCs w:val="20"/>
          <w:lang w:eastAsia="en-AU"/>
        </w:rPr>
      </w:pPr>
      <w:r w:rsidRPr="009E4275">
        <w:rPr>
          <w:rFonts w:ascii="Helvetica" w:hAnsi="Helvetica" w:cs="Helvetica"/>
          <w:i/>
          <w:iCs/>
          <w:color w:val="222222"/>
          <w:sz w:val="20"/>
          <w:szCs w:val="20"/>
          <w:lang w:eastAsia="en-AU"/>
        </w:rPr>
        <w:t>Note:</w:t>
      </w:r>
      <w:r w:rsidRPr="009E4275">
        <w:rPr>
          <w:rFonts w:ascii="Helvetica" w:hAnsi="Helvetica" w:cs="Helvetica"/>
          <w:color w:val="222222"/>
          <w:sz w:val="20"/>
          <w:szCs w:val="20"/>
          <w:lang w:eastAsia="en-AU"/>
        </w:rPr>
        <w:t> For overseas exposures, an AI-affected area is defined as a region within a country with confirmed outbreaks of AI strains in birds or detected in humans in the last month (seek advice from the National Incident Room when in doubt). With respect to the H5N1 AI outbreak that commenced in Asia in 2003, information regarding H5-affected countries is available from the World Health Organization Global Health Observatory Map Gallery (http://gamapserver.who.int/mapLibrary/). With respect to the H7N9 outbreak that commenced in eastern China in 2013, information regarding H7-affected countries is available from the World Health Organization Avian influenza web site (http://www.who.int/influenza/human_animal_interface/influenza_h7n9/en/).</w:t>
      </w:r>
    </w:p>
    <w:sectPr w:rsidR="009E0B84" w:rsidRPr="009E4275" w:rsidSect="00022629">
      <w:footerReference w:type="default" r:id="rId13"/>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F884F" w14:textId="77777777" w:rsidR="009E4275" w:rsidRDefault="009E4275" w:rsidP="006B56BB">
      <w:r>
        <w:separator/>
      </w:r>
    </w:p>
    <w:p w14:paraId="4E1CE523" w14:textId="77777777" w:rsidR="009E4275" w:rsidRDefault="009E4275"/>
  </w:endnote>
  <w:endnote w:type="continuationSeparator" w:id="0">
    <w:p w14:paraId="2610F23B" w14:textId="77777777" w:rsidR="009E4275" w:rsidRDefault="009E4275" w:rsidP="006B56BB">
      <w:r>
        <w:continuationSeparator/>
      </w:r>
    </w:p>
    <w:p w14:paraId="73299B32" w14:textId="77777777" w:rsidR="009E4275" w:rsidRDefault="009E4275"/>
  </w:endnote>
  <w:endnote w:type="continuationNotice" w:id="1">
    <w:p w14:paraId="4215BB05" w14:textId="77777777" w:rsidR="009E4275" w:rsidRDefault="009E4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14:paraId="13622A1C" w14:textId="4551BB27" w:rsidR="00CD407A" w:rsidRDefault="009E4275" w:rsidP="009E4275">
            <w:pPr>
              <w:pStyle w:val="Footer"/>
              <w:jc w:val="right"/>
            </w:pPr>
            <w:r w:rsidRPr="009E4275">
              <w:t>Avian influenza in humans (AIH)</w:t>
            </w:r>
            <w:r>
              <w:t xml:space="preserve"> </w:t>
            </w:r>
            <w:r w:rsidR="00076AD6">
              <w:t xml:space="preserve">– </w:t>
            </w:r>
            <w:r w:rsidR="00800DEB">
              <w:t>Surveillance</w:t>
            </w:r>
            <w:r w:rsidR="00076AD6">
              <w:t xml:space="preserve">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B0708" w14:textId="77777777" w:rsidR="009E4275" w:rsidRDefault="009E4275" w:rsidP="006B56BB">
      <w:r>
        <w:separator/>
      </w:r>
    </w:p>
    <w:p w14:paraId="1F89895D" w14:textId="77777777" w:rsidR="009E4275" w:rsidRDefault="009E4275"/>
  </w:footnote>
  <w:footnote w:type="continuationSeparator" w:id="0">
    <w:p w14:paraId="6B9649D4" w14:textId="77777777" w:rsidR="009E4275" w:rsidRDefault="009E4275" w:rsidP="006B56BB">
      <w:r>
        <w:continuationSeparator/>
      </w:r>
    </w:p>
    <w:p w14:paraId="7F9B4379" w14:textId="77777777" w:rsidR="009E4275" w:rsidRDefault="009E4275"/>
  </w:footnote>
  <w:footnote w:type="continuationNotice" w:id="1">
    <w:p w14:paraId="5F96D0A0" w14:textId="77777777" w:rsidR="009E4275" w:rsidRDefault="009E42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0E58C0"/>
    <w:multiLevelType w:val="multilevel"/>
    <w:tmpl w:val="2EE2F5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A5143D9"/>
    <w:multiLevelType w:val="multilevel"/>
    <w:tmpl w:val="3AA41E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0F46C1B"/>
    <w:multiLevelType w:val="multilevel"/>
    <w:tmpl w:val="286E92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EA42C7"/>
    <w:multiLevelType w:val="multilevel"/>
    <w:tmpl w:val="26DE8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4"/>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1"/>
  </w:num>
  <w:num w:numId="18">
    <w:abstractNumId w:val="12"/>
  </w:num>
  <w:num w:numId="19">
    <w:abstractNumId w:val="13"/>
  </w:num>
  <w:num w:numId="20">
    <w:abstractNumId w:val="20"/>
  </w:num>
  <w:num w:numId="21">
    <w:abstractNumId w:val="15"/>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75"/>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16E8"/>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00DEB"/>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4275"/>
    <w:rsid w:val="009E6F7E"/>
    <w:rsid w:val="009E7A57"/>
    <w:rsid w:val="009F4803"/>
    <w:rsid w:val="009F4F6A"/>
    <w:rsid w:val="00A13EB5"/>
    <w:rsid w:val="00A16E36"/>
    <w:rsid w:val="00A24961"/>
    <w:rsid w:val="00A24B10"/>
    <w:rsid w:val="00A277EF"/>
    <w:rsid w:val="00A30E9B"/>
    <w:rsid w:val="00A42AD3"/>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4926"/>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D361A"/>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69660"/>
  <w15:docId w15:val="{411FADA8-D5D1-4417-83CC-CD437411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2Char">
    <w:name w:val="Heading 2 Char"/>
    <w:basedOn w:val="DefaultParagraphFont"/>
    <w:link w:val="Heading2"/>
    <w:uiPriority w:val="9"/>
    <w:rsid w:val="009E4275"/>
    <w:rPr>
      <w:rFonts w:ascii="Arial" w:hAnsi="Arial" w:cs="Arial"/>
      <w:bCs/>
      <w:iCs/>
      <w:color w:val="358189"/>
      <w:sz w:val="32"/>
      <w:szCs w:val="28"/>
      <w:lang w:eastAsia="en-US"/>
    </w:rPr>
  </w:style>
  <w:style w:type="character" w:customStyle="1" w:styleId="Heading3Char">
    <w:name w:val="Heading 3 Char"/>
    <w:basedOn w:val="DefaultParagraphFont"/>
    <w:link w:val="Heading3"/>
    <w:uiPriority w:val="9"/>
    <w:rsid w:val="009E4275"/>
    <w:rPr>
      <w:rFonts w:ascii="Arial" w:hAnsi="Arial" w:cs="Arial"/>
      <w:bCs/>
      <w:color w:val="358189"/>
      <w:sz w:val="24"/>
      <w:szCs w:val="26"/>
      <w:lang w:eastAsia="en-US"/>
    </w:rPr>
  </w:style>
  <w:style w:type="paragraph" w:styleId="NormalWeb">
    <w:name w:val="Normal (Web)"/>
    <w:basedOn w:val="Normal"/>
    <w:uiPriority w:val="99"/>
    <w:semiHidden/>
    <w:unhideWhenUsed/>
    <w:rsid w:val="009E4275"/>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0658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health.gov.au/internet/main/publishing.nsf/Content/cda-nndss-casedef-avian-flu.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Surveillance%20Case%20Definitions\CDNA%20surveillance%20case%20definition%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Props1.xml><?xml version="1.0" encoding="utf-8"?>
<ds:datastoreItem xmlns:ds="http://schemas.openxmlformats.org/officeDocument/2006/customXml" ds:itemID="{DF97B457-EFA6-42F9-8DD7-148F78380255}"/>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dcf7b372-aaaa-46d8-9da6-ade9aab953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CDNA surveillance case definition template.dotx</Template>
  <TotalTime>3</TotalTime>
  <Pages>3</Pages>
  <Words>646</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Surveillance case definition</vt:lpstr>
    </vt:vector>
  </TitlesOfParts>
  <Company>Dept Health And Ageing</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Avian influenza in humans (AIH) – Surveillance case definition</dc:title>
  <dc:creator>Communicable Diseases Network Australia</dc:creator>
  <cp:keywords>Communicable diseases</cp:keywords>
  <cp:lastModifiedBy>ARNOLD, Max</cp:lastModifiedBy>
  <cp:revision>2</cp:revision>
  <dcterms:created xsi:type="dcterms:W3CDTF">2022-06-07T00:58:00Z</dcterms:created>
  <dcterms:modified xsi:type="dcterms:W3CDTF">2022-06-07T01:01:00Z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