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0F986" w14:textId="77777777" w:rsidR="00503CBD" w:rsidRDefault="00D66D4D" w:rsidP="00F32964">
      <w:pPr>
        <w:pStyle w:val="BodyCopy"/>
      </w:pPr>
      <w:r>
        <w:rPr>
          <w:noProof/>
          <w:lang w:eastAsia="en-AU"/>
        </w:rPr>
        <mc:AlternateContent>
          <mc:Choice Requires="wps">
            <w:drawing>
              <wp:inline distT="0" distB="0" distL="0" distR="0" wp14:anchorId="681AAF23" wp14:editId="262561D0">
                <wp:extent cx="3314700" cy="2191385"/>
                <wp:effectExtent l="0" t="0" r="0" b="0"/>
                <wp:docPr id="8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2191385"/>
                        </a:xfrm>
                        <a:custGeom>
                          <a:avLst/>
                          <a:gdLst>
                            <a:gd name="T0" fmla="*/ 91 w 4196"/>
                            <a:gd name="T1" fmla="*/ 0 h 2722"/>
                            <a:gd name="T2" fmla="*/ 0 w 4196"/>
                            <a:gd name="T3" fmla="*/ 91 h 2722"/>
                            <a:gd name="T4" fmla="*/ 0 w 4196"/>
                            <a:gd name="T5" fmla="*/ 2631 h 2722"/>
                            <a:gd name="T6" fmla="*/ 91 w 4196"/>
                            <a:gd name="T7" fmla="*/ 2722 h 2722"/>
                            <a:gd name="T8" fmla="*/ 4105 w 4196"/>
                            <a:gd name="T9" fmla="*/ 2722 h 2722"/>
                            <a:gd name="T10" fmla="*/ 4196 w 4196"/>
                            <a:gd name="T11" fmla="*/ 2631 h 2722"/>
                            <a:gd name="T12" fmla="*/ 4196 w 4196"/>
                            <a:gd name="T13" fmla="*/ 91 h 2722"/>
                            <a:gd name="T14" fmla="*/ 4105 w 4196"/>
                            <a:gd name="T15" fmla="*/ 0 h 2722"/>
                            <a:gd name="T16" fmla="*/ 91 w 4196"/>
                            <a:gd name="T17" fmla="*/ 0 h 2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96" h="2722">
                              <a:moveTo>
                                <a:pt x="91" y="0"/>
                              </a:moveTo>
                              <a:cubicBezTo>
                                <a:pt x="91" y="0"/>
                                <a:pt x="0" y="0"/>
                                <a:pt x="0" y="91"/>
                              </a:cubicBezTo>
                              <a:lnTo>
                                <a:pt x="0" y="2631"/>
                              </a:lnTo>
                              <a:cubicBezTo>
                                <a:pt x="0" y="2631"/>
                                <a:pt x="0" y="2722"/>
                                <a:pt x="91" y="2722"/>
                              </a:cubicBezTo>
                              <a:lnTo>
                                <a:pt x="4105" y="2722"/>
                              </a:lnTo>
                              <a:cubicBezTo>
                                <a:pt x="4105" y="2722"/>
                                <a:pt x="4196" y="2722"/>
                                <a:pt x="4196" y="2631"/>
                              </a:cubicBezTo>
                              <a:lnTo>
                                <a:pt x="4196" y="91"/>
                              </a:lnTo>
                              <a:cubicBezTo>
                                <a:pt x="4196" y="91"/>
                                <a:pt x="4196" y="0"/>
                                <a:pt x="4105" y="0"/>
                              </a:cubicBezTo>
                              <a:lnTo>
                                <a:pt x="91" y="0"/>
                              </a:lnTo>
                              <a:close/>
                            </a:path>
                          </a:pathLst>
                        </a:custGeom>
                        <a:solidFill>
                          <a:sysClr val="window" lastClr="FFFFFF"/>
                        </a:solidFill>
                        <a:ln w="0">
                          <a:noFill/>
                          <a:prstDash val="solid"/>
                          <a:round/>
                          <a:headEnd/>
                          <a:tailEnd/>
                        </a:ln>
                      </wps:spPr>
                      <wps:txbx>
                        <w:txbxContent>
                          <w:tbl>
                            <w:tblPr>
                              <w:tblOverlap w:val="never"/>
                              <w:tblW w:w="0" w:type="auto"/>
                              <w:tblBorders>
                                <w:top w:val="single" w:sz="8"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79"/>
                            </w:tblGrid>
                            <w:tr w:rsidR="00F94A89" w:rsidRPr="003E0E7D" w14:paraId="5CCCF895" w14:textId="77777777" w:rsidTr="003E0E7D">
                              <w:trPr>
                                <w:cantSplit/>
                                <w:trHeight w:val="25"/>
                              </w:trPr>
                              <w:tc>
                                <w:tcPr>
                                  <w:tcW w:w="4579" w:type="dxa"/>
                                  <w:tcBorders>
                                    <w:top w:val="single" w:sz="8" w:space="0" w:color="000000"/>
                                    <w:bottom w:val="single" w:sz="4" w:space="0" w:color="000000"/>
                                  </w:tcBorders>
                                  <w:shd w:val="clear" w:color="auto" w:fill="auto"/>
                                  <w:tcMar>
                                    <w:top w:w="170" w:type="dxa"/>
                                  </w:tcMar>
                                </w:tcPr>
                                <w:p w14:paraId="6636BBBC" w14:textId="77777777" w:rsidR="00F94A89" w:rsidRPr="003E0E7D" w:rsidRDefault="00F94A89" w:rsidP="003E0E7D">
                                  <w:pPr>
                                    <w:suppressOverlap/>
                                  </w:pPr>
                                  <w:r w:rsidRPr="003E0E7D">
                                    <w:rPr>
                                      <w:rFonts w:ascii="Franklin Gothic Book" w:hAnsi="Franklin Gothic Book"/>
                                      <w:caps/>
                                      <w:sz w:val="24"/>
                                    </w:rPr>
                                    <w:t>Department of Health</w:t>
                                  </w:r>
                                </w:p>
                              </w:tc>
                            </w:tr>
                            <w:tr w:rsidR="00F94A89" w:rsidRPr="003E0E7D" w14:paraId="687FE353" w14:textId="77777777" w:rsidTr="003E0E7D">
                              <w:trPr>
                                <w:cantSplit/>
                                <w:trHeight w:val="1368"/>
                              </w:trPr>
                              <w:tc>
                                <w:tcPr>
                                  <w:tcW w:w="4579" w:type="dxa"/>
                                  <w:tcBorders>
                                    <w:top w:val="single" w:sz="4" w:space="0" w:color="000000"/>
                                  </w:tcBorders>
                                  <w:shd w:val="clear" w:color="auto" w:fill="auto"/>
                                  <w:tcMar>
                                    <w:top w:w="142" w:type="dxa"/>
                                  </w:tcMar>
                                </w:tcPr>
                                <w:p w14:paraId="3E694B70" w14:textId="77777777" w:rsidR="00F94A89" w:rsidRPr="003E0E7D" w:rsidRDefault="00F94A89" w:rsidP="003E0E7D">
                                  <w:pPr>
                                    <w:suppressOverlap/>
                                  </w:pPr>
                                  <w:r w:rsidRPr="003E0E7D">
                                    <w:rPr>
                                      <w:rFonts w:ascii="Franklin Gothic Demi" w:hAnsi="Franklin Gothic Demi"/>
                                      <w:spacing w:val="-4"/>
                                      <w:sz w:val="36"/>
                                    </w:rPr>
                                    <w:t>Review of Commonwealth Funding of Services to Support the Diagnosis and Screening of Blood Borne Viruses</w:t>
                                  </w:r>
                                </w:p>
                              </w:tc>
                            </w:tr>
                            <w:tr w:rsidR="00F94A89" w:rsidRPr="003E0E7D" w14:paraId="09103840" w14:textId="77777777" w:rsidTr="003E0E7D">
                              <w:trPr>
                                <w:cantSplit/>
                                <w:trHeight w:val="425"/>
                              </w:trPr>
                              <w:tc>
                                <w:tcPr>
                                  <w:tcW w:w="4579" w:type="dxa"/>
                                  <w:tcBorders>
                                    <w:bottom w:val="single" w:sz="4" w:space="0" w:color="000000"/>
                                  </w:tcBorders>
                                  <w:shd w:val="clear" w:color="auto" w:fill="auto"/>
                                </w:tcPr>
                                <w:p w14:paraId="0D40C69D" w14:textId="77777777" w:rsidR="00F94A89" w:rsidRPr="003E0E7D" w:rsidRDefault="00F94A89" w:rsidP="003E0E7D">
                                  <w:pPr>
                                    <w:spacing w:after="142"/>
                                    <w:suppressOverlap/>
                                  </w:pPr>
                                  <w:r w:rsidRPr="003E0E7D">
                                    <w:rPr>
                                      <w:rStyle w:val="DocumentInfoChar"/>
                                    </w:rPr>
                                    <w:t>Final Report</w:t>
                                  </w:r>
                                </w:p>
                              </w:tc>
                            </w:tr>
                            <w:tr w:rsidR="00F94A89" w:rsidRPr="003E0E7D" w14:paraId="1FECEFC5" w14:textId="77777777" w:rsidTr="003E0E7D">
                              <w:trPr>
                                <w:cantSplit/>
                                <w:trHeight w:val="30"/>
                              </w:trPr>
                              <w:tc>
                                <w:tcPr>
                                  <w:tcW w:w="4579" w:type="dxa"/>
                                  <w:tcBorders>
                                    <w:top w:val="single" w:sz="4" w:space="0" w:color="000000"/>
                                  </w:tcBorders>
                                  <w:shd w:val="clear" w:color="auto" w:fill="auto"/>
                                  <w:tcMar>
                                    <w:top w:w="130" w:type="dxa"/>
                                  </w:tcMar>
                                </w:tcPr>
                                <w:p w14:paraId="4E4AA01A" w14:textId="1BA7F0F4" w:rsidR="00F94A89" w:rsidRPr="003E0E7D" w:rsidRDefault="00F94A89" w:rsidP="003E0E7D">
                                  <w:pPr>
                                    <w:suppressOverlap/>
                                  </w:pPr>
                                </w:p>
                              </w:tc>
                            </w:tr>
                          </w:tbl>
                          <w:p w14:paraId="5FB728BD" w14:textId="77777777" w:rsidR="00F94A89" w:rsidRPr="00B87449" w:rsidRDefault="00F94A89" w:rsidP="00F7494B">
                            <w:pPr>
                              <w:spacing w:after="200" w:line="240" w:lineRule="auto"/>
                              <w:rPr>
                                <w:sz w:val="2"/>
                                <w:szCs w:val="2"/>
                              </w:rPr>
                            </w:pPr>
                          </w:p>
                        </w:txbxContent>
                      </wps:txbx>
                      <wps:bodyPr rot="0" vert="horz" wrap="square" lIns="216000" tIns="144000" rIns="216000" bIns="0" anchor="t" anchorCtr="0" upright="1">
                        <a:spAutoFit/>
                      </wps:bodyPr>
                    </wps:wsp>
                  </a:graphicData>
                </a:graphic>
              </wp:inline>
            </w:drawing>
          </mc:Choice>
          <mc:Fallback>
            <w:pict>
              <v:shape w14:anchorId="681AAF23" id="Freeform 36" o:spid="_x0000_s1026" style="width:261pt;height:172.55pt;visibility:visible;mso-wrap-style:square;mso-left-percent:-10001;mso-top-percent:-10001;mso-position-horizontal:absolute;mso-position-horizontal-relative:char;mso-position-vertical:absolute;mso-position-vertical-relative:line;mso-left-percent:-10001;mso-top-percent:-10001;v-text-anchor:top" coordsize="4196,27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" adj="-11796480,,5400" path="m91,c91,,,,,91l,2631v,,,91,91,91l4105,2722v,,91,,91,-91l4196,91v,,,-91,-91,-91l91,xe" fillcolor="window" stroked="f" strokeweight="0">
                <v:stroke joinstyle="round"/>
                <v:formulas/>
                <v:path arrowok="t" o:connecttype="custom" o:connectlocs="71887,0;0,73261;0,2118124;71887,2191385;3242813,2191385;3314700,2118124;3314700,73261;3242813,0;71887,0" o:connectangles="0,0,0,0,0,0,0,0,0" textboxrect="0,0,4196,2722"/>
                <v:textbox style="mso-fit-shape-to-text:t" inset="6mm,4mm,6mm,0">
                  <w:txbxContent>
                    <w:tbl>
                      <w:tblPr>
                        <w:tblOverlap w:val="never"/>
                        <w:tblW w:w="0" w:type="auto"/>
                        <w:tblBorders>
                          <w:top w:val="single" w:sz="8"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79"/>
                      </w:tblGrid>
                      <w:tr w:rsidR="00F94A89" w:rsidRPr="003E0E7D" w14:paraId="5CCCF895" w14:textId="77777777" w:rsidTr="003E0E7D">
                        <w:trPr>
                          <w:cantSplit/>
                          <w:trHeight w:val="25"/>
                        </w:trPr>
                        <w:tc>
                          <w:tcPr>
                            <w:tcW w:w="4579" w:type="dxa"/>
                            <w:tcBorders>
                              <w:top w:val="single" w:sz="8" w:space="0" w:color="000000"/>
                              <w:bottom w:val="single" w:sz="4" w:space="0" w:color="000000"/>
                            </w:tcBorders>
                            <w:shd w:val="clear" w:color="auto" w:fill="auto"/>
                            <w:tcMar>
                              <w:top w:w="170" w:type="dxa"/>
                            </w:tcMar>
                          </w:tcPr>
                          <w:p w14:paraId="6636BBBC" w14:textId="77777777" w:rsidR="00F94A89" w:rsidRPr="003E0E7D" w:rsidRDefault="00F94A89" w:rsidP="003E0E7D">
                            <w:pPr>
                              <w:suppressOverlap/>
                            </w:pPr>
                            <w:r w:rsidRPr="003E0E7D">
                              <w:rPr>
                                <w:rFonts w:ascii="Franklin Gothic Book" w:hAnsi="Franklin Gothic Book"/>
                                <w:caps/>
                                <w:sz w:val="24"/>
                              </w:rPr>
                              <w:t>Department of Health</w:t>
                            </w:r>
                          </w:p>
                        </w:tc>
                      </w:tr>
                      <w:tr w:rsidR="00F94A89" w:rsidRPr="003E0E7D" w14:paraId="687FE353" w14:textId="77777777" w:rsidTr="003E0E7D">
                        <w:trPr>
                          <w:cantSplit/>
                          <w:trHeight w:val="1368"/>
                        </w:trPr>
                        <w:tc>
                          <w:tcPr>
                            <w:tcW w:w="4579" w:type="dxa"/>
                            <w:tcBorders>
                              <w:top w:val="single" w:sz="4" w:space="0" w:color="000000"/>
                            </w:tcBorders>
                            <w:shd w:val="clear" w:color="auto" w:fill="auto"/>
                            <w:tcMar>
                              <w:top w:w="142" w:type="dxa"/>
                            </w:tcMar>
                          </w:tcPr>
                          <w:p w14:paraId="3E694B70" w14:textId="77777777" w:rsidR="00F94A89" w:rsidRPr="003E0E7D" w:rsidRDefault="00F94A89" w:rsidP="003E0E7D">
                            <w:pPr>
                              <w:suppressOverlap/>
                            </w:pPr>
                            <w:r w:rsidRPr="003E0E7D">
                              <w:rPr>
                                <w:rFonts w:ascii="Franklin Gothic Demi" w:hAnsi="Franklin Gothic Demi"/>
                                <w:spacing w:val="-4"/>
                                <w:sz w:val="36"/>
                              </w:rPr>
                              <w:t>Review of Commonwealth Funding of Services to Support the Diagnosis and Screening of Blood Borne Viruses</w:t>
                            </w:r>
                          </w:p>
                        </w:tc>
                      </w:tr>
                      <w:tr w:rsidR="00F94A89" w:rsidRPr="003E0E7D" w14:paraId="09103840" w14:textId="77777777" w:rsidTr="003E0E7D">
                        <w:trPr>
                          <w:cantSplit/>
                          <w:trHeight w:val="425"/>
                        </w:trPr>
                        <w:tc>
                          <w:tcPr>
                            <w:tcW w:w="4579" w:type="dxa"/>
                            <w:tcBorders>
                              <w:bottom w:val="single" w:sz="4" w:space="0" w:color="000000"/>
                            </w:tcBorders>
                            <w:shd w:val="clear" w:color="auto" w:fill="auto"/>
                          </w:tcPr>
                          <w:p w14:paraId="0D40C69D" w14:textId="77777777" w:rsidR="00F94A89" w:rsidRPr="003E0E7D" w:rsidRDefault="00F94A89" w:rsidP="003E0E7D">
                            <w:pPr>
                              <w:spacing w:after="142"/>
                              <w:suppressOverlap/>
                            </w:pPr>
                            <w:r w:rsidRPr="003E0E7D">
                              <w:rPr>
                                <w:rStyle w:val="DocumentInfoChar"/>
                              </w:rPr>
                              <w:t>Final Report</w:t>
                            </w:r>
                          </w:p>
                        </w:tc>
                      </w:tr>
                      <w:tr w:rsidR="00F94A89" w:rsidRPr="003E0E7D" w14:paraId="1FECEFC5" w14:textId="77777777" w:rsidTr="003E0E7D">
                        <w:trPr>
                          <w:cantSplit/>
                          <w:trHeight w:val="30"/>
                        </w:trPr>
                        <w:tc>
                          <w:tcPr>
                            <w:tcW w:w="4579" w:type="dxa"/>
                            <w:tcBorders>
                              <w:top w:val="single" w:sz="4" w:space="0" w:color="000000"/>
                            </w:tcBorders>
                            <w:shd w:val="clear" w:color="auto" w:fill="auto"/>
                            <w:tcMar>
                              <w:top w:w="130" w:type="dxa"/>
                            </w:tcMar>
                          </w:tcPr>
                          <w:p w14:paraId="4E4AA01A" w14:textId="1BA7F0F4" w:rsidR="00F94A89" w:rsidRPr="003E0E7D" w:rsidRDefault="00F94A89" w:rsidP="003E0E7D">
                            <w:pPr>
                              <w:suppressOverlap/>
                            </w:pPr>
                          </w:p>
                        </w:tc>
                      </w:tr>
                    </w:tbl>
                    <w:p w14:paraId="5FB728BD" w14:textId="77777777" w:rsidR="00F94A89" w:rsidRPr="00B87449" w:rsidRDefault="00F94A89" w:rsidP="00F7494B">
                      <w:pPr>
                        <w:spacing w:after="200" w:line="240" w:lineRule="auto"/>
                        <w:rPr>
                          <w:sz w:val="2"/>
                          <w:szCs w:val="2"/>
                        </w:rPr>
                      </w:pPr>
                    </w:p>
                  </w:txbxContent>
                </v:textbox>
                <w10:anchorlock/>
              </v:shape>
            </w:pict>
          </mc:Fallback>
        </mc:AlternateContent>
      </w:r>
    </w:p>
    <w:p w14:paraId="6E713104" w14:textId="77777777" w:rsidR="000A36B0" w:rsidRDefault="000A36B0" w:rsidP="00F32964">
      <w:pPr>
        <w:pStyle w:val="BodyCopy"/>
      </w:pPr>
    </w:p>
    <w:p w14:paraId="07724E28" w14:textId="77777777" w:rsidR="000A36B0" w:rsidRDefault="000A36B0" w:rsidP="00F32964">
      <w:pPr>
        <w:sectPr w:rsidR="000A36B0" w:rsidSect="003F22D9">
          <w:footerReference w:type="even" r:id="rId9"/>
          <w:pgSz w:w="16838" w:h="11906" w:orient="landscape" w:code="9"/>
          <w:pgMar w:top="851" w:right="737" w:bottom="567" w:left="567" w:header="720" w:footer="720" w:gutter="0"/>
          <w:cols w:num="2" w:space="227"/>
          <w:docGrid w:linePitch="360"/>
        </w:sectPr>
      </w:pPr>
    </w:p>
    <w:p w14:paraId="472D16FE" w14:textId="77777777" w:rsidR="00C61DC7" w:rsidRDefault="00C61DC7" w:rsidP="00F32964">
      <w:pPr>
        <w:pStyle w:val="BodyCopy"/>
      </w:pPr>
    </w:p>
    <w:tbl>
      <w:tblPr>
        <w:tblpPr w:leftFromText="181" w:rightFromText="181" w:vertAnchor="page" w:horzAnchor="page" w:tblpX="738" w:tblpY="6890"/>
        <w:tblW w:w="15139" w:type="dxa"/>
        <w:tblLayout w:type="fixed"/>
        <w:tblCellMar>
          <w:left w:w="0" w:type="dxa"/>
          <w:right w:w="0" w:type="dxa"/>
        </w:tblCellMar>
        <w:tblLook w:val="04A0" w:firstRow="1" w:lastRow="0" w:firstColumn="1" w:lastColumn="0" w:noHBand="0" w:noVBand="1"/>
      </w:tblPr>
      <w:tblGrid>
        <w:gridCol w:w="7230"/>
        <w:gridCol w:w="425"/>
        <w:gridCol w:w="7484"/>
      </w:tblGrid>
      <w:tr w:rsidR="00BC68AE" w:rsidRPr="003E0E7D" w14:paraId="1EFA8F56" w14:textId="77777777" w:rsidTr="003E0E7D">
        <w:tc>
          <w:tcPr>
            <w:tcW w:w="7230" w:type="dxa"/>
            <w:shd w:val="clear" w:color="auto" w:fill="auto"/>
          </w:tcPr>
          <w:p w14:paraId="27D7EC89" w14:textId="77777777" w:rsidR="00BC68AE" w:rsidRPr="003E0E7D" w:rsidRDefault="00A57FB8" w:rsidP="003E0E7D">
            <w:pPr>
              <w:pStyle w:val="MissionStatementHeading"/>
              <w:framePr w:hSpace="0" w:wrap="auto" w:vAnchor="margin" w:hAnchor="text" w:yAlign="inline"/>
            </w:pPr>
            <w:r w:rsidRPr="003E0E7D">
              <w:t>OUR VISION</w:t>
            </w:r>
          </w:p>
          <w:p w14:paraId="219A0A94" w14:textId="77777777" w:rsidR="00A57FB8" w:rsidRPr="003E0E7D" w:rsidRDefault="00A57FB8" w:rsidP="003E0E7D">
            <w:pPr>
              <w:pStyle w:val="MissionStatementBody"/>
              <w:framePr w:wrap="auto" w:vAnchor="margin" w:yAlign="inline"/>
            </w:pPr>
            <w:r w:rsidRPr="003E0E7D">
              <w:t xml:space="preserve">To positively impact people’s lives </w:t>
            </w:r>
            <w:r w:rsidR="004C4FE3" w:rsidRPr="003E0E7D">
              <w:br/>
            </w:r>
            <w:r w:rsidRPr="003E0E7D">
              <w:t>by helping create better health services</w:t>
            </w:r>
          </w:p>
        </w:tc>
        <w:tc>
          <w:tcPr>
            <w:tcW w:w="425" w:type="dxa"/>
            <w:shd w:val="clear" w:color="auto" w:fill="auto"/>
          </w:tcPr>
          <w:p w14:paraId="2D949C32" w14:textId="77777777" w:rsidR="00BC68AE" w:rsidRPr="003E0E7D" w:rsidRDefault="00BC68AE" w:rsidP="003E0E7D"/>
        </w:tc>
        <w:tc>
          <w:tcPr>
            <w:tcW w:w="7484" w:type="dxa"/>
            <w:shd w:val="clear" w:color="auto" w:fill="auto"/>
          </w:tcPr>
          <w:p w14:paraId="3938E821" w14:textId="77777777" w:rsidR="00BC68AE" w:rsidRPr="003E0E7D" w:rsidRDefault="00A57FB8" w:rsidP="003E0E7D">
            <w:pPr>
              <w:pStyle w:val="MissionStatementHeading"/>
              <w:framePr w:hSpace="0" w:wrap="auto" w:vAnchor="margin" w:hAnchor="text" w:yAlign="inline"/>
            </w:pPr>
            <w:r w:rsidRPr="003E0E7D">
              <w:t>OUR MISSION</w:t>
            </w:r>
          </w:p>
          <w:p w14:paraId="572E1C25" w14:textId="77777777" w:rsidR="00A57FB8" w:rsidRPr="003E0E7D" w:rsidRDefault="00DC4A59" w:rsidP="003E0E7D">
            <w:pPr>
              <w:pStyle w:val="MissionStatementBody"/>
              <w:framePr w:wrap="auto" w:vAnchor="margin" w:yAlign="inline"/>
            </w:pPr>
            <w:r w:rsidRPr="003E0E7D">
              <w:t>To use our management consulting skills to provide expert advice and support to health funders, service providers and users</w:t>
            </w:r>
          </w:p>
        </w:tc>
      </w:tr>
    </w:tbl>
    <w:p w14:paraId="0D598C32" w14:textId="77777777" w:rsidR="000252C3" w:rsidRDefault="000252C3" w:rsidP="00F32964"/>
    <w:p w14:paraId="3F640540" w14:textId="77777777" w:rsidR="00FF4C44" w:rsidRDefault="00FF4C44" w:rsidP="00F32964">
      <w:pPr>
        <w:sectPr w:rsidR="00FF4C44" w:rsidSect="00995147">
          <w:headerReference w:type="default" r:id="rId10"/>
          <w:footerReference w:type="default" r:id="rId11"/>
          <w:pgSz w:w="16838" w:h="11906" w:orient="landscape" w:code="9"/>
          <w:pgMar w:top="2268" w:right="1304" w:bottom="851" w:left="737" w:header="567" w:footer="284" w:gutter="0"/>
          <w:cols w:num="2" w:space="227"/>
          <w:docGrid w:linePitch="360"/>
        </w:sectPr>
      </w:pPr>
    </w:p>
    <w:tbl>
      <w:tblPr>
        <w:tblpPr w:bottomFromText="794" w:vertAnchor="page" w:horzAnchor="margin" w:tblpX="-169" w:tblpY="698"/>
        <w:tblW w:w="15989"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9"/>
      </w:tblGrid>
      <w:tr w:rsidR="007C4505" w:rsidRPr="003E0E7D" w14:paraId="1C0302E3" w14:textId="77777777" w:rsidTr="003E0E7D">
        <w:trPr>
          <w:cantSplit/>
          <w:trHeight w:hRule="exact" w:val="1871"/>
        </w:trPr>
        <w:tc>
          <w:tcPr>
            <w:tcW w:w="5000" w:type="pct"/>
            <w:shd w:val="solid" w:color="FFFFFF" w:fill="FFFFFF"/>
            <w:vAlign w:val="bottom"/>
          </w:tcPr>
          <w:p w14:paraId="7B2A2CBB" w14:textId="77777777" w:rsidR="007C4505" w:rsidRPr="003E0E7D" w:rsidRDefault="007C4505" w:rsidP="003E0E7D">
            <w:pPr>
              <w:pStyle w:val="TOCTitle"/>
            </w:pPr>
            <w:r w:rsidRPr="003E0E7D">
              <w:lastRenderedPageBreak/>
              <w:t>Table of contents</w:t>
            </w:r>
          </w:p>
        </w:tc>
      </w:tr>
    </w:tbl>
    <w:p w14:paraId="0B86EADE" w14:textId="3C568DA8" w:rsidR="003B767C" w:rsidRDefault="00B830D0">
      <w:pPr>
        <w:pStyle w:val="TOC1"/>
        <w:rPr>
          <w:rFonts w:asciiTheme="minorHAnsi" w:eastAsiaTheme="minorEastAsia" w:hAnsiTheme="minorHAnsi" w:cstheme="minorBidi"/>
          <w:caps w:val="0"/>
          <w:noProof/>
          <w:color w:val="auto"/>
          <w:spacing w:val="0"/>
          <w:szCs w:val="22"/>
          <w:lang w:eastAsia="en-AU"/>
        </w:rPr>
      </w:pPr>
      <w:r w:rsidRPr="003E0E7D">
        <w:rPr>
          <w:caps w:val="0"/>
        </w:rPr>
        <w:fldChar w:fldCharType="begin"/>
      </w:r>
      <w:r>
        <w:rPr>
          <w:caps w:val="0"/>
        </w:rPr>
        <w:instrText xml:space="preserve"> TOC \h \z \t "Heading 1,2,Heading 2,3,Heading 3,4,Section Page Title,5,ES Heading 1,1,Heading Appendix 2,3" </w:instrText>
      </w:r>
      <w:r w:rsidRPr="003E0E7D">
        <w:rPr>
          <w:caps w:val="0"/>
        </w:rPr>
        <w:fldChar w:fldCharType="separate"/>
      </w:r>
      <w:hyperlink w:anchor="_Toc18664615" w:history="1">
        <w:r w:rsidR="003B767C" w:rsidRPr="005001CD">
          <w:rPr>
            <w:rStyle w:val="Hyperlink"/>
            <w:noProof/>
          </w:rPr>
          <w:t>Abbreviations</w:t>
        </w:r>
        <w:r w:rsidR="003B767C">
          <w:rPr>
            <w:noProof/>
            <w:webHidden/>
          </w:rPr>
          <w:tab/>
        </w:r>
        <w:r w:rsidR="003B767C">
          <w:rPr>
            <w:noProof/>
            <w:webHidden/>
          </w:rPr>
          <w:fldChar w:fldCharType="begin"/>
        </w:r>
        <w:r w:rsidR="003B767C">
          <w:rPr>
            <w:noProof/>
            <w:webHidden/>
          </w:rPr>
          <w:instrText xml:space="preserve"> PAGEREF _Toc18664615 \h </w:instrText>
        </w:r>
        <w:r w:rsidR="003B767C">
          <w:rPr>
            <w:noProof/>
            <w:webHidden/>
          </w:rPr>
        </w:r>
        <w:r w:rsidR="003B767C">
          <w:rPr>
            <w:noProof/>
            <w:webHidden/>
          </w:rPr>
          <w:fldChar w:fldCharType="separate"/>
        </w:r>
        <w:r w:rsidR="0078683A">
          <w:rPr>
            <w:noProof/>
            <w:webHidden/>
          </w:rPr>
          <w:t>i</w:t>
        </w:r>
        <w:r w:rsidR="003B767C">
          <w:rPr>
            <w:noProof/>
            <w:webHidden/>
          </w:rPr>
          <w:fldChar w:fldCharType="end"/>
        </w:r>
      </w:hyperlink>
    </w:p>
    <w:p w14:paraId="51ECFD88" w14:textId="78C82035" w:rsidR="003B767C" w:rsidRDefault="00D73406">
      <w:pPr>
        <w:pStyle w:val="TOC1"/>
        <w:rPr>
          <w:rFonts w:asciiTheme="minorHAnsi" w:eastAsiaTheme="minorEastAsia" w:hAnsiTheme="minorHAnsi" w:cstheme="minorBidi"/>
          <w:caps w:val="0"/>
          <w:noProof/>
          <w:color w:val="auto"/>
          <w:spacing w:val="0"/>
          <w:szCs w:val="22"/>
          <w:lang w:eastAsia="en-AU"/>
        </w:rPr>
      </w:pPr>
      <w:hyperlink w:anchor="_Toc18664616" w:history="1">
        <w:r w:rsidR="003B767C" w:rsidRPr="005001CD">
          <w:rPr>
            <w:rStyle w:val="Hyperlink"/>
            <w:noProof/>
          </w:rPr>
          <w:t>Executive summary</w:t>
        </w:r>
        <w:r w:rsidR="003B767C">
          <w:rPr>
            <w:noProof/>
            <w:webHidden/>
          </w:rPr>
          <w:tab/>
        </w:r>
        <w:r w:rsidR="003B767C">
          <w:rPr>
            <w:noProof/>
            <w:webHidden/>
          </w:rPr>
          <w:fldChar w:fldCharType="begin"/>
        </w:r>
        <w:r w:rsidR="003B767C">
          <w:rPr>
            <w:noProof/>
            <w:webHidden/>
          </w:rPr>
          <w:instrText xml:space="preserve"> PAGEREF _Toc18664616 \h </w:instrText>
        </w:r>
        <w:r w:rsidR="003B767C">
          <w:rPr>
            <w:noProof/>
            <w:webHidden/>
          </w:rPr>
        </w:r>
        <w:r w:rsidR="003B767C">
          <w:rPr>
            <w:noProof/>
            <w:webHidden/>
          </w:rPr>
          <w:fldChar w:fldCharType="separate"/>
        </w:r>
        <w:r w:rsidR="0078683A">
          <w:rPr>
            <w:noProof/>
            <w:webHidden/>
          </w:rPr>
          <w:t>1</w:t>
        </w:r>
        <w:r w:rsidR="003B767C">
          <w:rPr>
            <w:noProof/>
            <w:webHidden/>
          </w:rPr>
          <w:fldChar w:fldCharType="end"/>
        </w:r>
      </w:hyperlink>
    </w:p>
    <w:p w14:paraId="0BC7396B" w14:textId="7E8C71ED"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17" w:history="1">
        <w:r w:rsidR="003B767C" w:rsidRPr="005001CD">
          <w:rPr>
            <w:rStyle w:val="Hyperlink"/>
            <w:noProof/>
          </w:rPr>
          <w:t>1</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Introduction</w:t>
        </w:r>
        <w:r w:rsidR="003B767C">
          <w:rPr>
            <w:noProof/>
            <w:webHidden/>
          </w:rPr>
          <w:tab/>
        </w:r>
        <w:r w:rsidR="003B767C">
          <w:rPr>
            <w:noProof/>
            <w:webHidden/>
          </w:rPr>
          <w:fldChar w:fldCharType="begin"/>
        </w:r>
        <w:r w:rsidR="003B767C">
          <w:rPr>
            <w:noProof/>
            <w:webHidden/>
          </w:rPr>
          <w:instrText xml:space="preserve"> PAGEREF _Toc18664617 \h </w:instrText>
        </w:r>
        <w:r w:rsidR="003B767C">
          <w:rPr>
            <w:noProof/>
            <w:webHidden/>
          </w:rPr>
        </w:r>
        <w:r w:rsidR="003B767C">
          <w:rPr>
            <w:noProof/>
            <w:webHidden/>
          </w:rPr>
          <w:fldChar w:fldCharType="separate"/>
        </w:r>
        <w:r w:rsidR="0078683A">
          <w:rPr>
            <w:noProof/>
            <w:webHidden/>
          </w:rPr>
          <w:t>4</w:t>
        </w:r>
        <w:r w:rsidR="003B767C">
          <w:rPr>
            <w:noProof/>
            <w:webHidden/>
          </w:rPr>
          <w:fldChar w:fldCharType="end"/>
        </w:r>
      </w:hyperlink>
    </w:p>
    <w:p w14:paraId="74F261FC" w14:textId="07D181DE"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18" w:history="1">
        <w:r w:rsidR="003B767C" w:rsidRPr="005001CD">
          <w:rPr>
            <w:rStyle w:val="Hyperlink"/>
            <w:noProof/>
            <w14:scene3d>
              <w14:camera w14:prst="orthographicFront"/>
              <w14:lightRig w14:rig="threePt" w14:dir="t">
                <w14:rot w14:lat="0" w14:lon="0" w14:rev="0"/>
              </w14:lightRig>
            </w14:scene3d>
          </w:rPr>
          <w:t>1.1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Scope of the review</w:t>
        </w:r>
        <w:r w:rsidR="003B767C">
          <w:rPr>
            <w:noProof/>
            <w:webHidden/>
          </w:rPr>
          <w:tab/>
        </w:r>
        <w:r w:rsidR="003B767C">
          <w:rPr>
            <w:noProof/>
            <w:webHidden/>
          </w:rPr>
          <w:fldChar w:fldCharType="begin"/>
        </w:r>
        <w:r w:rsidR="003B767C">
          <w:rPr>
            <w:noProof/>
            <w:webHidden/>
          </w:rPr>
          <w:instrText xml:space="preserve"> PAGEREF _Toc18664618 \h </w:instrText>
        </w:r>
        <w:r w:rsidR="003B767C">
          <w:rPr>
            <w:noProof/>
            <w:webHidden/>
          </w:rPr>
        </w:r>
        <w:r w:rsidR="003B767C">
          <w:rPr>
            <w:noProof/>
            <w:webHidden/>
          </w:rPr>
          <w:fldChar w:fldCharType="separate"/>
        </w:r>
        <w:r w:rsidR="0078683A">
          <w:rPr>
            <w:noProof/>
            <w:webHidden/>
          </w:rPr>
          <w:t>4</w:t>
        </w:r>
        <w:r w:rsidR="003B767C">
          <w:rPr>
            <w:noProof/>
            <w:webHidden/>
          </w:rPr>
          <w:fldChar w:fldCharType="end"/>
        </w:r>
      </w:hyperlink>
    </w:p>
    <w:p w14:paraId="11A5EF85" w14:textId="5BF4026F"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19" w:history="1">
        <w:r w:rsidR="003B767C" w:rsidRPr="005001CD">
          <w:rPr>
            <w:rStyle w:val="Hyperlink"/>
            <w:noProof/>
            <w14:scene3d>
              <w14:camera w14:prst="orthographicFront"/>
              <w14:lightRig w14:rig="threePt" w14:dir="t">
                <w14:rot w14:lat="0" w14:lon="0" w14:rev="0"/>
              </w14:lightRig>
            </w14:scene3d>
          </w:rPr>
          <w:t>1.2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Summary of NRL funding</w:t>
        </w:r>
        <w:r w:rsidR="003B767C">
          <w:rPr>
            <w:noProof/>
            <w:webHidden/>
          </w:rPr>
          <w:tab/>
        </w:r>
        <w:r w:rsidR="003B767C">
          <w:rPr>
            <w:noProof/>
            <w:webHidden/>
          </w:rPr>
          <w:fldChar w:fldCharType="begin"/>
        </w:r>
        <w:r w:rsidR="003B767C">
          <w:rPr>
            <w:noProof/>
            <w:webHidden/>
          </w:rPr>
          <w:instrText xml:space="preserve"> PAGEREF _Toc18664619 \h </w:instrText>
        </w:r>
        <w:r w:rsidR="003B767C">
          <w:rPr>
            <w:noProof/>
            <w:webHidden/>
          </w:rPr>
        </w:r>
        <w:r w:rsidR="003B767C">
          <w:rPr>
            <w:noProof/>
            <w:webHidden/>
          </w:rPr>
          <w:fldChar w:fldCharType="separate"/>
        </w:r>
        <w:r w:rsidR="0078683A">
          <w:rPr>
            <w:noProof/>
            <w:webHidden/>
          </w:rPr>
          <w:t>4</w:t>
        </w:r>
        <w:r w:rsidR="003B767C">
          <w:rPr>
            <w:noProof/>
            <w:webHidden/>
          </w:rPr>
          <w:fldChar w:fldCharType="end"/>
        </w:r>
      </w:hyperlink>
    </w:p>
    <w:p w14:paraId="25E2753E" w14:textId="2DB35EBD"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0" w:history="1">
        <w:r w:rsidR="003B767C" w:rsidRPr="005001CD">
          <w:rPr>
            <w:rStyle w:val="Hyperlink"/>
            <w:noProof/>
            <w14:scene3d>
              <w14:camera w14:prst="orthographicFront"/>
              <w14:lightRig w14:rig="threePt" w14:dir="t">
                <w14:rot w14:lat="0" w14:lon="0" w14:rev="0"/>
              </w14:lightRig>
            </w14:scene3d>
          </w:rPr>
          <w:t>1.3</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Purpose of the review</w:t>
        </w:r>
        <w:r w:rsidR="003B767C">
          <w:rPr>
            <w:noProof/>
            <w:webHidden/>
          </w:rPr>
          <w:tab/>
        </w:r>
        <w:r w:rsidR="003B767C">
          <w:rPr>
            <w:noProof/>
            <w:webHidden/>
          </w:rPr>
          <w:fldChar w:fldCharType="begin"/>
        </w:r>
        <w:r w:rsidR="003B767C">
          <w:rPr>
            <w:noProof/>
            <w:webHidden/>
          </w:rPr>
          <w:instrText xml:space="preserve"> PAGEREF _Toc18664620 \h </w:instrText>
        </w:r>
        <w:r w:rsidR="003B767C">
          <w:rPr>
            <w:noProof/>
            <w:webHidden/>
          </w:rPr>
        </w:r>
        <w:r w:rsidR="003B767C">
          <w:rPr>
            <w:noProof/>
            <w:webHidden/>
          </w:rPr>
          <w:fldChar w:fldCharType="separate"/>
        </w:r>
        <w:r w:rsidR="0078683A">
          <w:rPr>
            <w:noProof/>
            <w:webHidden/>
          </w:rPr>
          <w:t>7</w:t>
        </w:r>
        <w:r w:rsidR="003B767C">
          <w:rPr>
            <w:noProof/>
            <w:webHidden/>
          </w:rPr>
          <w:fldChar w:fldCharType="end"/>
        </w:r>
      </w:hyperlink>
    </w:p>
    <w:p w14:paraId="7BB8A0A3" w14:textId="035F66A1"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1" w:history="1">
        <w:r w:rsidR="003B767C" w:rsidRPr="005001CD">
          <w:rPr>
            <w:rStyle w:val="Hyperlink"/>
            <w:noProof/>
            <w14:scene3d>
              <w14:camera w14:prst="orthographicFront"/>
              <w14:lightRig w14:rig="threePt" w14:dir="t">
                <w14:rot w14:lat="0" w14:lon="0" w14:rev="0"/>
              </w14:lightRig>
            </w14:scene3d>
          </w:rPr>
          <w:t>1.4</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Objectives of the review</w:t>
        </w:r>
        <w:r w:rsidR="003B767C">
          <w:rPr>
            <w:noProof/>
            <w:webHidden/>
          </w:rPr>
          <w:tab/>
        </w:r>
        <w:r w:rsidR="003B767C">
          <w:rPr>
            <w:noProof/>
            <w:webHidden/>
          </w:rPr>
          <w:fldChar w:fldCharType="begin"/>
        </w:r>
        <w:r w:rsidR="003B767C">
          <w:rPr>
            <w:noProof/>
            <w:webHidden/>
          </w:rPr>
          <w:instrText xml:space="preserve"> PAGEREF _Toc18664621 \h </w:instrText>
        </w:r>
        <w:r w:rsidR="003B767C">
          <w:rPr>
            <w:noProof/>
            <w:webHidden/>
          </w:rPr>
        </w:r>
        <w:r w:rsidR="003B767C">
          <w:rPr>
            <w:noProof/>
            <w:webHidden/>
          </w:rPr>
          <w:fldChar w:fldCharType="separate"/>
        </w:r>
        <w:r w:rsidR="0078683A">
          <w:rPr>
            <w:noProof/>
            <w:webHidden/>
          </w:rPr>
          <w:t>7</w:t>
        </w:r>
        <w:r w:rsidR="003B767C">
          <w:rPr>
            <w:noProof/>
            <w:webHidden/>
          </w:rPr>
          <w:fldChar w:fldCharType="end"/>
        </w:r>
      </w:hyperlink>
    </w:p>
    <w:p w14:paraId="74F79A9A" w14:textId="1AEBEB7E"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2" w:history="1">
        <w:r w:rsidR="003B767C" w:rsidRPr="005001CD">
          <w:rPr>
            <w:rStyle w:val="Hyperlink"/>
            <w:noProof/>
            <w14:scene3d>
              <w14:camera w14:prst="orthographicFront"/>
              <w14:lightRig w14:rig="threePt" w14:dir="t">
                <w14:rot w14:lat="0" w14:lon="0" w14:rev="0"/>
              </w14:lightRig>
            </w14:scene3d>
          </w:rPr>
          <w:t>1.5</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historical context</w:t>
        </w:r>
        <w:r w:rsidR="003B767C">
          <w:rPr>
            <w:noProof/>
            <w:webHidden/>
          </w:rPr>
          <w:tab/>
        </w:r>
        <w:r w:rsidR="003B767C">
          <w:rPr>
            <w:noProof/>
            <w:webHidden/>
          </w:rPr>
          <w:fldChar w:fldCharType="begin"/>
        </w:r>
        <w:r w:rsidR="003B767C">
          <w:rPr>
            <w:noProof/>
            <w:webHidden/>
          </w:rPr>
          <w:instrText xml:space="preserve"> PAGEREF _Toc18664622 \h </w:instrText>
        </w:r>
        <w:r w:rsidR="003B767C">
          <w:rPr>
            <w:noProof/>
            <w:webHidden/>
          </w:rPr>
        </w:r>
        <w:r w:rsidR="003B767C">
          <w:rPr>
            <w:noProof/>
            <w:webHidden/>
          </w:rPr>
          <w:fldChar w:fldCharType="separate"/>
        </w:r>
        <w:r w:rsidR="0078683A">
          <w:rPr>
            <w:noProof/>
            <w:webHidden/>
          </w:rPr>
          <w:t>8</w:t>
        </w:r>
        <w:r w:rsidR="003B767C">
          <w:rPr>
            <w:noProof/>
            <w:webHidden/>
          </w:rPr>
          <w:fldChar w:fldCharType="end"/>
        </w:r>
      </w:hyperlink>
    </w:p>
    <w:p w14:paraId="59F2FCDB" w14:textId="4F2AD616"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3" w:history="1">
        <w:r w:rsidR="003B767C" w:rsidRPr="005001CD">
          <w:rPr>
            <w:rStyle w:val="Hyperlink"/>
            <w:noProof/>
            <w14:scene3d>
              <w14:camera w14:prst="orthographicFront"/>
              <w14:lightRig w14:rig="threePt" w14:dir="t">
                <w14:rot w14:lat="0" w14:lon="0" w14:rev="0"/>
              </w14:lightRig>
            </w14:scene3d>
          </w:rPr>
          <w:t>1.6</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Summary of review methodology</w:t>
        </w:r>
        <w:r w:rsidR="003B767C">
          <w:rPr>
            <w:noProof/>
            <w:webHidden/>
          </w:rPr>
          <w:tab/>
        </w:r>
        <w:r w:rsidR="003B767C">
          <w:rPr>
            <w:noProof/>
            <w:webHidden/>
          </w:rPr>
          <w:fldChar w:fldCharType="begin"/>
        </w:r>
        <w:r w:rsidR="003B767C">
          <w:rPr>
            <w:noProof/>
            <w:webHidden/>
          </w:rPr>
          <w:instrText xml:space="preserve"> PAGEREF _Toc18664623 \h </w:instrText>
        </w:r>
        <w:r w:rsidR="003B767C">
          <w:rPr>
            <w:noProof/>
            <w:webHidden/>
          </w:rPr>
        </w:r>
        <w:r w:rsidR="003B767C">
          <w:rPr>
            <w:noProof/>
            <w:webHidden/>
          </w:rPr>
          <w:fldChar w:fldCharType="separate"/>
        </w:r>
        <w:r w:rsidR="0078683A">
          <w:rPr>
            <w:noProof/>
            <w:webHidden/>
          </w:rPr>
          <w:t>8</w:t>
        </w:r>
        <w:r w:rsidR="003B767C">
          <w:rPr>
            <w:noProof/>
            <w:webHidden/>
          </w:rPr>
          <w:fldChar w:fldCharType="end"/>
        </w:r>
      </w:hyperlink>
    </w:p>
    <w:p w14:paraId="59DB4196" w14:textId="4AB1D6D3"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24" w:history="1">
        <w:r w:rsidR="003B767C" w:rsidRPr="005001CD">
          <w:rPr>
            <w:rStyle w:val="Hyperlink"/>
            <w:noProof/>
          </w:rPr>
          <w:t>2</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Testing for Blood Borne VIruses</w:t>
        </w:r>
        <w:r w:rsidR="003B767C">
          <w:rPr>
            <w:noProof/>
            <w:webHidden/>
          </w:rPr>
          <w:tab/>
        </w:r>
        <w:r w:rsidR="003B767C">
          <w:rPr>
            <w:noProof/>
            <w:webHidden/>
          </w:rPr>
          <w:fldChar w:fldCharType="begin"/>
        </w:r>
        <w:r w:rsidR="003B767C">
          <w:rPr>
            <w:noProof/>
            <w:webHidden/>
          </w:rPr>
          <w:instrText xml:space="preserve"> PAGEREF _Toc18664624 \h </w:instrText>
        </w:r>
        <w:r w:rsidR="003B767C">
          <w:rPr>
            <w:noProof/>
            <w:webHidden/>
          </w:rPr>
        </w:r>
        <w:r w:rsidR="003B767C">
          <w:rPr>
            <w:noProof/>
            <w:webHidden/>
          </w:rPr>
          <w:fldChar w:fldCharType="separate"/>
        </w:r>
        <w:r w:rsidR="0078683A">
          <w:rPr>
            <w:noProof/>
            <w:webHidden/>
          </w:rPr>
          <w:t>9</w:t>
        </w:r>
        <w:r w:rsidR="003B767C">
          <w:rPr>
            <w:noProof/>
            <w:webHidden/>
          </w:rPr>
          <w:fldChar w:fldCharType="end"/>
        </w:r>
      </w:hyperlink>
    </w:p>
    <w:p w14:paraId="4B700423" w14:textId="2D0CE496"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5" w:history="1">
        <w:r w:rsidR="003B767C" w:rsidRPr="005001CD">
          <w:rPr>
            <w:rStyle w:val="Hyperlink"/>
            <w:noProof/>
            <w14:scene3d>
              <w14:camera w14:prst="orthographicFront"/>
              <w14:lightRig w14:rig="threePt" w14:dir="t">
                <w14:rot w14:lat="0" w14:lon="0" w14:rev="0"/>
              </w14:lightRig>
            </w14:scene3d>
          </w:rPr>
          <w:t>2.1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Purpose of laboratory testing for blood borne viruses</w:t>
        </w:r>
        <w:r w:rsidR="003B767C">
          <w:rPr>
            <w:noProof/>
            <w:webHidden/>
          </w:rPr>
          <w:tab/>
        </w:r>
        <w:r w:rsidR="003B767C">
          <w:rPr>
            <w:noProof/>
            <w:webHidden/>
          </w:rPr>
          <w:fldChar w:fldCharType="begin"/>
        </w:r>
        <w:r w:rsidR="003B767C">
          <w:rPr>
            <w:noProof/>
            <w:webHidden/>
          </w:rPr>
          <w:instrText xml:space="preserve"> PAGEREF _Toc18664625 \h </w:instrText>
        </w:r>
        <w:r w:rsidR="003B767C">
          <w:rPr>
            <w:noProof/>
            <w:webHidden/>
          </w:rPr>
        </w:r>
        <w:r w:rsidR="003B767C">
          <w:rPr>
            <w:noProof/>
            <w:webHidden/>
          </w:rPr>
          <w:fldChar w:fldCharType="separate"/>
        </w:r>
        <w:r w:rsidR="0078683A">
          <w:rPr>
            <w:noProof/>
            <w:webHidden/>
          </w:rPr>
          <w:t>9</w:t>
        </w:r>
        <w:r w:rsidR="003B767C">
          <w:rPr>
            <w:noProof/>
            <w:webHidden/>
          </w:rPr>
          <w:fldChar w:fldCharType="end"/>
        </w:r>
      </w:hyperlink>
    </w:p>
    <w:p w14:paraId="235B9B18" w14:textId="34335E0D"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6" w:history="1">
        <w:r w:rsidR="003B767C" w:rsidRPr="005001CD">
          <w:rPr>
            <w:rStyle w:val="Hyperlink"/>
            <w:noProof/>
            <w14:scene3d>
              <w14:camera w14:prst="orthographicFront"/>
              <w14:lightRig w14:rig="threePt" w14:dir="t">
                <w14:rot w14:lat="0" w14:lon="0" w14:rev="0"/>
              </w14:lightRig>
            </w14:scene3d>
          </w:rPr>
          <w:t>2.2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QA and QC of BBV tests</w:t>
        </w:r>
        <w:r w:rsidR="003B767C">
          <w:rPr>
            <w:noProof/>
            <w:webHidden/>
          </w:rPr>
          <w:tab/>
        </w:r>
        <w:r w:rsidR="003B767C">
          <w:rPr>
            <w:noProof/>
            <w:webHidden/>
          </w:rPr>
          <w:fldChar w:fldCharType="begin"/>
        </w:r>
        <w:r w:rsidR="003B767C">
          <w:rPr>
            <w:noProof/>
            <w:webHidden/>
          </w:rPr>
          <w:instrText xml:space="preserve"> PAGEREF _Toc18664626 \h </w:instrText>
        </w:r>
        <w:r w:rsidR="003B767C">
          <w:rPr>
            <w:noProof/>
            <w:webHidden/>
          </w:rPr>
        </w:r>
        <w:r w:rsidR="003B767C">
          <w:rPr>
            <w:noProof/>
            <w:webHidden/>
          </w:rPr>
          <w:fldChar w:fldCharType="separate"/>
        </w:r>
        <w:r w:rsidR="0078683A">
          <w:rPr>
            <w:noProof/>
            <w:webHidden/>
          </w:rPr>
          <w:t>9</w:t>
        </w:r>
        <w:r w:rsidR="003B767C">
          <w:rPr>
            <w:noProof/>
            <w:webHidden/>
          </w:rPr>
          <w:fldChar w:fldCharType="end"/>
        </w:r>
      </w:hyperlink>
    </w:p>
    <w:p w14:paraId="0C599C2C" w14:textId="2DC74180"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27" w:history="1">
        <w:r w:rsidR="003B767C" w:rsidRPr="005001CD">
          <w:rPr>
            <w:rStyle w:val="Hyperlink"/>
            <w:noProof/>
          </w:rPr>
          <w:t>3</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REGULATORY and accreditation framework</w:t>
        </w:r>
        <w:r w:rsidR="003B767C">
          <w:rPr>
            <w:noProof/>
            <w:webHidden/>
          </w:rPr>
          <w:tab/>
        </w:r>
        <w:r w:rsidR="003B767C">
          <w:rPr>
            <w:noProof/>
            <w:webHidden/>
          </w:rPr>
          <w:fldChar w:fldCharType="begin"/>
        </w:r>
        <w:r w:rsidR="003B767C">
          <w:rPr>
            <w:noProof/>
            <w:webHidden/>
          </w:rPr>
          <w:instrText xml:space="preserve"> PAGEREF _Toc18664627 \h </w:instrText>
        </w:r>
        <w:r w:rsidR="003B767C">
          <w:rPr>
            <w:noProof/>
            <w:webHidden/>
          </w:rPr>
        </w:r>
        <w:r w:rsidR="003B767C">
          <w:rPr>
            <w:noProof/>
            <w:webHidden/>
          </w:rPr>
          <w:fldChar w:fldCharType="separate"/>
        </w:r>
        <w:r w:rsidR="0078683A">
          <w:rPr>
            <w:noProof/>
            <w:webHidden/>
          </w:rPr>
          <w:t>13</w:t>
        </w:r>
        <w:r w:rsidR="003B767C">
          <w:rPr>
            <w:noProof/>
            <w:webHidden/>
          </w:rPr>
          <w:fldChar w:fldCharType="end"/>
        </w:r>
      </w:hyperlink>
    </w:p>
    <w:p w14:paraId="64C8FD27" w14:textId="421C8F1F"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28" w:history="1">
        <w:r w:rsidR="003B767C" w:rsidRPr="005001CD">
          <w:rPr>
            <w:rStyle w:val="Hyperlink"/>
            <w:noProof/>
            <w14:scene3d>
              <w14:camera w14:prst="orthographicFront"/>
              <w14:lightRig w14:rig="threePt" w14:dir="t">
                <w14:rot w14:lat="0" w14:lon="0" w14:rev="0"/>
              </w14:lightRig>
            </w14:scene3d>
          </w:rPr>
          <w:t>3.1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Regulations for IVD Registration and use</w:t>
        </w:r>
        <w:r w:rsidR="003B767C">
          <w:rPr>
            <w:noProof/>
            <w:webHidden/>
          </w:rPr>
          <w:tab/>
        </w:r>
        <w:r w:rsidR="003B767C">
          <w:rPr>
            <w:noProof/>
            <w:webHidden/>
          </w:rPr>
          <w:fldChar w:fldCharType="begin"/>
        </w:r>
        <w:r w:rsidR="003B767C">
          <w:rPr>
            <w:noProof/>
            <w:webHidden/>
          </w:rPr>
          <w:instrText xml:space="preserve"> PAGEREF _Toc18664628 \h </w:instrText>
        </w:r>
        <w:r w:rsidR="003B767C">
          <w:rPr>
            <w:noProof/>
            <w:webHidden/>
          </w:rPr>
        </w:r>
        <w:r w:rsidR="003B767C">
          <w:rPr>
            <w:noProof/>
            <w:webHidden/>
          </w:rPr>
          <w:fldChar w:fldCharType="separate"/>
        </w:r>
        <w:r w:rsidR="0078683A">
          <w:rPr>
            <w:noProof/>
            <w:webHidden/>
          </w:rPr>
          <w:t>13</w:t>
        </w:r>
        <w:r w:rsidR="003B767C">
          <w:rPr>
            <w:noProof/>
            <w:webHidden/>
          </w:rPr>
          <w:fldChar w:fldCharType="end"/>
        </w:r>
      </w:hyperlink>
    </w:p>
    <w:p w14:paraId="0DA4B1B7" w14:textId="3A4A89D7" w:rsidR="003B767C" w:rsidRDefault="00D73406">
      <w:pPr>
        <w:pStyle w:val="TOC4"/>
        <w:rPr>
          <w:rFonts w:asciiTheme="minorHAnsi" w:eastAsiaTheme="minorEastAsia" w:hAnsiTheme="minorHAnsi" w:cstheme="minorBidi"/>
          <w:color w:val="auto"/>
          <w:spacing w:val="0"/>
          <w:sz w:val="22"/>
          <w:szCs w:val="22"/>
          <w:lang w:eastAsia="en-AU"/>
        </w:rPr>
      </w:pPr>
      <w:hyperlink w:anchor="_Toc18664629" w:history="1">
        <w:r w:rsidR="003B767C" w:rsidRPr="005001CD">
          <w:rPr>
            <w:rStyle w:val="Hyperlink"/>
          </w:rPr>
          <w:t>3.1.1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Changing IVD regulations and role of the NRL</w:t>
        </w:r>
        <w:r w:rsidR="003B767C">
          <w:rPr>
            <w:webHidden/>
          </w:rPr>
          <w:tab/>
        </w:r>
        <w:r w:rsidR="003B767C">
          <w:rPr>
            <w:webHidden/>
          </w:rPr>
          <w:fldChar w:fldCharType="begin"/>
        </w:r>
        <w:r w:rsidR="003B767C">
          <w:rPr>
            <w:webHidden/>
          </w:rPr>
          <w:instrText xml:space="preserve"> PAGEREF _Toc18664629 \h </w:instrText>
        </w:r>
        <w:r w:rsidR="003B767C">
          <w:rPr>
            <w:webHidden/>
          </w:rPr>
        </w:r>
        <w:r w:rsidR="003B767C">
          <w:rPr>
            <w:webHidden/>
          </w:rPr>
          <w:fldChar w:fldCharType="separate"/>
        </w:r>
        <w:r w:rsidR="0078683A">
          <w:rPr>
            <w:webHidden/>
          </w:rPr>
          <w:t>13</w:t>
        </w:r>
        <w:r w:rsidR="003B767C">
          <w:rPr>
            <w:webHidden/>
          </w:rPr>
          <w:fldChar w:fldCharType="end"/>
        </w:r>
      </w:hyperlink>
    </w:p>
    <w:p w14:paraId="02426637" w14:textId="2BC12A9C"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0" w:history="1">
        <w:r w:rsidR="003B767C" w:rsidRPr="005001CD">
          <w:rPr>
            <w:rStyle w:val="Hyperlink"/>
            <w:noProof/>
            <w14:scene3d>
              <w14:camera w14:prst="orthographicFront"/>
              <w14:lightRig w14:rig="threePt" w14:dir="t">
                <w14:rot w14:lat="0" w14:lon="0" w14:rev="0"/>
              </w14:lightRig>
            </w14:scene3d>
          </w:rPr>
          <w:t>3.2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Laboratory accreditation</w:t>
        </w:r>
        <w:r w:rsidR="003B767C">
          <w:rPr>
            <w:noProof/>
            <w:webHidden/>
          </w:rPr>
          <w:tab/>
        </w:r>
        <w:r w:rsidR="003B767C">
          <w:rPr>
            <w:noProof/>
            <w:webHidden/>
          </w:rPr>
          <w:fldChar w:fldCharType="begin"/>
        </w:r>
        <w:r w:rsidR="003B767C">
          <w:rPr>
            <w:noProof/>
            <w:webHidden/>
          </w:rPr>
          <w:instrText xml:space="preserve"> PAGEREF _Toc18664630 \h </w:instrText>
        </w:r>
        <w:r w:rsidR="003B767C">
          <w:rPr>
            <w:noProof/>
            <w:webHidden/>
          </w:rPr>
        </w:r>
        <w:r w:rsidR="003B767C">
          <w:rPr>
            <w:noProof/>
            <w:webHidden/>
          </w:rPr>
          <w:fldChar w:fldCharType="separate"/>
        </w:r>
        <w:r w:rsidR="0078683A">
          <w:rPr>
            <w:noProof/>
            <w:webHidden/>
          </w:rPr>
          <w:t>14</w:t>
        </w:r>
        <w:r w:rsidR="003B767C">
          <w:rPr>
            <w:noProof/>
            <w:webHidden/>
          </w:rPr>
          <w:fldChar w:fldCharType="end"/>
        </w:r>
      </w:hyperlink>
    </w:p>
    <w:p w14:paraId="48581051" w14:textId="1F72BA3D" w:rsidR="003B767C" w:rsidRDefault="00D73406">
      <w:pPr>
        <w:pStyle w:val="TOC4"/>
        <w:rPr>
          <w:rFonts w:asciiTheme="minorHAnsi" w:eastAsiaTheme="minorEastAsia" w:hAnsiTheme="minorHAnsi" w:cstheme="minorBidi"/>
          <w:color w:val="auto"/>
          <w:spacing w:val="0"/>
          <w:sz w:val="22"/>
          <w:szCs w:val="22"/>
          <w:lang w:eastAsia="en-AU"/>
        </w:rPr>
      </w:pPr>
      <w:hyperlink w:anchor="_Toc18664631" w:history="1">
        <w:r w:rsidR="003B767C" w:rsidRPr="005001CD">
          <w:rPr>
            <w:rStyle w:val="Hyperlink"/>
          </w:rPr>
          <w:t>3.2.1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National Pathology Accreditation Advisory Council Standards</w:t>
        </w:r>
        <w:r w:rsidR="003B767C">
          <w:rPr>
            <w:webHidden/>
          </w:rPr>
          <w:tab/>
        </w:r>
        <w:r w:rsidR="003B767C">
          <w:rPr>
            <w:webHidden/>
          </w:rPr>
          <w:fldChar w:fldCharType="begin"/>
        </w:r>
        <w:r w:rsidR="003B767C">
          <w:rPr>
            <w:webHidden/>
          </w:rPr>
          <w:instrText xml:space="preserve"> PAGEREF _Toc18664631 \h </w:instrText>
        </w:r>
        <w:r w:rsidR="003B767C">
          <w:rPr>
            <w:webHidden/>
          </w:rPr>
        </w:r>
        <w:r w:rsidR="003B767C">
          <w:rPr>
            <w:webHidden/>
          </w:rPr>
          <w:fldChar w:fldCharType="separate"/>
        </w:r>
        <w:r w:rsidR="0078683A">
          <w:rPr>
            <w:webHidden/>
          </w:rPr>
          <w:t>15</w:t>
        </w:r>
        <w:r w:rsidR="003B767C">
          <w:rPr>
            <w:webHidden/>
          </w:rPr>
          <w:fldChar w:fldCharType="end"/>
        </w:r>
      </w:hyperlink>
    </w:p>
    <w:p w14:paraId="7576C014" w14:textId="5A3C25B2"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2" w:history="1">
        <w:r w:rsidR="003B767C" w:rsidRPr="005001CD">
          <w:rPr>
            <w:rStyle w:val="Hyperlink"/>
            <w:noProof/>
            <w14:scene3d>
              <w14:camera w14:prst="orthographicFront"/>
              <w14:lightRig w14:rig="threePt" w14:dir="t">
                <w14:rot w14:lat="0" w14:lon="0" w14:rev="0"/>
              </w14:lightRig>
            </w14:scene3d>
          </w:rPr>
          <w:t>3.3</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Regulations specific to ARCBS screening of blood donations</w:t>
        </w:r>
        <w:r w:rsidR="003B767C">
          <w:rPr>
            <w:noProof/>
            <w:webHidden/>
          </w:rPr>
          <w:tab/>
        </w:r>
        <w:r w:rsidR="003B767C">
          <w:rPr>
            <w:noProof/>
            <w:webHidden/>
          </w:rPr>
          <w:fldChar w:fldCharType="begin"/>
        </w:r>
        <w:r w:rsidR="003B767C">
          <w:rPr>
            <w:noProof/>
            <w:webHidden/>
          </w:rPr>
          <w:instrText xml:space="preserve"> PAGEREF _Toc18664632 \h </w:instrText>
        </w:r>
        <w:r w:rsidR="003B767C">
          <w:rPr>
            <w:noProof/>
            <w:webHidden/>
          </w:rPr>
        </w:r>
        <w:r w:rsidR="003B767C">
          <w:rPr>
            <w:noProof/>
            <w:webHidden/>
          </w:rPr>
          <w:fldChar w:fldCharType="separate"/>
        </w:r>
        <w:r w:rsidR="0078683A">
          <w:rPr>
            <w:noProof/>
            <w:webHidden/>
          </w:rPr>
          <w:t>15</w:t>
        </w:r>
        <w:r w:rsidR="003B767C">
          <w:rPr>
            <w:noProof/>
            <w:webHidden/>
          </w:rPr>
          <w:fldChar w:fldCharType="end"/>
        </w:r>
      </w:hyperlink>
    </w:p>
    <w:p w14:paraId="67B3A923" w14:textId="34BE40F2" w:rsidR="003B767C" w:rsidRDefault="00D73406">
      <w:pPr>
        <w:pStyle w:val="TOC4"/>
        <w:rPr>
          <w:rFonts w:asciiTheme="minorHAnsi" w:eastAsiaTheme="minorEastAsia" w:hAnsiTheme="minorHAnsi" w:cstheme="minorBidi"/>
          <w:color w:val="auto"/>
          <w:spacing w:val="0"/>
          <w:sz w:val="22"/>
          <w:szCs w:val="22"/>
          <w:lang w:eastAsia="en-AU"/>
        </w:rPr>
      </w:pPr>
      <w:hyperlink w:anchor="_Toc18664633" w:history="1">
        <w:r w:rsidR="003B767C" w:rsidRPr="005001CD">
          <w:rPr>
            <w:rStyle w:val="Hyperlink"/>
          </w:rPr>
          <w:t>3.3.1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Australian Code of Good Manufacturing Practice</w:t>
        </w:r>
        <w:r w:rsidR="003B767C">
          <w:rPr>
            <w:webHidden/>
          </w:rPr>
          <w:tab/>
        </w:r>
        <w:r w:rsidR="003B767C">
          <w:rPr>
            <w:webHidden/>
          </w:rPr>
          <w:fldChar w:fldCharType="begin"/>
        </w:r>
        <w:r w:rsidR="003B767C">
          <w:rPr>
            <w:webHidden/>
          </w:rPr>
          <w:instrText xml:space="preserve"> PAGEREF _Toc18664633 \h </w:instrText>
        </w:r>
        <w:r w:rsidR="003B767C">
          <w:rPr>
            <w:webHidden/>
          </w:rPr>
        </w:r>
        <w:r w:rsidR="003B767C">
          <w:rPr>
            <w:webHidden/>
          </w:rPr>
          <w:fldChar w:fldCharType="separate"/>
        </w:r>
        <w:r w:rsidR="0078683A">
          <w:rPr>
            <w:webHidden/>
          </w:rPr>
          <w:t>15</w:t>
        </w:r>
        <w:r w:rsidR="003B767C">
          <w:rPr>
            <w:webHidden/>
          </w:rPr>
          <w:fldChar w:fldCharType="end"/>
        </w:r>
      </w:hyperlink>
    </w:p>
    <w:p w14:paraId="726C96E0" w14:textId="6476CC37" w:rsidR="003B767C" w:rsidRDefault="00D73406">
      <w:pPr>
        <w:pStyle w:val="TOC4"/>
        <w:rPr>
          <w:rFonts w:asciiTheme="minorHAnsi" w:eastAsiaTheme="minorEastAsia" w:hAnsiTheme="minorHAnsi" w:cstheme="minorBidi"/>
          <w:color w:val="auto"/>
          <w:spacing w:val="0"/>
          <w:sz w:val="22"/>
          <w:szCs w:val="22"/>
          <w:lang w:eastAsia="en-AU"/>
        </w:rPr>
      </w:pPr>
      <w:hyperlink w:anchor="_Toc18664634" w:history="1">
        <w:r w:rsidR="003B767C" w:rsidRPr="005001CD">
          <w:rPr>
            <w:rStyle w:val="Hyperlink"/>
          </w:rPr>
          <w:t>3.3.2</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Therapeutic Goods Order No. 88</w:t>
        </w:r>
        <w:r w:rsidR="003B767C">
          <w:rPr>
            <w:webHidden/>
          </w:rPr>
          <w:tab/>
        </w:r>
        <w:r w:rsidR="003B767C">
          <w:rPr>
            <w:webHidden/>
          </w:rPr>
          <w:fldChar w:fldCharType="begin"/>
        </w:r>
        <w:r w:rsidR="003B767C">
          <w:rPr>
            <w:webHidden/>
          </w:rPr>
          <w:instrText xml:space="preserve"> PAGEREF _Toc18664634 \h </w:instrText>
        </w:r>
        <w:r w:rsidR="003B767C">
          <w:rPr>
            <w:webHidden/>
          </w:rPr>
        </w:r>
        <w:r w:rsidR="003B767C">
          <w:rPr>
            <w:webHidden/>
          </w:rPr>
          <w:fldChar w:fldCharType="separate"/>
        </w:r>
        <w:r w:rsidR="0078683A">
          <w:rPr>
            <w:webHidden/>
          </w:rPr>
          <w:t>16</w:t>
        </w:r>
        <w:r w:rsidR="003B767C">
          <w:rPr>
            <w:webHidden/>
          </w:rPr>
          <w:fldChar w:fldCharType="end"/>
        </w:r>
      </w:hyperlink>
    </w:p>
    <w:p w14:paraId="4AE5168C" w14:textId="6001C6DB"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5" w:history="1">
        <w:r w:rsidR="003B767C" w:rsidRPr="005001CD">
          <w:rPr>
            <w:rStyle w:val="Hyperlink"/>
            <w:noProof/>
            <w14:scene3d>
              <w14:camera w14:prst="orthographicFront"/>
              <w14:lightRig w14:rig="threePt" w14:dir="t">
                <w14:rot w14:lat="0" w14:lon="0" w14:rev="0"/>
              </w14:lightRig>
            </w14:scene3d>
          </w:rPr>
          <w:t>3.4</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Specificity monitoring</w:t>
        </w:r>
        <w:r w:rsidR="003B767C">
          <w:rPr>
            <w:noProof/>
            <w:webHidden/>
          </w:rPr>
          <w:tab/>
        </w:r>
        <w:r w:rsidR="003B767C">
          <w:rPr>
            <w:noProof/>
            <w:webHidden/>
          </w:rPr>
          <w:fldChar w:fldCharType="begin"/>
        </w:r>
        <w:r w:rsidR="003B767C">
          <w:rPr>
            <w:noProof/>
            <w:webHidden/>
          </w:rPr>
          <w:instrText xml:space="preserve"> PAGEREF _Toc18664635 \h </w:instrText>
        </w:r>
        <w:r w:rsidR="003B767C">
          <w:rPr>
            <w:noProof/>
            <w:webHidden/>
          </w:rPr>
        </w:r>
        <w:r w:rsidR="003B767C">
          <w:rPr>
            <w:noProof/>
            <w:webHidden/>
          </w:rPr>
          <w:fldChar w:fldCharType="separate"/>
        </w:r>
        <w:r w:rsidR="0078683A">
          <w:rPr>
            <w:noProof/>
            <w:webHidden/>
          </w:rPr>
          <w:t>16</w:t>
        </w:r>
        <w:r w:rsidR="003B767C">
          <w:rPr>
            <w:noProof/>
            <w:webHidden/>
          </w:rPr>
          <w:fldChar w:fldCharType="end"/>
        </w:r>
      </w:hyperlink>
    </w:p>
    <w:p w14:paraId="519EC669" w14:textId="2E1A7F0B"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36" w:history="1">
        <w:r w:rsidR="003B767C" w:rsidRPr="005001CD">
          <w:rPr>
            <w:rStyle w:val="Hyperlink"/>
            <w:noProof/>
          </w:rPr>
          <w:t>4</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current funding arrangements</w:t>
        </w:r>
        <w:r w:rsidR="003B767C">
          <w:rPr>
            <w:noProof/>
            <w:webHidden/>
          </w:rPr>
          <w:tab/>
        </w:r>
        <w:r w:rsidR="003B767C">
          <w:rPr>
            <w:noProof/>
            <w:webHidden/>
          </w:rPr>
          <w:fldChar w:fldCharType="begin"/>
        </w:r>
        <w:r w:rsidR="003B767C">
          <w:rPr>
            <w:noProof/>
            <w:webHidden/>
          </w:rPr>
          <w:instrText xml:space="preserve"> PAGEREF _Toc18664636 \h </w:instrText>
        </w:r>
        <w:r w:rsidR="003B767C">
          <w:rPr>
            <w:noProof/>
            <w:webHidden/>
          </w:rPr>
        </w:r>
        <w:r w:rsidR="003B767C">
          <w:rPr>
            <w:noProof/>
            <w:webHidden/>
          </w:rPr>
          <w:fldChar w:fldCharType="separate"/>
        </w:r>
        <w:r w:rsidR="0078683A">
          <w:rPr>
            <w:noProof/>
            <w:webHidden/>
          </w:rPr>
          <w:t>17</w:t>
        </w:r>
        <w:r w:rsidR="003B767C">
          <w:rPr>
            <w:noProof/>
            <w:webHidden/>
          </w:rPr>
          <w:fldChar w:fldCharType="end"/>
        </w:r>
      </w:hyperlink>
    </w:p>
    <w:p w14:paraId="532E83E8" w14:textId="1A9C54C0"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7" w:history="1">
        <w:r w:rsidR="003B767C" w:rsidRPr="005001CD">
          <w:rPr>
            <w:rStyle w:val="Hyperlink"/>
            <w:noProof/>
            <w14:scene3d>
              <w14:camera w14:prst="orthographicFront"/>
              <w14:lightRig w14:rig="threePt" w14:dir="t">
                <w14:rot w14:lat="0" w14:lon="0" w14:rev="0"/>
              </w14:lightRig>
            </w14:scene3d>
          </w:rPr>
          <w:t>4.1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Funding for tests</w:t>
        </w:r>
        <w:r w:rsidR="003B767C">
          <w:rPr>
            <w:noProof/>
            <w:webHidden/>
          </w:rPr>
          <w:tab/>
        </w:r>
        <w:r w:rsidR="003B767C">
          <w:rPr>
            <w:noProof/>
            <w:webHidden/>
          </w:rPr>
          <w:fldChar w:fldCharType="begin"/>
        </w:r>
        <w:r w:rsidR="003B767C">
          <w:rPr>
            <w:noProof/>
            <w:webHidden/>
          </w:rPr>
          <w:instrText xml:space="preserve"> PAGEREF _Toc18664637 \h </w:instrText>
        </w:r>
        <w:r w:rsidR="003B767C">
          <w:rPr>
            <w:noProof/>
            <w:webHidden/>
          </w:rPr>
        </w:r>
        <w:r w:rsidR="003B767C">
          <w:rPr>
            <w:noProof/>
            <w:webHidden/>
          </w:rPr>
          <w:fldChar w:fldCharType="separate"/>
        </w:r>
        <w:r w:rsidR="0078683A">
          <w:rPr>
            <w:noProof/>
            <w:webHidden/>
          </w:rPr>
          <w:t>17</w:t>
        </w:r>
        <w:r w:rsidR="003B767C">
          <w:rPr>
            <w:noProof/>
            <w:webHidden/>
          </w:rPr>
          <w:fldChar w:fldCharType="end"/>
        </w:r>
      </w:hyperlink>
    </w:p>
    <w:p w14:paraId="3A874C59" w14:textId="206A975E"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8" w:history="1">
        <w:r w:rsidR="003B767C" w:rsidRPr="005001CD">
          <w:rPr>
            <w:rStyle w:val="Hyperlink"/>
            <w:noProof/>
            <w14:scene3d>
              <w14:camera w14:prst="orthographicFront"/>
              <w14:lightRig w14:rig="threePt" w14:dir="t">
                <w14:rot w14:lat="0" w14:lon="0" w14:rev="0"/>
              </w14:lightRig>
            </w14:scene3d>
          </w:rPr>
          <w:t>4.2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Funding for QC and QA</w:t>
        </w:r>
        <w:r w:rsidR="003B767C">
          <w:rPr>
            <w:noProof/>
            <w:webHidden/>
          </w:rPr>
          <w:tab/>
        </w:r>
        <w:r w:rsidR="003B767C">
          <w:rPr>
            <w:noProof/>
            <w:webHidden/>
          </w:rPr>
          <w:fldChar w:fldCharType="begin"/>
        </w:r>
        <w:r w:rsidR="003B767C">
          <w:rPr>
            <w:noProof/>
            <w:webHidden/>
          </w:rPr>
          <w:instrText xml:space="preserve"> PAGEREF _Toc18664638 \h </w:instrText>
        </w:r>
        <w:r w:rsidR="003B767C">
          <w:rPr>
            <w:noProof/>
            <w:webHidden/>
          </w:rPr>
        </w:r>
        <w:r w:rsidR="003B767C">
          <w:rPr>
            <w:noProof/>
            <w:webHidden/>
          </w:rPr>
          <w:fldChar w:fldCharType="separate"/>
        </w:r>
        <w:r w:rsidR="0078683A">
          <w:rPr>
            <w:noProof/>
            <w:webHidden/>
          </w:rPr>
          <w:t>18</w:t>
        </w:r>
        <w:r w:rsidR="003B767C">
          <w:rPr>
            <w:noProof/>
            <w:webHidden/>
          </w:rPr>
          <w:fldChar w:fldCharType="end"/>
        </w:r>
      </w:hyperlink>
    </w:p>
    <w:p w14:paraId="7388CFD7" w14:textId="3EAA3FB9"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39" w:history="1">
        <w:r w:rsidR="003B767C" w:rsidRPr="005001CD">
          <w:rPr>
            <w:rStyle w:val="Hyperlink"/>
            <w:noProof/>
            <w14:scene3d>
              <w14:camera w14:prst="orthographicFront"/>
              <w14:lightRig w14:rig="threePt" w14:dir="t">
                <w14:rot w14:lat="0" w14:lon="0" w14:rev="0"/>
              </w14:lightRig>
            </w14:scene3d>
          </w:rPr>
          <w:t>4.3</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The National Blood Authority and funding to ARCBS for screening of blood donations</w:t>
        </w:r>
        <w:r w:rsidR="003B767C">
          <w:rPr>
            <w:noProof/>
            <w:webHidden/>
          </w:rPr>
          <w:tab/>
        </w:r>
        <w:r w:rsidR="003B767C">
          <w:rPr>
            <w:noProof/>
            <w:webHidden/>
          </w:rPr>
          <w:fldChar w:fldCharType="begin"/>
        </w:r>
        <w:r w:rsidR="003B767C">
          <w:rPr>
            <w:noProof/>
            <w:webHidden/>
          </w:rPr>
          <w:instrText xml:space="preserve"> PAGEREF _Toc18664639 \h </w:instrText>
        </w:r>
        <w:r w:rsidR="003B767C">
          <w:rPr>
            <w:noProof/>
            <w:webHidden/>
          </w:rPr>
        </w:r>
        <w:r w:rsidR="003B767C">
          <w:rPr>
            <w:noProof/>
            <w:webHidden/>
          </w:rPr>
          <w:fldChar w:fldCharType="separate"/>
        </w:r>
        <w:r w:rsidR="0078683A">
          <w:rPr>
            <w:noProof/>
            <w:webHidden/>
          </w:rPr>
          <w:t>18</w:t>
        </w:r>
        <w:r w:rsidR="003B767C">
          <w:rPr>
            <w:noProof/>
            <w:webHidden/>
          </w:rPr>
          <w:fldChar w:fldCharType="end"/>
        </w:r>
      </w:hyperlink>
    </w:p>
    <w:p w14:paraId="629A5F51" w14:textId="65CC2502" w:rsidR="003B767C" w:rsidRDefault="00D73406">
      <w:pPr>
        <w:pStyle w:val="TOC4"/>
        <w:rPr>
          <w:rFonts w:asciiTheme="minorHAnsi" w:eastAsiaTheme="minorEastAsia" w:hAnsiTheme="minorHAnsi" w:cstheme="minorBidi"/>
          <w:color w:val="auto"/>
          <w:spacing w:val="0"/>
          <w:sz w:val="22"/>
          <w:szCs w:val="22"/>
          <w:lang w:eastAsia="en-AU"/>
        </w:rPr>
      </w:pPr>
      <w:hyperlink w:anchor="_Toc18664640" w:history="1">
        <w:r w:rsidR="003B767C" w:rsidRPr="005001CD">
          <w:rPr>
            <w:rStyle w:val="Hyperlink"/>
          </w:rPr>
          <w:t>4.3.1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Funding of Australian Red Cross Blood Service QA and QC activities</w:t>
        </w:r>
        <w:r w:rsidR="003B767C">
          <w:rPr>
            <w:webHidden/>
          </w:rPr>
          <w:tab/>
        </w:r>
        <w:r w:rsidR="003B767C">
          <w:rPr>
            <w:webHidden/>
          </w:rPr>
          <w:fldChar w:fldCharType="begin"/>
        </w:r>
        <w:r w:rsidR="003B767C">
          <w:rPr>
            <w:webHidden/>
          </w:rPr>
          <w:instrText xml:space="preserve"> PAGEREF _Toc18664640 \h </w:instrText>
        </w:r>
        <w:r w:rsidR="003B767C">
          <w:rPr>
            <w:webHidden/>
          </w:rPr>
        </w:r>
        <w:r w:rsidR="003B767C">
          <w:rPr>
            <w:webHidden/>
          </w:rPr>
          <w:fldChar w:fldCharType="separate"/>
        </w:r>
        <w:r w:rsidR="0078683A">
          <w:rPr>
            <w:webHidden/>
          </w:rPr>
          <w:t>18</w:t>
        </w:r>
        <w:r w:rsidR="003B767C">
          <w:rPr>
            <w:webHidden/>
          </w:rPr>
          <w:fldChar w:fldCharType="end"/>
        </w:r>
      </w:hyperlink>
    </w:p>
    <w:p w14:paraId="57479C23" w14:textId="2723ADEE"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41" w:history="1">
        <w:r w:rsidR="003B767C" w:rsidRPr="005001CD">
          <w:rPr>
            <w:rStyle w:val="Hyperlink"/>
            <w:noProof/>
            <w14:scene3d>
              <w14:camera w14:prst="orthographicFront"/>
              <w14:lightRig w14:rig="threePt" w14:dir="t">
                <w14:rot w14:lat="0" w14:lon="0" w14:rev="0"/>
              </w14:lightRig>
            </w14:scene3d>
          </w:rPr>
          <w:t>4.4</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Screening of organs and tissues for transplantation</w:t>
        </w:r>
        <w:r w:rsidR="003B767C">
          <w:rPr>
            <w:noProof/>
            <w:webHidden/>
          </w:rPr>
          <w:tab/>
        </w:r>
        <w:r w:rsidR="003B767C">
          <w:rPr>
            <w:noProof/>
            <w:webHidden/>
          </w:rPr>
          <w:fldChar w:fldCharType="begin"/>
        </w:r>
        <w:r w:rsidR="003B767C">
          <w:rPr>
            <w:noProof/>
            <w:webHidden/>
          </w:rPr>
          <w:instrText xml:space="preserve"> PAGEREF _Toc18664641 \h </w:instrText>
        </w:r>
        <w:r w:rsidR="003B767C">
          <w:rPr>
            <w:noProof/>
            <w:webHidden/>
          </w:rPr>
        </w:r>
        <w:r w:rsidR="003B767C">
          <w:rPr>
            <w:noProof/>
            <w:webHidden/>
          </w:rPr>
          <w:fldChar w:fldCharType="separate"/>
        </w:r>
        <w:r w:rsidR="0078683A">
          <w:rPr>
            <w:noProof/>
            <w:webHidden/>
          </w:rPr>
          <w:t>19</w:t>
        </w:r>
        <w:r w:rsidR="003B767C">
          <w:rPr>
            <w:noProof/>
            <w:webHidden/>
          </w:rPr>
          <w:fldChar w:fldCharType="end"/>
        </w:r>
      </w:hyperlink>
    </w:p>
    <w:p w14:paraId="713DD243" w14:textId="4FFB9376"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42" w:history="1">
        <w:r w:rsidR="003B767C" w:rsidRPr="005001CD">
          <w:rPr>
            <w:rStyle w:val="Hyperlink"/>
            <w:noProof/>
          </w:rPr>
          <w:t>5</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ASSESSING THE MARKET FOR THE FUNDED SERVICES</w:t>
        </w:r>
        <w:r w:rsidR="003B767C">
          <w:rPr>
            <w:noProof/>
            <w:webHidden/>
          </w:rPr>
          <w:tab/>
        </w:r>
        <w:r w:rsidR="003B767C">
          <w:rPr>
            <w:noProof/>
            <w:webHidden/>
          </w:rPr>
          <w:fldChar w:fldCharType="begin"/>
        </w:r>
        <w:r w:rsidR="003B767C">
          <w:rPr>
            <w:noProof/>
            <w:webHidden/>
          </w:rPr>
          <w:instrText xml:space="preserve"> PAGEREF _Toc18664642 \h </w:instrText>
        </w:r>
        <w:r w:rsidR="003B767C">
          <w:rPr>
            <w:noProof/>
            <w:webHidden/>
          </w:rPr>
        </w:r>
        <w:r w:rsidR="003B767C">
          <w:rPr>
            <w:noProof/>
            <w:webHidden/>
          </w:rPr>
          <w:fldChar w:fldCharType="separate"/>
        </w:r>
        <w:r w:rsidR="0078683A">
          <w:rPr>
            <w:noProof/>
            <w:webHidden/>
          </w:rPr>
          <w:t>20</w:t>
        </w:r>
        <w:r w:rsidR="003B767C">
          <w:rPr>
            <w:noProof/>
            <w:webHidden/>
          </w:rPr>
          <w:fldChar w:fldCharType="end"/>
        </w:r>
      </w:hyperlink>
    </w:p>
    <w:p w14:paraId="6BB85597" w14:textId="31C4CCB4"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43" w:history="1">
        <w:r w:rsidR="003B767C" w:rsidRPr="005001CD">
          <w:rPr>
            <w:rStyle w:val="Hyperlink"/>
            <w:noProof/>
            <w14:scene3d>
              <w14:camera w14:prst="orthographicFront"/>
              <w14:lightRig w14:rig="threePt" w14:dir="t">
                <w14:rot w14:lat="0" w14:lon="0" w14:rev="0"/>
              </w14:lightRig>
            </w14:scene3d>
          </w:rPr>
          <w:t>5.1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Summary of funded services</w:t>
        </w:r>
        <w:r w:rsidR="003B767C">
          <w:rPr>
            <w:noProof/>
            <w:webHidden/>
          </w:rPr>
          <w:tab/>
        </w:r>
        <w:r w:rsidR="003B767C">
          <w:rPr>
            <w:noProof/>
            <w:webHidden/>
          </w:rPr>
          <w:fldChar w:fldCharType="begin"/>
        </w:r>
        <w:r w:rsidR="003B767C">
          <w:rPr>
            <w:noProof/>
            <w:webHidden/>
          </w:rPr>
          <w:instrText xml:space="preserve"> PAGEREF _Toc18664643 \h </w:instrText>
        </w:r>
        <w:r w:rsidR="003B767C">
          <w:rPr>
            <w:noProof/>
            <w:webHidden/>
          </w:rPr>
        </w:r>
        <w:r w:rsidR="003B767C">
          <w:rPr>
            <w:noProof/>
            <w:webHidden/>
          </w:rPr>
          <w:fldChar w:fldCharType="separate"/>
        </w:r>
        <w:r w:rsidR="0078683A">
          <w:rPr>
            <w:noProof/>
            <w:webHidden/>
          </w:rPr>
          <w:t>20</w:t>
        </w:r>
        <w:r w:rsidR="003B767C">
          <w:rPr>
            <w:noProof/>
            <w:webHidden/>
          </w:rPr>
          <w:fldChar w:fldCharType="end"/>
        </w:r>
      </w:hyperlink>
    </w:p>
    <w:p w14:paraId="19B8686F" w14:textId="733650A8"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44" w:history="1">
        <w:r w:rsidR="003B767C" w:rsidRPr="005001CD">
          <w:rPr>
            <w:rStyle w:val="Hyperlink"/>
            <w:noProof/>
            <w14:scene3d>
              <w14:camera w14:prst="orthographicFront"/>
              <w14:lightRig w14:rig="threePt" w14:dir="t">
                <w14:rot w14:lat="0" w14:lon="0" w14:rev="0"/>
              </w14:lightRig>
            </w14:scene3d>
          </w:rPr>
          <w:t>5.2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Quality control programs</w:t>
        </w:r>
        <w:r w:rsidR="003B767C">
          <w:rPr>
            <w:noProof/>
            <w:webHidden/>
          </w:rPr>
          <w:tab/>
        </w:r>
        <w:r w:rsidR="003B767C">
          <w:rPr>
            <w:noProof/>
            <w:webHidden/>
          </w:rPr>
          <w:fldChar w:fldCharType="begin"/>
        </w:r>
        <w:r w:rsidR="003B767C">
          <w:rPr>
            <w:noProof/>
            <w:webHidden/>
          </w:rPr>
          <w:instrText xml:space="preserve"> PAGEREF _Toc18664644 \h </w:instrText>
        </w:r>
        <w:r w:rsidR="003B767C">
          <w:rPr>
            <w:noProof/>
            <w:webHidden/>
          </w:rPr>
        </w:r>
        <w:r w:rsidR="003B767C">
          <w:rPr>
            <w:noProof/>
            <w:webHidden/>
          </w:rPr>
          <w:fldChar w:fldCharType="separate"/>
        </w:r>
        <w:r w:rsidR="0078683A">
          <w:rPr>
            <w:noProof/>
            <w:webHidden/>
          </w:rPr>
          <w:t>21</w:t>
        </w:r>
        <w:r w:rsidR="003B767C">
          <w:rPr>
            <w:noProof/>
            <w:webHidden/>
          </w:rPr>
          <w:fldChar w:fldCharType="end"/>
        </w:r>
      </w:hyperlink>
    </w:p>
    <w:p w14:paraId="528B376D" w14:textId="60B31FFD" w:rsidR="003B767C" w:rsidRDefault="00D73406">
      <w:pPr>
        <w:pStyle w:val="TOC4"/>
        <w:rPr>
          <w:rFonts w:asciiTheme="minorHAnsi" w:eastAsiaTheme="minorEastAsia" w:hAnsiTheme="minorHAnsi" w:cstheme="minorBidi"/>
          <w:color w:val="auto"/>
          <w:spacing w:val="0"/>
          <w:sz w:val="22"/>
          <w:szCs w:val="22"/>
          <w:lang w:eastAsia="en-AU"/>
        </w:rPr>
      </w:pPr>
      <w:hyperlink w:anchor="_Toc18664645" w:history="1">
        <w:r w:rsidR="003B767C" w:rsidRPr="005001CD">
          <w:rPr>
            <w:rStyle w:val="Hyperlink"/>
          </w:rPr>
          <w:t>5.2.1</w:t>
        </w:r>
        <w:r w:rsidR="003B767C">
          <w:rPr>
            <w:rFonts w:asciiTheme="minorHAnsi" w:eastAsiaTheme="minorEastAsia" w:hAnsiTheme="minorHAnsi" w:cstheme="minorBidi"/>
            <w:color w:val="auto"/>
            <w:spacing w:val="0"/>
            <w:sz w:val="22"/>
            <w:szCs w:val="22"/>
            <w:lang w:eastAsia="en-AU"/>
          </w:rPr>
          <w:tab/>
        </w:r>
        <w:r w:rsidR="003B767C" w:rsidRPr="005001CD">
          <w:rPr>
            <w:rStyle w:val="Hyperlink"/>
            <w:shd w:val="clear" w:color="auto" w:fill="FFFFFF"/>
          </w:rPr>
          <w:t>Participating laboratories</w:t>
        </w:r>
        <w:r w:rsidR="003B767C">
          <w:rPr>
            <w:webHidden/>
          </w:rPr>
          <w:tab/>
        </w:r>
        <w:r w:rsidR="003B767C">
          <w:rPr>
            <w:webHidden/>
          </w:rPr>
          <w:fldChar w:fldCharType="begin"/>
        </w:r>
        <w:r w:rsidR="003B767C">
          <w:rPr>
            <w:webHidden/>
          </w:rPr>
          <w:instrText xml:space="preserve"> PAGEREF _Toc18664645 \h </w:instrText>
        </w:r>
        <w:r w:rsidR="003B767C">
          <w:rPr>
            <w:webHidden/>
          </w:rPr>
        </w:r>
        <w:r w:rsidR="003B767C">
          <w:rPr>
            <w:webHidden/>
          </w:rPr>
          <w:fldChar w:fldCharType="separate"/>
        </w:r>
        <w:r w:rsidR="0078683A">
          <w:rPr>
            <w:webHidden/>
          </w:rPr>
          <w:t>21</w:t>
        </w:r>
        <w:r w:rsidR="003B767C">
          <w:rPr>
            <w:webHidden/>
          </w:rPr>
          <w:fldChar w:fldCharType="end"/>
        </w:r>
      </w:hyperlink>
    </w:p>
    <w:p w14:paraId="41DA26EA" w14:textId="53CD45FF" w:rsidR="003B767C" w:rsidRDefault="00D73406">
      <w:pPr>
        <w:pStyle w:val="TOC4"/>
        <w:rPr>
          <w:rFonts w:asciiTheme="minorHAnsi" w:eastAsiaTheme="minorEastAsia" w:hAnsiTheme="minorHAnsi" w:cstheme="minorBidi"/>
          <w:color w:val="auto"/>
          <w:spacing w:val="0"/>
          <w:sz w:val="22"/>
          <w:szCs w:val="22"/>
          <w:lang w:eastAsia="en-AU"/>
        </w:rPr>
      </w:pPr>
      <w:hyperlink w:anchor="_Toc18664646" w:history="1">
        <w:r w:rsidR="003B767C" w:rsidRPr="005001CD">
          <w:rPr>
            <w:rStyle w:val="Hyperlink"/>
          </w:rPr>
          <w:t>5.2.2</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Australian Red Cross Blood Service</w:t>
        </w:r>
        <w:r w:rsidR="003B767C">
          <w:rPr>
            <w:webHidden/>
          </w:rPr>
          <w:tab/>
        </w:r>
        <w:r w:rsidR="003B767C">
          <w:rPr>
            <w:webHidden/>
          </w:rPr>
          <w:fldChar w:fldCharType="begin"/>
        </w:r>
        <w:r w:rsidR="003B767C">
          <w:rPr>
            <w:webHidden/>
          </w:rPr>
          <w:instrText xml:space="preserve"> PAGEREF _Toc18664646 \h </w:instrText>
        </w:r>
        <w:r w:rsidR="003B767C">
          <w:rPr>
            <w:webHidden/>
          </w:rPr>
        </w:r>
        <w:r w:rsidR="003B767C">
          <w:rPr>
            <w:webHidden/>
          </w:rPr>
          <w:fldChar w:fldCharType="separate"/>
        </w:r>
        <w:r w:rsidR="0078683A">
          <w:rPr>
            <w:webHidden/>
          </w:rPr>
          <w:t>23</w:t>
        </w:r>
        <w:r w:rsidR="003B767C">
          <w:rPr>
            <w:webHidden/>
          </w:rPr>
          <w:fldChar w:fldCharType="end"/>
        </w:r>
      </w:hyperlink>
    </w:p>
    <w:p w14:paraId="6913C26F" w14:textId="637E7E9F" w:rsidR="003B767C" w:rsidRDefault="00D73406">
      <w:pPr>
        <w:pStyle w:val="TOC4"/>
        <w:rPr>
          <w:rFonts w:asciiTheme="minorHAnsi" w:eastAsiaTheme="minorEastAsia" w:hAnsiTheme="minorHAnsi" w:cstheme="minorBidi"/>
          <w:color w:val="auto"/>
          <w:spacing w:val="0"/>
          <w:sz w:val="22"/>
          <w:szCs w:val="22"/>
          <w:lang w:eastAsia="en-AU"/>
        </w:rPr>
      </w:pPr>
      <w:hyperlink w:anchor="_Toc18664647" w:history="1">
        <w:r w:rsidR="003B767C" w:rsidRPr="005001CD">
          <w:rPr>
            <w:rStyle w:val="Hyperlink"/>
          </w:rPr>
          <w:t>5.2.3</w:t>
        </w:r>
        <w:r w:rsidR="003B767C">
          <w:rPr>
            <w:rFonts w:asciiTheme="minorHAnsi" w:eastAsiaTheme="minorEastAsia" w:hAnsiTheme="minorHAnsi" w:cstheme="minorBidi"/>
            <w:color w:val="auto"/>
            <w:spacing w:val="0"/>
            <w:sz w:val="22"/>
            <w:szCs w:val="22"/>
            <w:lang w:eastAsia="en-AU"/>
          </w:rPr>
          <w:tab/>
        </w:r>
        <w:r w:rsidR="003B767C" w:rsidRPr="005001CD">
          <w:rPr>
            <w:rStyle w:val="Hyperlink"/>
            <w:shd w:val="clear" w:color="auto" w:fill="FFFFFF"/>
          </w:rPr>
          <w:t>Other QC providers</w:t>
        </w:r>
        <w:r w:rsidR="003B767C">
          <w:rPr>
            <w:webHidden/>
          </w:rPr>
          <w:tab/>
        </w:r>
        <w:r w:rsidR="003B767C">
          <w:rPr>
            <w:webHidden/>
          </w:rPr>
          <w:fldChar w:fldCharType="begin"/>
        </w:r>
        <w:r w:rsidR="003B767C">
          <w:rPr>
            <w:webHidden/>
          </w:rPr>
          <w:instrText xml:space="preserve"> PAGEREF _Toc18664647 \h </w:instrText>
        </w:r>
        <w:r w:rsidR="003B767C">
          <w:rPr>
            <w:webHidden/>
          </w:rPr>
        </w:r>
        <w:r w:rsidR="003B767C">
          <w:rPr>
            <w:webHidden/>
          </w:rPr>
          <w:fldChar w:fldCharType="separate"/>
        </w:r>
        <w:r w:rsidR="0078683A">
          <w:rPr>
            <w:webHidden/>
          </w:rPr>
          <w:t>23</w:t>
        </w:r>
        <w:r w:rsidR="003B767C">
          <w:rPr>
            <w:webHidden/>
          </w:rPr>
          <w:fldChar w:fldCharType="end"/>
        </w:r>
      </w:hyperlink>
    </w:p>
    <w:p w14:paraId="36171DF3" w14:textId="6E5BB704" w:rsidR="003B767C" w:rsidRDefault="00D73406">
      <w:pPr>
        <w:pStyle w:val="TOC4"/>
        <w:rPr>
          <w:rFonts w:asciiTheme="minorHAnsi" w:eastAsiaTheme="minorEastAsia" w:hAnsiTheme="minorHAnsi" w:cstheme="minorBidi"/>
          <w:color w:val="auto"/>
          <w:spacing w:val="0"/>
          <w:sz w:val="22"/>
          <w:szCs w:val="22"/>
          <w:lang w:eastAsia="en-AU"/>
        </w:rPr>
      </w:pPr>
      <w:hyperlink w:anchor="_Toc18664648" w:history="1">
        <w:r w:rsidR="003B767C" w:rsidRPr="005001CD">
          <w:rPr>
            <w:rStyle w:val="Hyperlink"/>
          </w:rPr>
          <w:t>5.2.4</w:t>
        </w:r>
        <w:r w:rsidR="003B767C">
          <w:rPr>
            <w:rFonts w:asciiTheme="minorHAnsi" w:eastAsiaTheme="minorEastAsia" w:hAnsiTheme="minorHAnsi" w:cstheme="minorBidi"/>
            <w:color w:val="auto"/>
            <w:spacing w:val="0"/>
            <w:sz w:val="22"/>
            <w:szCs w:val="22"/>
            <w:lang w:eastAsia="en-AU"/>
          </w:rPr>
          <w:tab/>
        </w:r>
        <w:r w:rsidR="003B767C" w:rsidRPr="005001CD">
          <w:rPr>
            <w:rStyle w:val="Hyperlink"/>
            <w:shd w:val="clear" w:color="auto" w:fill="FFFFFF"/>
          </w:rPr>
          <w:t>Comparison of QC costs</w:t>
        </w:r>
        <w:r w:rsidR="003B767C">
          <w:rPr>
            <w:webHidden/>
          </w:rPr>
          <w:tab/>
        </w:r>
        <w:r w:rsidR="003B767C">
          <w:rPr>
            <w:webHidden/>
          </w:rPr>
          <w:fldChar w:fldCharType="begin"/>
        </w:r>
        <w:r w:rsidR="003B767C">
          <w:rPr>
            <w:webHidden/>
          </w:rPr>
          <w:instrText xml:space="preserve"> PAGEREF _Toc18664648 \h </w:instrText>
        </w:r>
        <w:r w:rsidR="003B767C">
          <w:rPr>
            <w:webHidden/>
          </w:rPr>
        </w:r>
        <w:r w:rsidR="003B767C">
          <w:rPr>
            <w:webHidden/>
          </w:rPr>
          <w:fldChar w:fldCharType="separate"/>
        </w:r>
        <w:r w:rsidR="0078683A">
          <w:rPr>
            <w:webHidden/>
          </w:rPr>
          <w:t>24</w:t>
        </w:r>
        <w:r w:rsidR="003B767C">
          <w:rPr>
            <w:webHidden/>
          </w:rPr>
          <w:fldChar w:fldCharType="end"/>
        </w:r>
      </w:hyperlink>
    </w:p>
    <w:p w14:paraId="2FE4D642" w14:textId="59321F78" w:rsidR="003B767C" w:rsidRDefault="00D73406">
      <w:pPr>
        <w:pStyle w:val="TOC4"/>
        <w:rPr>
          <w:rFonts w:asciiTheme="minorHAnsi" w:eastAsiaTheme="minorEastAsia" w:hAnsiTheme="minorHAnsi" w:cstheme="minorBidi"/>
          <w:color w:val="auto"/>
          <w:spacing w:val="0"/>
          <w:sz w:val="22"/>
          <w:szCs w:val="22"/>
          <w:lang w:eastAsia="en-AU"/>
        </w:rPr>
      </w:pPr>
      <w:hyperlink w:anchor="_Toc18664649" w:history="1">
        <w:r w:rsidR="003B767C" w:rsidRPr="005001CD">
          <w:rPr>
            <w:rStyle w:val="Hyperlink"/>
          </w:rPr>
          <w:t>5.2.5</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QA use by participating laboratories</w:t>
        </w:r>
        <w:r w:rsidR="003B767C">
          <w:rPr>
            <w:webHidden/>
          </w:rPr>
          <w:tab/>
        </w:r>
        <w:r w:rsidR="003B767C">
          <w:rPr>
            <w:webHidden/>
          </w:rPr>
          <w:fldChar w:fldCharType="begin"/>
        </w:r>
        <w:r w:rsidR="003B767C">
          <w:rPr>
            <w:webHidden/>
          </w:rPr>
          <w:instrText xml:space="preserve"> PAGEREF _Toc18664649 \h </w:instrText>
        </w:r>
        <w:r w:rsidR="003B767C">
          <w:rPr>
            <w:webHidden/>
          </w:rPr>
        </w:r>
        <w:r w:rsidR="003B767C">
          <w:rPr>
            <w:webHidden/>
          </w:rPr>
          <w:fldChar w:fldCharType="separate"/>
        </w:r>
        <w:r w:rsidR="0078683A">
          <w:rPr>
            <w:webHidden/>
          </w:rPr>
          <w:t>24</w:t>
        </w:r>
        <w:r w:rsidR="003B767C">
          <w:rPr>
            <w:webHidden/>
          </w:rPr>
          <w:fldChar w:fldCharType="end"/>
        </w:r>
      </w:hyperlink>
    </w:p>
    <w:p w14:paraId="78FC79CA" w14:textId="34E9B7F4" w:rsidR="003B767C" w:rsidRDefault="00D73406">
      <w:pPr>
        <w:pStyle w:val="TOC4"/>
        <w:rPr>
          <w:rFonts w:asciiTheme="minorHAnsi" w:eastAsiaTheme="minorEastAsia" w:hAnsiTheme="minorHAnsi" w:cstheme="minorBidi"/>
          <w:color w:val="auto"/>
          <w:spacing w:val="0"/>
          <w:sz w:val="22"/>
          <w:szCs w:val="22"/>
          <w:lang w:eastAsia="en-AU"/>
        </w:rPr>
      </w:pPr>
      <w:hyperlink w:anchor="_Toc18664650" w:history="1">
        <w:r w:rsidR="003B767C" w:rsidRPr="005001CD">
          <w:rPr>
            <w:rStyle w:val="Hyperlink"/>
          </w:rPr>
          <w:t>5.2.6</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QA use by Australian Red Cross Blood Service</w:t>
        </w:r>
        <w:r w:rsidR="003B767C">
          <w:rPr>
            <w:webHidden/>
          </w:rPr>
          <w:tab/>
        </w:r>
        <w:r w:rsidR="003B767C">
          <w:rPr>
            <w:webHidden/>
          </w:rPr>
          <w:fldChar w:fldCharType="begin"/>
        </w:r>
        <w:r w:rsidR="003B767C">
          <w:rPr>
            <w:webHidden/>
          </w:rPr>
          <w:instrText xml:space="preserve"> PAGEREF _Toc18664650 \h </w:instrText>
        </w:r>
        <w:r w:rsidR="003B767C">
          <w:rPr>
            <w:webHidden/>
          </w:rPr>
        </w:r>
        <w:r w:rsidR="003B767C">
          <w:rPr>
            <w:webHidden/>
          </w:rPr>
          <w:fldChar w:fldCharType="separate"/>
        </w:r>
        <w:r w:rsidR="0078683A">
          <w:rPr>
            <w:webHidden/>
          </w:rPr>
          <w:t>26</w:t>
        </w:r>
        <w:r w:rsidR="003B767C">
          <w:rPr>
            <w:webHidden/>
          </w:rPr>
          <w:fldChar w:fldCharType="end"/>
        </w:r>
      </w:hyperlink>
    </w:p>
    <w:p w14:paraId="08D93618" w14:textId="6E9EDD11" w:rsidR="003B767C" w:rsidRDefault="00D73406">
      <w:pPr>
        <w:pStyle w:val="TOC4"/>
        <w:rPr>
          <w:rFonts w:asciiTheme="minorHAnsi" w:eastAsiaTheme="minorEastAsia" w:hAnsiTheme="minorHAnsi" w:cstheme="minorBidi"/>
          <w:color w:val="auto"/>
          <w:spacing w:val="0"/>
          <w:sz w:val="22"/>
          <w:szCs w:val="22"/>
          <w:lang w:eastAsia="en-AU"/>
        </w:rPr>
      </w:pPr>
      <w:hyperlink w:anchor="_Toc18664651" w:history="1">
        <w:r w:rsidR="003B767C" w:rsidRPr="005001CD">
          <w:rPr>
            <w:rStyle w:val="Hyperlink"/>
          </w:rPr>
          <w:t>5.2.7</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Other QA providers</w:t>
        </w:r>
        <w:r w:rsidR="003B767C">
          <w:rPr>
            <w:webHidden/>
          </w:rPr>
          <w:tab/>
        </w:r>
        <w:r w:rsidR="003B767C">
          <w:rPr>
            <w:webHidden/>
          </w:rPr>
          <w:fldChar w:fldCharType="begin"/>
        </w:r>
        <w:r w:rsidR="003B767C">
          <w:rPr>
            <w:webHidden/>
          </w:rPr>
          <w:instrText xml:space="preserve"> PAGEREF _Toc18664651 \h </w:instrText>
        </w:r>
        <w:r w:rsidR="003B767C">
          <w:rPr>
            <w:webHidden/>
          </w:rPr>
        </w:r>
        <w:r w:rsidR="003B767C">
          <w:rPr>
            <w:webHidden/>
          </w:rPr>
          <w:fldChar w:fldCharType="separate"/>
        </w:r>
        <w:r w:rsidR="0078683A">
          <w:rPr>
            <w:webHidden/>
          </w:rPr>
          <w:t>28</w:t>
        </w:r>
        <w:r w:rsidR="003B767C">
          <w:rPr>
            <w:webHidden/>
          </w:rPr>
          <w:fldChar w:fldCharType="end"/>
        </w:r>
      </w:hyperlink>
    </w:p>
    <w:p w14:paraId="0FFCE600" w14:textId="4162EA8B" w:rsidR="003B767C" w:rsidRDefault="00D73406">
      <w:pPr>
        <w:pStyle w:val="TOC4"/>
        <w:rPr>
          <w:rFonts w:asciiTheme="minorHAnsi" w:eastAsiaTheme="minorEastAsia" w:hAnsiTheme="minorHAnsi" w:cstheme="minorBidi"/>
          <w:color w:val="auto"/>
          <w:spacing w:val="0"/>
          <w:sz w:val="22"/>
          <w:szCs w:val="22"/>
          <w:lang w:eastAsia="en-AU"/>
        </w:rPr>
      </w:pPr>
      <w:hyperlink w:anchor="_Toc18664652" w:history="1">
        <w:r w:rsidR="003B767C" w:rsidRPr="005001CD">
          <w:rPr>
            <w:rStyle w:val="Hyperlink"/>
          </w:rPr>
          <w:t>5.2.8</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Comparability of available QA services</w:t>
        </w:r>
        <w:r w:rsidR="003B767C">
          <w:rPr>
            <w:webHidden/>
          </w:rPr>
          <w:tab/>
        </w:r>
        <w:r w:rsidR="003B767C">
          <w:rPr>
            <w:webHidden/>
          </w:rPr>
          <w:fldChar w:fldCharType="begin"/>
        </w:r>
        <w:r w:rsidR="003B767C">
          <w:rPr>
            <w:webHidden/>
          </w:rPr>
          <w:instrText xml:space="preserve"> PAGEREF _Toc18664652 \h </w:instrText>
        </w:r>
        <w:r w:rsidR="003B767C">
          <w:rPr>
            <w:webHidden/>
          </w:rPr>
        </w:r>
        <w:r w:rsidR="003B767C">
          <w:rPr>
            <w:webHidden/>
          </w:rPr>
          <w:fldChar w:fldCharType="separate"/>
        </w:r>
        <w:r w:rsidR="0078683A">
          <w:rPr>
            <w:webHidden/>
          </w:rPr>
          <w:t>28</w:t>
        </w:r>
        <w:r w:rsidR="003B767C">
          <w:rPr>
            <w:webHidden/>
          </w:rPr>
          <w:fldChar w:fldCharType="end"/>
        </w:r>
      </w:hyperlink>
    </w:p>
    <w:p w14:paraId="74105913" w14:textId="68ACCF63" w:rsidR="003B767C" w:rsidRDefault="00D73406">
      <w:pPr>
        <w:pStyle w:val="TOC4"/>
        <w:rPr>
          <w:rFonts w:asciiTheme="minorHAnsi" w:eastAsiaTheme="minorEastAsia" w:hAnsiTheme="minorHAnsi" w:cstheme="minorBidi"/>
          <w:color w:val="auto"/>
          <w:spacing w:val="0"/>
          <w:sz w:val="22"/>
          <w:szCs w:val="22"/>
          <w:lang w:eastAsia="en-AU"/>
        </w:rPr>
      </w:pPr>
      <w:hyperlink w:anchor="_Toc18664653" w:history="1">
        <w:r w:rsidR="003B767C" w:rsidRPr="005001CD">
          <w:rPr>
            <w:rStyle w:val="Hyperlink"/>
          </w:rPr>
          <w:t>5.2.9</w:t>
        </w:r>
        <w:r w:rsidR="003B767C">
          <w:rPr>
            <w:rFonts w:asciiTheme="minorHAnsi" w:eastAsiaTheme="minorEastAsia" w:hAnsiTheme="minorHAnsi" w:cstheme="minorBidi"/>
            <w:color w:val="auto"/>
            <w:spacing w:val="0"/>
            <w:sz w:val="22"/>
            <w:szCs w:val="22"/>
            <w:lang w:eastAsia="en-AU"/>
          </w:rPr>
          <w:tab/>
        </w:r>
        <w:r w:rsidR="003B767C" w:rsidRPr="005001CD">
          <w:rPr>
            <w:rStyle w:val="Hyperlink"/>
            <w:shd w:val="clear" w:color="auto" w:fill="FFFFFF"/>
          </w:rPr>
          <w:t>Comparison of QA costs</w:t>
        </w:r>
        <w:r w:rsidR="003B767C">
          <w:rPr>
            <w:webHidden/>
          </w:rPr>
          <w:tab/>
        </w:r>
        <w:r w:rsidR="003B767C">
          <w:rPr>
            <w:webHidden/>
          </w:rPr>
          <w:fldChar w:fldCharType="begin"/>
        </w:r>
        <w:r w:rsidR="003B767C">
          <w:rPr>
            <w:webHidden/>
          </w:rPr>
          <w:instrText xml:space="preserve"> PAGEREF _Toc18664653 \h </w:instrText>
        </w:r>
        <w:r w:rsidR="003B767C">
          <w:rPr>
            <w:webHidden/>
          </w:rPr>
        </w:r>
        <w:r w:rsidR="003B767C">
          <w:rPr>
            <w:webHidden/>
          </w:rPr>
          <w:fldChar w:fldCharType="separate"/>
        </w:r>
        <w:r w:rsidR="0078683A">
          <w:rPr>
            <w:webHidden/>
          </w:rPr>
          <w:t>29</w:t>
        </w:r>
        <w:r w:rsidR="003B767C">
          <w:rPr>
            <w:webHidden/>
          </w:rPr>
          <w:fldChar w:fldCharType="end"/>
        </w:r>
      </w:hyperlink>
    </w:p>
    <w:p w14:paraId="32362E41" w14:textId="49AC7CDB"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54" w:history="1">
        <w:r w:rsidR="003B767C" w:rsidRPr="005001CD">
          <w:rPr>
            <w:rStyle w:val="Hyperlink"/>
            <w:noProof/>
          </w:rPr>
          <w:t>6</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Confirmatory and REFERENCE testing</w:t>
        </w:r>
        <w:r w:rsidR="003B767C">
          <w:rPr>
            <w:noProof/>
            <w:webHidden/>
          </w:rPr>
          <w:tab/>
        </w:r>
        <w:r w:rsidR="003B767C">
          <w:rPr>
            <w:noProof/>
            <w:webHidden/>
          </w:rPr>
          <w:fldChar w:fldCharType="begin"/>
        </w:r>
        <w:r w:rsidR="003B767C">
          <w:rPr>
            <w:noProof/>
            <w:webHidden/>
          </w:rPr>
          <w:instrText xml:space="preserve"> PAGEREF _Toc18664654 \h </w:instrText>
        </w:r>
        <w:r w:rsidR="003B767C">
          <w:rPr>
            <w:noProof/>
            <w:webHidden/>
          </w:rPr>
        </w:r>
        <w:r w:rsidR="003B767C">
          <w:rPr>
            <w:noProof/>
            <w:webHidden/>
          </w:rPr>
          <w:fldChar w:fldCharType="separate"/>
        </w:r>
        <w:r w:rsidR="0078683A">
          <w:rPr>
            <w:noProof/>
            <w:webHidden/>
          </w:rPr>
          <w:t>30</w:t>
        </w:r>
        <w:r w:rsidR="003B767C">
          <w:rPr>
            <w:noProof/>
            <w:webHidden/>
          </w:rPr>
          <w:fldChar w:fldCharType="end"/>
        </w:r>
      </w:hyperlink>
    </w:p>
    <w:p w14:paraId="6399534B" w14:textId="76733132"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55" w:history="1">
        <w:r w:rsidR="003B767C" w:rsidRPr="005001CD">
          <w:rPr>
            <w:rStyle w:val="Hyperlink"/>
            <w:noProof/>
            <w14:scene3d>
              <w14:camera w14:prst="orthographicFront"/>
              <w14:lightRig w14:rig="threePt" w14:dir="t">
                <w14:rot w14:lat="0" w14:lon="0" w14:rev="0"/>
              </w14:lightRig>
            </w14:scene3d>
          </w:rPr>
          <w:t>6.1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Summary of services</w:t>
        </w:r>
        <w:r w:rsidR="003B767C">
          <w:rPr>
            <w:noProof/>
            <w:webHidden/>
          </w:rPr>
          <w:tab/>
        </w:r>
        <w:r w:rsidR="003B767C">
          <w:rPr>
            <w:noProof/>
            <w:webHidden/>
          </w:rPr>
          <w:fldChar w:fldCharType="begin"/>
        </w:r>
        <w:r w:rsidR="003B767C">
          <w:rPr>
            <w:noProof/>
            <w:webHidden/>
          </w:rPr>
          <w:instrText xml:space="preserve"> PAGEREF _Toc18664655 \h </w:instrText>
        </w:r>
        <w:r w:rsidR="003B767C">
          <w:rPr>
            <w:noProof/>
            <w:webHidden/>
          </w:rPr>
        </w:r>
        <w:r w:rsidR="003B767C">
          <w:rPr>
            <w:noProof/>
            <w:webHidden/>
          </w:rPr>
          <w:fldChar w:fldCharType="separate"/>
        </w:r>
        <w:r w:rsidR="0078683A">
          <w:rPr>
            <w:noProof/>
            <w:webHidden/>
          </w:rPr>
          <w:t>30</w:t>
        </w:r>
        <w:r w:rsidR="003B767C">
          <w:rPr>
            <w:noProof/>
            <w:webHidden/>
          </w:rPr>
          <w:fldChar w:fldCharType="end"/>
        </w:r>
      </w:hyperlink>
    </w:p>
    <w:p w14:paraId="0C1D62BB" w14:textId="183257A3"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56" w:history="1">
        <w:r w:rsidR="003B767C" w:rsidRPr="005001CD">
          <w:rPr>
            <w:rStyle w:val="Hyperlink"/>
            <w:noProof/>
            <w14:scene3d>
              <w14:camera w14:prst="orthographicFront"/>
              <w14:lightRig w14:rig="threePt" w14:dir="t">
                <w14:rot w14:lat="0" w14:lon="0" w14:rev="0"/>
              </w14:lightRig>
            </w14:scene3d>
          </w:rPr>
          <w:t>6.2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Confirmatory and reference testing – use of services and other providers</w:t>
        </w:r>
        <w:r w:rsidR="003B767C">
          <w:rPr>
            <w:noProof/>
            <w:webHidden/>
          </w:rPr>
          <w:tab/>
        </w:r>
        <w:r w:rsidR="003B767C">
          <w:rPr>
            <w:noProof/>
            <w:webHidden/>
          </w:rPr>
          <w:fldChar w:fldCharType="begin"/>
        </w:r>
        <w:r w:rsidR="003B767C">
          <w:rPr>
            <w:noProof/>
            <w:webHidden/>
          </w:rPr>
          <w:instrText xml:space="preserve"> PAGEREF _Toc18664656 \h </w:instrText>
        </w:r>
        <w:r w:rsidR="003B767C">
          <w:rPr>
            <w:noProof/>
            <w:webHidden/>
          </w:rPr>
        </w:r>
        <w:r w:rsidR="003B767C">
          <w:rPr>
            <w:noProof/>
            <w:webHidden/>
          </w:rPr>
          <w:fldChar w:fldCharType="separate"/>
        </w:r>
        <w:r w:rsidR="0078683A">
          <w:rPr>
            <w:noProof/>
            <w:webHidden/>
          </w:rPr>
          <w:t>30</w:t>
        </w:r>
        <w:r w:rsidR="003B767C">
          <w:rPr>
            <w:noProof/>
            <w:webHidden/>
          </w:rPr>
          <w:fldChar w:fldCharType="end"/>
        </w:r>
      </w:hyperlink>
    </w:p>
    <w:p w14:paraId="5E61446C" w14:textId="0FFC8642" w:rsidR="003B767C" w:rsidRDefault="00D73406">
      <w:pPr>
        <w:pStyle w:val="TOC4"/>
        <w:rPr>
          <w:rFonts w:asciiTheme="minorHAnsi" w:eastAsiaTheme="minorEastAsia" w:hAnsiTheme="minorHAnsi" w:cstheme="minorBidi"/>
          <w:color w:val="auto"/>
          <w:spacing w:val="0"/>
          <w:sz w:val="22"/>
          <w:szCs w:val="22"/>
          <w:lang w:eastAsia="en-AU"/>
        </w:rPr>
      </w:pPr>
      <w:hyperlink w:anchor="_Toc18664657" w:history="1">
        <w:r w:rsidR="003B767C" w:rsidRPr="005001CD">
          <w:rPr>
            <w:rStyle w:val="Hyperlink"/>
          </w:rPr>
          <w:t>6.2.1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Participating laboratories</w:t>
        </w:r>
        <w:r w:rsidR="003B767C">
          <w:rPr>
            <w:webHidden/>
          </w:rPr>
          <w:tab/>
        </w:r>
        <w:r w:rsidR="003B767C">
          <w:rPr>
            <w:webHidden/>
          </w:rPr>
          <w:fldChar w:fldCharType="begin"/>
        </w:r>
        <w:r w:rsidR="003B767C">
          <w:rPr>
            <w:webHidden/>
          </w:rPr>
          <w:instrText xml:space="preserve"> PAGEREF _Toc18664657 \h </w:instrText>
        </w:r>
        <w:r w:rsidR="003B767C">
          <w:rPr>
            <w:webHidden/>
          </w:rPr>
        </w:r>
        <w:r w:rsidR="003B767C">
          <w:rPr>
            <w:webHidden/>
          </w:rPr>
          <w:fldChar w:fldCharType="separate"/>
        </w:r>
        <w:r w:rsidR="0078683A">
          <w:rPr>
            <w:webHidden/>
          </w:rPr>
          <w:t>30</w:t>
        </w:r>
        <w:r w:rsidR="003B767C">
          <w:rPr>
            <w:webHidden/>
          </w:rPr>
          <w:fldChar w:fldCharType="end"/>
        </w:r>
      </w:hyperlink>
    </w:p>
    <w:p w14:paraId="548ACEAE" w14:textId="41D9715B" w:rsidR="003B767C" w:rsidRDefault="00D73406">
      <w:pPr>
        <w:pStyle w:val="TOC4"/>
        <w:rPr>
          <w:rFonts w:asciiTheme="minorHAnsi" w:eastAsiaTheme="minorEastAsia" w:hAnsiTheme="minorHAnsi" w:cstheme="minorBidi"/>
          <w:color w:val="auto"/>
          <w:spacing w:val="0"/>
          <w:sz w:val="22"/>
          <w:szCs w:val="22"/>
          <w:lang w:eastAsia="en-AU"/>
        </w:rPr>
      </w:pPr>
      <w:hyperlink w:anchor="_Toc18664658" w:history="1">
        <w:r w:rsidR="003B767C" w:rsidRPr="005001CD">
          <w:rPr>
            <w:rStyle w:val="Hyperlink"/>
          </w:rPr>
          <w:t>6.2.2</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Australian Red Cross Blood Service</w:t>
        </w:r>
        <w:r w:rsidR="003B767C">
          <w:rPr>
            <w:webHidden/>
          </w:rPr>
          <w:tab/>
        </w:r>
        <w:r w:rsidR="003B767C">
          <w:rPr>
            <w:webHidden/>
          </w:rPr>
          <w:fldChar w:fldCharType="begin"/>
        </w:r>
        <w:r w:rsidR="003B767C">
          <w:rPr>
            <w:webHidden/>
          </w:rPr>
          <w:instrText xml:space="preserve"> PAGEREF _Toc18664658 \h </w:instrText>
        </w:r>
        <w:r w:rsidR="003B767C">
          <w:rPr>
            <w:webHidden/>
          </w:rPr>
        </w:r>
        <w:r w:rsidR="003B767C">
          <w:rPr>
            <w:webHidden/>
          </w:rPr>
          <w:fldChar w:fldCharType="separate"/>
        </w:r>
        <w:r w:rsidR="0078683A">
          <w:rPr>
            <w:webHidden/>
          </w:rPr>
          <w:t>31</w:t>
        </w:r>
        <w:r w:rsidR="003B767C">
          <w:rPr>
            <w:webHidden/>
          </w:rPr>
          <w:fldChar w:fldCharType="end"/>
        </w:r>
      </w:hyperlink>
    </w:p>
    <w:p w14:paraId="6C27D52E" w14:textId="6FB5D332"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59" w:history="1">
        <w:r w:rsidR="003B767C" w:rsidRPr="005001CD">
          <w:rPr>
            <w:rStyle w:val="Hyperlink"/>
            <w:noProof/>
            <w14:scene3d>
              <w14:camera w14:prst="orthographicFront"/>
              <w14:lightRig w14:rig="threePt" w14:dir="t">
                <w14:rot w14:lat="0" w14:lon="0" w14:rev="0"/>
              </w14:lightRig>
            </w14:scene3d>
          </w:rPr>
          <w:t>6.3</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Unit costs of confirmatory and reference testing</w:t>
        </w:r>
        <w:r w:rsidR="003B767C">
          <w:rPr>
            <w:noProof/>
            <w:webHidden/>
          </w:rPr>
          <w:tab/>
        </w:r>
        <w:r w:rsidR="003B767C">
          <w:rPr>
            <w:noProof/>
            <w:webHidden/>
          </w:rPr>
          <w:fldChar w:fldCharType="begin"/>
        </w:r>
        <w:r w:rsidR="003B767C">
          <w:rPr>
            <w:noProof/>
            <w:webHidden/>
          </w:rPr>
          <w:instrText xml:space="preserve"> PAGEREF _Toc18664659 \h </w:instrText>
        </w:r>
        <w:r w:rsidR="003B767C">
          <w:rPr>
            <w:noProof/>
            <w:webHidden/>
          </w:rPr>
        </w:r>
        <w:r w:rsidR="003B767C">
          <w:rPr>
            <w:noProof/>
            <w:webHidden/>
          </w:rPr>
          <w:fldChar w:fldCharType="separate"/>
        </w:r>
        <w:r w:rsidR="0078683A">
          <w:rPr>
            <w:noProof/>
            <w:webHidden/>
          </w:rPr>
          <w:t>31</w:t>
        </w:r>
        <w:r w:rsidR="003B767C">
          <w:rPr>
            <w:noProof/>
            <w:webHidden/>
          </w:rPr>
          <w:fldChar w:fldCharType="end"/>
        </w:r>
      </w:hyperlink>
    </w:p>
    <w:p w14:paraId="4F2A3C19" w14:textId="5921179F"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60" w:history="1">
        <w:r w:rsidR="003B767C" w:rsidRPr="005001CD">
          <w:rPr>
            <w:rStyle w:val="Hyperlink"/>
            <w:noProof/>
          </w:rPr>
          <w:t>7</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DISCUSSION: currency, effectiveness and appropriateness</w:t>
        </w:r>
        <w:r w:rsidR="003B767C">
          <w:rPr>
            <w:noProof/>
            <w:webHidden/>
          </w:rPr>
          <w:tab/>
        </w:r>
        <w:r w:rsidR="003B767C">
          <w:rPr>
            <w:noProof/>
            <w:webHidden/>
          </w:rPr>
          <w:fldChar w:fldCharType="begin"/>
        </w:r>
        <w:r w:rsidR="003B767C">
          <w:rPr>
            <w:noProof/>
            <w:webHidden/>
          </w:rPr>
          <w:instrText xml:space="preserve"> PAGEREF _Toc18664660 \h </w:instrText>
        </w:r>
        <w:r w:rsidR="003B767C">
          <w:rPr>
            <w:noProof/>
            <w:webHidden/>
          </w:rPr>
        </w:r>
        <w:r w:rsidR="003B767C">
          <w:rPr>
            <w:noProof/>
            <w:webHidden/>
          </w:rPr>
          <w:fldChar w:fldCharType="separate"/>
        </w:r>
        <w:r w:rsidR="0078683A">
          <w:rPr>
            <w:noProof/>
            <w:webHidden/>
          </w:rPr>
          <w:t>32</w:t>
        </w:r>
        <w:r w:rsidR="003B767C">
          <w:rPr>
            <w:noProof/>
            <w:webHidden/>
          </w:rPr>
          <w:fldChar w:fldCharType="end"/>
        </w:r>
      </w:hyperlink>
    </w:p>
    <w:p w14:paraId="225064A0" w14:textId="7A03FA29"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61" w:history="1">
        <w:r w:rsidR="003B767C" w:rsidRPr="005001CD">
          <w:rPr>
            <w:rStyle w:val="Hyperlink"/>
            <w:noProof/>
            <w14:scene3d>
              <w14:camera w14:prst="orthographicFront"/>
              <w14:lightRig w14:rig="threePt" w14:dir="t">
                <w14:rot w14:lat="0" w14:lon="0" w14:rev="0"/>
              </w14:lightRig>
            </w14:scene3d>
          </w:rPr>
          <w:t>7.1</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Currency of the Australian Government funding of NRL services</w:t>
        </w:r>
        <w:r w:rsidR="003B767C">
          <w:rPr>
            <w:noProof/>
            <w:webHidden/>
          </w:rPr>
          <w:tab/>
        </w:r>
        <w:r w:rsidR="003B767C">
          <w:rPr>
            <w:noProof/>
            <w:webHidden/>
          </w:rPr>
          <w:fldChar w:fldCharType="begin"/>
        </w:r>
        <w:r w:rsidR="003B767C">
          <w:rPr>
            <w:noProof/>
            <w:webHidden/>
          </w:rPr>
          <w:instrText xml:space="preserve"> PAGEREF _Toc18664661 \h </w:instrText>
        </w:r>
        <w:r w:rsidR="003B767C">
          <w:rPr>
            <w:noProof/>
            <w:webHidden/>
          </w:rPr>
        </w:r>
        <w:r w:rsidR="003B767C">
          <w:rPr>
            <w:noProof/>
            <w:webHidden/>
          </w:rPr>
          <w:fldChar w:fldCharType="separate"/>
        </w:r>
        <w:r w:rsidR="0078683A">
          <w:rPr>
            <w:noProof/>
            <w:webHidden/>
          </w:rPr>
          <w:t>32</w:t>
        </w:r>
        <w:r w:rsidR="003B767C">
          <w:rPr>
            <w:noProof/>
            <w:webHidden/>
          </w:rPr>
          <w:fldChar w:fldCharType="end"/>
        </w:r>
      </w:hyperlink>
    </w:p>
    <w:p w14:paraId="013103ED" w14:textId="07CD52F2" w:rsidR="003B767C" w:rsidRDefault="00D73406">
      <w:pPr>
        <w:pStyle w:val="TOC4"/>
        <w:rPr>
          <w:rFonts w:asciiTheme="minorHAnsi" w:eastAsiaTheme="minorEastAsia" w:hAnsiTheme="minorHAnsi" w:cstheme="minorBidi"/>
          <w:color w:val="auto"/>
          <w:spacing w:val="0"/>
          <w:sz w:val="22"/>
          <w:szCs w:val="22"/>
          <w:lang w:eastAsia="en-AU"/>
        </w:rPr>
      </w:pPr>
      <w:hyperlink w:anchor="_Toc18664662" w:history="1">
        <w:r w:rsidR="003B767C" w:rsidRPr="005001CD">
          <w:rPr>
            <w:rStyle w:val="Hyperlink"/>
          </w:rPr>
          <w:t>7.1.1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Regulatory considerations</w:t>
        </w:r>
        <w:r w:rsidR="003B767C">
          <w:rPr>
            <w:webHidden/>
          </w:rPr>
          <w:tab/>
        </w:r>
        <w:r w:rsidR="003B767C">
          <w:rPr>
            <w:webHidden/>
          </w:rPr>
          <w:fldChar w:fldCharType="begin"/>
        </w:r>
        <w:r w:rsidR="003B767C">
          <w:rPr>
            <w:webHidden/>
          </w:rPr>
          <w:instrText xml:space="preserve"> PAGEREF _Toc18664662 \h </w:instrText>
        </w:r>
        <w:r w:rsidR="003B767C">
          <w:rPr>
            <w:webHidden/>
          </w:rPr>
        </w:r>
        <w:r w:rsidR="003B767C">
          <w:rPr>
            <w:webHidden/>
          </w:rPr>
          <w:fldChar w:fldCharType="separate"/>
        </w:r>
        <w:r w:rsidR="0078683A">
          <w:rPr>
            <w:webHidden/>
          </w:rPr>
          <w:t>32</w:t>
        </w:r>
        <w:r w:rsidR="003B767C">
          <w:rPr>
            <w:webHidden/>
          </w:rPr>
          <w:fldChar w:fldCharType="end"/>
        </w:r>
      </w:hyperlink>
    </w:p>
    <w:p w14:paraId="50705E9B" w14:textId="21A5A9A7" w:rsidR="003B767C" w:rsidRDefault="00D73406">
      <w:pPr>
        <w:pStyle w:val="TOC4"/>
        <w:rPr>
          <w:rFonts w:asciiTheme="minorHAnsi" w:eastAsiaTheme="minorEastAsia" w:hAnsiTheme="minorHAnsi" w:cstheme="minorBidi"/>
          <w:color w:val="auto"/>
          <w:spacing w:val="0"/>
          <w:sz w:val="22"/>
          <w:szCs w:val="22"/>
          <w:lang w:eastAsia="en-AU"/>
        </w:rPr>
      </w:pPr>
      <w:hyperlink w:anchor="_Toc18664663" w:history="1">
        <w:r w:rsidR="003B767C" w:rsidRPr="005001CD">
          <w:rPr>
            <w:rStyle w:val="Hyperlink"/>
          </w:rPr>
          <w:t>7.1.2</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ARCBS funding arrangements</w:t>
        </w:r>
        <w:r w:rsidR="003B767C">
          <w:rPr>
            <w:webHidden/>
          </w:rPr>
          <w:tab/>
        </w:r>
        <w:r w:rsidR="003B767C">
          <w:rPr>
            <w:webHidden/>
          </w:rPr>
          <w:fldChar w:fldCharType="begin"/>
        </w:r>
        <w:r w:rsidR="003B767C">
          <w:rPr>
            <w:webHidden/>
          </w:rPr>
          <w:instrText xml:space="preserve"> PAGEREF _Toc18664663 \h </w:instrText>
        </w:r>
        <w:r w:rsidR="003B767C">
          <w:rPr>
            <w:webHidden/>
          </w:rPr>
        </w:r>
        <w:r w:rsidR="003B767C">
          <w:rPr>
            <w:webHidden/>
          </w:rPr>
          <w:fldChar w:fldCharType="separate"/>
        </w:r>
        <w:r w:rsidR="0078683A">
          <w:rPr>
            <w:webHidden/>
          </w:rPr>
          <w:t>32</w:t>
        </w:r>
        <w:r w:rsidR="003B767C">
          <w:rPr>
            <w:webHidden/>
          </w:rPr>
          <w:fldChar w:fldCharType="end"/>
        </w:r>
      </w:hyperlink>
    </w:p>
    <w:p w14:paraId="01EA5367" w14:textId="63CEC25E"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64" w:history="1">
        <w:r w:rsidR="003B767C" w:rsidRPr="005001CD">
          <w:rPr>
            <w:rStyle w:val="Hyperlink"/>
            <w:noProof/>
            <w14:scene3d>
              <w14:camera w14:prst="orthographicFront"/>
              <w14:lightRig w14:rig="threePt" w14:dir="t">
                <w14:rot w14:lat="0" w14:lon="0" w14:rev="0"/>
              </w14:lightRig>
            </w14:scene3d>
          </w:rPr>
          <w:t>7.2</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Effectiveness of the funding in meeting funder objectives</w:t>
        </w:r>
        <w:r w:rsidR="003B767C">
          <w:rPr>
            <w:noProof/>
            <w:webHidden/>
          </w:rPr>
          <w:tab/>
        </w:r>
        <w:r w:rsidR="003B767C">
          <w:rPr>
            <w:noProof/>
            <w:webHidden/>
          </w:rPr>
          <w:fldChar w:fldCharType="begin"/>
        </w:r>
        <w:r w:rsidR="003B767C">
          <w:rPr>
            <w:noProof/>
            <w:webHidden/>
          </w:rPr>
          <w:instrText xml:space="preserve"> PAGEREF _Toc18664664 \h </w:instrText>
        </w:r>
        <w:r w:rsidR="003B767C">
          <w:rPr>
            <w:noProof/>
            <w:webHidden/>
          </w:rPr>
        </w:r>
        <w:r w:rsidR="003B767C">
          <w:rPr>
            <w:noProof/>
            <w:webHidden/>
          </w:rPr>
          <w:fldChar w:fldCharType="separate"/>
        </w:r>
        <w:r w:rsidR="0078683A">
          <w:rPr>
            <w:noProof/>
            <w:webHidden/>
          </w:rPr>
          <w:t>33</w:t>
        </w:r>
        <w:r w:rsidR="003B767C">
          <w:rPr>
            <w:noProof/>
            <w:webHidden/>
          </w:rPr>
          <w:fldChar w:fldCharType="end"/>
        </w:r>
      </w:hyperlink>
    </w:p>
    <w:p w14:paraId="158E555C" w14:textId="35A3CDF6" w:rsidR="003B767C" w:rsidRDefault="00D73406">
      <w:pPr>
        <w:pStyle w:val="TOC3"/>
        <w:rPr>
          <w:rFonts w:asciiTheme="minorHAnsi" w:eastAsiaTheme="minorEastAsia" w:hAnsiTheme="minorHAnsi" w:cstheme="minorBidi"/>
          <w:caps w:val="0"/>
          <w:noProof/>
          <w:color w:val="auto"/>
          <w:sz w:val="22"/>
          <w:szCs w:val="22"/>
          <w:lang w:eastAsia="en-AU"/>
        </w:rPr>
      </w:pPr>
      <w:hyperlink w:anchor="_Toc18664665" w:history="1">
        <w:r w:rsidR="003B767C" w:rsidRPr="005001CD">
          <w:rPr>
            <w:rStyle w:val="Hyperlink"/>
            <w:noProof/>
            <w14:scene3d>
              <w14:camera w14:prst="orthographicFront"/>
              <w14:lightRig w14:rig="threePt" w14:dir="t">
                <w14:rot w14:lat="0" w14:lon="0" w14:rev="0"/>
              </w14:lightRig>
            </w14:scene3d>
          </w:rPr>
          <w:t>7.3</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Appropriateness of the funding model</w:t>
        </w:r>
        <w:r w:rsidR="003B767C">
          <w:rPr>
            <w:noProof/>
            <w:webHidden/>
          </w:rPr>
          <w:tab/>
        </w:r>
        <w:r w:rsidR="003B767C">
          <w:rPr>
            <w:noProof/>
            <w:webHidden/>
          </w:rPr>
          <w:fldChar w:fldCharType="begin"/>
        </w:r>
        <w:r w:rsidR="003B767C">
          <w:rPr>
            <w:noProof/>
            <w:webHidden/>
          </w:rPr>
          <w:instrText xml:space="preserve"> PAGEREF _Toc18664665 \h </w:instrText>
        </w:r>
        <w:r w:rsidR="003B767C">
          <w:rPr>
            <w:noProof/>
            <w:webHidden/>
          </w:rPr>
        </w:r>
        <w:r w:rsidR="003B767C">
          <w:rPr>
            <w:noProof/>
            <w:webHidden/>
          </w:rPr>
          <w:fldChar w:fldCharType="separate"/>
        </w:r>
        <w:r w:rsidR="0078683A">
          <w:rPr>
            <w:noProof/>
            <w:webHidden/>
          </w:rPr>
          <w:t>34</w:t>
        </w:r>
        <w:r w:rsidR="003B767C">
          <w:rPr>
            <w:noProof/>
            <w:webHidden/>
          </w:rPr>
          <w:fldChar w:fldCharType="end"/>
        </w:r>
      </w:hyperlink>
    </w:p>
    <w:p w14:paraId="106D7415" w14:textId="598012BD" w:rsidR="003B767C" w:rsidRDefault="00D73406">
      <w:pPr>
        <w:pStyle w:val="TOC4"/>
        <w:rPr>
          <w:rFonts w:asciiTheme="minorHAnsi" w:eastAsiaTheme="minorEastAsia" w:hAnsiTheme="minorHAnsi" w:cstheme="minorBidi"/>
          <w:color w:val="auto"/>
          <w:spacing w:val="0"/>
          <w:sz w:val="22"/>
          <w:szCs w:val="22"/>
          <w:lang w:eastAsia="en-AU"/>
        </w:rPr>
      </w:pPr>
      <w:hyperlink w:anchor="_Toc18664666" w:history="1">
        <w:r w:rsidR="003B767C" w:rsidRPr="005001CD">
          <w:rPr>
            <w:rStyle w:val="Hyperlink"/>
          </w:rPr>
          <w:t>7.3.1</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The Department as the funder</w:t>
        </w:r>
        <w:r w:rsidR="003B767C">
          <w:rPr>
            <w:webHidden/>
          </w:rPr>
          <w:tab/>
        </w:r>
        <w:r w:rsidR="003B767C">
          <w:rPr>
            <w:webHidden/>
          </w:rPr>
          <w:fldChar w:fldCharType="begin"/>
        </w:r>
        <w:r w:rsidR="003B767C">
          <w:rPr>
            <w:webHidden/>
          </w:rPr>
          <w:instrText xml:space="preserve"> PAGEREF _Toc18664666 \h </w:instrText>
        </w:r>
        <w:r w:rsidR="003B767C">
          <w:rPr>
            <w:webHidden/>
          </w:rPr>
        </w:r>
        <w:r w:rsidR="003B767C">
          <w:rPr>
            <w:webHidden/>
          </w:rPr>
          <w:fldChar w:fldCharType="separate"/>
        </w:r>
        <w:r w:rsidR="0078683A">
          <w:rPr>
            <w:webHidden/>
          </w:rPr>
          <w:t>34</w:t>
        </w:r>
        <w:r w:rsidR="003B767C">
          <w:rPr>
            <w:webHidden/>
          </w:rPr>
          <w:fldChar w:fldCharType="end"/>
        </w:r>
      </w:hyperlink>
    </w:p>
    <w:p w14:paraId="520B02F3" w14:textId="58D682C1" w:rsidR="003B767C" w:rsidRDefault="00D73406">
      <w:pPr>
        <w:pStyle w:val="TOC4"/>
        <w:rPr>
          <w:rFonts w:asciiTheme="minorHAnsi" w:eastAsiaTheme="minorEastAsia" w:hAnsiTheme="minorHAnsi" w:cstheme="minorBidi"/>
          <w:color w:val="auto"/>
          <w:spacing w:val="0"/>
          <w:sz w:val="22"/>
          <w:szCs w:val="22"/>
          <w:lang w:eastAsia="en-AU"/>
        </w:rPr>
      </w:pPr>
      <w:hyperlink w:anchor="_Toc18664667" w:history="1">
        <w:r w:rsidR="003B767C" w:rsidRPr="005001CD">
          <w:rPr>
            <w:rStyle w:val="Hyperlink"/>
          </w:rPr>
          <w:t>7.3.2</w:t>
        </w:r>
        <w:r w:rsidR="003B767C">
          <w:rPr>
            <w:rFonts w:asciiTheme="minorHAnsi" w:eastAsiaTheme="minorEastAsia" w:hAnsiTheme="minorHAnsi" w:cstheme="minorBidi"/>
            <w:color w:val="auto"/>
            <w:spacing w:val="0"/>
            <w:sz w:val="22"/>
            <w:szCs w:val="22"/>
            <w:lang w:eastAsia="en-AU"/>
          </w:rPr>
          <w:tab/>
        </w:r>
        <w:r w:rsidR="003B767C" w:rsidRPr="005001CD">
          <w:rPr>
            <w:rStyle w:val="Hyperlink"/>
          </w:rPr>
          <w:t>Market access and equity</w:t>
        </w:r>
        <w:r w:rsidR="003B767C">
          <w:rPr>
            <w:webHidden/>
          </w:rPr>
          <w:tab/>
        </w:r>
        <w:r w:rsidR="003B767C">
          <w:rPr>
            <w:webHidden/>
          </w:rPr>
          <w:fldChar w:fldCharType="begin"/>
        </w:r>
        <w:r w:rsidR="003B767C">
          <w:rPr>
            <w:webHidden/>
          </w:rPr>
          <w:instrText xml:space="preserve"> PAGEREF _Toc18664667 \h </w:instrText>
        </w:r>
        <w:r w:rsidR="003B767C">
          <w:rPr>
            <w:webHidden/>
          </w:rPr>
        </w:r>
        <w:r w:rsidR="003B767C">
          <w:rPr>
            <w:webHidden/>
          </w:rPr>
          <w:fldChar w:fldCharType="separate"/>
        </w:r>
        <w:r w:rsidR="0078683A">
          <w:rPr>
            <w:webHidden/>
          </w:rPr>
          <w:t>34</w:t>
        </w:r>
        <w:r w:rsidR="003B767C">
          <w:rPr>
            <w:webHidden/>
          </w:rPr>
          <w:fldChar w:fldCharType="end"/>
        </w:r>
      </w:hyperlink>
    </w:p>
    <w:p w14:paraId="0B7CFC66" w14:textId="4A3E3716"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68" w:history="1">
        <w:r w:rsidR="003B767C" w:rsidRPr="005001CD">
          <w:rPr>
            <w:rStyle w:val="Hyperlink"/>
            <w:noProof/>
          </w:rPr>
          <w:t>8</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Funding Options</w:t>
        </w:r>
        <w:r w:rsidR="003B767C">
          <w:rPr>
            <w:noProof/>
            <w:webHidden/>
          </w:rPr>
          <w:tab/>
        </w:r>
        <w:r w:rsidR="003B767C">
          <w:rPr>
            <w:noProof/>
            <w:webHidden/>
          </w:rPr>
          <w:fldChar w:fldCharType="begin"/>
        </w:r>
        <w:r w:rsidR="003B767C">
          <w:rPr>
            <w:noProof/>
            <w:webHidden/>
          </w:rPr>
          <w:instrText xml:space="preserve"> PAGEREF _Toc18664668 \h </w:instrText>
        </w:r>
        <w:r w:rsidR="003B767C">
          <w:rPr>
            <w:noProof/>
            <w:webHidden/>
          </w:rPr>
        </w:r>
        <w:r w:rsidR="003B767C">
          <w:rPr>
            <w:noProof/>
            <w:webHidden/>
          </w:rPr>
          <w:fldChar w:fldCharType="separate"/>
        </w:r>
        <w:r w:rsidR="0078683A">
          <w:rPr>
            <w:noProof/>
            <w:webHidden/>
          </w:rPr>
          <w:t>35</w:t>
        </w:r>
        <w:r w:rsidR="003B767C">
          <w:rPr>
            <w:noProof/>
            <w:webHidden/>
          </w:rPr>
          <w:fldChar w:fldCharType="end"/>
        </w:r>
      </w:hyperlink>
    </w:p>
    <w:p w14:paraId="78A3AA44" w14:textId="3DF89B66" w:rsidR="003B767C" w:rsidRDefault="003B767C">
      <w:pPr>
        <w:pStyle w:val="TOC4"/>
        <w:rPr>
          <w:rFonts w:asciiTheme="minorHAnsi" w:eastAsiaTheme="minorEastAsia" w:hAnsiTheme="minorHAnsi" w:cstheme="minorBidi"/>
          <w:color w:val="auto"/>
          <w:spacing w:val="0"/>
          <w:sz w:val="22"/>
          <w:szCs w:val="22"/>
          <w:lang w:eastAsia="en-AU"/>
        </w:rPr>
      </w:pPr>
    </w:p>
    <w:p w14:paraId="39C7F3BB" w14:textId="18F951AC" w:rsidR="003B767C" w:rsidRDefault="00D73406">
      <w:pPr>
        <w:pStyle w:val="TOC2"/>
        <w:rPr>
          <w:rFonts w:asciiTheme="minorHAnsi" w:eastAsiaTheme="minorEastAsia" w:hAnsiTheme="minorHAnsi" w:cstheme="minorBidi"/>
          <w:caps w:val="0"/>
          <w:noProof/>
          <w:color w:val="auto"/>
          <w:spacing w:val="0"/>
          <w:sz w:val="22"/>
          <w:szCs w:val="22"/>
          <w:u w:val="none"/>
          <w:lang w:eastAsia="en-AU"/>
        </w:rPr>
      </w:pPr>
      <w:hyperlink w:anchor="_Toc18664682" w:history="1">
        <w:r w:rsidR="003B767C" w:rsidRPr="005001CD">
          <w:rPr>
            <w:rStyle w:val="Hyperlink"/>
            <w:noProof/>
          </w:rPr>
          <w:t>9</w:t>
        </w:r>
        <w:r w:rsidR="003B767C">
          <w:rPr>
            <w:rFonts w:asciiTheme="minorHAnsi" w:eastAsiaTheme="minorEastAsia" w:hAnsiTheme="minorHAnsi" w:cstheme="minorBidi"/>
            <w:caps w:val="0"/>
            <w:noProof/>
            <w:color w:val="auto"/>
            <w:spacing w:val="0"/>
            <w:sz w:val="22"/>
            <w:szCs w:val="22"/>
            <w:u w:val="none"/>
            <w:lang w:eastAsia="en-AU"/>
          </w:rPr>
          <w:tab/>
        </w:r>
        <w:r w:rsidR="003B767C" w:rsidRPr="005001CD">
          <w:rPr>
            <w:rStyle w:val="Hyperlink"/>
            <w:noProof/>
          </w:rPr>
          <w:t>Appendices</w:t>
        </w:r>
        <w:r w:rsidR="003B767C">
          <w:rPr>
            <w:noProof/>
            <w:webHidden/>
          </w:rPr>
          <w:tab/>
        </w:r>
        <w:r w:rsidR="003B767C">
          <w:rPr>
            <w:noProof/>
            <w:webHidden/>
          </w:rPr>
          <w:fldChar w:fldCharType="begin"/>
        </w:r>
        <w:r w:rsidR="003B767C">
          <w:rPr>
            <w:noProof/>
            <w:webHidden/>
          </w:rPr>
          <w:instrText xml:space="preserve"> PAGEREF _Toc18664682 \h </w:instrText>
        </w:r>
        <w:r w:rsidR="003B767C">
          <w:rPr>
            <w:noProof/>
            <w:webHidden/>
          </w:rPr>
        </w:r>
        <w:r w:rsidR="003B767C">
          <w:rPr>
            <w:noProof/>
            <w:webHidden/>
          </w:rPr>
          <w:fldChar w:fldCharType="separate"/>
        </w:r>
        <w:r w:rsidR="0078683A">
          <w:rPr>
            <w:noProof/>
            <w:webHidden/>
          </w:rPr>
          <w:t>36</w:t>
        </w:r>
        <w:r w:rsidR="003B767C">
          <w:rPr>
            <w:noProof/>
            <w:webHidden/>
          </w:rPr>
          <w:fldChar w:fldCharType="end"/>
        </w:r>
      </w:hyperlink>
    </w:p>
    <w:p w14:paraId="46DE1EAE" w14:textId="4CC2D99A"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3" w:history="1">
        <w:r w:rsidR="003B767C" w:rsidRPr="005001CD">
          <w:rPr>
            <w:rStyle w:val="Hyperlink"/>
            <w:noProof/>
          </w:rPr>
          <w:t>Appendix A</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History of screening for blood borne diseases in Australia</w:t>
        </w:r>
        <w:r w:rsidR="003B767C">
          <w:rPr>
            <w:noProof/>
            <w:webHidden/>
          </w:rPr>
          <w:tab/>
        </w:r>
        <w:r w:rsidR="003B767C">
          <w:rPr>
            <w:noProof/>
            <w:webHidden/>
          </w:rPr>
          <w:fldChar w:fldCharType="begin"/>
        </w:r>
        <w:r w:rsidR="003B767C">
          <w:rPr>
            <w:noProof/>
            <w:webHidden/>
          </w:rPr>
          <w:instrText xml:space="preserve"> PAGEREF _Toc18664683 \h </w:instrText>
        </w:r>
        <w:r w:rsidR="003B767C">
          <w:rPr>
            <w:noProof/>
            <w:webHidden/>
          </w:rPr>
        </w:r>
        <w:r w:rsidR="003B767C">
          <w:rPr>
            <w:noProof/>
            <w:webHidden/>
          </w:rPr>
          <w:fldChar w:fldCharType="separate"/>
        </w:r>
        <w:r w:rsidR="0078683A">
          <w:rPr>
            <w:noProof/>
            <w:webHidden/>
          </w:rPr>
          <w:t>36</w:t>
        </w:r>
        <w:r w:rsidR="003B767C">
          <w:rPr>
            <w:noProof/>
            <w:webHidden/>
          </w:rPr>
          <w:fldChar w:fldCharType="end"/>
        </w:r>
      </w:hyperlink>
    </w:p>
    <w:p w14:paraId="524BD991" w14:textId="55C7C5F6"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4" w:history="1">
        <w:r w:rsidR="003B767C" w:rsidRPr="005001CD">
          <w:rPr>
            <w:rStyle w:val="Hyperlink"/>
            <w:noProof/>
          </w:rPr>
          <w:t>Appendix B</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Summary of review methodology</w:t>
        </w:r>
        <w:r w:rsidR="003B767C">
          <w:rPr>
            <w:noProof/>
            <w:webHidden/>
          </w:rPr>
          <w:tab/>
        </w:r>
        <w:r w:rsidR="003B767C">
          <w:rPr>
            <w:noProof/>
            <w:webHidden/>
          </w:rPr>
          <w:fldChar w:fldCharType="begin"/>
        </w:r>
        <w:r w:rsidR="003B767C">
          <w:rPr>
            <w:noProof/>
            <w:webHidden/>
          </w:rPr>
          <w:instrText xml:space="preserve"> PAGEREF _Toc18664684 \h </w:instrText>
        </w:r>
        <w:r w:rsidR="003B767C">
          <w:rPr>
            <w:noProof/>
            <w:webHidden/>
          </w:rPr>
        </w:r>
        <w:r w:rsidR="003B767C">
          <w:rPr>
            <w:noProof/>
            <w:webHidden/>
          </w:rPr>
          <w:fldChar w:fldCharType="separate"/>
        </w:r>
        <w:r w:rsidR="0078683A">
          <w:rPr>
            <w:noProof/>
            <w:webHidden/>
          </w:rPr>
          <w:t>39</w:t>
        </w:r>
        <w:r w:rsidR="003B767C">
          <w:rPr>
            <w:noProof/>
            <w:webHidden/>
          </w:rPr>
          <w:fldChar w:fldCharType="end"/>
        </w:r>
      </w:hyperlink>
    </w:p>
    <w:p w14:paraId="42E68025" w14:textId="315C0B1D"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5" w:history="1">
        <w:r w:rsidR="003B767C" w:rsidRPr="005001CD">
          <w:rPr>
            <w:rStyle w:val="Hyperlink"/>
            <w:noProof/>
          </w:rPr>
          <w:t>Appendix C</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 xml:space="preserve">TGO no. 88 </w:t>
        </w:r>
        <w:r w:rsidR="003B767C" w:rsidRPr="005001CD">
          <w:rPr>
            <w:rStyle w:val="Hyperlink"/>
            <w:noProof/>
          </w:rPr>
          <w:t>testing</w:t>
        </w:r>
        <w:r w:rsidR="003B767C" w:rsidRPr="005001CD">
          <w:rPr>
            <w:rStyle w:val="Hyperlink"/>
            <w:noProof/>
            <w:shd w:val="clear" w:color="auto" w:fill="FFFFFF"/>
          </w:rPr>
          <w:t xml:space="preserve"> requirements for blood and TISSUE donations</w:t>
        </w:r>
        <w:r w:rsidR="003B767C">
          <w:rPr>
            <w:noProof/>
            <w:webHidden/>
          </w:rPr>
          <w:tab/>
        </w:r>
        <w:r w:rsidR="003B767C">
          <w:rPr>
            <w:noProof/>
            <w:webHidden/>
          </w:rPr>
          <w:fldChar w:fldCharType="begin"/>
        </w:r>
        <w:r w:rsidR="003B767C">
          <w:rPr>
            <w:noProof/>
            <w:webHidden/>
          </w:rPr>
          <w:instrText xml:space="preserve"> PAGEREF _Toc18664685 \h </w:instrText>
        </w:r>
        <w:r w:rsidR="003B767C">
          <w:rPr>
            <w:noProof/>
            <w:webHidden/>
          </w:rPr>
        </w:r>
        <w:r w:rsidR="003B767C">
          <w:rPr>
            <w:noProof/>
            <w:webHidden/>
          </w:rPr>
          <w:fldChar w:fldCharType="separate"/>
        </w:r>
        <w:r w:rsidR="0078683A">
          <w:rPr>
            <w:noProof/>
            <w:webHidden/>
          </w:rPr>
          <w:t>40</w:t>
        </w:r>
        <w:r w:rsidR="003B767C">
          <w:rPr>
            <w:noProof/>
            <w:webHidden/>
          </w:rPr>
          <w:fldChar w:fldCharType="end"/>
        </w:r>
      </w:hyperlink>
    </w:p>
    <w:p w14:paraId="1FCED792" w14:textId="65A61E84"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6" w:history="1">
        <w:r w:rsidR="003B767C" w:rsidRPr="005001CD">
          <w:rPr>
            <w:rStyle w:val="Hyperlink"/>
            <w:noProof/>
          </w:rPr>
          <w:t>Appendix D</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Survey methodology</w:t>
        </w:r>
        <w:r w:rsidR="003B767C">
          <w:rPr>
            <w:noProof/>
            <w:webHidden/>
          </w:rPr>
          <w:tab/>
        </w:r>
        <w:r w:rsidR="003B767C">
          <w:rPr>
            <w:noProof/>
            <w:webHidden/>
          </w:rPr>
          <w:fldChar w:fldCharType="begin"/>
        </w:r>
        <w:r w:rsidR="003B767C">
          <w:rPr>
            <w:noProof/>
            <w:webHidden/>
          </w:rPr>
          <w:instrText xml:space="preserve"> PAGEREF _Toc18664686 \h </w:instrText>
        </w:r>
        <w:r w:rsidR="003B767C">
          <w:rPr>
            <w:noProof/>
            <w:webHidden/>
          </w:rPr>
        </w:r>
        <w:r w:rsidR="003B767C">
          <w:rPr>
            <w:noProof/>
            <w:webHidden/>
          </w:rPr>
          <w:fldChar w:fldCharType="separate"/>
        </w:r>
        <w:r w:rsidR="0078683A">
          <w:rPr>
            <w:noProof/>
            <w:webHidden/>
          </w:rPr>
          <w:t>41</w:t>
        </w:r>
        <w:r w:rsidR="003B767C">
          <w:rPr>
            <w:noProof/>
            <w:webHidden/>
          </w:rPr>
          <w:fldChar w:fldCharType="end"/>
        </w:r>
      </w:hyperlink>
    </w:p>
    <w:p w14:paraId="5D30C47E" w14:textId="23CA050F"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7" w:history="1">
        <w:r w:rsidR="003B767C" w:rsidRPr="005001CD">
          <w:rPr>
            <w:rStyle w:val="Hyperlink"/>
            <w:noProof/>
          </w:rPr>
          <w:t>Appendix E</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Consultation questions</w:t>
        </w:r>
        <w:r w:rsidR="003B767C">
          <w:rPr>
            <w:noProof/>
            <w:webHidden/>
          </w:rPr>
          <w:tab/>
        </w:r>
        <w:r w:rsidR="003B767C">
          <w:rPr>
            <w:noProof/>
            <w:webHidden/>
          </w:rPr>
          <w:fldChar w:fldCharType="begin"/>
        </w:r>
        <w:r w:rsidR="003B767C">
          <w:rPr>
            <w:noProof/>
            <w:webHidden/>
          </w:rPr>
          <w:instrText xml:space="preserve"> PAGEREF _Toc18664687 \h </w:instrText>
        </w:r>
        <w:r w:rsidR="003B767C">
          <w:rPr>
            <w:noProof/>
            <w:webHidden/>
          </w:rPr>
        </w:r>
        <w:r w:rsidR="003B767C">
          <w:rPr>
            <w:noProof/>
            <w:webHidden/>
          </w:rPr>
          <w:fldChar w:fldCharType="separate"/>
        </w:r>
        <w:r w:rsidR="0078683A">
          <w:rPr>
            <w:noProof/>
            <w:webHidden/>
          </w:rPr>
          <w:t>41</w:t>
        </w:r>
        <w:r w:rsidR="003B767C">
          <w:rPr>
            <w:noProof/>
            <w:webHidden/>
          </w:rPr>
          <w:fldChar w:fldCharType="end"/>
        </w:r>
      </w:hyperlink>
    </w:p>
    <w:p w14:paraId="32EF086A" w14:textId="22F89FD7"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8" w:history="1">
        <w:r w:rsidR="003B767C" w:rsidRPr="005001CD">
          <w:rPr>
            <w:rStyle w:val="Hyperlink"/>
            <w:noProof/>
          </w:rPr>
          <w:t>Appendix F</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ESTIMATED unit costs for NRL services under review</w:t>
        </w:r>
        <w:r w:rsidR="003B767C">
          <w:rPr>
            <w:noProof/>
            <w:webHidden/>
          </w:rPr>
          <w:tab/>
        </w:r>
        <w:r w:rsidR="003B767C">
          <w:rPr>
            <w:noProof/>
            <w:webHidden/>
          </w:rPr>
          <w:fldChar w:fldCharType="begin"/>
        </w:r>
        <w:r w:rsidR="003B767C">
          <w:rPr>
            <w:noProof/>
            <w:webHidden/>
          </w:rPr>
          <w:instrText xml:space="preserve"> PAGEREF _Toc18664688 \h </w:instrText>
        </w:r>
        <w:r w:rsidR="003B767C">
          <w:rPr>
            <w:noProof/>
            <w:webHidden/>
          </w:rPr>
        </w:r>
        <w:r w:rsidR="003B767C">
          <w:rPr>
            <w:noProof/>
            <w:webHidden/>
          </w:rPr>
          <w:fldChar w:fldCharType="separate"/>
        </w:r>
        <w:r w:rsidR="0078683A">
          <w:rPr>
            <w:noProof/>
            <w:webHidden/>
          </w:rPr>
          <w:t>43</w:t>
        </w:r>
        <w:r w:rsidR="003B767C">
          <w:rPr>
            <w:noProof/>
            <w:webHidden/>
          </w:rPr>
          <w:fldChar w:fldCharType="end"/>
        </w:r>
      </w:hyperlink>
    </w:p>
    <w:p w14:paraId="1722A0E7" w14:textId="4A588B81"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89" w:history="1">
        <w:r w:rsidR="003B767C" w:rsidRPr="005001CD">
          <w:rPr>
            <w:rStyle w:val="Hyperlink"/>
            <w:noProof/>
          </w:rPr>
          <w:t>Appendix G</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shd w:val="clear" w:color="auto" w:fill="FFFFFF"/>
          </w:rPr>
          <w:t>Refinement of funding options</w:t>
        </w:r>
        <w:r w:rsidR="003B767C">
          <w:rPr>
            <w:noProof/>
            <w:webHidden/>
          </w:rPr>
          <w:tab/>
        </w:r>
        <w:r w:rsidR="003B767C">
          <w:rPr>
            <w:noProof/>
            <w:webHidden/>
          </w:rPr>
          <w:fldChar w:fldCharType="begin"/>
        </w:r>
        <w:r w:rsidR="003B767C">
          <w:rPr>
            <w:noProof/>
            <w:webHidden/>
          </w:rPr>
          <w:instrText xml:space="preserve"> PAGEREF _Toc18664689 \h </w:instrText>
        </w:r>
        <w:r w:rsidR="003B767C">
          <w:rPr>
            <w:noProof/>
            <w:webHidden/>
          </w:rPr>
        </w:r>
        <w:r w:rsidR="003B767C">
          <w:rPr>
            <w:noProof/>
            <w:webHidden/>
          </w:rPr>
          <w:fldChar w:fldCharType="separate"/>
        </w:r>
        <w:r w:rsidR="0078683A">
          <w:rPr>
            <w:noProof/>
            <w:webHidden/>
          </w:rPr>
          <w:t>45</w:t>
        </w:r>
        <w:r w:rsidR="003B767C">
          <w:rPr>
            <w:noProof/>
            <w:webHidden/>
          </w:rPr>
          <w:fldChar w:fldCharType="end"/>
        </w:r>
      </w:hyperlink>
    </w:p>
    <w:p w14:paraId="268381F4" w14:textId="326B860F" w:rsidR="003B767C" w:rsidRDefault="00D73406">
      <w:pPr>
        <w:pStyle w:val="TOC3"/>
        <w:tabs>
          <w:tab w:val="left" w:pos="1760"/>
        </w:tabs>
        <w:rPr>
          <w:rFonts w:asciiTheme="minorHAnsi" w:eastAsiaTheme="minorEastAsia" w:hAnsiTheme="minorHAnsi" w:cstheme="minorBidi"/>
          <w:caps w:val="0"/>
          <w:noProof/>
          <w:color w:val="auto"/>
          <w:sz w:val="22"/>
          <w:szCs w:val="22"/>
          <w:lang w:eastAsia="en-AU"/>
        </w:rPr>
      </w:pPr>
      <w:hyperlink w:anchor="_Toc18664690" w:history="1">
        <w:r w:rsidR="003B767C" w:rsidRPr="005001CD">
          <w:rPr>
            <w:rStyle w:val="Hyperlink"/>
            <w:noProof/>
          </w:rPr>
          <w:t>Appendix H</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Extent of NRL QA coverage</w:t>
        </w:r>
        <w:r w:rsidR="003B767C">
          <w:rPr>
            <w:noProof/>
            <w:webHidden/>
          </w:rPr>
          <w:tab/>
        </w:r>
        <w:r w:rsidR="003B767C">
          <w:rPr>
            <w:noProof/>
            <w:webHidden/>
          </w:rPr>
          <w:fldChar w:fldCharType="begin"/>
        </w:r>
        <w:r w:rsidR="003B767C">
          <w:rPr>
            <w:noProof/>
            <w:webHidden/>
          </w:rPr>
          <w:instrText xml:space="preserve"> PAGEREF _Toc18664690 \h </w:instrText>
        </w:r>
        <w:r w:rsidR="003B767C">
          <w:rPr>
            <w:noProof/>
            <w:webHidden/>
          </w:rPr>
        </w:r>
        <w:r w:rsidR="003B767C">
          <w:rPr>
            <w:noProof/>
            <w:webHidden/>
          </w:rPr>
          <w:fldChar w:fldCharType="separate"/>
        </w:r>
        <w:r w:rsidR="0078683A">
          <w:rPr>
            <w:noProof/>
            <w:webHidden/>
          </w:rPr>
          <w:t>48</w:t>
        </w:r>
        <w:r w:rsidR="003B767C">
          <w:rPr>
            <w:noProof/>
            <w:webHidden/>
          </w:rPr>
          <w:fldChar w:fldCharType="end"/>
        </w:r>
      </w:hyperlink>
    </w:p>
    <w:p w14:paraId="1E1D44C9" w14:textId="2005EF29" w:rsidR="003B767C" w:rsidRDefault="00D73406">
      <w:pPr>
        <w:pStyle w:val="TOC3"/>
        <w:tabs>
          <w:tab w:val="left" w:pos="1644"/>
        </w:tabs>
        <w:rPr>
          <w:rFonts w:asciiTheme="minorHAnsi" w:eastAsiaTheme="minorEastAsia" w:hAnsiTheme="minorHAnsi" w:cstheme="minorBidi"/>
          <w:caps w:val="0"/>
          <w:noProof/>
          <w:color w:val="auto"/>
          <w:sz w:val="22"/>
          <w:szCs w:val="22"/>
          <w:lang w:eastAsia="en-AU"/>
        </w:rPr>
      </w:pPr>
      <w:hyperlink w:anchor="_Toc18664691" w:history="1">
        <w:r w:rsidR="003B767C" w:rsidRPr="005001CD">
          <w:rPr>
            <w:rStyle w:val="Hyperlink"/>
            <w:noProof/>
          </w:rPr>
          <w:t>Appendix I</w:t>
        </w:r>
        <w:r w:rsidR="003B767C">
          <w:rPr>
            <w:rFonts w:asciiTheme="minorHAnsi" w:eastAsiaTheme="minorEastAsia" w:hAnsiTheme="minorHAnsi" w:cstheme="minorBidi"/>
            <w:caps w:val="0"/>
            <w:noProof/>
            <w:color w:val="auto"/>
            <w:sz w:val="22"/>
            <w:szCs w:val="22"/>
            <w:lang w:eastAsia="en-AU"/>
          </w:rPr>
          <w:tab/>
        </w:r>
        <w:r w:rsidR="003B767C" w:rsidRPr="005001CD">
          <w:rPr>
            <w:rStyle w:val="Hyperlink"/>
            <w:noProof/>
          </w:rPr>
          <w:t>References</w:t>
        </w:r>
        <w:r w:rsidR="003B767C">
          <w:rPr>
            <w:noProof/>
            <w:webHidden/>
          </w:rPr>
          <w:tab/>
        </w:r>
        <w:r w:rsidR="003B767C">
          <w:rPr>
            <w:noProof/>
            <w:webHidden/>
          </w:rPr>
          <w:fldChar w:fldCharType="begin"/>
        </w:r>
        <w:r w:rsidR="003B767C">
          <w:rPr>
            <w:noProof/>
            <w:webHidden/>
          </w:rPr>
          <w:instrText xml:space="preserve"> PAGEREF _Toc18664691 \h </w:instrText>
        </w:r>
        <w:r w:rsidR="003B767C">
          <w:rPr>
            <w:noProof/>
            <w:webHidden/>
          </w:rPr>
        </w:r>
        <w:r w:rsidR="003B767C">
          <w:rPr>
            <w:noProof/>
            <w:webHidden/>
          </w:rPr>
          <w:fldChar w:fldCharType="separate"/>
        </w:r>
        <w:r w:rsidR="0078683A">
          <w:rPr>
            <w:noProof/>
            <w:webHidden/>
          </w:rPr>
          <w:t>50</w:t>
        </w:r>
        <w:r w:rsidR="003B767C">
          <w:rPr>
            <w:noProof/>
            <w:webHidden/>
          </w:rPr>
          <w:fldChar w:fldCharType="end"/>
        </w:r>
      </w:hyperlink>
    </w:p>
    <w:p w14:paraId="5DFA0464" w14:textId="10F469AE" w:rsidR="00612EEE" w:rsidRDefault="00B830D0" w:rsidP="000700C5">
      <w:pPr>
        <w:pStyle w:val="BodyCopy"/>
      </w:pPr>
      <w:r w:rsidRPr="003E0E7D">
        <w:rPr>
          <w:rFonts w:ascii="Franklin Gothic Book" w:hAnsi="Franklin Gothic Book"/>
          <w:caps/>
        </w:rPr>
        <w:fldChar w:fldCharType="end"/>
      </w:r>
    </w:p>
    <w:p w14:paraId="5B875BA0" w14:textId="77777777" w:rsidR="000700C5" w:rsidRDefault="000700C5" w:rsidP="000700C5">
      <w:pPr>
        <w:pStyle w:val="BodyCopy"/>
        <w:sectPr w:rsidR="000700C5" w:rsidSect="00850A9B">
          <w:headerReference w:type="even" r:id="rId12"/>
          <w:headerReference w:type="default" r:id="rId13"/>
          <w:type w:val="continuous"/>
          <w:pgSz w:w="16840" w:h="11901" w:orient="landscape" w:code="9"/>
          <w:pgMar w:top="2268" w:right="1304" w:bottom="851" w:left="737" w:header="567" w:footer="284" w:gutter="0"/>
          <w:pgNumType w:start="0"/>
          <w:cols w:num="2" w:space="708"/>
          <w:formProt w:val="0"/>
          <w:docGrid w:linePitch="272"/>
        </w:sectPr>
      </w:pPr>
    </w:p>
    <w:tbl>
      <w:tblPr>
        <w:tblpPr w:bottomFromText="794" w:vertAnchor="page" w:horzAnchor="margin" w:tblpX="-169" w:tblpY="703"/>
        <w:tblW w:w="15874"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874"/>
      </w:tblGrid>
      <w:tr w:rsidR="006973B9" w:rsidRPr="003E0E7D" w14:paraId="1FFAE82A" w14:textId="77777777" w:rsidTr="003E0E7D">
        <w:trPr>
          <w:cantSplit/>
          <w:trHeight w:hRule="exact" w:val="1871"/>
        </w:trPr>
        <w:tc>
          <w:tcPr>
            <w:tcW w:w="5000" w:type="pct"/>
            <w:shd w:val="solid" w:color="FFFFFF" w:fill="FFFFFF"/>
            <w:vAlign w:val="bottom"/>
          </w:tcPr>
          <w:p w14:paraId="72D2E728" w14:textId="77777777" w:rsidR="006973B9" w:rsidRPr="003E0E7D" w:rsidRDefault="006973B9" w:rsidP="003E0E7D">
            <w:pPr>
              <w:pStyle w:val="ESHeading1"/>
              <w:framePr w:wrap="auto" w:vAnchor="margin" w:hAnchor="text" w:xAlign="left" w:yAlign="inline"/>
            </w:pPr>
            <w:bookmarkStart w:id="0" w:name="_Toc18664615"/>
            <w:r w:rsidRPr="003E0E7D">
              <w:lastRenderedPageBreak/>
              <w:t>Abbreviations</w:t>
            </w:r>
            <w:bookmarkEnd w:id="0"/>
          </w:p>
        </w:tc>
      </w:tr>
    </w:tbl>
    <w:tbl>
      <w:tblPr>
        <w:tblW w:w="5000" w:type="pct"/>
        <w:tblBorders>
          <w:top w:val="single" w:sz="4" w:space="0" w:color="000000"/>
          <w:bottom w:val="single" w:sz="4" w:space="0" w:color="000000"/>
          <w:insideH w:val="single" w:sz="4" w:space="0" w:color="000000"/>
        </w:tblBorders>
        <w:tblLayout w:type="fixed"/>
        <w:tblCellMar>
          <w:left w:w="0" w:type="dxa"/>
          <w:right w:w="0" w:type="dxa"/>
        </w:tblCellMar>
        <w:tblLook w:val="04A0" w:firstRow="1" w:lastRow="0" w:firstColumn="1" w:lastColumn="0" w:noHBand="0" w:noVBand="1"/>
      </w:tblPr>
      <w:tblGrid>
        <w:gridCol w:w="1532"/>
        <w:gridCol w:w="5513"/>
      </w:tblGrid>
      <w:tr w:rsidR="00276C1B" w:rsidRPr="003E0E7D" w14:paraId="6699FE94" w14:textId="77777777" w:rsidTr="003E0E7D">
        <w:trPr>
          <w:trHeight w:val="144"/>
        </w:trPr>
        <w:tc>
          <w:tcPr>
            <w:tcW w:w="1532" w:type="dxa"/>
            <w:tcBorders>
              <w:right w:val="single" w:sz="48" w:space="0" w:color="FFFFFF"/>
            </w:tcBorders>
            <w:shd w:val="clear" w:color="auto" w:fill="auto"/>
          </w:tcPr>
          <w:p w14:paraId="61247A94" w14:textId="77777777" w:rsidR="00A50FBE" w:rsidRPr="003E0E7D" w:rsidRDefault="00A50FBE" w:rsidP="003E0E7D">
            <w:pPr>
              <w:pStyle w:val="Abbreviations1"/>
              <w:spacing w:before="0"/>
            </w:pPr>
            <w:r w:rsidRPr="003E0E7D">
              <w:t>AIDS</w:t>
            </w:r>
          </w:p>
        </w:tc>
        <w:tc>
          <w:tcPr>
            <w:tcW w:w="5513" w:type="dxa"/>
            <w:shd w:val="clear" w:color="auto" w:fill="auto"/>
          </w:tcPr>
          <w:p w14:paraId="4F7F6D89" w14:textId="77777777" w:rsidR="00A50FBE" w:rsidRPr="003E0E7D" w:rsidRDefault="00A50FBE" w:rsidP="003E0E7D">
            <w:pPr>
              <w:pStyle w:val="Abbreviations2definition"/>
              <w:spacing w:before="0"/>
            </w:pPr>
            <w:r w:rsidRPr="003E0E7D">
              <w:t>Acquired Immune Deficiency Syndrome</w:t>
            </w:r>
          </w:p>
        </w:tc>
      </w:tr>
      <w:tr w:rsidR="00276C1B" w:rsidRPr="003E0E7D" w14:paraId="30599B65" w14:textId="77777777" w:rsidTr="003E0E7D">
        <w:tc>
          <w:tcPr>
            <w:tcW w:w="1532" w:type="dxa"/>
            <w:tcBorders>
              <w:right w:val="single" w:sz="48" w:space="0" w:color="FFFFFF"/>
            </w:tcBorders>
            <w:shd w:val="clear" w:color="auto" w:fill="auto"/>
          </w:tcPr>
          <w:p w14:paraId="3CC85D7D" w14:textId="77777777" w:rsidR="003775CE" w:rsidRPr="003E0E7D" w:rsidRDefault="003775CE" w:rsidP="003E0E7D">
            <w:pPr>
              <w:pStyle w:val="Abbreviations1"/>
              <w:spacing w:before="0"/>
            </w:pPr>
            <w:r w:rsidRPr="003E0E7D">
              <w:t>APL</w:t>
            </w:r>
          </w:p>
        </w:tc>
        <w:tc>
          <w:tcPr>
            <w:tcW w:w="5513" w:type="dxa"/>
            <w:shd w:val="clear" w:color="auto" w:fill="auto"/>
          </w:tcPr>
          <w:p w14:paraId="6DB76990" w14:textId="77777777" w:rsidR="003775CE" w:rsidRPr="003E0E7D" w:rsidRDefault="003775CE" w:rsidP="003E0E7D">
            <w:pPr>
              <w:pStyle w:val="Abbreviations2definition"/>
              <w:spacing w:before="0"/>
            </w:pPr>
            <w:r w:rsidRPr="003E0E7D">
              <w:t>Accredited Pathology Laboratory</w:t>
            </w:r>
          </w:p>
        </w:tc>
      </w:tr>
      <w:tr w:rsidR="00276C1B" w:rsidRPr="003E0E7D" w14:paraId="3919738F" w14:textId="77777777" w:rsidTr="003E0E7D">
        <w:tc>
          <w:tcPr>
            <w:tcW w:w="1532" w:type="dxa"/>
            <w:tcBorders>
              <w:right w:val="single" w:sz="48" w:space="0" w:color="FFFFFF"/>
            </w:tcBorders>
            <w:shd w:val="clear" w:color="auto" w:fill="auto"/>
          </w:tcPr>
          <w:p w14:paraId="78AB42B0" w14:textId="77777777" w:rsidR="003775CE" w:rsidRPr="003E0E7D" w:rsidRDefault="003775CE" w:rsidP="003E0E7D">
            <w:pPr>
              <w:pStyle w:val="Abbreviations1"/>
              <w:spacing w:before="0"/>
            </w:pPr>
            <w:r w:rsidRPr="003E0E7D">
              <w:t>ARCBS</w:t>
            </w:r>
          </w:p>
        </w:tc>
        <w:tc>
          <w:tcPr>
            <w:tcW w:w="5513" w:type="dxa"/>
            <w:shd w:val="clear" w:color="auto" w:fill="auto"/>
          </w:tcPr>
          <w:p w14:paraId="5D2A4156" w14:textId="77777777" w:rsidR="003775CE" w:rsidRPr="003E0E7D" w:rsidRDefault="003775CE" w:rsidP="003E0E7D">
            <w:pPr>
              <w:pStyle w:val="Abbreviations2definition"/>
              <w:spacing w:before="0"/>
            </w:pPr>
            <w:r w:rsidRPr="003E0E7D">
              <w:t>Australian Red Cross Blood Service</w:t>
            </w:r>
          </w:p>
        </w:tc>
      </w:tr>
      <w:tr w:rsidR="00276C1B" w:rsidRPr="003E0E7D" w14:paraId="5EB5EAF3" w14:textId="77777777" w:rsidTr="003E0E7D">
        <w:tc>
          <w:tcPr>
            <w:tcW w:w="1532" w:type="dxa"/>
            <w:tcBorders>
              <w:right w:val="single" w:sz="48" w:space="0" w:color="FFFFFF"/>
            </w:tcBorders>
            <w:shd w:val="clear" w:color="auto" w:fill="auto"/>
          </w:tcPr>
          <w:p w14:paraId="2072FD55" w14:textId="77777777" w:rsidR="003775CE" w:rsidRPr="003E0E7D" w:rsidRDefault="003775CE" w:rsidP="003E0E7D">
            <w:pPr>
              <w:pStyle w:val="Abbreviations1"/>
              <w:spacing w:before="0"/>
            </w:pPr>
            <w:r w:rsidRPr="003E0E7D">
              <w:t>ARTG</w:t>
            </w:r>
          </w:p>
        </w:tc>
        <w:tc>
          <w:tcPr>
            <w:tcW w:w="5513" w:type="dxa"/>
            <w:shd w:val="clear" w:color="auto" w:fill="auto"/>
          </w:tcPr>
          <w:p w14:paraId="766D6B2F" w14:textId="77777777" w:rsidR="003775CE" w:rsidRPr="003E0E7D" w:rsidRDefault="003775CE" w:rsidP="003E0E7D">
            <w:pPr>
              <w:pStyle w:val="Abbreviations2definition"/>
              <w:spacing w:before="0"/>
            </w:pPr>
            <w:r w:rsidRPr="003E0E7D">
              <w:t>Australian Register of Therapeutic Goods</w:t>
            </w:r>
          </w:p>
        </w:tc>
      </w:tr>
      <w:tr w:rsidR="00276C1B" w:rsidRPr="003E0E7D" w14:paraId="58F618D0" w14:textId="77777777" w:rsidTr="003E0E7D">
        <w:tc>
          <w:tcPr>
            <w:tcW w:w="1532" w:type="dxa"/>
            <w:tcBorders>
              <w:right w:val="single" w:sz="48" w:space="0" w:color="FFFFFF"/>
            </w:tcBorders>
            <w:shd w:val="clear" w:color="auto" w:fill="auto"/>
          </w:tcPr>
          <w:p w14:paraId="0403564E" w14:textId="77777777" w:rsidR="003775CE" w:rsidRPr="003E0E7D" w:rsidRDefault="003775CE" w:rsidP="003E0E7D">
            <w:pPr>
              <w:pStyle w:val="Abbreviations1"/>
              <w:spacing w:before="0"/>
            </w:pPr>
            <w:r w:rsidRPr="003E0E7D">
              <w:t>BBV</w:t>
            </w:r>
          </w:p>
        </w:tc>
        <w:tc>
          <w:tcPr>
            <w:tcW w:w="5513" w:type="dxa"/>
            <w:shd w:val="clear" w:color="auto" w:fill="auto"/>
          </w:tcPr>
          <w:p w14:paraId="0F12A2A4" w14:textId="77777777" w:rsidR="003775CE" w:rsidRPr="003E0E7D" w:rsidRDefault="003775CE" w:rsidP="003E0E7D">
            <w:pPr>
              <w:pStyle w:val="Abbreviations2definition"/>
              <w:spacing w:before="0"/>
            </w:pPr>
            <w:r w:rsidRPr="003E0E7D">
              <w:t>Blood borne viruses</w:t>
            </w:r>
          </w:p>
        </w:tc>
      </w:tr>
      <w:tr w:rsidR="00276C1B" w:rsidRPr="003E0E7D" w14:paraId="588E5AA5" w14:textId="77777777" w:rsidTr="003E0E7D">
        <w:tc>
          <w:tcPr>
            <w:tcW w:w="1532" w:type="dxa"/>
            <w:tcBorders>
              <w:right w:val="single" w:sz="48" w:space="0" w:color="FFFFFF"/>
            </w:tcBorders>
            <w:shd w:val="clear" w:color="auto" w:fill="auto"/>
          </w:tcPr>
          <w:p w14:paraId="7422B5FB" w14:textId="77777777" w:rsidR="003A1D4B" w:rsidRPr="003E0E7D" w:rsidRDefault="003A1D4B" w:rsidP="003E0E7D">
            <w:pPr>
              <w:pStyle w:val="Abbreviations1"/>
              <w:spacing w:before="0"/>
            </w:pPr>
            <w:r w:rsidRPr="003E0E7D">
              <w:t>CAC</w:t>
            </w:r>
          </w:p>
        </w:tc>
        <w:tc>
          <w:tcPr>
            <w:tcW w:w="5513" w:type="dxa"/>
            <w:shd w:val="clear" w:color="auto" w:fill="auto"/>
          </w:tcPr>
          <w:p w14:paraId="72AC56E4" w14:textId="77777777" w:rsidR="003A1D4B" w:rsidRPr="003E0E7D" w:rsidRDefault="003A1D4B" w:rsidP="003E0E7D">
            <w:pPr>
              <w:pStyle w:val="Abbreviations2definition"/>
              <w:spacing w:before="0"/>
            </w:pPr>
            <w:r w:rsidRPr="003E0E7D">
              <w:t>Conformity Assessment Certification</w:t>
            </w:r>
          </w:p>
        </w:tc>
      </w:tr>
      <w:tr w:rsidR="00276C1B" w:rsidRPr="003E0E7D" w14:paraId="39A5CBB7" w14:textId="77777777" w:rsidTr="003E0E7D">
        <w:tc>
          <w:tcPr>
            <w:tcW w:w="1532" w:type="dxa"/>
            <w:tcBorders>
              <w:right w:val="single" w:sz="48" w:space="0" w:color="FFFFFF"/>
            </w:tcBorders>
            <w:shd w:val="clear" w:color="auto" w:fill="auto"/>
          </w:tcPr>
          <w:p w14:paraId="6838427B" w14:textId="77777777" w:rsidR="003A1D4B" w:rsidRPr="003E0E7D" w:rsidRDefault="003A1D4B" w:rsidP="003E0E7D">
            <w:pPr>
              <w:pStyle w:val="Abbreviations1"/>
              <w:spacing w:before="0"/>
            </w:pPr>
            <w:r w:rsidRPr="003E0E7D">
              <w:t>the Code</w:t>
            </w:r>
          </w:p>
        </w:tc>
        <w:tc>
          <w:tcPr>
            <w:tcW w:w="5513" w:type="dxa"/>
            <w:shd w:val="clear" w:color="auto" w:fill="auto"/>
          </w:tcPr>
          <w:p w14:paraId="515B6105" w14:textId="77777777" w:rsidR="003A1D4B" w:rsidRPr="003E0E7D" w:rsidRDefault="003A1D4B" w:rsidP="003E0E7D">
            <w:pPr>
              <w:pStyle w:val="Abbreviations2definition"/>
              <w:spacing w:before="0"/>
            </w:pPr>
            <w:r w:rsidRPr="003E0E7D">
              <w:t>Australian Code of Good Manufacturing Practice for human blood and blood components, human tissues and human cellular therapy products</w:t>
            </w:r>
          </w:p>
        </w:tc>
      </w:tr>
      <w:tr w:rsidR="00276C1B" w:rsidRPr="003E0E7D" w14:paraId="7E0A1EAA" w14:textId="77777777" w:rsidTr="003E0E7D">
        <w:tc>
          <w:tcPr>
            <w:tcW w:w="1532" w:type="dxa"/>
            <w:tcBorders>
              <w:right w:val="single" w:sz="48" w:space="0" w:color="FFFFFF"/>
            </w:tcBorders>
            <w:shd w:val="clear" w:color="auto" w:fill="auto"/>
          </w:tcPr>
          <w:p w14:paraId="1D1E6C4F" w14:textId="77777777" w:rsidR="00CE555F" w:rsidRPr="003E0E7D" w:rsidDel="00621CA6" w:rsidRDefault="00CE555F" w:rsidP="003E0E7D">
            <w:pPr>
              <w:pStyle w:val="Abbreviations1"/>
              <w:spacing w:before="0"/>
            </w:pPr>
            <w:r w:rsidRPr="003E0E7D">
              <w:t xml:space="preserve">The Department </w:t>
            </w:r>
          </w:p>
        </w:tc>
        <w:tc>
          <w:tcPr>
            <w:tcW w:w="5513" w:type="dxa"/>
            <w:shd w:val="clear" w:color="auto" w:fill="auto"/>
          </w:tcPr>
          <w:p w14:paraId="332DC5CD" w14:textId="77777777" w:rsidR="00CE555F" w:rsidRPr="003E0E7D" w:rsidDel="00621CA6" w:rsidRDefault="00CE555F" w:rsidP="003E0E7D">
            <w:pPr>
              <w:pStyle w:val="Abbreviations2definition"/>
              <w:spacing w:before="0"/>
            </w:pPr>
            <w:r w:rsidRPr="003E0E7D">
              <w:t xml:space="preserve">The Australian Government Department of Health </w:t>
            </w:r>
          </w:p>
        </w:tc>
      </w:tr>
      <w:tr w:rsidR="00276C1B" w:rsidRPr="003E0E7D" w14:paraId="466AFF97" w14:textId="77777777" w:rsidTr="003E0E7D">
        <w:tc>
          <w:tcPr>
            <w:tcW w:w="1532" w:type="dxa"/>
            <w:tcBorders>
              <w:right w:val="single" w:sz="48" w:space="0" w:color="FFFFFF"/>
            </w:tcBorders>
            <w:shd w:val="clear" w:color="auto" w:fill="auto"/>
          </w:tcPr>
          <w:p w14:paraId="65474DC0" w14:textId="77777777" w:rsidR="003775CE" w:rsidRPr="003E0E7D" w:rsidRDefault="003775CE" w:rsidP="003E0E7D">
            <w:pPr>
              <w:pStyle w:val="Abbreviations1"/>
              <w:spacing w:before="0"/>
            </w:pPr>
            <w:r w:rsidRPr="003E0E7D">
              <w:t>DNA</w:t>
            </w:r>
          </w:p>
        </w:tc>
        <w:tc>
          <w:tcPr>
            <w:tcW w:w="5513" w:type="dxa"/>
            <w:shd w:val="clear" w:color="auto" w:fill="auto"/>
          </w:tcPr>
          <w:p w14:paraId="7B7EB176" w14:textId="77777777" w:rsidR="003775CE" w:rsidRPr="003E0E7D" w:rsidRDefault="009A44E4" w:rsidP="003E0E7D">
            <w:pPr>
              <w:pStyle w:val="Abbreviations2definition"/>
              <w:spacing w:before="0"/>
            </w:pPr>
            <w:r w:rsidRPr="003E0E7D">
              <w:t xml:space="preserve">Deoxyribonucleic </w:t>
            </w:r>
            <w:r w:rsidR="003775CE" w:rsidRPr="003E0E7D">
              <w:t>acid</w:t>
            </w:r>
          </w:p>
        </w:tc>
      </w:tr>
      <w:tr w:rsidR="00276C1B" w:rsidRPr="003E0E7D" w14:paraId="40634F47" w14:textId="77777777" w:rsidTr="003E0E7D">
        <w:tc>
          <w:tcPr>
            <w:tcW w:w="1532" w:type="dxa"/>
            <w:tcBorders>
              <w:right w:val="single" w:sz="48" w:space="0" w:color="FFFFFF"/>
            </w:tcBorders>
            <w:shd w:val="clear" w:color="auto" w:fill="auto"/>
          </w:tcPr>
          <w:p w14:paraId="4D8AA894" w14:textId="77777777" w:rsidR="003775CE" w:rsidRPr="003E0E7D" w:rsidRDefault="003775CE" w:rsidP="003E0E7D">
            <w:pPr>
              <w:pStyle w:val="Abbreviations1"/>
              <w:spacing w:before="0"/>
            </w:pPr>
            <w:r w:rsidRPr="003E0E7D">
              <w:t>EQAS</w:t>
            </w:r>
          </w:p>
        </w:tc>
        <w:tc>
          <w:tcPr>
            <w:tcW w:w="5513" w:type="dxa"/>
            <w:shd w:val="clear" w:color="auto" w:fill="auto"/>
          </w:tcPr>
          <w:p w14:paraId="5B72062A" w14:textId="77777777" w:rsidR="003775CE" w:rsidRPr="003E0E7D" w:rsidRDefault="003775CE" w:rsidP="003E0E7D">
            <w:pPr>
              <w:pStyle w:val="Abbreviations2definition"/>
              <w:spacing w:before="0"/>
            </w:pPr>
            <w:r w:rsidRPr="003E0E7D">
              <w:t xml:space="preserve">External quality </w:t>
            </w:r>
            <w:r w:rsidR="00621CA6" w:rsidRPr="003E0E7D">
              <w:t xml:space="preserve">assessment </w:t>
            </w:r>
            <w:r w:rsidRPr="003E0E7D">
              <w:t>scheme</w:t>
            </w:r>
          </w:p>
        </w:tc>
      </w:tr>
      <w:tr w:rsidR="00276C1B" w:rsidRPr="003E0E7D" w14:paraId="327068C0" w14:textId="77777777" w:rsidTr="003E0E7D">
        <w:tc>
          <w:tcPr>
            <w:tcW w:w="1532" w:type="dxa"/>
            <w:tcBorders>
              <w:right w:val="single" w:sz="48" w:space="0" w:color="FFFFFF"/>
            </w:tcBorders>
            <w:shd w:val="clear" w:color="auto" w:fill="auto"/>
          </w:tcPr>
          <w:p w14:paraId="3CE51E5A" w14:textId="77777777" w:rsidR="003775CE" w:rsidRPr="003E0E7D" w:rsidRDefault="003775CE" w:rsidP="003E0E7D">
            <w:pPr>
              <w:pStyle w:val="Abbreviations1"/>
              <w:spacing w:before="0"/>
            </w:pPr>
            <w:r w:rsidRPr="003E0E7D">
              <w:t>GMP</w:t>
            </w:r>
          </w:p>
        </w:tc>
        <w:tc>
          <w:tcPr>
            <w:tcW w:w="5513" w:type="dxa"/>
            <w:shd w:val="clear" w:color="auto" w:fill="auto"/>
          </w:tcPr>
          <w:p w14:paraId="3CCA2814" w14:textId="77777777" w:rsidR="003775CE" w:rsidRPr="003E0E7D" w:rsidRDefault="003775CE" w:rsidP="003E0E7D">
            <w:pPr>
              <w:pStyle w:val="Abbreviations2definition"/>
              <w:spacing w:before="0"/>
            </w:pPr>
            <w:r w:rsidRPr="003E0E7D">
              <w:t>Good Manufactur</w:t>
            </w:r>
            <w:r w:rsidR="00070A9A" w:rsidRPr="003E0E7D">
              <w:t>ing Practice</w:t>
            </w:r>
          </w:p>
        </w:tc>
      </w:tr>
      <w:tr w:rsidR="00276C1B" w:rsidRPr="003E0E7D" w14:paraId="3BE52DCF" w14:textId="77777777" w:rsidTr="003E0E7D">
        <w:tc>
          <w:tcPr>
            <w:tcW w:w="1532" w:type="dxa"/>
            <w:tcBorders>
              <w:right w:val="single" w:sz="48" w:space="0" w:color="FFFFFF"/>
            </w:tcBorders>
            <w:shd w:val="clear" w:color="auto" w:fill="auto"/>
          </w:tcPr>
          <w:p w14:paraId="1D6F4D4B" w14:textId="77777777" w:rsidR="00A50FBE" w:rsidRPr="003E0E7D" w:rsidRDefault="00A50FBE" w:rsidP="003E0E7D">
            <w:pPr>
              <w:pStyle w:val="Abbreviations1"/>
              <w:spacing w:before="0"/>
            </w:pPr>
            <w:r w:rsidRPr="003E0E7D">
              <w:t>HAV</w:t>
            </w:r>
          </w:p>
        </w:tc>
        <w:tc>
          <w:tcPr>
            <w:tcW w:w="5513" w:type="dxa"/>
            <w:shd w:val="clear" w:color="auto" w:fill="auto"/>
          </w:tcPr>
          <w:p w14:paraId="51F4EAEB" w14:textId="77777777" w:rsidR="00A50FBE" w:rsidRPr="003E0E7D" w:rsidRDefault="00A50FBE" w:rsidP="003E0E7D">
            <w:pPr>
              <w:pStyle w:val="Abbreviations2definition"/>
              <w:spacing w:before="0"/>
            </w:pPr>
            <w:r w:rsidRPr="003E0E7D">
              <w:t>Hepatitis A virus</w:t>
            </w:r>
          </w:p>
        </w:tc>
      </w:tr>
      <w:tr w:rsidR="00276C1B" w:rsidRPr="003E0E7D" w14:paraId="68FE03A2" w14:textId="77777777" w:rsidTr="003E0E7D">
        <w:tc>
          <w:tcPr>
            <w:tcW w:w="1532" w:type="dxa"/>
            <w:tcBorders>
              <w:right w:val="single" w:sz="48" w:space="0" w:color="FFFFFF"/>
            </w:tcBorders>
            <w:shd w:val="clear" w:color="auto" w:fill="auto"/>
          </w:tcPr>
          <w:p w14:paraId="621B4260" w14:textId="77777777" w:rsidR="003775CE" w:rsidRPr="003E0E7D" w:rsidRDefault="003775CE" w:rsidP="003E0E7D">
            <w:pPr>
              <w:pStyle w:val="Abbreviations1"/>
              <w:spacing w:before="0"/>
            </w:pPr>
            <w:r w:rsidRPr="003E0E7D">
              <w:t>HBV</w:t>
            </w:r>
          </w:p>
        </w:tc>
        <w:tc>
          <w:tcPr>
            <w:tcW w:w="5513" w:type="dxa"/>
            <w:shd w:val="clear" w:color="auto" w:fill="auto"/>
          </w:tcPr>
          <w:p w14:paraId="4ACE5775" w14:textId="77777777" w:rsidR="003775CE" w:rsidRPr="003E0E7D" w:rsidRDefault="003775CE" w:rsidP="003E0E7D">
            <w:pPr>
              <w:pStyle w:val="Abbreviations2definition"/>
              <w:spacing w:before="0"/>
            </w:pPr>
            <w:r w:rsidRPr="003E0E7D">
              <w:t>Hepatitis B virus</w:t>
            </w:r>
          </w:p>
        </w:tc>
      </w:tr>
      <w:tr w:rsidR="00276C1B" w:rsidRPr="003E0E7D" w14:paraId="55A23F6D" w14:textId="77777777" w:rsidTr="003E0E7D">
        <w:tc>
          <w:tcPr>
            <w:tcW w:w="1532" w:type="dxa"/>
            <w:tcBorders>
              <w:right w:val="single" w:sz="48" w:space="0" w:color="FFFFFF"/>
            </w:tcBorders>
            <w:shd w:val="clear" w:color="auto" w:fill="auto"/>
          </w:tcPr>
          <w:p w14:paraId="73DE5FC6" w14:textId="77777777" w:rsidR="003775CE" w:rsidRPr="003E0E7D" w:rsidRDefault="003775CE" w:rsidP="003E0E7D">
            <w:pPr>
              <w:pStyle w:val="Abbreviations1"/>
              <w:spacing w:before="0"/>
            </w:pPr>
            <w:r w:rsidRPr="003E0E7D">
              <w:t>HCV</w:t>
            </w:r>
          </w:p>
        </w:tc>
        <w:tc>
          <w:tcPr>
            <w:tcW w:w="5513" w:type="dxa"/>
            <w:shd w:val="clear" w:color="auto" w:fill="auto"/>
          </w:tcPr>
          <w:p w14:paraId="350D2DC9" w14:textId="77777777" w:rsidR="003775CE" w:rsidRPr="003E0E7D" w:rsidRDefault="003775CE" w:rsidP="003E0E7D">
            <w:pPr>
              <w:pStyle w:val="Abbreviations2definition"/>
              <w:spacing w:before="0"/>
            </w:pPr>
            <w:r w:rsidRPr="003E0E7D">
              <w:t>Hepatitis C virus</w:t>
            </w:r>
          </w:p>
        </w:tc>
      </w:tr>
      <w:tr w:rsidR="00276C1B" w:rsidRPr="003E0E7D" w14:paraId="6F4BA304" w14:textId="77777777" w:rsidTr="003E0E7D">
        <w:tc>
          <w:tcPr>
            <w:tcW w:w="1532" w:type="dxa"/>
            <w:tcBorders>
              <w:right w:val="single" w:sz="48" w:space="0" w:color="FFFFFF"/>
            </w:tcBorders>
            <w:shd w:val="clear" w:color="auto" w:fill="auto"/>
          </w:tcPr>
          <w:p w14:paraId="4C681668" w14:textId="77777777" w:rsidR="003775CE" w:rsidRPr="003E0E7D" w:rsidRDefault="003775CE" w:rsidP="003E0E7D">
            <w:pPr>
              <w:pStyle w:val="Abbreviations1"/>
              <w:spacing w:before="0"/>
            </w:pPr>
            <w:r w:rsidRPr="003E0E7D">
              <w:t>HIV</w:t>
            </w:r>
          </w:p>
        </w:tc>
        <w:tc>
          <w:tcPr>
            <w:tcW w:w="5513" w:type="dxa"/>
            <w:shd w:val="clear" w:color="auto" w:fill="auto"/>
          </w:tcPr>
          <w:p w14:paraId="50307D81" w14:textId="77777777" w:rsidR="003775CE" w:rsidRPr="003E0E7D" w:rsidRDefault="003775CE" w:rsidP="003E0E7D">
            <w:pPr>
              <w:pStyle w:val="Abbreviations2definition"/>
              <w:spacing w:before="0"/>
            </w:pPr>
            <w:r w:rsidRPr="003E0E7D">
              <w:t>Human immunodeficiency virus</w:t>
            </w:r>
          </w:p>
        </w:tc>
      </w:tr>
      <w:tr w:rsidR="00276C1B" w:rsidRPr="003E0E7D" w14:paraId="7C8E009A" w14:textId="77777777" w:rsidTr="003E0E7D">
        <w:tc>
          <w:tcPr>
            <w:tcW w:w="1532" w:type="dxa"/>
            <w:tcBorders>
              <w:right w:val="single" w:sz="48" w:space="0" w:color="FFFFFF"/>
            </w:tcBorders>
            <w:shd w:val="clear" w:color="auto" w:fill="auto"/>
          </w:tcPr>
          <w:p w14:paraId="43B9B289" w14:textId="77777777" w:rsidR="00CE555F" w:rsidRPr="003E0E7D" w:rsidRDefault="00CE555F" w:rsidP="003E0E7D">
            <w:pPr>
              <w:pStyle w:val="Abbreviations1"/>
              <w:spacing w:before="0"/>
            </w:pPr>
            <w:r w:rsidRPr="003E0E7D">
              <w:t>HMA</w:t>
            </w:r>
          </w:p>
        </w:tc>
        <w:tc>
          <w:tcPr>
            <w:tcW w:w="5513" w:type="dxa"/>
            <w:shd w:val="clear" w:color="auto" w:fill="auto"/>
          </w:tcPr>
          <w:p w14:paraId="460302C4" w14:textId="77777777" w:rsidR="00CE555F" w:rsidRPr="003E0E7D" w:rsidRDefault="00CE555F" w:rsidP="003E0E7D">
            <w:pPr>
              <w:pStyle w:val="Abbreviations2definition"/>
              <w:spacing w:before="0"/>
            </w:pPr>
            <w:r w:rsidRPr="003E0E7D">
              <w:t xml:space="preserve">Healthcare Management Advisors </w:t>
            </w:r>
          </w:p>
        </w:tc>
      </w:tr>
      <w:tr w:rsidR="00276C1B" w:rsidRPr="003E0E7D" w14:paraId="55DC2776" w14:textId="77777777" w:rsidTr="003E0E7D">
        <w:trPr>
          <w:trHeight w:val="79"/>
        </w:trPr>
        <w:tc>
          <w:tcPr>
            <w:tcW w:w="1532" w:type="dxa"/>
            <w:tcBorders>
              <w:right w:val="single" w:sz="48" w:space="0" w:color="FFFFFF"/>
            </w:tcBorders>
            <w:shd w:val="clear" w:color="auto" w:fill="auto"/>
          </w:tcPr>
          <w:p w14:paraId="6EBA0742" w14:textId="77777777" w:rsidR="003775CE" w:rsidRPr="003E0E7D" w:rsidRDefault="003775CE" w:rsidP="003E0E7D">
            <w:pPr>
              <w:pStyle w:val="Abbreviations1"/>
              <w:spacing w:before="0"/>
            </w:pPr>
            <w:r w:rsidRPr="003E0E7D">
              <w:t>HTLV</w:t>
            </w:r>
          </w:p>
        </w:tc>
        <w:tc>
          <w:tcPr>
            <w:tcW w:w="5513" w:type="dxa"/>
            <w:shd w:val="clear" w:color="auto" w:fill="auto"/>
          </w:tcPr>
          <w:p w14:paraId="71B55DCB" w14:textId="77777777" w:rsidR="003775CE" w:rsidRPr="003E0E7D" w:rsidRDefault="003775CE" w:rsidP="003E0E7D">
            <w:pPr>
              <w:pStyle w:val="Abbreviations2definition"/>
              <w:spacing w:before="0"/>
            </w:pPr>
            <w:r w:rsidRPr="003E0E7D">
              <w:t>Human T-lymphotropic virus</w:t>
            </w:r>
          </w:p>
        </w:tc>
      </w:tr>
      <w:tr w:rsidR="00276C1B" w:rsidRPr="003E0E7D" w14:paraId="31BF21E4" w14:textId="77777777" w:rsidTr="003E0E7D">
        <w:tc>
          <w:tcPr>
            <w:tcW w:w="1532" w:type="dxa"/>
            <w:tcBorders>
              <w:right w:val="single" w:sz="48" w:space="0" w:color="FFFFFF"/>
            </w:tcBorders>
            <w:shd w:val="clear" w:color="auto" w:fill="auto"/>
          </w:tcPr>
          <w:p w14:paraId="79E2B74D" w14:textId="77777777" w:rsidR="003775CE" w:rsidRPr="003E0E7D" w:rsidRDefault="003775CE" w:rsidP="003E0E7D">
            <w:pPr>
              <w:pStyle w:val="Abbreviations1"/>
              <w:spacing w:before="0"/>
            </w:pPr>
            <w:r w:rsidRPr="003E0E7D">
              <w:t xml:space="preserve">Ig </w:t>
            </w:r>
          </w:p>
        </w:tc>
        <w:tc>
          <w:tcPr>
            <w:tcW w:w="5513" w:type="dxa"/>
            <w:shd w:val="clear" w:color="auto" w:fill="auto"/>
          </w:tcPr>
          <w:p w14:paraId="099EF239" w14:textId="77777777" w:rsidR="003775CE" w:rsidRPr="003E0E7D" w:rsidRDefault="003775CE" w:rsidP="003E0E7D">
            <w:pPr>
              <w:pStyle w:val="Abbreviations2definition"/>
              <w:spacing w:before="0"/>
            </w:pPr>
            <w:r w:rsidRPr="003E0E7D">
              <w:t xml:space="preserve">Immunoglobulin </w:t>
            </w:r>
          </w:p>
        </w:tc>
      </w:tr>
      <w:tr w:rsidR="00276C1B" w:rsidRPr="003E0E7D" w14:paraId="64006B7C" w14:textId="77777777" w:rsidTr="003E0E7D">
        <w:tc>
          <w:tcPr>
            <w:tcW w:w="1532" w:type="dxa"/>
            <w:tcBorders>
              <w:right w:val="single" w:sz="48" w:space="0" w:color="FFFFFF"/>
            </w:tcBorders>
            <w:shd w:val="clear" w:color="auto" w:fill="auto"/>
          </w:tcPr>
          <w:p w14:paraId="0C83EF9D" w14:textId="77777777" w:rsidR="003775CE" w:rsidRPr="003E0E7D" w:rsidRDefault="003775CE" w:rsidP="003E0E7D">
            <w:pPr>
              <w:pStyle w:val="Abbreviations1"/>
              <w:spacing w:before="0"/>
            </w:pPr>
            <w:r w:rsidRPr="003E0E7D">
              <w:t>ISO</w:t>
            </w:r>
          </w:p>
        </w:tc>
        <w:tc>
          <w:tcPr>
            <w:tcW w:w="5513" w:type="dxa"/>
            <w:shd w:val="clear" w:color="auto" w:fill="auto"/>
          </w:tcPr>
          <w:p w14:paraId="3C8C0DF6" w14:textId="77777777" w:rsidR="003775CE" w:rsidRPr="003E0E7D" w:rsidRDefault="003775CE" w:rsidP="003E0E7D">
            <w:pPr>
              <w:pStyle w:val="Abbreviations2definition"/>
              <w:spacing w:before="0"/>
            </w:pPr>
            <w:r w:rsidRPr="003E0E7D">
              <w:t>International Organization for Standardization</w:t>
            </w:r>
          </w:p>
        </w:tc>
      </w:tr>
      <w:tr w:rsidR="00276C1B" w:rsidRPr="003E0E7D" w14:paraId="49C01803" w14:textId="77777777" w:rsidTr="003E0E7D">
        <w:tc>
          <w:tcPr>
            <w:tcW w:w="1532" w:type="dxa"/>
            <w:tcBorders>
              <w:right w:val="single" w:sz="48" w:space="0" w:color="FFFFFF"/>
            </w:tcBorders>
            <w:shd w:val="clear" w:color="auto" w:fill="auto"/>
          </w:tcPr>
          <w:p w14:paraId="7F285B12" w14:textId="77777777" w:rsidR="003775CE" w:rsidRPr="003E0E7D" w:rsidRDefault="003775CE" w:rsidP="003E0E7D">
            <w:pPr>
              <w:pStyle w:val="Abbreviations1"/>
              <w:spacing w:before="0"/>
            </w:pPr>
            <w:r w:rsidRPr="003E0E7D">
              <w:t>IVD</w:t>
            </w:r>
          </w:p>
        </w:tc>
        <w:tc>
          <w:tcPr>
            <w:tcW w:w="5513" w:type="dxa"/>
            <w:shd w:val="clear" w:color="auto" w:fill="auto"/>
          </w:tcPr>
          <w:p w14:paraId="4A3AB860" w14:textId="77777777" w:rsidR="003775CE" w:rsidRPr="003E0E7D" w:rsidRDefault="003775CE" w:rsidP="003E0E7D">
            <w:pPr>
              <w:pStyle w:val="Abbreviations2definition"/>
              <w:spacing w:before="0"/>
            </w:pPr>
            <w:r w:rsidRPr="003E0E7D">
              <w:t>In-vitro device</w:t>
            </w:r>
          </w:p>
        </w:tc>
      </w:tr>
      <w:tr w:rsidR="00276C1B" w:rsidRPr="003E0E7D" w14:paraId="0F0F6419" w14:textId="77777777" w:rsidTr="003E0E7D">
        <w:tc>
          <w:tcPr>
            <w:tcW w:w="1532" w:type="dxa"/>
            <w:tcBorders>
              <w:right w:val="single" w:sz="48" w:space="0" w:color="FFFFFF"/>
            </w:tcBorders>
            <w:shd w:val="clear" w:color="auto" w:fill="auto"/>
          </w:tcPr>
          <w:p w14:paraId="6965FC76" w14:textId="77777777" w:rsidR="003775CE" w:rsidRPr="003E0E7D" w:rsidRDefault="003775CE" w:rsidP="003E0E7D">
            <w:pPr>
              <w:pStyle w:val="Abbreviations1"/>
              <w:spacing w:before="0"/>
            </w:pPr>
            <w:r w:rsidRPr="003E0E7D">
              <w:t>MBS</w:t>
            </w:r>
          </w:p>
        </w:tc>
        <w:tc>
          <w:tcPr>
            <w:tcW w:w="5513" w:type="dxa"/>
            <w:shd w:val="clear" w:color="auto" w:fill="auto"/>
          </w:tcPr>
          <w:p w14:paraId="08931EC0" w14:textId="77777777" w:rsidR="003775CE" w:rsidRPr="003E0E7D" w:rsidRDefault="003775CE" w:rsidP="003E0E7D">
            <w:pPr>
              <w:pStyle w:val="Abbreviations2definition"/>
              <w:spacing w:before="0"/>
            </w:pPr>
            <w:r w:rsidRPr="003E0E7D">
              <w:t>Medicare Benefits Schedule</w:t>
            </w:r>
          </w:p>
        </w:tc>
      </w:tr>
      <w:tr w:rsidR="00276C1B" w:rsidRPr="003E0E7D" w14:paraId="2F0DC4EA" w14:textId="77777777" w:rsidTr="003E0E7D">
        <w:tc>
          <w:tcPr>
            <w:tcW w:w="1532" w:type="dxa"/>
            <w:tcBorders>
              <w:right w:val="single" w:sz="48" w:space="0" w:color="FFFFFF"/>
            </w:tcBorders>
            <w:shd w:val="clear" w:color="auto" w:fill="auto"/>
          </w:tcPr>
          <w:p w14:paraId="5C7FDD56" w14:textId="77777777" w:rsidR="003775CE" w:rsidRPr="003E0E7D" w:rsidRDefault="003775CE" w:rsidP="003E0E7D">
            <w:pPr>
              <w:pStyle w:val="Abbreviations1"/>
              <w:keepNext/>
              <w:spacing w:before="0"/>
            </w:pPr>
            <w:r w:rsidRPr="003E0E7D">
              <w:t>NAT</w:t>
            </w:r>
          </w:p>
        </w:tc>
        <w:tc>
          <w:tcPr>
            <w:tcW w:w="5513" w:type="dxa"/>
            <w:shd w:val="clear" w:color="auto" w:fill="auto"/>
          </w:tcPr>
          <w:p w14:paraId="305B064F" w14:textId="77777777" w:rsidR="003775CE" w:rsidRPr="003E0E7D" w:rsidRDefault="003775CE" w:rsidP="003E0E7D">
            <w:pPr>
              <w:pStyle w:val="Abbreviations2definition"/>
              <w:spacing w:before="0"/>
            </w:pPr>
            <w:r w:rsidRPr="003E0E7D">
              <w:t xml:space="preserve">Nucleic </w:t>
            </w:r>
            <w:r w:rsidR="00DF03A7" w:rsidRPr="003E0E7D">
              <w:t>A</w:t>
            </w:r>
            <w:r w:rsidRPr="003E0E7D">
              <w:t xml:space="preserve">cid </w:t>
            </w:r>
            <w:r w:rsidR="00DF03A7" w:rsidRPr="003E0E7D">
              <w:t>A</w:t>
            </w:r>
            <w:r w:rsidRPr="003E0E7D">
              <w:t xml:space="preserve">mplification </w:t>
            </w:r>
            <w:r w:rsidR="00DF03A7" w:rsidRPr="003E0E7D">
              <w:t>T</w:t>
            </w:r>
            <w:r w:rsidRPr="003E0E7D">
              <w:t>esting</w:t>
            </w:r>
          </w:p>
        </w:tc>
      </w:tr>
      <w:tr w:rsidR="00276C1B" w:rsidRPr="003E0E7D" w14:paraId="13193EF4" w14:textId="77777777" w:rsidTr="003E0E7D">
        <w:tc>
          <w:tcPr>
            <w:tcW w:w="1532" w:type="dxa"/>
            <w:tcBorders>
              <w:right w:val="single" w:sz="48" w:space="0" w:color="FFFFFF"/>
            </w:tcBorders>
            <w:shd w:val="clear" w:color="auto" w:fill="auto"/>
          </w:tcPr>
          <w:p w14:paraId="3E481209" w14:textId="77777777" w:rsidR="003775CE" w:rsidRPr="003E0E7D" w:rsidRDefault="003775CE" w:rsidP="003E0E7D">
            <w:pPr>
              <w:pStyle w:val="Abbreviations1"/>
              <w:spacing w:before="0"/>
            </w:pPr>
            <w:r w:rsidRPr="003E0E7D">
              <w:t>NATA</w:t>
            </w:r>
          </w:p>
        </w:tc>
        <w:tc>
          <w:tcPr>
            <w:tcW w:w="5513" w:type="dxa"/>
            <w:shd w:val="clear" w:color="auto" w:fill="auto"/>
          </w:tcPr>
          <w:p w14:paraId="6DE8B29E" w14:textId="77777777" w:rsidR="003775CE" w:rsidRPr="003E0E7D" w:rsidRDefault="003775CE" w:rsidP="003E0E7D">
            <w:pPr>
              <w:pStyle w:val="Abbreviations2definition"/>
              <w:spacing w:before="0"/>
            </w:pPr>
            <w:r w:rsidRPr="003E0E7D">
              <w:t>National Association of Testing Authorities</w:t>
            </w:r>
          </w:p>
        </w:tc>
      </w:tr>
      <w:tr w:rsidR="00276C1B" w:rsidRPr="003E0E7D" w14:paraId="0D8402AF" w14:textId="77777777" w:rsidTr="003E0E7D">
        <w:tc>
          <w:tcPr>
            <w:tcW w:w="1532" w:type="dxa"/>
            <w:tcBorders>
              <w:right w:val="single" w:sz="48" w:space="0" w:color="FFFFFF"/>
            </w:tcBorders>
            <w:shd w:val="clear" w:color="auto" w:fill="auto"/>
          </w:tcPr>
          <w:p w14:paraId="4A90CB51" w14:textId="77777777" w:rsidR="003775CE" w:rsidRPr="003E0E7D" w:rsidRDefault="003775CE" w:rsidP="003E0E7D">
            <w:pPr>
              <w:pStyle w:val="Abbreviations1"/>
              <w:spacing w:before="0"/>
            </w:pPr>
            <w:r w:rsidRPr="003E0E7D">
              <w:t>NBA</w:t>
            </w:r>
          </w:p>
        </w:tc>
        <w:tc>
          <w:tcPr>
            <w:tcW w:w="5513" w:type="dxa"/>
            <w:shd w:val="clear" w:color="auto" w:fill="auto"/>
          </w:tcPr>
          <w:p w14:paraId="2FD4B081" w14:textId="77777777" w:rsidR="003775CE" w:rsidRPr="003E0E7D" w:rsidRDefault="003775CE" w:rsidP="003E0E7D">
            <w:pPr>
              <w:pStyle w:val="Abbreviations2definition"/>
              <w:spacing w:before="0"/>
            </w:pPr>
            <w:r w:rsidRPr="003E0E7D">
              <w:t>National Blood Authority</w:t>
            </w:r>
          </w:p>
        </w:tc>
      </w:tr>
      <w:tr w:rsidR="00276C1B" w:rsidRPr="003E0E7D" w14:paraId="3E9D4948" w14:textId="77777777" w:rsidTr="003E0E7D">
        <w:tc>
          <w:tcPr>
            <w:tcW w:w="1532" w:type="dxa"/>
            <w:tcBorders>
              <w:right w:val="single" w:sz="48" w:space="0" w:color="FFFFFF"/>
            </w:tcBorders>
            <w:shd w:val="clear" w:color="auto" w:fill="auto"/>
          </w:tcPr>
          <w:p w14:paraId="1C67A16F" w14:textId="77777777" w:rsidR="003775CE" w:rsidRPr="003E0E7D" w:rsidRDefault="003775CE" w:rsidP="003E0E7D">
            <w:pPr>
              <w:pStyle w:val="Abbreviations1"/>
              <w:spacing w:before="0"/>
            </w:pPr>
            <w:r w:rsidRPr="003E0E7D">
              <w:t>NPAAC</w:t>
            </w:r>
          </w:p>
        </w:tc>
        <w:tc>
          <w:tcPr>
            <w:tcW w:w="5513" w:type="dxa"/>
            <w:shd w:val="clear" w:color="auto" w:fill="auto"/>
          </w:tcPr>
          <w:p w14:paraId="4EA8D918" w14:textId="77777777" w:rsidR="003775CE" w:rsidRPr="003E0E7D" w:rsidRDefault="003775CE" w:rsidP="003E0E7D">
            <w:pPr>
              <w:pStyle w:val="Abbreviations2definition"/>
              <w:spacing w:before="0"/>
            </w:pPr>
            <w:r w:rsidRPr="003E0E7D">
              <w:t>National Pathology Accreditation Advisory Council</w:t>
            </w:r>
          </w:p>
        </w:tc>
      </w:tr>
      <w:tr w:rsidR="00276C1B" w:rsidRPr="003E0E7D" w14:paraId="69DF8E0E" w14:textId="77777777" w:rsidTr="003E0E7D">
        <w:tc>
          <w:tcPr>
            <w:tcW w:w="1532" w:type="dxa"/>
            <w:tcBorders>
              <w:right w:val="single" w:sz="48" w:space="0" w:color="FFFFFF"/>
            </w:tcBorders>
            <w:shd w:val="clear" w:color="auto" w:fill="auto"/>
          </w:tcPr>
          <w:p w14:paraId="331127A6" w14:textId="77777777" w:rsidR="003775CE" w:rsidRPr="003E0E7D" w:rsidRDefault="003775CE" w:rsidP="003E0E7D">
            <w:pPr>
              <w:pStyle w:val="Abbreviations1"/>
              <w:spacing w:before="0"/>
            </w:pPr>
            <w:r w:rsidRPr="003E0E7D">
              <w:t>NRL</w:t>
            </w:r>
          </w:p>
        </w:tc>
        <w:tc>
          <w:tcPr>
            <w:tcW w:w="5513" w:type="dxa"/>
            <w:shd w:val="clear" w:color="auto" w:fill="auto"/>
          </w:tcPr>
          <w:p w14:paraId="342AD2A3" w14:textId="77777777" w:rsidR="003775CE" w:rsidRPr="003E0E7D" w:rsidRDefault="003775CE" w:rsidP="003E0E7D">
            <w:pPr>
              <w:pStyle w:val="Abbreviations2definition"/>
              <w:spacing w:before="0"/>
            </w:pPr>
            <w:r w:rsidRPr="003E0E7D">
              <w:t>National Serology Reference Laboratory</w:t>
            </w:r>
          </w:p>
        </w:tc>
      </w:tr>
      <w:tr w:rsidR="00276C1B" w:rsidRPr="003E0E7D" w14:paraId="437B78C3" w14:textId="77777777" w:rsidTr="003E0E7D">
        <w:tc>
          <w:tcPr>
            <w:tcW w:w="1532" w:type="dxa"/>
            <w:tcBorders>
              <w:right w:val="single" w:sz="48" w:space="0" w:color="FFFFFF"/>
            </w:tcBorders>
            <w:shd w:val="clear" w:color="auto" w:fill="auto"/>
          </w:tcPr>
          <w:p w14:paraId="40599CEE" w14:textId="77777777" w:rsidR="003A1D4B" w:rsidRPr="003E0E7D" w:rsidRDefault="003A1D4B" w:rsidP="003E0E7D">
            <w:pPr>
              <w:pStyle w:val="Abbreviations1"/>
              <w:spacing w:before="0"/>
            </w:pPr>
            <w:r w:rsidRPr="003E0E7D">
              <w:t>OHP</w:t>
            </w:r>
          </w:p>
        </w:tc>
        <w:tc>
          <w:tcPr>
            <w:tcW w:w="5513" w:type="dxa"/>
            <w:shd w:val="clear" w:color="auto" w:fill="auto"/>
          </w:tcPr>
          <w:p w14:paraId="48E63B3D" w14:textId="77777777" w:rsidR="003A1D4B" w:rsidRPr="003E0E7D" w:rsidRDefault="003A1D4B" w:rsidP="003E0E7D">
            <w:pPr>
              <w:pStyle w:val="Abbreviations2definition"/>
              <w:spacing w:before="0"/>
            </w:pPr>
            <w:r w:rsidRPr="003E0E7D">
              <w:t>Office of Health Protection</w:t>
            </w:r>
          </w:p>
        </w:tc>
      </w:tr>
      <w:tr w:rsidR="00276C1B" w:rsidRPr="003E0E7D" w14:paraId="718B8C95" w14:textId="77777777" w:rsidTr="003E0E7D">
        <w:tc>
          <w:tcPr>
            <w:tcW w:w="1532" w:type="dxa"/>
            <w:tcBorders>
              <w:right w:val="single" w:sz="48" w:space="0" w:color="FFFFFF"/>
            </w:tcBorders>
            <w:shd w:val="clear" w:color="auto" w:fill="auto"/>
          </w:tcPr>
          <w:p w14:paraId="72D4B65D" w14:textId="77777777" w:rsidR="00B07C69" w:rsidRPr="003E0E7D" w:rsidRDefault="00B07C69" w:rsidP="003E0E7D">
            <w:pPr>
              <w:pStyle w:val="Abbreviations1"/>
              <w:spacing w:before="0"/>
            </w:pPr>
            <w:r w:rsidRPr="003E0E7D">
              <w:t>OTA</w:t>
            </w:r>
          </w:p>
        </w:tc>
        <w:tc>
          <w:tcPr>
            <w:tcW w:w="5513" w:type="dxa"/>
            <w:shd w:val="clear" w:color="auto" w:fill="auto"/>
          </w:tcPr>
          <w:p w14:paraId="656512B5" w14:textId="77777777" w:rsidR="00B07C69" w:rsidRPr="003E0E7D" w:rsidRDefault="00B07C69" w:rsidP="003E0E7D">
            <w:pPr>
              <w:pStyle w:val="Abbreviations2definition"/>
              <w:spacing w:before="0"/>
            </w:pPr>
            <w:r w:rsidRPr="003E0E7D">
              <w:t>Organ and Tissue Authority</w:t>
            </w:r>
          </w:p>
        </w:tc>
      </w:tr>
      <w:tr w:rsidR="00276C1B" w:rsidRPr="003E0E7D" w14:paraId="2EC8E5A5" w14:textId="77777777" w:rsidTr="003E0E7D">
        <w:tc>
          <w:tcPr>
            <w:tcW w:w="1532" w:type="dxa"/>
            <w:tcBorders>
              <w:right w:val="single" w:sz="48" w:space="0" w:color="FFFFFF"/>
            </w:tcBorders>
            <w:shd w:val="clear" w:color="auto" w:fill="auto"/>
          </w:tcPr>
          <w:p w14:paraId="119D2060" w14:textId="77777777" w:rsidR="003775CE" w:rsidRPr="003E0E7D" w:rsidRDefault="003775CE" w:rsidP="003E0E7D">
            <w:pPr>
              <w:pStyle w:val="Abbreviations1"/>
              <w:spacing w:before="0"/>
            </w:pPr>
            <w:r w:rsidRPr="003E0E7D">
              <w:t>QA</w:t>
            </w:r>
          </w:p>
        </w:tc>
        <w:tc>
          <w:tcPr>
            <w:tcW w:w="5513" w:type="dxa"/>
            <w:shd w:val="clear" w:color="auto" w:fill="auto"/>
          </w:tcPr>
          <w:p w14:paraId="53EFBA3F" w14:textId="77777777" w:rsidR="003775CE" w:rsidRPr="003E0E7D" w:rsidRDefault="003775CE" w:rsidP="003E0E7D">
            <w:pPr>
              <w:pStyle w:val="Abbreviations2definition"/>
              <w:spacing w:before="0"/>
            </w:pPr>
            <w:r w:rsidRPr="003E0E7D">
              <w:t xml:space="preserve">Quality </w:t>
            </w:r>
            <w:r w:rsidR="00DF03A7" w:rsidRPr="003E0E7D">
              <w:t>A</w:t>
            </w:r>
            <w:r w:rsidRPr="003E0E7D">
              <w:t>ssurance</w:t>
            </w:r>
          </w:p>
        </w:tc>
      </w:tr>
      <w:tr w:rsidR="00276C1B" w:rsidRPr="003E0E7D" w14:paraId="5A52235C" w14:textId="77777777" w:rsidTr="003E0E7D">
        <w:tc>
          <w:tcPr>
            <w:tcW w:w="1532" w:type="dxa"/>
            <w:tcBorders>
              <w:right w:val="single" w:sz="48" w:space="0" w:color="FFFFFF"/>
            </w:tcBorders>
            <w:shd w:val="clear" w:color="auto" w:fill="auto"/>
          </w:tcPr>
          <w:p w14:paraId="6C1EADDA" w14:textId="77777777" w:rsidR="003775CE" w:rsidRPr="003E0E7D" w:rsidRDefault="003775CE" w:rsidP="003E0E7D">
            <w:pPr>
              <w:pStyle w:val="Abbreviations1"/>
              <w:spacing w:before="0"/>
            </w:pPr>
            <w:r w:rsidRPr="003E0E7D">
              <w:t>QC</w:t>
            </w:r>
          </w:p>
        </w:tc>
        <w:tc>
          <w:tcPr>
            <w:tcW w:w="5513" w:type="dxa"/>
            <w:shd w:val="clear" w:color="auto" w:fill="auto"/>
          </w:tcPr>
          <w:p w14:paraId="700065E6" w14:textId="77777777" w:rsidR="003775CE" w:rsidRPr="003E0E7D" w:rsidRDefault="003775CE" w:rsidP="003E0E7D">
            <w:pPr>
              <w:pStyle w:val="Abbreviations2definition"/>
              <w:spacing w:before="0"/>
            </w:pPr>
            <w:r w:rsidRPr="003E0E7D">
              <w:t xml:space="preserve">Quality </w:t>
            </w:r>
            <w:r w:rsidR="00DF03A7" w:rsidRPr="003E0E7D">
              <w:t>C</w:t>
            </w:r>
            <w:r w:rsidRPr="003E0E7D">
              <w:t xml:space="preserve">ontrol </w:t>
            </w:r>
          </w:p>
        </w:tc>
      </w:tr>
      <w:tr w:rsidR="00276C1B" w:rsidRPr="003E0E7D" w14:paraId="7A5572AD" w14:textId="77777777" w:rsidTr="003E0E7D">
        <w:tc>
          <w:tcPr>
            <w:tcW w:w="1532" w:type="dxa"/>
            <w:tcBorders>
              <w:right w:val="single" w:sz="48" w:space="0" w:color="FFFFFF"/>
            </w:tcBorders>
            <w:shd w:val="clear" w:color="auto" w:fill="auto"/>
          </w:tcPr>
          <w:p w14:paraId="1C23758A" w14:textId="77777777" w:rsidR="003775CE" w:rsidRPr="003E0E7D" w:rsidRDefault="003775CE" w:rsidP="003E0E7D">
            <w:pPr>
              <w:pStyle w:val="Abbreviations1"/>
              <w:spacing w:before="0"/>
            </w:pPr>
            <w:r w:rsidRPr="003E0E7D">
              <w:t>QMS</w:t>
            </w:r>
          </w:p>
        </w:tc>
        <w:tc>
          <w:tcPr>
            <w:tcW w:w="5513" w:type="dxa"/>
            <w:shd w:val="clear" w:color="auto" w:fill="auto"/>
          </w:tcPr>
          <w:p w14:paraId="1760DEF1" w14:textId="77777777" w:rsidR="003775CE" w:rsidRPr="003E0E7D" w:rsidRDefault="003775CE" w:rsidP="003E0E7D">
            <w:pPr>
              <w:pStyle w:val="Abbreviations2definition"/>
              <w:spacing w:before="0"/>
            </w:pPr>
            <w:r w:rsidRPr="003E0E7D">
              <w:t xml:space="preserve">Quality </w:t>
            </w:r>
            <w:r w:rsidR="00DF03A7" w:rsidRPr="003E0E7D">
              <w:t>M</w:t>
            </w:r>
            <w:r w:rsidRPr="003E0E7D">
              <w:t xml:space="preserve">anagement </w:t>
            </w:r>
            <w:r w:rsidR="00DF03A7" w:rsidRPr="003E0E7D">
              <w:t>S</w:t>
            </w:r>
            <w:r w:rsidRPr="003E0E7D">
              <w:t>ystem</w:t>
            </w:r>
          </w:p>
        </w:tc>
      </w:tr>
      <w:tr w:rsidR="00276C1B" w:rsidRPr="003E0E7D" w14:paraId="2E50DAFA" w14:textId="77777777" w:rsidTr="003E0E7D">
        <w:tc>
          <w:tcPr>
            <w:tcW w:w="1532" w:type="dxa"/>
            <w:tcBorders>
              <w:right w:val="single" w:sz="48" w:space="0" w:color="FFFFFF"/>
            </w:tcBorders>
            <w:shd w:val="clear" w:color="auto" w:fill="auto"/>
          </w:tcPr>
          <w:p w14:paraId="3B1D60B7" w14:textId="77777777" w:rsidR="003775CE" w:rsidRPr="003E0E7D" w:rsidRDefault="003775CE" w:rsidP="003E0E7D">
            <w:pPr>
              <w:pStyle w:val="Abbreviations1"/>
              <w:spacing w:before="0"/>
            </w:pPr>
            <w:r w:rsidRPr="003E0E7D">
              <w:t>RCPA</w:t>
            </w:r>
          </w:p>
        </w:tc>
        <w:tc>
          <w:tcPr>
            <w:tcW w:w="5513" w:type="dxa"/>
            <w:shd w:val="clear" w:color="auto" w:fill="auto"/>
          </w:tcPr>
          <w:p w14:paraId="71142EB5" w14:textId="77777777" w:rsidR="003775CE" w:rsidRPr="003E0E7D" w:rsidRDefault="003775CE" w:rsidP="003E0E7D">
            <w:pPr>
              <w:pStyle w:val="Abbreviations2definition"/>
              <w:spacing w:before="0"/>
            </w:pPr>
            <w:r w:rsidRPr="003E0E7D">
              <w:t>Royal College of Pathologists Australasia</w:t>
            </w:r>
          </w:p>
        </w:tc>
      </w:tr>
      <w:tr w:rsidR="00276C1B" w:rsidRPr="003E0E7D" w14:paraId="735DA2E6" w14:textId="77777777" w:rsidTr="003E0E7D">
        <w:tc>
          <w:tcPr>
            <w:tcW w:w="1532" w:type="dxa"/>
            <w:tcBorders>
              <w:right w:val="single" w:sz="48" w:space="0" w:color="FFFFFF"/>
            </w:tcBorders>
            <w:shd w:val="clear" w:color="auto" w:fill="auto"/>
          </w:tcPr>
          <w:p w14:paraId="6EED8129" w14:textId="77777777" w:rsidR="003775CE" w:rsidRPr="003E0E7D" w:rsidRDefault="003775CE" w:rsidP="003E0E7D">
            <w:pPr>
              <w:pStyle w:val="Abbreviations1"/>
              <w:spacing w:before="0"/>
            </w:pPr>
            <w:r w:rsidRPr="003E0E7D">
              <w:t>RNA</w:t>
            </w:r>
          </w:p>
        </w:tc>
        <w:tc>
          <w:tcPr>
            <w:tcW w:w="5513" w:type="dxa"/>
            <w:shd w:val="clear" w:color="auto" w:fill="auto"/>
          </w:tcPr>
          <w:p w14:paraId="2880E1A8" w14:textId="77777777" w:rsidR="003775CE" w:rsidRPr="003E0E7D" w:rsidRDefault="00DF03A7" w:rsidP="003E0E7D">
            <w:pPr>
              <w:pStyle w:val="Abbreviations2definition"/>
              <w:spacing w:before="0"/>
            </w:pPr>
            <w:r w:rsidRPr="003E0E7D">
              <w:t xml:space="preserve">Ribonucleic </w:t>
            </w:r>
            <w:r w:rsidR="009A44E4" w:rsidRPr="003E0E7D">
              <w:t>a</w:t>
            </w:r>
            <w:r w:rsidRPr="003E0E7D">
              <w:t>cid</w:t>
            </w:r>
          </w:p>
        </w:tc>
      </w:tr>
      <w:tr w:rsidR="00276C1B" w:rsidRPr="003E0E7D" w14:paraId="1792C3CD" w14:textId="77777777" w:rsidTr="003E0E7D">
        <w:tc>
          <w:tcPr>
            <w:tcW w:w="1532" w:type="dxa"/>
            <w:tcBorders>
              <w:right w:val="single" w:sz="48" w:space="0" w:color="FFFFFF"/>
            </w:tcBorders>
            <w:shd w:val="clear" w:color="auto" w:fill="auto"/>
          </w:tcPr>
          <w:p w14:paraId="552A9A2E" w14:textId="77777777" w:rsidR="003775CE" w:rsidRPr="003E0E7D" w:rsidRDefault="003775CE" w:rsidP="003E0E7D">
            <w:pPr>
              <w:pStyle w:val="Abbreviations1"/>
              <w:spacing w:before="0"/>
            </w:pPr>
            <w:r w:rsidRPr="003E0E7D">
              <w:t>TGA</w:t>
            </w:r>
          </w:p>
        </w:tc>
        <w:tc>
          <w:tcPr>
            <w:tcW w:w="5513" w:type="dxa"/>
            <w:shd w:val="clear" w:color="auto" w:fill="auto"/>
          </w:tcPr>
          <w:p w14:paraId="5E69B006" w14:textId="77777777" w:rsidR="003775CE" w:rsidRPr="003E0E7D" w:rsidRDefault="003775CE" w:rsidP="003E0E7D">
            <w:pPr>
              <w:pStyle w:val="Abbreviations2definition"/>
              <w:spacing w:before="0"/>
            </w:pPr>
            <w:r w:rsidRPr="003E0E7D">
              <w:t xml:space="preserve">Therapeutic Goods </w:t>
            </w:r>
            <w:r w:rsidR="00EC72A5" w:rsidRPr="003E0E7D">
              <w:t>Administration</w:t>
            </w:r>
          </w:p>
        </w:tc>
      </w:tr>
      <w:tr w:rsidR="00276C1B" w:rsidRPr="003E0E7D" w14:paraId="1C60494E" w14:textId="77777777" w:rsidTr="003E0E7D">
        <w:tc>
          <w:tcPr>
            <w:tcW w:w="1532" w:type="dxa"/>
            <w:tcBorders>
              <w:right w:val="single" w:sz="48" w:space="0" w:color="FFFFFF"/>
            </w:tcBorders>
            <w:shd w:val="clear" w:color="auto" w:fill="auto"/>
          </w:tcPr>
          <w:p w14:paraId="746E5F58" w14:textId="77777777" w:rsidR="003775CE" w:rsidRPr="003E0E7D" w:rsidRDefault="003775CE" w:rsidP="003E0E7D">
            <w:pPr>
              <w:pStyle w:val="Abbreviations1"/>
              <w:spacing w:before="0"/>
            </w:pPr>
            <w:r w:rsidRPr="003E0E7D">
              <w:t>TGO</w:t>
            </w:r>
          </w:p>
        </w:tc>
        <w:tc>
          <w:tcPr>
            <w:tcW w:w="5513" w:type="dxa"/>
            <w:shd w:val="clear" w:color="auto" w:fill="auto"/>
          </w:tcPr>
          <w:p w14:paraId="494CA4EF" w14:textId="77777777" w:rsidR="003775CE" w:rsidRPr="003E0E7D" w:rsidRDefault="003775CE" w:rsidP="003E0E7D">
            <w:pPr>
              <w:pStyle w:val="Abbreviations2definition"/>
              <w:spacing w:before="0"/>
            </w:pPr>
            <w:r w:rsidRPr="003E0E7D">
              <w:t xml:space="preserve">Therapeutic </w:t>
            </w:r>
            <w:r w:rsidR="00DF03A7" w:rsidRPr="003E0E7D">
              <w:t>G</w:t>
            </w:r>
            <w:r w:rsidRPr="003E0E7D">
              <w:t xml:space="preserve">oods </w:t>
            </w:r>
            <w:r w:rsidR="00DF03A7" w:rsidRPr="003E0E7D">
              <w:t>O</w:t>
            </w:r>
            <w:r w:rsidRPr="003E0E7D">
              <w:t>rder</w:t>
            </w:r>
          </w:p>
        </w:tc>
      </w:tr>
      <w:tr w:rsidR="00276C1B" w:rsidRPr="003E0E7D" w14:paraId="0775C1B8" w14:textId="77777777" w:rsidTr="003E0E7D">
        <w:tc>
          <w:tcPr>
            <w:tcW w:w="1532" w:type="dxa"/>
            <w:tcBorders>
              <w:right w:val="single" w:sz="48" w:space="0" w:color="FFFFFF"/>
            </w:tcBorders>
            <w:shd w:val="clear" w:color="auto" w:fill="auto"/>
          </w:tcPr>
          <w:p w14:paraId="34E8FF11" w14:textId="77777777" w:rsidR="00400FE3" w:rsidRPr="003E0E7D" w:rsidRDefault="00400FE3" w:rsidP="003E0E7D">
            <w:pPr>
              <w:pStyle w:val="Abbreviations1"/>
              <w:spacing w:before="0"/>
            </w:pPr>
            <w:r w:rsidRPr="003E0E7D">
              <w:t>UK</w:t>
            </w:r>
          </w:p>
        </w:tc>
        <w:tc>
          <w:tcPr>
            <w:tcW w:w="5513" w:type="dxa"/>
            <w:shd w:val="clear" w:color="auto" w:fill="auto"/>
          </w:tcPr>
          <w:p w14:paraId="698DFED3" w14:textId="77777777" w:rsidR="00400FE3" w:rsidRPr="003E0E7D" w:rsidRDefault="00400FE3" w:rsidP="003E0E7D">
            <w:pPr>
              <w:pStyle w:val="Abbreviations2definition"/>
              <w:spacing w:before="0"/>
            </w:pPr>
            <w:r w:rsidRPr="003E0E7D">
              <w:t>United Kingdo</w:t>
            </w:r>
            <w:r w:rsidR="00C3250E" w:rsidRPr="003E0E7D">
              <w:t>m</w:t>
            </w:r>
          </w:p>
        </w:tc>
      </w:tr>
      <w:tr w:rsidR="00276C1B" w:rsidRPr="003E0E7D" w14:paraId="6FF7DCC7" w14:textId="77777777" w:rsidTr="003E0E7D">
        <w:tc>
          <w:tcPr>
            <w:tcW w:w="1532" w:type="dxa"/>
            <w:tcBorders>
              <w:right w:val="single" w:sz="48" w:space="0" w:color="FFFFFF"/>
            </w:tcBorders>
            <w:shd w:val="clear" w:color="auto" w:fill="auto"/>
          </w:tcPr>
          <w:p w14:paraId="4B9553E2" w14:textId="77777777" w:rsidR="00A50FBE" w:rsidRPr="003E0E7D" w:rsidRDefault="00A50FBE" w:rsidP="003E0E7D">
            <w:pPr>
              <w:pStyle w:val="Abbreviations1"/>
              <w:spacing w:before="0"/>
            </w:pPr>
            <w:r w:rsidRPr="003E0E7D">
              <w:t>VIDRL</w:t>
            </w:r>
          </w:p>
        </w:tc>
        <w:tc>
          <w:tcPr>
            <w:tcW w:w="5513" w:type="dxa"/>
            <w:shd w:val="clear" w:color="auto" w:fill="auto"/>
          </w:tcPr>
          <w:p w14:paraId="3ABFED1A" w14:textId="77777777" w:rsidR="00A50FBE" w:rsidRPr="003E0E7D" w:rsidRDefault="00A50FBE" w:rsidP="003E0E7D">
            <w:pPr>
              <w:pStyle w:val="Abbreviations2definition"/>
              <w:spacing w:before="0"/>
            </w:pPr>
            <w:r w:rsidRPr="003E0E7D">
              <w:t>Victorian Infectious Diseases Reference Laboratory</w:t>
            </w:r>
          </w:p>
        </w:tc>
      </w:tr>
    </w:tbl>
    <w:p w14:paraId="11D31B62" w14:textId="77777777" w:rsidR="00C04B9C" w:rsidRDefault="00C04B9C" w:rsidP="0049637E">
      <w:pPr>
        <w:pStyle w:val="BodyCopy"/>
      </w:pPr>
    </w:p>
    <w:p w14:paraId="6ACE2F61" w14:textId="77777777" w:rsidR="0049637E" w:rsidRPr="00AD2237" w:rsidRDefault="0049637E" w:rsidP="0049637E">
      <w:pPr>
        <w:pStyle w:val="BodyCopy"/>
        <w:sectPr w:rsidR="0049637E" w:rsidRPr="00AD2237" w:rsidSect="007812AA">
          <w:headerReference w:type="default" r:id="rId14"/>
          <w:footerReference w:type="default" r:id="rId15"/>
          <w:footerReference w:type="first" r:id="rId16"/>
          <w:pgSz w:w="16840" w:h="11901" w:orient="landscape" w:code="9"/>
          <w:pgMar w:top="2268" w:right="1304" w:bottom="850" w:left="737" w:header="567" w:footer="284" w:gutter="0"/>
          <w:pgNumType w:fmt="lowerRoman" w:start="1"/>
          <w:cols w:num="2" w:space="708"/>
          <w:formProt w:val="0"/>
          <w:docGrid w:linePitch="299"/>
        </w:sectPr>
      </w:pPr>
    </w:p>
    <w:p w14:paraId="02FC7F99" w14:textId="77777777" w:rsidR="00C04B9C" w:rsidRDefault="00C04B9C" w:rsidP="0049637E">
      <w:pPr>
        <w:pStyle w:val="BodyCopy"/>
      </w:pPr>
    </w:p>
    <w:p w14:paraId="2BB7BEAA" w14:textId="77777777" w:rsidR="00C04B9C" w:rsidRDefault="00C04B9C" w:rsidP="0049637E">
      <w:pPr>
        <w:pStyle w:val="BodyCopy"/>
        <w:sectPr w:rsidR="00C04B9C" w:rsidSect="00850A9B">
          <w:headerReference w:type="even" r:id="rId17"/>
          <w:headerReference w:type="default" r:id="rId18"/>
          <w:footerReference w:type="default" r:id="rId19"/>
          <w:type w:val="continuous"/>
          <w:pgSz w:w="16840" w:h="11901" w:orient="landscape" w:code="9"/>
          <w:pgMar w:top="2268" w:right="1304" w:bottom="851" w:left="737" w:header="567" w:footer="284" w:gutter="0"/>
          <w:pgNumType w:start="0"/>
          <w:cols w:num="2" w:space="708"/>
          <w:formProt w:val="0"/>
          <w:docGrid w:linePitch="272"/>
        </w:sectPr>
      </w:pPr>
    </w:p>
    <w:tbl>
      <w:tblPr>
        <w:tblpPr w:bottomFromText="794" w:vertAnchor="page" w:horzAnchor="margin" w:tblpX="-169" w:tblpY="698"/>
        <w:tblW w:w="15989"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9"/>
      </w:tblGrid>
      <w:tr w:rsidR="00694524" w:rsidRPr="003E0E7D" w14:paraId="633FDE86" w14:textId="77777777" w:rsidTr="003E0E7D">
        <w:trPr>
          <w:cantSplit/>
          <w:trHeight w:hRule="exact" w:val="1871"/>
        </w:trPr>
        <w:tc>
          <w:tcPr>
            <w:tcW w:w="5000" w:type="pct"/>
            <w:shd w:val="solid" w:color="FFFFFF" w:fill="FFFFFF"/>
            <w:vAlign w:val="bottom"/>
          </w:tcPr>
          <w:p w14:paraId="431A4E6F" w14:textId="77777777" w:rsidR="00694524" w:rsidRPr="003E0E7D" w:rsidRDefault="0076148E" w:rsidP="003E0E7D">
            <w:pPr>
              <w:pStyle w:val="ESHeading1"/>
              <w:framePr w:wrap="auto" w:vAnchor="margin" w:hAnchor="text" w:xAlign="left" w:yAlign="inline"/>
            </w:pPr>
            <w:bookmarkStart w:id="1" w:name="_Toc18664616"/>
            <w:bookmarkStart w:id="2" w:name="_Toc476827398"/>
            <w:r w:rsidRPr="003E0E7D">
              <w:lastRenderedPageBreak/>
              <w:t>Executive summary</w:t>
            </w:r>
            <w:bookmarkEnd w:id="1"/>
          </w:p>
        </w:tc>
      </w:tr>
    </w:tbl>
    <w:p w14:paraId="2448B198" w14:textId="77777777" w:rsidR="0076148E" w:rsidRDefault="0076148E" w:rsidP="0076148E">
      <w:pPr>
        <w:pStyle w:val="BodyCopy"/>
        <w:spacing w:before="0"/>
      </w:pPr>
      <w:bookmarkStart w:id="3" w:name="_Hlk510028136"/>
      <w:r>
        <w:t>The Australian Government Department of Health (the Department) engaged Healthcare Management Advisors (HMA) to:</w:t>
      </w:r>
    </w:p>
    <w:p w14:paraId="13D1D1D0" w14:textId="77777777" w:rsidR="0076148E" w:rsidRDefault="0076148E" w:rsidP="0076148E">
      <w:pPr>
        <w:pStyle w:val="BodyCopyIndented"/>
        <w:rPr>
          <w:highlight w:val="green"/>
        </w:rPr>
      </w:pPr>
      <w:r>
        <w:rPr>
          <w:rStyle w:val="QuoteChar"/>
        </w:rPr>
        <w:t>‘conduct an independent review of Commonwealth funding of services that support the screening and diagnosis of blood borne viruses.’</w:t>
      </w:r>
      <w:r>
        <w:rPr>
          <w:highlight w:val="green"/>
        </w:rPr>
        <w:t xml:space="preserve"> </w:t>
      </w:r>
    </w:p>
    <w:p w14:paraId="736AD7E0" w14:textId="77777777" w:rsidR="0076148E" w:rsidRDefault="00DE1E79" w:rsidP="0076148E">
      <w:pPr>
        <w:pStyle w:val="BodyCopy"/>
      </w:pPr>
      <w:r>
        <w:t>The</w:t>
      </w:r>
      <w:r w:rsidR="0076148E">
        <w:t xml:space="preserve"> Department funds a number of services aimed to support the quality of the Australian blood supply and to help prevent the spread of blood borne viruses</w:t>
      </w:r>
      <w:r w:rsidR="00EC0F82">
        <w:t xml:space="preserve"> (BBVs)</w:t>
      </w:r>
      <w:r w:rsidR="0076148E">
        <w:t xml:space="preserve">. </w:t>
      </w:r>
    </w:p>
    <w:p w14:paraId="64E898DF" w14:textId="77777777" w:rsidR="0076148E" w:rsidRPr="005A1390" w:rsidRDefault="0076148E" w:rsidP="0076148E">
      <w:r>
        <w:t xml:space="preserve">Funded services </w:t>
      </w:r>
      <w:r w:rsidRPr="005A1390">
        <w:t>include:</w:t>
      </w:r>
    </w:p>
    <w:p w14:paraId="4A3D7D73" w14:textId="77777777" w:rsidR="0076148E" w:rsidRPr="005A1390" w:rsidRDefault="0076148E" w:rsidP="000D7A5B">
      <w:pPr>
        <w:pStyle w:val="Bullets1"/>
      </w:pPr>
      <w:r w:rsidRPr="005A1390">
        <w:t xml:space="preserve">a </w:t>
      </w:r>
      <w:r w:rsidR="0028532B" w:rsidRPr="005A1390">
        <w:t xml:space="preserve">Quality Control </w:t>
      </w:r>
      <w:r w:rsidR="0028532B">
        <w:t xml:space="preserve">and </w:t>
      </w:r>
      <w:r w:rsidRPr="005A1390">
        <w:t xml:space="preserve">Quality Assurance (QA) program for </w:t>
      </w:r>
      <w:r w:rsidR="00304F6A">
        <w:t xml:space="preserve">human immunodeficiency virus (HIV) </w:t>
      </w:r>
      <w:r w:rsidRPr="005A1390">
        <w:t xml:space="preserve">and </w:t>
      </w:r>
      <w:r w:rsidR="00304F6A">
        <w:t xml:space="preserve">hepatitis C </w:t>
      </w:r>
      <w:r w:rsidR="0048608F">
        <w:t xml:space="preserve">virus </w:t>
      </w:r>
      <w:r w:rsidR="00304F6A">
        <w:t>(</w:t>
      </w:r>
      <w:r w:rsidRPr="005A1390">
        <w:t>H</w:t>
      </w:r>
      <w:r w:rsidR="00304F6A">
        <w:t>C</w:t>
      </w:r>
      <w:r w:rsidRPr="005A1390">
        <w:t>V</w:t>
      </w:r>
      <w:r w:rsidR="00304F6A">
        <w:t>)</w:t>
      </w:r>
      <w:r w:rsidRPr="005A1390">
        <w:t xml:space="preserve"> tests utilising </w:t>
      </w:r>
      <w:r>
        <w:t xml:space="preserve">Class 4 </w:t>
      </w:r>
      <w:r w:rsidRPr="005A1390">
        <w:t xml:space="preserve">in-vitro </w:t>
      </w:r>
      <w:r>
        <w:t xml:space="preserve">diagnostic </w:t>
      </w:r>
      <w:r w:rsidRPr="005A1390">
        <w:t>devices (</w:t>
      </w:r>
      <w:r>
        <w:t>Class</w:t>
      </w:r>
      <w:r w:rsidR="00304F6A">
        <w:t> </w:t>
      </w:r>
      <w:r>
        <w:t>4</w:t>
      </w:r>
      <w:r w:rsidR="00304F6A">
        <w:t> </w:t>
      </w:r>
      <w:r w:rsidRPr="005A1390">
        <w:t>IVDs)</w:t>
      </w:r>
    </w:p>
    <w:p w14:paraId="340287D5" w14:textId="77777777" w:rsidR="0076148E" w:rsidRPr="005A1390" w:rsidRDefault="0076148E" w:rsidP="000D7A5B">
      <w:pPr>
        <w:pStyle w:val="Bullets1"/>
      </w:pPr>
      <w:r w:rsidRPr="005A1390">
        <w:t xml:space="preserve">a Quality Control (QC) and QA program for the Australian Red Cross Blood Service’s </w:t>
      </w:r>
      <w:r w:rsidR="00827A4F">
        <w:t xml:space="preserve">(ARCBS) </w:t>
      </w:r>
      <w:r w:rsidRPr="005A1390">
        <w:t xml:space="preserve">testing for HIV, HCV and </w:t>
      </w:r>
      <w:r w:rsidR="0048608F">
        <w:t>hepatitis B virus (</w:t>
      </w:r>
      <w:r w:rsidRPr="005A1390">
        <w:t>HBV</w:t>
      </w:r>
      <w:r w:rsidR="0048608F">
        <w:t>)</w:t>
      </w:r>
      <w:r w:rsidRPr="005A1390">
        <w:t xml:space="preserve"> in fresh blood donations</w:t>
      </w:r>
    </w:p>
    <w:p w14:paraId="6021D529" w14:textId="65AA51F8" w:rsidR="0076148E" w:rsidRPr="005A1390" w:rsidRDefault="0076148E" w:rsidP="000D7A5B">
      <w:pPr>
        <w:pStyle w:val="Bullets1"/>
      </w:pPr>
      <w:r w:rsidRPr="005A1390">
        <w:t xml:space="preserve">reference testing on </w:t>
      </w:r>
      <w:r w:rsidR="00661C09">
        <w:t>HIV</w:t>
      </w:r>
      <w:r w:rsidR="0035540A">
        <w:t xml:space="preserve"> and human T-lymphotropic virus (HTLV)</w:t>
      </w:r>
      <w:r w:rsidR="00827A4F">
        <w:t xml:space="preserve"> samples that require an adjudication as to their status (type 1 or type 2)</w:t>
      </w:r>
      <w:r w:rsidR="0035540A">
        <w:t xml:space="preserve"> </w:t>
      </w:r>
      <w:r w:rsidR="00827A4F">
        <w:t xml:space="preserve">and, for the ARCBS only, confirmatory testing on HIV, </w:t>
      </w:r>
      <w:r w:rsidR="0035540A">
        <w:t xml:space="preserve">HCV, </w:t>
      </w:r>
      <w:r w:rsidR="00827A4F">
        <w:t xml:space="preserve">and </w:t>
      </w:r>
      <w:r w:rsidR="0035540A">
        <w:t>HBV</w:t>
      </w:r>
      <w:r w:rsidR="00661C09">
        <w:t xml:space="preserve"> </w:t>
      </w:r>
      <w:r w:rsidRPr="005A1390">
        <w:t>samples that have tested positive, equivocal or indeterminate by routine testing platforms</w:t>
      </w:r>
      <w:r w:rsidR="004E050E">
        <w:t>, and</w:t>
      </w:r>
    </w:p>
    <w:p w14:paraId="0CFB7D7C" w14:textId="77777777" w:rsidR="0076148E" w:rsidRPr="005A1390" w:rsidRDefault="0076148E" w:rsidP="000D7A5B">
      <w:pPr>
        <w:pStyle w:val="Bullets1"/>
      </w:pPr>
      <w:r w:rsidRPr="005A1390">
        <w:t xml:space="preserve">performance monitoring of laboratories through data collection and analysis. </w:t>
      </w:r>
    </w:p>
    <w:p w14:paraId="2709ADA1" w14:textId="77777777" w:rsidR="004E050E" w:rsidRDefault="0076148E" w:rsidP="0076148E">
      <w:pPr>
        <w:pStyle w:val="BodyCopy"/>
      </w:pPr>
      <w:r>
        <w:t xml:space="preserve">The funded services are currently </w:t>
      </w:r>
      <w:r w:rsidR="004E050E">
        <w:t xml:space="preserve">provided by one service provider, the National Serology Reference Laboratory (NRL), and </w:t>
      </w:r>
      <w:r>
        <w:t>used by</w:t>
      </w:r>
      <w:r w:rsidR="004E050E">
        <w:t>:</w:t>
      </w:r>
    </w:p>
    <w:p w14:paraId="3956BA14" w14:textId="77777777" w:rsidR="004E050E" w:rsidRDefault="0076148E" w:rsidP="004E050E">
      <w:pPr>
        <w:pStyle w:val="Bullets1"/>
      </w:pPr>
      <w:r>
        <w:t>self-selecting Australian pathology laboratories to support diagnostic and clinical monitoring services, and</w:t>
      </w:r>
    </w:p>
    <w:p w14:paraId="4F2D5AC5" w14:textId="77777777" w:rsidR="004E050E" w:rsidRDefault="0076148E" w:rsidP="004E050E">
      <w:pPr>
        <w:pStyle w:val="Bullets1"/>
      </w:pPr>
      <w:r>
        <w:t xml:space="preserve">the ARCBS to support tests used for the screening of the Australian blood supply. </w:t>
      </w:r>
    </w:p>
    <w:p w14:paraId="1A0018AD" w14:textId="77777777" w:rsidR="0076148E" w:rsidRDefault="0076148E" w:rsidP="0076148E">
      <w:pPr>
        <w:pStyle w:val="BodyCopy"/>
      </w:pPr>
      <w:r>
        <w:t xml:space="preserve">Funds provided to the NRL for these services total approximately </w:t>
      </w:r>
      <w:r w:rsidR="004E050E">
        <w:rPr>
          <w:rFonts w:ascii="Times New Roman" w:hAnsi="Times New Roman"/>
        </w:rPr>
        <w:t>$</w:t>
      </w:r>
      <w:r>
        <w:t>4.5 million per year. This includes funds to cover NRL administrative costs</w:t>
      </w:r>
      <w:r w:rsidR="004E050E">
        <w:t xml:space="preserve"> for funded services</w:t>
      </w:r>
      <w:r>
        <w:t xml:space="preserve">. </w:t>
      </w:r>
      <w:bookmarkStart w:id="4" w:name="_Hlk510028203"/>
      <w:bookmarkEnd w:id="3"/>
    </w:p>
    <w:p w14:paraId="10BF67E9" w14:textId="6536E838" w:rsidR="003079E0" w:rsidRPr="003E0E7D" w:rsidRDefault="003079E0" w:rsidP="00AD5D23">
      <w:pPr>
        <w:spacing w:line="240" w:lineRule="auto"/>
        <w:rPr>
          <w:rFonts w:cs="Garamond"/>
          <w:szCs w:val="24"/>
        </w:rPr>
      </w:pPr>
      <w:r w:rsidRPr="003E0E7D">
        <w:rPr>
          <w:rFonts w:cs="Garamond"/>
          <w:szCs w:val="24"/>
        </w:rPr>
        <w:t>Blood first became regulated by the T</w:t>
      </w:r>
      <w:r w:rsidR="00304F6A" w:rsidRPr="003E0E7D">
        <w:rPr>
          <w:rFonts w:cs="Garamond"/>
          <w:szCs w:val="24"/>
        </w:rPr>
        <w:t xml:space="preserve">herapeutic </w:t>
      </w:r>
      <w:r w:rsidRPr="003E0E7D">
        <w:rPr>
          <w:rFonts w:cs="Garamond"/>
          <w:szCs w:val="24"/>
        </w:rPr>
        <w:t>G</w:t>
      </w:r>
      <w:r w:rsidR="00304F6A" w:rsidRPr="003E0E7D">
        <w:rPr>
          <w:rFonts w:cs="Garamond"/>
          <w:szCs w:val="24"/>
        </w:rPr>
        <w:t xml:space="preserve">oods </w:t>
      </w:r>
      <w:r w:rsidRPr="003E0E7D">
        <w:rPr>
          <w:rFonts w:cs="Garamond"/>
          <w:szCs w:val="24"/>
        </w:rPr>
        <w:t>A</w:t>
      </w:r>
      <w:r w:rsidR="00304F6A" w:rsidRPr="003E0E7D">
        <w:rPr>
          <w:rFonts w:cs="Garamond"/>
          <w:szCs w:val="24"/>
        </w:rPr>
        <w:t>dministration (TGA)</w:t>
      </w:r>
      <w:r w:rsidRPr="003E0E7D">
        <w:rPr>
          <w:rFonts w:cs="Garamond"/>
          <w:szCs w:val="24"/>
        </w:rPr>
        <w:t xml:space="preserve"> in 2000. </w:t>
      </w:r>
      <w:r w:rsidR="00304F6A" w:rsidRPr="003E0E7D">
        <w:rPr>
          <w:rFonts w:cs="Garamond"/>
          <w:szCs w:val="24"/>
        </w:rPr>
        <w:t>Under these regulations IVDs</w:t>
      </w:r>
      <w:r w:rsidRPr="003E0E7D">
        <w:rPr>
          <w:rFonts w:cs="Garamond"/>
          <w:szCs w:val="24"/>
        </w:rPr>
        <w:t xml:space="preserve"> used t</w:t>
      </w:r>
      <w:r w:rsidR="00304F6A" w:rsidRPr="003E0E7D">
        <w:rPr>
          <w:rFonts w:cs="Garamond"/>
          <w:szCs w:val="24"/>
        </w:rPr>
        <w:t xml:space="preserve">o test for HIV and HCV </w:t>
      </w:r>
      <w:r w:rsidR="000966F8" w:rsidRPr="003E0E7D">
        <w:rPr>
          <w:rFonts w:cs="Garamond"/>
          <w:szCs w:val="24"/>
        </w:rPr>
        <w:t xml:space="preserve">were required </w:t>
      </w:r>
      <w:r w:rsidRPr="003E0E7D">
        <w:rPr>
          <w:rFonts w:cs="Garamond"/>
          <w:szCs w:val="24"/>
        </w:rPr>
        <w:t>to be registered on the Australian Register of Therapeutic Goods (ARTG). At the time, registrat</w:t>
      </w:r>
      <w:r w:rsidR="000966F8" w:rsidRPr="003E0E7D">
        <w:rPr>
          <w:rFonts w:cs="Garamond"/>
          <w:szCs w:val="24"/>
        </w:rPr>
        <w:t>ion of HIV and HCV IVDs entailed</w:t>
      </w:r>
      <w:r w:rsidRPr="003E0E7D">
        <w:rPr>
          <w:rFonts w:cs="Garamond"/>
          <w:szCs w:val="24"/>
        </w:rPr>
        <w:t>:</w:t>
      </w:r>
    </w:p>
    <w:p w14:paraId="1A021EED" w14:textId="77777777" w:rsidR="003079E0" w:rsidRPr="000966F8" w:rsidRDefault="003079E0" w:rsidP="0083660F">
      <w:pPr>
        <w:pStyle w:val="Bullets1"/>
      </w:pPr>
      <w:r w:rsidRPr="000966F8">
        <w:t xml:space="preserve">a pre-market laboratory-based performance evaluation, undertaken by the NRL on behalf of the TGA, and </w:t>
      </w:r>
    </w:p>
    <w:p w14:paraId="5E69364C" w14:textId="77777777" w:rsidR="000966F8" w:rsidRDefault="003079E0" w:rsidP="0083660F">
      <w:pPr>
        <w:pStyle w:val="Bullets1"/>
      </w:pPr>
      <w:r w:rsidRPr="000966F8">
        <w:t>laboratories using the IVDs had to participate in a</w:t>
      </w:r>
      <w:r w:rsidR="0048608F">
        <w:t>n</w:t>
      </w:r>
      <w:r w:rsidRPr="000966F8">
        <w:t xml:space="preserve"> NRL QA program</w:t>
      </w:r>
      <w:r w:rsidR="0048608F">
        <w:t>.</w:t>
      </w:r>
    </w:p>
    <w:p w14:paraId="0554F767" w14:textId="6E008351" w:rsidR="003079E0" w:rsidRPr="000966F8" w:rsidRDefault="000966F8" w:rsidP="0083660F">
      <w:pPr>
        <w:pStyle w:val="BodyCopy"/>
      </w:pPr>
      <w:r>
        <w:t>However, o</w:t>
      </w:r>
      <w:r w:rsidR="003079E0" w:rsidRPr="000966F8">
        <w:t>f particular</w:t>
      </w:r>
      <w:r>
        <w:t xml:space="preserve"> note for this re</w:t>
      </w:r>
      <w:r w:rsidR="003079E0" w:rsidRPr="000966F8">
        <w:t xml:space="preserve">view, a new risk-based regulatory framework was introduced by the TGA in 2010 that significantly changed the role of the NRL in the </w:t>
      </w:r>
      <w:r w:rsidR="005623F2">
        <w:t>TGA’s</w:t>
      </w:r>
      <w:r w:rsidR="005623F2" w:rsidRPr="000966F8">
        <w:t xml:space="preserve"> </w:t>
      </w:r>
      <w:r w:rsidR="003079E0" w:rsidRPr="000966F8">
        <w:t>regulatory process</w:t>
      </w:r>
      <w:r w:rsidR="0048608F">
        <w:t>, as follows</w:t>
      </w:r>
      <w:r w:rsidR="003079E0" w:rsidRPr="000966F8">
        <w:t>:</w:t>
      </w:r>
    </w:p>
    <w:p w14:paraId="27A3CC36" w14:textId="77777777" w:rsidR="003079E0" w:rsidRPr="000966F8" w:rsidRDefault="003079E0" w:rsidP="0083660F">
      <w:pPr>
        <w:pStyle w:val="Bullets1"/>
      </w:pPr>
      <w:r w:rsidRPr="000966F8">
        <w:t>the NRL no longer performs pre-market evaluations for the TGA</w:t>
      </w:r>
      <w:r w:rsidR="0048608F">
        <w:t xml:space="preserve">, and </w:t>
      </w:r>
    </w:p>
    <w:p w14:paraId="51DE0A62" w14:textId="1DF0402E" w:rsidR="003079E0" w:rsidRPr="0035540A" w:rsidRDefault="003079E0" w:rsidP="0083660F">
      <w:pPr>
        <w:pStyle w:val="Bullets1"/>
      </w:pPr>
      <w:r w:rsidRPr="00661C09">
        <w:t>participation in a</w:t>
      </w:r>
      <w:r w:rsidR="0048608F">
        <w:t>n</w:t>
      </w:r>
      <w:r w:rsidRPr="00661C09">
        <w:t xml:space="preserve"> NRL QA program is no longer a requirement</w:t>
      </w:r>
      <w:r w:rsidR="000966F8" w:rsidRPr="00661C09">
        <w:t xml:space="preserve"> for IVD inclusion on the ARTG</w:t>
      </w:r>
      <w:r w:rsidR="00526F41">
        <w:t xml:space="preserve"> a</w:t>
      </w:r>
      <w:r w:rsidR="00D80E58">
        <w:t>nd</w:t>
      </w:r>
      <w:r w:rsidR="005623F2">
        <w:t>, although participation is a QA program is required, users of the IVDs</w:t>
      </w:r>
      <w:r w:rsidR="00D80E58">
        <w:t xml:space="preserve"> are able to select a provider o</w:t>
      </w:r>
      <w:r w:rsidR="00124104">
        <w:t>f</w:t>
      </w:r>
      <w:r w:rsidR="00D80E58">
        <w:t xml:space="preserve"> choice</w:t>
      </w:r>
      <w:r w:rsidR="000966F8" w:rsidRPr="00661C09">
        <w:t>.</w:t>
      </w:r>
    </w:p>
    <w:p w14:paraId="4E41387A" w14:textId="31F7AC9E" w:rsidR="00783C07" w:rsidRDefault="0076148E" w:rsidP="0076148E">
      <w:pPr>
        <w:pStyle w:val="BodyCopy"/>
      </w:pPr>
      <w:r>
        <w:t xml:space="preserve">Australian </w:t>
      </w:r>
      <w:r w:rsidR="0028532B">
        <w:t xml:space="preserve">pathology </w:t>
      </w:r>
      <w:r>
        <w:t xml:space="preserve">laboratories are required to meet relevant national and international standards, including the </w:t>
      </w:r>
      <w:r w:rsidRPr="00B65AC3">
        <w:t>National Pathology Accreditation Advisory Council</w:t>
      </w:r>
      <w:r>
        <w:t xml:space="preserve"> (NPAAC) standards. Adherence to these requirements is assessed under a joint accreditation scheme administered by the </w:t>
      </w:r>
      <w:r w:rsidRPr="00B65AC3">
        <w:t>National Association of Testing Authorities</w:t>
      </w:r>
      <w:r>
        <w:t xml:space="preserve"> (NATA)</w:t>
      </w:r>
      <w:r w:rsidR="00C04B9C">
        <w:t xml:space="preserve"> </w:t>
      </w:r>
      <w:r>
        <w:t xml:space="preserve">and the Royal College of Australian Pathologists (RCPA). In relation to the in-scope services, this means pathology laboratories must have </w:t>
      </w:r>
      <w:r w:rsidR="00AE141F">
        <w:t>QC</w:t>
      </w:r>
      <w:r>
        <w:t xml:space="preserve"> materials from third party providers and participate in external quality assurance programs that enable inter</w:t>
      </w:r>
      <w:r w:rsidR="00DE1E79">
        <w:t>-</w:t>
      </w:r>
      <w:r>
        <w:t xml:space="preserve">laboratory comparison of results. </w:t>
      </w:r>
    </w:p>
    <w:p w14:paraId="37208939" w14:textId="58FA4D0A" w:rsidR="0076148E" w:rsidRDefault="00783C07" w:rsidP="0076148E">
      <w:pPr>
        <w:pStyle w:val="BodyCopy"/>
      </w:pPr>
      <w:r>
        <w:t xml:space="preserve">The </w:t>
      </w:r>
      <w:r w:rsidR="0076148E">
        <w:t>ARCBS is required to adhere to the QA and QC requirements under the TGA Australian Code of Good Manufacturing Practice (</w:t>
      </w:r>
      <w:r w:rsidR="00BC3EAB">
        <w:t xml:space="preserve">the </w:t>
      </w:r>
      <w:r w:rsidR="00EE06E9">
        <w:t>Code</w:t>
      </w:r>
      <w:r w:rsidR="0076148E">
        <w:t>) and Therapeutic Goods Order (TGO) 88</w:t>
      </w:r>
      <w:r w:rsidR="00BC3EAB">
        <w:t xml:space="preserve"> (the Order)</w:t>
      </w:r>
      <w:r w:rsidR="0076148E">
        <w:t>.</w:t>
      </w:r>
    </w:p>
    <w:p w14:paraId="763D0E92" w14:textId="77777777" w:rsidR="00D515A0" w:rsidRDefault="0076148E" w:rsidP="00D515A0">
      <w:pPr>
        <w:pStyle w:val="BodyCopy"/>
      </w:pPr>
      <w:r>
        <w:t>All four laboratories of the ARCBS use the in-scope NRL services. An estimated 90</w:t>
      </w:r>
      <w:r w:rsidR="00C04B9C">
        <w:t xml:space="preserve"> per cent </w:t>
      </w:r>
      <w:r>
        <w:t>or more of eligible pathology laboratories (67</w:t>
      </w:r>
      <w:r w:rsidR="00C04B9C">
        <w:t>–</w:t>
      </w:r>
      <w:r w:rsidR="00AE6A34">
        <w:t>70</w:t>
      </w:r>
      <w:r>
        <w:t xml:space="preserve"> of 74, based on NATA </w:t>
      </w:r>
      <w:r>
        <w:lastRenderedPageBreak/>
        <w:t>accreditation) use one or more in-scope NRL services</w:t>
      </w:r>
      <w:r w:rsidR="00AE6A34">
        <w:t xml:space="preserve"> (approximately 45</w:t>
      </w:r>
      <w:r w:rsidR="00C04B9C">
        <w:t xml:space="preserve"> per cent</w:t>
      </w:r>
      <w:r w:rsidR="00AE6A34">
        <w:t xml:space="preserve"> of eligible laboratories using at least one NRL service were privately owned pathology laboratories)</w:t>
      </w:r>
      <w:r>
        <w:t xml:space="preserve">. </w:t>
      </w:r>
      <w:r w:rsidR="00D515A0">
        <w:t xml:space="preserve">All in-scope services are provided free of charge to recipient laboratories. Where the in-scope pathogens are provided in a multi-marker mix, recipient laboratories are required to pay a fee for out-of-scope pathogens included in the mix. </w:t>
      </w:r>
    </w:p>
    <w:p w14:paraId="1F64E017" w14:textId="5F7E8624" w:rsidR="0076148E" w:rsidRDefault="00E42157" w:rsidP="0076148E">
      <w:pPr>
        <w:pStyle w:val="BodyCopy"/>
      </w:pPr>
      <w:r>
        <w:t>L</w:t>
      </w:r>
      <w:r w:rsidR="0076148E">
        <w:t xml:space="preserve">aboratories using the funded services were surveyed to assess the use and current market for the funded services, including service use, factors influencing service uptake, cost comparisons, and identification of alternative providers. </w:t>
      </w:r>
    </w:p>
    <w:p w14:paraId="7BF59F4E" w14:textId="784B7D90" w:rsidR="0076148E" w:rsidRDefault="00E42157" w:rsidP="0076148E">
      <w:pPr>
        <w:pStyle w:val="BodyCopy"/>
      </w:pPr>
      <w:r>
        <w:t xml:space="preserve">Of the survey respondents, ability </w:t>
      </w:r>
      <w:r w:rsidR="0076148E">
        <w:t xml:space="preserve">to meet regulatory requirements was the most important factor influencing choice of provider for both the ARCBS and the </w:t>
      </w:r>
      <w:r>
        <w:t xml:space="preserve">pathology laboratories utilising the </w:t>
      </w:r>
      <w:r w:rsidR="002F7CDE">
        <w:t xml:space="preserve">funded </w:t>
      </w:r>
      <w:r>
        <w:t xml:space="preserve">services (hereafter referred to as </w:t>
      </w:r>
      <w:r w:rsidR="0076148E">
        <w:t>participating laboratories</w:t>
      </w:r>
      <w:r>
        <w:t>)</w:t>
      </w:r>
      <w:r w:rsidR="0076148E">
        <w:t xml:space="preserve">. </w:t>
      </w:r>
      <w:r w:rsidR="003079E0">
        <w:t xml:space="preserve">Of note, the </w:t>
      </w:r>
      <w:r w:rsidR="00903DD0">
        <w:t xml:space="preserve">survey </w:t>
      </w:r>
      <w:r w:rsidR="00903DD0" w:rsidRPr="00903DD0">
        <w:t xml:space="preserve">questions did not allow for delineation of which </w:t>
      </w:r>
      <w:r w:rsidR="0025004A">
        <w:t>‘</w:t>
      </w:r>
      <w:r w:rsidR="00903DD0" w:rsidRPr="00903DD0">
        <w:t>regulations</w:t>
      </w:r>
      <w:r w:rsidR="0025004A">
        <w:t>’</w:t>
      </w:r>
      <w:r w:rsidR="00903DD0" w:rsidRPr="00903DD0">
        <w:t xml:space="preserve"> the laboratories were aiming to meet by using the services</w:t>
      </w:r>
      <w:r w:rsidR="0025004A">
        <w:t>.</w:t>
      </w:r>
      <w:r w:rsidR="00903DD0">
        <w:t xml:space="preserve"> </w:t>
      </w:r>
      <w:r w:rsidR="0025004A">
        <w:t xml:space="preserve">Therefore, </w:t>
      </w:r>
      <w:r w:rsidR="00903DD0">
        <w:t xml:space="preserve">it is </w:t>
      </w:r>
      <w:r w:rsidR="00903DD0" w:rsidRPr="00903DD0">
        <w:t>unclear whether the ‘r</w:t>
      </w:r>
      <w:r w:rsidR="00BD6187">
        <w:t xml:space="preserve">egulatory requirements’ referred to </w:t>
      </w:r>
      <w:r w:rsidR="003B1A87">
        <w:t xml:space="preserve">are those under the </w:t>
      </w:r>
      <w:r w:rsidR="00EE06E9">
        <w:t>Code</w:t>
      </w:r>
      <w:r w:rsidR="003B1A87">
        <w:t xml:space="preserve"> </w:t>
      </w:r>
      <w:r w:rsidR="00BD6187">
        <w:t xml:space="preserve">and/or </w:t>
      </w:r>
      <w:r w:rsidR="00903DD0" w:rsidRPr="00903DD0">
        <w:t>NPAAC</w:t>
      </w:r>
      <w:r w:rsidR="00BD6187">
        <w:t xml:space="preserve"> standards</w:t>
      </w:r>
      <w:r w:rsidR="003B1A87">
        <w:t>,</w:t>
      </w:r>
      <w:r w:rsidR="00903DD0" w:rsidRPr="00903DD0">
        <w:t xml:space="preserve"> or if some laboratories remain unaware of the changes under the new IVD regulatory framework</w:t>
      </w:r>
      <w:r w:rsidR="0025004A">
        <w:t xml:space="preserve">. </w:t>
      </w:r>
      <w:r w:rsidR="0076148E">
        <w:t>Testing platforms available were also factors for the ARCBS, whereas reliability and cost influenced provider choice for participating lab</w:t>
      </w:r>
      <w:r w:rsidR="00526F41">
        <w:t>oratorie</w:t>
      </w:r>
      <w:r w:rsidR="0076148E">
        <w:t>s.</w:t>
      </w:r>
    </w:p>
    <w:p w14:paraId="18ED6215" w14:textId="77777777" w:rsidR="0076148E" w:rsidRDefault="0076148E" w:rsidP="0076148E">
      <w:pPr>
        <w:pStyle w:val="BodyCopy"/>
      </w:pPr>
      <w:r>
        <w:t>The current availability of other service providers to provide the in-scope services is represented in Figure ES1. In summary:</w:t>
      </w:r>
    </w:p>
    <w:p w14:paraId="65D88516" w14:textId="77777777" w:rsidR="0076148E" w:rsidRDefault="0076148E" w:rsidP="0076148E">
      <w:pPr>
        <w:pStyle w:val="Bullets1"/>
        <w:numPr>
          <w:ilvl w:val="0"/>
          <w:numId w:val="2"/>
        </w:numPr>
        <w:tabs>
          <w:tab w:val="clear" w:pos="312"/>
          <w:tab w:val="num" w:pos="170"/>
        </w:tabs>
        <w:ind w:left="170"/>
      </w:pPr>
      <w:r>
        <w:t xml:space="preserve">there </w:t>
      </w:r>
      <w:r w:rsidR="0098766B">
        <w:t xml:space="preserve">are two other providers of all in-scope materials (SeraCare and Thermo Fisher), and one service provider for HBV QC </w:t>
      </w:r>
      <w:r>
        <w:t>materials</w:t>
      </w:r>
      <w:r w:rsidR="0098766B">
        <w:t xml:space="preserve"> (BioRad)</w:t>
      </w:r>
      <w:r>
        <w:t xml:space="preserve">, but the extent of inter-laboratory comparison </w:t>
      </w:r>
      <w:r w:rsidR="0098766B">
        <w:t xml:space="preserve">of these service providers </w:t>
      </w:r>
      <w:r>
        <w:t>is unknown</w:t>
      </w:r>
    </w:p>
    <w:p w14:paraId="3E768571" w14:textId="77777777" w:rsidR="0076148E" w:rsidRDefault="0076148E" w:rsidP="0076148E">
      <w:pPr>
        <w:pStyle w:val="Bullets1"/>
        <w:numPr>
          <w:ilvl w:val="0"/>
          <w:numId w:val="2"/>
        </w:numPr>
        <w:tabs>
          <w:tab w:val="clear" w:pos="312"/>
          <w:tab w:val="num" w:pos="170"/>
        </w:tabs>
        <w:ind w:left="170"/>
      </w:pPr>
      <w:r>
        <w:t>there is one other service provider for external quality assurance programs</w:t>
      </w:r>
      <w:r w:rsidR="0098766B">
        <w:t xml:space="preserve"> (RCPA)</w:t>
      </w:r>
      <w:r>
        <w:t>, but the capacity to increase volume of services is unknown</w:t>
      </w:r>
    </w:p>
    <w:p w14:paraId="63EA21D5" w14:textId="77777777" w:rsidR="0076148E" w:rsidRDefault="0076148E" w:rsidP="0076148E">
      <w:pPr>
        <w:pStyle w:val="Bullets1"/>
        <w:numPr>
          <w:ilvl w:val="0"/>
          <w:numId w:val="2"/>
        </w:numPr>
        <w:tabs>
          <w:tab w:val="clear" w:pos="312"/>
          <w:tab w:val="num" w:pos="170"/>
        </w:tabs>
        <w:ind w:left="170"/>
      </w:pPr>
      <w:r>
        <w:t>many pathology laboratories and most public reference laboratories are able to undertake confirmatory testing for the in-scope pathogens, but their capacity to increase volumes is unknown</w:t>
      </w:r>
    </w:p>
    <w:p w14:paraId="2820C3CB" w14:textId="22B10DA7" w:rsidR="0076148E" w:rsidRDefault="0076148E" w:rsidP="0076148E">
      <w:pPr>
        <w:pStyle w:val="Bullets1"/>
        <w:numPr>
          <w:ilvl w:val="0"/>
          <w:numId w:val="2"/>
        </w:numPr>
        <w:tabs>
          <w:tab w:val="clear" w:pos="312"/>
          <w:tab w:val="num" w:pos="170"/>
        </w:tabs>
        <w:ind w:left="170"/>
      </w:pPr>
      <w:r>
        <w:t xml:space="preserve">NRL is the only known provider of HIV and HTLV </w:t>
      </w:r>
      <w:r w:rsidR="00745E50">
        <w:t xml:space="preserve">reference </w:t>
      </w:r>
      <w:r w:rsidR="00364AF5">
        <w:t xml:space="preserve">testing </w:t>
      </w:r>
      <w:r w:rsidR="00745E50">
        <w:t>(</w:t>
      </w:r>
      <w:r>
        <w:t>adjudication</w:t>
      </w:r>
      <w:r w:rsidR="00745E50">
        <w:t>)</w:t>
      </w:r>
      <w:r>
        <w:t xml:space="preserve"> in Australia.</w:t>
      </w:r>
    </w:p>
    <w:p w14:paraId="0C040D4E" w14:textId="77777777" w:rsidR="0076148E" w:rsidRPr="006B6DB4" w:rsidRDefault="0076148E" w:rsidP="0076148E">
      <w:pPr>
        <w:pStyle w:val="Caption"/>
        <w:rPr>
          <w:rStyle w:val="Captionnotbold"/>
        </w:rPr>
      </w:pPr>
      <w:r>
        <w:t xml:space="preserve">Figure ES1: </w:t>
      </w:r>
      <w:r w:rsidRPr="006B6DB4">
        <w:rPr>
          <w:rStyle w:val="Captionnotbold"/>
        </w:rPr>
        <w:t>Summary of market capacity</w:t>
      </w:r>
    </w:p>
    <w:p w14:paraId="127F128D" w14:textId="6E7DE513" w:rsidR="0076148E" w:rsidRDefault="002A5BB9" w:rsidP="00A97D11">
      <w:pPr>
        <w:pStyle w:val="BodyCopy"/>
        <w:jc w:val="center"/>
      </w:pPr>
      <w:r w:rsidRPr="002A5BB9">
        <w:rPr>
          <w:noProof/>
          <w:lang w:eastAsia="en-AU"/>
        </w:rPr>
        <w:drawing>
          <wp:inline distT="0" distB="0" distL="0" distR="0" wp14:anchorId="2CD2D7E6" wp14:editId="568864CA">
            <wp:extent cx="3820200" cy="2898775"/>
            <wp:effectExtent l="0" t="0" r="8890" b="0"/>
            <wp:docPr id="85" name="Picture 85" title="Figure 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199" cy="2900292"/>
                    </a:xfrm>
                    <a:prstGeom prst="rect">
                      <a:avLst/>
                    </a:prstGeom>
                    <a:noFill/>
                    <a:ln>
                      <a:noFill/>
                    </a:ln>
                  </pic:spPr>
                </pic:pic>
              </a:graphicData>
            </a:graphic>
          </wp:inline>
        </w:drawing>
      </w:r>
    </w:p>
    <w:p w14:paraId="2FF75AF4" w14:textId="77777777" w:rsidR="00CC1EF7" w:rsidRDefault="0076148E" w:rsidP="0076148E">
      <w:pPr>
        <w:pStyle w:val="BodyCopy"/>
        <w:keepNext/>
      </w:pPr>
      <w:r>
        <w:t xml:space="preserve">The currency, effectiveness and appropriateness of the current Australian Government funding of the services was assessed in consideration of the information gathered in this review and with reference to the funding objective of ensuring the quality of the Australian blood supply. </w:t>
      </w:r>
    </w:p>
    <w:p w14:paraId="3F69112A" w14:textId="2F157F48" w:rsidR="006D1442" w:rsidRDefault="0028532B" w:rsidP="0076148E">
      <w:pPr>
        <w:pStyle w:val="BodyCopy"/>
        <w:keepNext/>
      </w:pPr>
      <w:r>
        <w:t xml:space="preserve">Historically, the funding of the in-scope services </w:t>
      </w:r>
      <w:r w:rsidR="0076148E">
        <w:t>support</w:t>
      </w:r>
      <w:r w:rsidR="00E42157">
        <w:t>ed the ARCBS and</w:t>
      </w:r>
      <w:r w:rsidR="0076148E">
        <w:t xml:space="preserve"> pathology laboratories </w:t>
      </w:r>
      <w:r>
        <w:t>to</w:t>
      </w:r>
      <w:r w:rsidR="0076148E">
        <w:t xml:space="preserve"> meet regulatory and accreditation requirements for Class 4 IVDs used to detect BBVs. </w:t>
      </w:r>
      <w:r w:rsidR="00CC1EF7">
        <w:t xml:space="preserve">However, </w:t>
      </w:r>
      <w:r w:rsidR="0076148E">
        <w:t xml:space="preserve">funding NRL to provide these services does not reflect regulatory changes introduced in 2010 that removed the regulatory requirement for laboratories using IVDs to participate in NRL QA programs. Funding of services used by the ARCBS is effective in meeting the funding objective of ensuring the quality of the Australian blood supply. Funding of services used by participating laboratories, i.e. non-ARCBS, supports those laboratories to meet </w:t>
      </w:r>
      <w:r w:rsidR="0076148E">
        <w:lastRenderedPageBreak/>
        <w:t xml:space="preserve">regulatory and accreditation requirements but does not make a meaningful contribution to achieving the funding objective. </w:t>
      </w:r>
    </w:p>
    <w:p w14:paraId="3CC45FE2" w14:textId="6EE283AA" w:rsidR="00F03CE6" w:rsidRDefault="0076148E" w:rsidP="0076148E">
      <w:pPr>
        <w:pStyle w:val="BodyCopy"/>
        <w:keepNext/>
      </w:pPr>
      <w:r>
        <w:t xml:space="preserve">It is appropriate that the Australian Government funds services used by the ARCBS but, as ensuring the quality of ARCBS processes is an important component of the National Blood Agreement, funding for these services would more appropriately be </w:t>
      </w:r>
      <w:r w:rsidR="00396226">
        <w:t>p</w:t>
      </w:r>
      <w:r>
        <w:t xml:space="preserve">rovided under the national blood </w:t>
      </w:r>
      <w:r w:rsidR="00745E50">
        <w:t>agreement</w:t>
      </w:r>
      <w:r>
        <w:t xml:space="preserve">. Under this agreement, funding is a joint responsibility of the national and jurisdictional governments. </w:t>
      </w:r>
    </w:p>
    <w:p w14:paraId="549F42F5" w14:textId="0AB192CA" w:rsidR="0076148E" w:rsidRDefault="0076148E" w:rsidP="0076148E">
      <w:pPr>
        <w:pStyle w:val="BodyCopy"/>
        <w:keepNext/>
      </w:pPr>
      <w:r>
        <w:t>Funding of services used by participating laboratories may not be appropriate under th</w:t>
      </w:r>
      <w:r w:rsidR="00F03CE6">
        <w:t xml:space="preserve">e current </w:t>
      </w:r>
      <w:r>
        <w:t xml:space="preserve">funding arrangement as it does not clearly align with the funding </w:t>
      </w:r>
      <w:r>
        <w:t>objective. Decisions on future funding may need to consider whether these services contribute to any other Australian Government objectives or priorities. The impact of funding changes to market capacity and service delivery should be a part of any funding considerations.</w:t>
      </w:r>
    </w:p>
    <w:bookmarkEnd w:id="4"/>
    <w:p w14:paraId="6712CC6B" w14:textId="66975106" w:rsidR="00010F58" w:rsidRDefault="00010F58" w:rsidP="00010F58">
      <w:pPr>
        <w:pStyle w:val="BodyCopy"/>
      </w:pPr>
    </w:p>
    <w:p w14:paraId="560C381B" w14:textId="32CCE2F3" w:rsidR="00396226" w:rsidRPr="00396226" w:rsidRDefault="00B95F11" w:rsidP="00010F58">
      <w:pPr>
        <w:pStyle w:val="BodyCopy"/>
        <w:rPr>
          <w:color w:val="FF0000"/>
        </w:rPr>
        <w:sectPr w:rsidR="00396226" w:rsidRPr="00396226" w:rsidSect="004459AB">
          <w:headerReference w:type="default" r:id="rId21"/>
          <w:footerReference w:type="default" r:id="rId22"/>
          <w:pgSz w:w="16839" w:h="11907" w:orient="landscape" w:code="9"/>
          <w:pgMar w:top="2268" w:right="1304" w:bottom="850" w:left="737" w:header="567" w:footer="284" w:gutter="0"/>
          <w:cols w:num="2" w:space="709"/>
          <w:docGrid w:linePitch="360"/>
        </w:sectPr>
      </w:pPr>
      <w:r>
        <w:rPr>
          <w:color w:val="FF0000"/>
        </w:rPr>
        <w:t>Paragraph regarding future funding o</w:t>
      </w:r>
      <w:r w:rsidR="00396226" w:rsidRPr="00396226">
        <w:rPr>
          <w:color w:val="FF0000"/>
        </w:rPr>
        <w:t xml:space="preserve">ptions </w:t>
      </w:r>
      <w:r>
        <w:rPr>
          <w:color w:val="FF0000"/>
        </w:rPr>
        <w:t xml:space="preserve">has been </w:t>
      </w:r>
      <w:r w:rsidR="00396226" w:rsidRPr="00396226">
        <w:rPr>
          <w:color w:val="FF0000"/>
        </w:rPr>
        <w:t>redacted</w:t>
      </w:r>
      <w:r>
        <w:rPr>
          <w:color w:val="FF0000"/>
        </w:rPr>
        <w:t>.</w:t>
      </w:r>
    </w:p>
    <w:p w14:paraId="573918EF" w14:textId="77777777" w:rsidR="00010F58" w:rsidRDefault="00010F58" w:rsidP="00010F58">
      <w:pPr>
        <w:pStyle w:val="BodyCopy"/>
      </w:pPr>
    </w:p>
    <w:p w14:paraId="447E7086" w14:textId="77777777" w:rsidR="00010F58" w:rsidRDefault="00010F58" w:rsidP="00010F58">
      <w:pPr>
        <w:pStyle w:val="BodyCopy"/>
      </w:pPr>
    </w:p>
    <w:p w14:paraId="41AFAD81" w14:textId="77777777" w:rsidR="00010F58" w:rsidRDefault="00010F58" w:rsidP="00010F58">
      <w:pPr>
        <w:pStyle w:val="BodyCopy"/>
        <w:sectPr w:rsidR="00010F58" w:rsidSect="00010F58">
          <w:type w:val="continuous"/>
          <w:pgSz w:w="16839" w:h="11907" w:orient="landscape" w:code="9"/>
          <w:pgMar w:top="2268" w:right="1304" w:bottom="850" w:left="737" w:header="567" w:footer="284" w:gutter="0"/>
          <w:cols w:num="2" w:space="709"/>
          <w:docGrid w:linePitch="360"/>
        </w:sectPr>
      </w:pP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76148E" w:rsidRPr="003E0E7D" w14:paraId="15FDEE6F" w14:textId="77777777" w:rsidTr="003E0E7D">
        <w:trPr>
          <w:cantSplit/>
          <w:trHeight w:hRule="exact" w:val="1871"/>
        </w:trPr>
        <w:tc>
          <w:tcPr>
            <w:tcW w:w="5000" w:type="pct"/>
            <w:shd w:val="solid" w:color="FFFFFF" w:fill="FFFFFF"/>
            <w:vAlign w:val="bottom"/>
          </w:tcPr>
          <w:p w14:paraId="0BA00C20" w14:textId="77777777" w:rsidR="0076148E" w:rsidRPr="003E0E7D" w:rsidRDefault="00923E15" w:rsidP="003E0E7D">
            <w:pPr>
              <w:pStyle w:val="Heading1"/>
              <w:numPr>
                <w:ilvl w:val="0"/>
                <w:numId w:val="1"/>
              </w:numPr>
            </w:pPr>
            <w:bookmarkStart w:id="5" w:name="_Toc18664617"/>
            <w:r w:rsidRPr="003E0E7D">
              <w:lastRenderedPageBreak/>
              <w:t>Introduction</w:t>
            </w:r>
            <w:bookmarkEnd w:id="5"/>
          </w:p>
        </w:tc>
      </w:tr>
    </w:tbl>
    <w:p w14:paraId="49B0E4C0" w14:textId="77777777" w:rsidR="000A31B6" w:rsidRDefault="000A31B6" w:rsidP="00694524">
      <w:pPr>
        <w:pStyle w:val="BodyCopy"/>
      </w:pPr>
      <w:r>
        <w:t>The Australian Government Department of Health (the Department) has engaged Healthcare Management Advisors (HMA) to:</w:t>
      </w:r>
    </w:p>
    <w:p w14:paraId="22447E15" w14:textId="77777777" w:rsidR="000A31B6" w:rsidRDefault="000A31B6" w:rsidP="000A31B6">
      <w:pPr>
        <w:pStyle w:val="BodyCopyIndented"/>
        <w:rPr>
          <w:highlight w:val="green"/>
        </w:rPr>
      </w:pPr>
      <w:r>
        <w:rPr>
          <w:rStyle w:val="QuoteChar"/>
        </w:rPr>
        <w:t>‘conduct an independent review of Commonwealth funding of services that support the diagnosis</w:t>
      </w:r>
      <w:r w:rsidDel="003222CE">
        <w:rPr>
          <w:rStyle w:val="QuoteChar"/>
        </w:rPr>
        <w:t xml:space="preserve"> </w:t>
      </w:r>
      <w:r>
        <w:rPr>
          <w:rStyle w:val="QuoteChar"/>
        </w:rPr>
        <w:t>and screening of blood borne viruses.’</w:t>
      </w:r>
      <w:r>
        <w:rPr>
          <w:highlight w:val="green"/>
        </w:rPr>
        <w:t xml:space="preserve"> </w:t>
      </w:r>
    </w:p>
    <w:p w14:paraId="38A5A76C" w14:textId="44119190" w:rsidR="000A31B6" w:rsidRDefault="00F06E5C" w:rsidP="000A31B6">
      <w:pPr>
        <w:pStyle w:val="BodyCopy"/>
      </w:pPr>
      <w:r w:rsidRPr="006A46D9">
        <w:t>T</w:t>
      </w:r>
      <w:r w:rsidR="000A31B6" w:rsidRPr="006A46D9">
        <w:t xml:space="preserve">he Department </w:t>
      </w:r>
      <w:r w:rsidR="00070A9A" w:rsidRPr="006A46D9">
        <w:t>funds a number of services</w:t>
      </w:r>
      <w:r w:rsidR="000A31B6" w:rsidRPr="006A46D9">
        <w:t xml:space="preserve"> to </w:t>
      </w:r>
      <w:r w:rsidR="00C6309C" w:rsidRPr="006A46D9">
        <w:t>support</w:t>
      </w:r>
      <w:r w:rsidR="000A31B6" w:rsidRPr="006A46D9">
        <w:t xml:space="preserve"> the quality of the Australian blood supply and to prevent the spread of blood borne viruses</w:t>
      </w:r>
      <w:r w:rsidR="00F03CE6">
        <w:t xml:space="preserve"> (BBVs)</w:t>
      </w:r>
      <w:r w:rsidR="000A31B6" w:rsidRPr="006A46D9">
        <w:t xml:space="preserve">. </w:t>
      </w:r>
      <w:r w:rsidRPr="006A46D9">
        <w:t>The funding agreement is managed by the Department’s Office of Health Protection (OHP).</w:t>
      </w:r>
    </w:p>
    <w:p w14:paraId="230251F0" w14:textId="77777777" w:rsidR="000A31B6" w:rsidRDefault="000A31B6" w:rsidP="00BB7895">
      <w:pPr>
        <w:pStyle w:val="Heading2"/>
      </w:pPr>
      <w:bookmarkStart w:id="6" w:name="_Toc505783249"/>
      <w:bookmarkStart w:id="7" w:name="_Toc18664618"/>
      <w:r>
        <w:t>Scope of the review</w:t>
      </w:r>
      <w:bookmarkEnd w:id="6"/>
      <w:bookmarkEnd w:id="7"/>
      <w:r>
        <w:t xml:space="preserve"> </w:t>
      </w:r>
    </w:p>
    <w:p w14:paraId="2B0E35A3" w14:textId="77777777" w:rsidR="00B26346" w:rsidRDefault="000A31B6" w:rsidP="006A46D9">
      <w:pPr>
        <w:pStyle w:val="Numbers1"/>
        <w:numPr>
          <w:ilvl w:val="0"/>
          <w:numId w:val="0"/>
        </w:numPr>
        <w:spacing w:after="120"/>
      </w:pPr>
      <w:bookmarkStart w:id="8" w:name="_Toc476827399"/>
      <w:bookmarkEnd w:id="2"/>
      <w:r>
        <w:t xml:space="preserve">This review </w:t>
      </w:r>
      <w:r w:rsidR="00B11E28">
        <w:t>centred</w:t>
      </w:r>
      <w:r>
        <w:t xml:space="preserve"> on Commonwealt</w:t>
      </w:r>
      <w:r w:rsidR="00D36FE8">
        <w:t xml:space="preserve">h funding of services </w:t>
      </w:r>
      <w:r>
        <w:t>provided by the National Serology Reference Laboratory (NRL)</w:t>
      </w:r>
      <w:r w:rsidR="007D2A89">
        <w:t>. Funding is</w:t>
      </w:r>
      <w:r w:rsidR="00044CC4">
        <w:t xml:space="preserve"> through a funding agreement between NRL host organisation,</w:t>
      </w:r>
      <w:r w:rsidR="007D2A89">
        <w:t xml:space="preserve"> </w:t>
      </w:r>
      <w:r w:rsidR="00B11E28">
        <w:t xml:space="preserve">St Vincent’s Institute of Medical </w:t>
      </w:r>
      <w:r w:rsidR="007D2A89">
        <w:t xml:space="preserve">Research, and the Australian Government as represented by the Department. </w:t>
      </w:r>
      <w:r>
        <w:t xml:space="preserve">The </w:t>
      </w:r>
      <w:r w:rsidR="00283769">
        <w:t xml:space="preserve">in-scope </w:t>
      </w:r>
      <w:r>
        <w:t>funded services relate to the use of in-vitro diagnostic devices (IVD) to test for BBV</w:t>
      </w:r>
      <w:r w:rsidR="00F03CE6">
        <w:t>s</w:t>
      </w:r>
      <w:r>
        <w:t xml:space="preserve">, namely human immunodeficiency virus (HIV), hepatitis B virus (HBV), hepatitis C virus (HCV) and human T-lymphotropic virus (HTLV). </w:t>
      </w:r>
      <w:r w:rsidR="00044CC4">
        <w:t>Funding arrangements for other relevant or similar services, such as the National Blood A</w:t>
      </w:r>
      <w:r w:rsidR="00CC1EF7">
        <w:t>uthority</w:t>
      </w:r>
      <w:r w:rsidR="00F03CE6">
        <w:t xml:space="preserve"> (NBA)</w:t>
      </w:r>
      <w:r w:rsidR="00044CC4">
        <w:t>,</w:t>
      </w:r>
      <w:r w:rsidR="007D2A89">
        <w:t xml:space="preserve"> were considered as part of</w:t>
      </w:r>
      <w:r w:rsidR="00044CC4">
        <w:t xml:space="preserve"> this review</w:t>
      </w:r>
      <w:r w:rsidR="00D515A0">
        <w:t>. H</w:t>
      </w:r>
      <w:r w:rsidR="00044CC4">
        <w:t>owever</w:t>
      </w:r>
      <w:r w:rsidR="003A035A">
        <w:t>,</w:t>
      </w:r>
      <w:r w:rsidR="00044CC4">
        <w:t xml:space="preserve"> evaluation of those arrangements was not in scope of this review. </w:t>
      </w:r>
    </w:p>
    <w:p w14:paraId="5B2C72B3" w14:textId="77777777" w:rsidR="00B26346" w:rsidRPr="006A46D9" w:rsidRDefault="006D7BBF" w:rsidP="00BB7895">
      <w:pPr>
        <w:pStyle w:val="Heading2"/>
      </w:pPr>
      <w:bookmarkStart w:id="9" w:name="_Toc505783252"/>
      <w:bookmarkStart w:id="10" w:name="_Toc18664619"/>
      <w:r>
        <w:t>S</w:t>
      </w:r>
      <w:r w:rsidR="00B26346" w:rsidRPr="006A46D9">
        <w:t xml:space="preserve">ummary of NRL </w:t>
      </w:r>
      <w:r w:rsidRPr="006A46D9">
        <w:rPr>
          <w:caps w:val="0"/>
        </w:rPr>
        <w:t>funding</w:t>
      </w:r>
      <w:bookmarkEnd w:id="9"/>
      <w:bookmarkEnd w:id="10"/>
      <w:r w:rsidRPr="006A46D9">
        <w:rPr>
          <w:caps w:val="0"/>
        </w:rPr>
        <w:t xml:space="preserve"> </w:t>
      </w:r>
    </w:p>
    <w:p w14:paraId="5339179D" w14:textId="77777777" w:rsidR="000A31B6" w:rsidRDefault="000A31B6" w:rsidP="00BB7895">
      <w:pPr>
        <w:pStyle w:val="BodyCopy"/>
      </w:pPr>
      <w:r>
        <w:t xml:space="preserve">The </w:t>
      </w:r>
      <w:r w:rsidR="00D17664">
        <w:t xml:space="preserve">Australian Government currently funds the </w:t>
      </w:r>
      <w:r w:rsidR="00B26346">
        <w:t xml:space="preserve">NRL </w:t>
      </w:r>
      <w:r w:rsidR="00D17664">
        <w:t>to provide a number of services</w:t>
      </w:r>
      <w:r w:rsidR="007D2A89">
        <w:t xml:space="preserve"> that </w:t>
      </w:r>
      <w:r w:rsidR="007D2A89" w:rsidRPr="00BB7895">
        <w:t>support</w:t>
      </w:r>
      <w:r w:rsidR="007D2A89">
        <w:t xml:space="preserve"> the diagnosis and screening of BBVs</w:t>
      </w:r>
      <w:r w:rsidR="00D17664">
        <w:t xml:space="preserve">. </w:t>
      </w:r>
      <w:r w:rsidR="00B11E28">
        <w:t xml:space="preserve">The services </w:t>
      </w:r>
      <w:r w:rsidR="00B11E28" w:rsidRPr="00D854DB">
        <w:t xml:space="preserve">are utilised by </w:t>
      </w:r>
      <w:r w:rsidR="00B11E28">
        <w:t>self-selecting participating laboratories to support diagnostic testing, and the Australian Red Cross Blood Service (ARCBS) to support screening of the Australian blood supply.</w:t>
      </w:r>
      <w:r w:rsidR="00D17664">
        <w:t xml:space="preserve"> </w:t>
      </w:r>
      <w:r w:rsidR="00B26346">
        <w:t xml:space="preserve">The </w:t>
      </w:r>
      <w:r>
        <w:t>funded services are:</w:t>
      </w:r>
    </w:p>
    <w:p w14:paraId="504BD307" w14:textId="77777777" w:rsidR="00050974" w:rsidRDefault="00050974" w:rsidP="006A46D9">
      <w:pPr>
        <w:pStyle w:val="Numbers1"/>
      </w:pPr>
      <w:r>
        <w:t xml:space="preserve">For </w:t>
      </w:r>
      <w:r w:rsidRPr="006A46D9">
        <w:rPr>
          <w:b/>
        </w:rPr>
        <w:t>participating laboratories</w:t>
      </w:r>
      <w:r>
        <w:t xml:space="preserve"> </w:t>
      </w:r>
    </w:p>
    <w:p w14:paraId="07EB8A17" w14:textId="77777777" w:rsidR="00050974" w:rsidRDefault="00050974" w:rsidP="00D6193E">
      <w:pPr>
        <w:pStyle w:val="Numbers2"/>
      </w:pPr>
      <w:r>
        <w:t xml:space="preserve">Quality Control (QC) program for </w:t>
      </w:r>
      <w:r w:rsidR="008837AE">
        <w:t>HIV and</w:t>
      </w:r>
      <w:r>
        <w:t xml:space="preserve"> HCV</w:t>
      </w:r>
    </w:p>
    <w:p w14:paraId="721D3FF6" w14:textId="77777777" w:rsidR="00050974" w:rsidRDefault="00050974" w:rsidP="00D6193E">
      <w:pPr>
        <w:pStyle w:val="Numbers2"/>
      </w:pPr>
      <w:r>
        <w:t xml:space="preserve">External Quality Assurance (QA) program </w:t>
      </w:r>
      <w:r w:rsidR="007F661E">
        <w:t xml:space="preserve">for laboratories performing </w:t>
      </w:r>
      <w:r>
        <w:t xml:space="preserve">HIV and HCV </w:t>
      </w:r>
      <w:r w:rsidR="007F661E">
        <w:t xml:space="preserve">tests that utilise </w:t>
      </w:r>
      <w:r>
        <w:t xml:space="preserve">IVDs </w:t>
      </w:r>
      <w:r w:rsidR="007F661E">
        <w:t>f</w:t>
      </w:r>
      <w:r>
        <w:t xml:space="preserve">or serology and therapeutic </w:t>
      </w:r>
      <w:r w:rsidR="007F661E">
        <w:t>monitoring</w:t>
      </w:r>
    </w:p>
    <w:p w14:paraId="672BB5A1" w14:textId="77777777" w:rsidR="00050974" w:rsidRDefault="00050974" w:rsidP="00D6193E">
      <w:pPr>
        <w:pStyle w:val="Numbers2"/>
      </w:pPr>
      <w:r>
        <w:t xml:space="preserve">Monitoring of the </w:t>
      </w:r>
      <w:r w:rsidR="007F661E">
        <w:t>QC</w:t>
      </w:r>
      <w:r>
        <w:t xml:space="preserve"> and </w:t>
      </w:r>
      <w:r w:rsidR="007F661E">
        <w:t>QA</w:t>
      </w:r>
      <w:r>
        <w:t xml:space="preserve"> programs</w:t>
      </w:r>
    </w:p>
    <w:p w14:paraId="47230557" w14:textId="182CC12D" w:rsidR="00050974" w:rsidRDefault="00C50D1A" w:rsidP="00D6193E">
      <w:pPr>
        <w:pStyle w:val="Numbers2"/>
      </w:pPr>
      <w:r>
        <w:t xml:space="preserve">Reference testing for HIV and HTLV </w:t>
      </w:r>
      <w:r w:rsidR="004C7777">
        <w:t xml:space="preserve">samples </w:t>
      </w:r>
      <w:r w:rsidR="003B28AB">
        <w:t>that require adjudication as to their status</w:t>
      </w:r>
    </w:p>
    <w:p w14:paraId="2590BABE" w14:textId="77777777" w:rsidR="00050974" w:rsidRDefault="00050974" w:rsidP="006A46D9">
      <w:pPr>
        <w:pStyle w:val="Numbers2"/>
        <w:spacing w:after="120"/>
        <w:ind w:left="766" w:hanging="312"/>
      </w:pPr>
      <w:r>
        <w:t xml:space="preserve">Performance reporting to the Australian Government on </w:t>
      </w:r>
      <w:r w:rsidR="0060053D">
        <w:t xml:space="preserve">funded </w:t>
      </w:r>
      <w:r>
        <w:t>services provided and a summary of testing outcomes</w:t>
      </w:r>
    </w:p>
    <w:p w14:paraId="3C58C039" w14:textId="77777777" w:rsidR="00050974" w:rsidRDefault="00050974" w:rsidP="00D6193E">
      <w:pPr>
        <w:pStyle w:val="Numbers1"/>
      </w:pPr>
      <w:r>
        <w:t xml:space="preserve">For the </w:t>
      </w:r>
      <w:r w:rsidRPr="006A46D9">
        <w:rPr>
          <w:b/>
        </w:rPr>
        <w:t>Australian Red Cross Blood Service</w:t>
      </w:r>
      <w:r>
        <w:t xml:space="preserve"> </w:t>
      </w:r>
    </w:p>
    <w:p w14:paraId="33D32333" w14:textId="77777777" w:rsidR="00050974" w:rsidRDefault="00050974" w:rsidP="00D6193E">
      <w:pPr>
        <w:pStyle w:val="Numbers2"/>
      </w:pPr>
      <w:r>
        <w:t>Q</w:t>
      </w:r>
      <w:r w:rsidR="00596A43">
        <w:t>C</w:t>
      </w:r>
      <w:r>
        <w:t xml:space="preserve"> program for HIV, HCV and HBV (including a negative control) for the ARCBS nucleic acid testing (NAT) program</w:t>
      </w:r>
    </w:p>
    <w:p w14:paraId="45FA22DC" w14:textId="77777777" w:rsidR="00050974" w:rsidRDefault="00050974" w:rsidP="00D6193E">
      <w:pPr>
        <w:pStyle w:val="Numbers2"/>
      </w:pPr>
      <w:r>
        <w:t xml:space="preserve">External </w:t>
      </w:r>
      <w:r w:rsidR="00F03CE6">
        <w:t>QA</w:t>
      </w:r>
      <w:r>
        <w:t xml:space="preserve"> program cov</w:t>
      </w:r>
      <w:r w:rsidR="00ED3F82">
        <w:t>er</w:t>
      </w:r>
      <w:r>
        <w:t xml:space="preserve">ing </w:t>
      </w:r>
      <w:r w:rsidR="005E30D2">
        <w:t xml:space="preserve">HIV and HCV serology and </w:t>
      </w:r>
      <w:r>
        <w:t xml:space="preserve">HIV, HCV and HBV NAT </w:t>
      </w:r>
    </w:p>
    <w:p w14:paraId="281828C4" w14:textId="32873D65" w:rsidR="00050974" w:rsidRDefault="00050974" w:rsidP="00D6193E">
      <w:pPr>
        <w:pStyle w:val="Numbers2"/>
      </w:pPr>
      <w:r>
        <w:t xml:space="preserve">Monitoring of the </w:t>
      </w:r>
      <w:r w:rsidR="00D4493C">
        <w:t>ARCBS QC and QA</w:t>
      </w:r>
      <w:r>
        <w:t xml:space="preserve"> programs </w:t>
      </w:r>
    </w:p>
    <w:p w14:paraId="094B0BAF" w14:textId="30F2270F" w:rsidR="00954808" w:rsidRDefault="00954808" w:rsidP="00D6193E">
      <w:pPr>
        <w:pStyle w:val="Numbers2"/>
      </w:pPr>
      <w:r>
        <w:t>Reference testing on HIV and HTLV samples that require adjudication as to their status</w:t>
      </w:r>
    </w:p>
    <w:p w14:paraId="41E0AEAF" w14:textId="77777777" w:rsidR="00050974" w:rsidRDefault="00050974" w:rsidP="00D6193E">
      <w:pPr>
        <w:pStyle w:val="Numbers2"/>
      </w:pPr>
      <w:r>
        <w:t>Confirmatory testing for samples that test positive, equivocal or indeterminate for HIV, HCV or HBV</w:t>
      </w:r>
    </w:p>
    <w:p w14:paraId="639A545A" w14:textId="77777777" w:rsidR="00050974" w:rsidRDefault="00050974" w:rsidP="00D6193E">
      <w:pPr>
        <w:pStyle w:val="Numbers2"/>
      </w:pPr>
      <w:r>
        <w:t>Specificity monitoring of HIV and HCV serological assays performed by the ARCBS</w:t>
      </w:r>
    </w:p>
    <w:p w14:paraId="32A2E64D" w14:textId="77777777" w:rsidR="00050974" w:rsidRDefault="00050974" w:rsidP="006E197B">
      <w:pPr>
        <w:pStyle w:val="Numbers2"/>
      </w:pPr>
      <w:r>
        <w:t xml:space="preserve">Provision of plasma control panels for staff training or proficiency testing </w:t>
      </w:r>
    </w:p>
    <w:p w14:paraId="2E69D723" w14:textId="77777777" w:rsidR="00B26346" w:rsidRDefault="00050974" w:rsidP="00694E4A">
      <w:pPr>
        <w:pStyle w:val="Numbers2"/>
      </w:pPr>
      <w:r>
        <w:lastRenderedPageBreak/>
        <w:t xml:space="preserve">Performance reporting to the Australian Government on services provided </w:t>
      </w:r>
      <w:r w:rsidR="00D4493C">
        <w:t xml:space="preserve">to the ARCBS </w:t>
      </w:r>
      <w:r>
        <w:t>and a summary of testing outcomes.</w:t>
      </w:r>
    </w:p>
    <w:p w14:paraId="2D6F3847" w14:textId="77777777" w:rsidR="002F1960" w:rsidRDefault="00B26346" w:rsidP="00D515A0">
      <w:pPr>
        <w:pStyle w:val="BodyCopy"/>
      </w:pPr>
      <w:r>
        <w:t>Funds provided to the NRL for these services</w:t>
      </w:r>
      <w:r w:rsidR="00070A9A">
        <w:t xml:space="preserve"> total </w:t>
      </w:r>
      <w:r>
        <w:t xml:space="preserve">approximately </w:t>
      </w:r>
      <w:r w:rsidR="00D515A0">
        <w:rPr>
          <w:rFonts w:ascii="Times New Roman" w:hAnsi="Times New Roman"/>
        </w:rPr>
        <w:t>$</w:t>
      </w:r>
      <w:r>
        <w:t>4.5 million per year</w:t>
      </w:r>
      <w:r w:rsidR="00070A9A">
        <w:t xml:space="preserve">. This includes administrative costs related to the delivery of the funded services. </w:t>
      </w:r>
      <w:r w:rsidR="00F90018">
        <w:t>Under the current funding arrangement, a</w:t>
      </w:r>
      <w:r w:rsidR="00C52E10">
        <w:t xml:space="preserve">dministrative costs are calculated separately from the per unit costs of the delivered </w:t>
      </w:r>
      <w:r w:rsidR="00F90018">
        <w:t>services. These costs i</w:t>
      </w:r>
      <w:r w:rsidR="00C52E10">
        <w:t>nclude salaries and rent</w:t>
      </w:r>
      <w:r w:rsidR="00F90018">
        <w:t xml:space="preserve">, </w:t>
      </w:r>
      <w:r w:rsidR="00C52E10">
        <w:t xml:space="preserve">as well as costs </w:t>
      </w:r>
      <w:r w:rsidR="00F90018">
        <w:t xml:space="preserve">associated with the </w:t>
      </w:r>
      <w:r w:rsidR="00C52E10">
        <w:t xml:space="preserve">maintenance and calibration of </w:t>
      </w:r>
      <w:r w:rsidR="00F90018">
        <w:t xml:space="preserve">relevant </w:t>
      </w:r>
      <w:r w:rsidR="00C52E10">
        <w:t>testing</w:t>
      </w:r>
      <w:r w:rsidR="00F90018">
        <w:t xml:space="preserve"> equipment. </w:t>
      </w:r>
      <w:r w:rsidR="008460C3">
        <w:t xml:space="preserve">Funding </w:t>
      </w:r>
      <w:r w:rsidR="00F90018">
        <w:t xml:space="preserve">to the NRL </w:t>
      </w:r>
      <w:r w:rsidR="008460C3">
        <w:t xml:space="preserve">is </w:t>
      </w:r>
      <w:r w:rsidR="008460C3" w:rsidRPr="00D515A0">
        <w:t>delivered</w:t>
      </w:r>
      <w:r w:rsidR="008460C3">
        <w:t xml:space="preserve"> </w:t>
      </w:r>
      <w:r w:rsidR="00070A9A">
        <w:t>and managed through</w:t>
      </w:r>
      <w:r w:rsidR="008460C3">
        <w:t xml:space="preserve"> three schedules:</w:t>
      </w:r>
    </w:p>
    <w:p w14:paraId="1ECEB81D" w14:textId="77777777" w:rsidR="00545923" w:rsidRDefault="00545923" w:rsidP="00545923">
      <w:pPr>
        <w:pStyle w:val="Bullets1"/>
      </w:pPr>
      <w:r w:rsidRPr="00EC3F06">
        <w:rPr>
          <w:b/>
        </w:rPr>
        <w:t>Schedule 1:</w:t>
      </w:r>
      <w:r>
        <w:t xml:space="preserve"> Management services</w:t>
      </w:r>
    </w:p>
    <w:p w14:paraId="7B79EC79" w14:textId="77777777" w:rsidR="00545923" w:rsidRDefault="00545923" w:rsidP="00545923">
      <w:pPr>
        <w:pStyle w:val="Bullets1"/>
      </w:pPr>
      <w:r w:rsidRPr="00EC3F06">
        <w:rPr>
          <w:b/>
        </w:rPr>
        <w:t>Schedule 2:</w:t>
      </w:r>
      <w:r>
        <w:t xml:space="preserve"> Q</w:t>
      </w:r>
      <w:r w:rsidR="00864789">
        <w:t>A</w:t>
      </w:r>
      <w:r>
        <w:t xml:space="preserve"> program for HC</w:t>
      </w:r>
      <w:r w:rsidR="00864789">
        <w:t>V</w:t>
      </w:r>
      <w:r>
        <w:t xml:space="preserve"> and HIV tests utilising IVDs</w:t>
      </w:r>
    </w:p>
    <w:p w14:paraId="0F71EA27" w14:textId="78A295E1" w:rsidR="00545923" w:rsidRDefault="00545923" w:rsidP="00545923">
      <w:pPr>
        <w:pStyle w:val="Bullets1"/>
      </w:pPr>
      <w:r w:rsidRPr="00EC3F06">
        <w:rPr>
          <w:b/>
        </w:rPr>
        <w:t>Schedule 3:</w:t>
      </w:r>
      <w:r>
        <w:t xml:space="preserve"> Q</w:t>
      </w:r>
      <w:r w:rsidR="00864789">
        <w:t>C</w:t>
      </w:r>
      <w:r>
        <w:t xml:space="preserve"> and </w:t>
      </w:r>
      <w:r w:rsidR="00864789">
        <w:t>QA</w:t>
      </w:r>
      <w:r>
        <w:t xml:space="preserve"> program for the </w:t>
      </w:r>
      <w:r w:rsidR="00864789">
        <w:t>ARCBS</w:t>
      </w:r>
      <w:r>
        <w:t xml:space="preserve">’ </w:t>
      </w:r>
      <w:r w:rsidR="00864789">
        <w:t>NAT</w:t>
      </w:r>
      <w:r w:rsidR="006D1442">
        <w:t xml:space="preserve"> (IVDs)</w:t>
      </w:r>
    </w:p>
    <w:p w14:paraId="203087F4" w14:textId="77777777" w:rsidR="0057566B" w:rsidRDefault="0057566B" w:rsidP="00545923">
      <w:pPr>
        <w:pStyle w:val="BodyCopy"/>
      </w:pPr>
      <w:r>
        <w:t xml:space="preserve">The distribution of funding for the in-scope services is discussed below. </w:t>
      </w:r>
    </w:p>
    <w:p w14:paraId="00DC4E72" w14:textId="1D3990FA" w:rsidR="00545923" w:rsidRDefault="00545923" w:rsidP="00545923">
      <w:pPr>
        <w:pStyle w:val="BodyCopy"/>
      </w:pPr>
      <w:r>
        <w:t>The</w:t>
      </w:r>
      <w:r w:rsidR="00291E87">
        <w:t xml:space="preserve"> </w:t>
      </w:r>
      <w:r w:rsidR="001E78CF">
        <w:t xml:space="preserve">approximate </w:t>
      </w:r>
      <w:r w:rsidR="00291E87">
        <w:t>proportion of</w:t>
      </w:r>
      <w:r>
        <w:t xml:space="preserve"> total </w:t>
      </w:r>
      <w:r w:rsidR="00291E87">
        <w:t>funding per</w:t>
      </w:r>
      <w:r w:rsidR="00D515A0">
        <w:t xml:space="preserve"> year</w:t>
      </w:r>
      <w:r w:rsidR="00291E87">
        <w:t xml:space="preserve"> by schedule</w:t>
      </w:r>
      <w:r>
        <w:t xml:space="preserve"> is represented in </w:t>
      </w:r>
      <w:r w:rsidR="00291E87">
        <w:fldChar w:fldCharType="begin"/>
      </w:r>
      <w:r w:rsidR="00291E87">
        <w:instrText xml:space="preserve"> REF _Ref513803501 \h </w:instrText>
      </w:r>
      <w:r w:rsidR="00291E87">
        <w:fldChar w:fldCharType="separate"/>
      </w:r>
      <w:r w:rsidR="0078683A">
        <w:t xml:space="preserve">Figure </w:t>
      </w:r>
      <w:r w:rsidR="0078683A">
        <w:rPr>
          <w:noProof/>
        </w:rPr>
        <w:t>1</w:t>
      </w:r>
      <w:r w:rsidR="0078683A">
        <w:t>.</w:t>
      </w:r>
      <w:r w:rsidR="0078683A">
        <w:rPr>
          <w:noProof/>
        </w:rPr>
        <w:t>1</w:t>
      </w:r>
      <w:r w:rsidR="00291E87">
        <w:fldChar w:fldCharType="end"/>
      </w:r>
      <w:r w:rsidR="00D515A0">
        <w:t xml:space="preserve"> and shows Schedule 3 receives the largest proportion of funding at 40%.</w:t>
      </w:r>
      <w:r w:rsidR="00F90018">
        <w:t xml:space="preserve"> Notably, a larger</w:t>
      </w:r>
      <w:r w:rsidR="00983948">
        <w:t xml:space="preserve"> percentage of funding is provided for</w:t>
      </w:r>
      <w:r w:rsidR="00F90018">
        <w:t xml:space="preserve"> </w:t>
      </w:r>
      <w:r w:rsidR="00983948">
        <w:t xml:space="preserve">management services under </w:t>
      </w:r>
      <w:r w:rsidR="00F90018">
        <w:t>Schedule</w:t>
      </w:r>
      <w:r w:rsidR="00983948">
        <w:t> </w:t>
      </w:r>
      <w:r w:rsidR="00F90018">
        <w:t>1</w:t>
      </w:r>
      <w:r w:rsidR="00C244F8">
        <w:t> </w:t>
      </w:r>
      <w:r w:rsidR="00F90018">
        <w:t>(37%</w:t>
      </w:r>
      <w:r w:rsidR="00864789">
        <w:t>) than</w:t>
      </w:r>
      <w:r w:rsidR="00F90018">
        <w:t xml:space="preserve"> Schedule 2 services (23%).</w:t>
      </w:r>
    </w:p>
    <w:p w14:paraId="1EBA24BD" w14:textId="6CD05E6B" w:rsidR="00545923" w:rsidRPr="00291E87" w:rsidRDefault="00545923" w:rsidP="00631C5A">
      <w:pPr>
        <w:pStyle w:val="Caption"/>
        <w:rPr>
          <w:rStyle w:val="Captionnotbold"/>
        </w:rPr>
      </w:pPr>
      <w:bookmarkStart w:id="11" w:name="_Ref513803501"/>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1</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1</w:t>
      </w:r>
      <w:r w:rsidR="0083660F">
        <w:rPr>
          <w:noProof/>
        </w:rPr>
        <w:fldChar w:fldCharType="end"/>
      </w:r>
      <w:bookmarkEnd w:id="11"/>
      <w:r>
        <w:t xml:space="preserve">: </w:t>
      </w:r>
      <w:r w:rsidR="001E78CF" w:rsidRPr="001E78CF">
        <w:rPr>
          <w:rStyle w:val="Captionnotbold"/>
        </w:rPr>
        <w:t xml:space="preserve">Approximate funding proportions </w:t>
      </w:r>
      <w:r w:rsidR="00291E87">
        <w:rPr>
          <w:rStyle w:val="Captionnotbold"/>
        </w:rPr>
        <w:t>provided to the NRL per year, by of schedule</w:t>
      </w:r>
    </w:p>
    <w:p w14:paraId="66201869" w14:textId="77777777" w:rsidR="00545923" w:rsidRDefault="00D66D4D" w:rsidP="00631C5A">
      <w:pPr>
        <w:pStyle w:val="BodyCopy"/>
        <w:jc w:val="center"/>
      </w:pPr>
      <w:r>
        <w:rPr>
          <w:noProof/>
          <w:lang w:eastAsia="en-AU"/>
        </w:rPr>
        <w:drawing>
          <wp:inline distT="0" distB="0" distL="0" distR="0" wp14:anchorId="02CC7BD9" wp14:editId="265F51E1">
            <wp:extent cx="4150995" cy="2322830"/>
            <wp:effectExtent l="0" t="0" r="1905" b="1270"/>
            <wp:docPr id="78" name="Chart 74" title="Figure 1.1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5570DC" w14:textId="3A86BA79" w:rsidR="00291E87" w:rsidRDefault="00291E87" w:rsidP="0057566B">
      <w:pPr>
        <w:pStyle w:val="BodyCopy"/>
        <w:keepNext/>
      </w:pPr>
      <w:r>
        <w:lastRenderedPageBreak/>
        <w:t xml:space="preserve">The </w:t>
      </w:r>
      <w:r w:rsidR="001E78CF">
        <w:t xml:space="preserve">approximate </w:t>
      </w:r>
      <w:r>
        <w:t xml:space="preserve">proportion </w:t>
      </w:r>
      <w:r w:rsidR="001E78CF">
        <w:t xml:space="preserve">of </w:t>
      </w:r>
      <w:r>
        <w:t xml:space="preserve">total funding per year by laboratory type is shown in </w:t>
      </w:r>
      <w:r w:rsidR="00B55FBD">
        <w:fldChar w:fldCharType="begin"/>
      </w:r>
      <w:r w:rsidR="00B55FBD">
        <w:instrText xml:space="preserve"> REF _Ref513806194 \h </w:instrText>
      </w:r>
      <w:r w:rsidR="00B55FBD">
        <w:fldChar w:fldCharType="separate"/>
      </w:r>
      <w:r w:rsidR="0078683A">
        <w:t xml:space="preserve">Figure </w:t>
      </w:r>
      <w:r w:rsidR="0078683A">
        <w:rPr>
          <w:noProof/>
        </w:rPr>
        <w:t>1</w:t>
      </w:r>
      <w:r w:rsidR="0078683A">
        <w:t>.</w:t>
      </w:r>
      <w:r w:rsidR="0078683A">
        <w:rPr>
          <w:noProof/>
        </w:rPr>
        <w:t>2</w:t>
      </w:r>
      <w:r w:rsidR="00B55FBD">
        <w:fldChar w:fldCharType="end"/>
      </w:r>
      <w:r w:rsidR="00D515A0">
        <w:t xml:space="preserve"> which shows that the ARCBS receives two thirds of the service delivery funding (from Schedules 2 and 3). </w:t>
      </w:r>
    </w:p>
    <w:p w14:paraId="00D7A20F" w14:textId="3382A020" w:rsidR="00291E87" w:rsidRPr="001E78CF" w:rsidRDefault="00291E87" w:rsidP="00631C5A">
      <w:pPr>
        <w:pStyle w:val="Caption"/>
        <w:rPr>
          <w:rStyle w:val="Captionnotbold"/>
        </w:rPr>
      </w:pPr>
      <w:bookmarkStart w:id="12" w:name="_Ref513806194"/>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1</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2</w:t>
      </w:r>
      <w:r w:rsidR="0083660F">
        <w:rPr>
          <w:noProof/>
        </w:rPr>
        <w:fldChar w:fldCharType="end"/>
      </w:r>
      <w:bookmarkEnd w:id="12"/>
      <w:r>
        <w:t xml:space="preserve">: </w:t>
      </w:r>
      <w:r w:rsidR="001E78CF" w:rsidRPr="001E78CF">
        <w:rPr>
          <w:rStyle w:val="Captionnotbold"/>
        </w:rPr>
        <w:t>Approximate proportion of Schedule</w:t>
      </w:r>
      <w:r w:rsidR="00A0183F">
        <w:rPr>
          <w:rStyle w:val="Captionnotbold"/>
        </w:rPr>
        <w:t>s</w:t>
      </w:r>
      <w:r w:rsidR="004A1D24">
        <w:rPr>
          <w:rStyle w:val="Captionnotbold"/>
        </w:rPr>
        <w:t xml:space="preserve"> 1,</w:t>
      </w:r>
      <w:r w:rsidR="004A1D24" w:rsidRPr="001E78CF">
        <w:rPr>
          <w:rStyle w:val="Captionnotbold"/>
        </w:rPr>
        <w:t xml:space="preserve"> </w:t>
      </w:r>
      <w:r w:rsidR="001E78CF" w:rsidRPr="001E78CF">
        <w:rPr>
          <w:rStyle w:val="Captionnotbold"/>
        </w:rPr>
        <w:t xml:space="preserve">2 and 3 funding by </w:t>
      </w:r>
      <w:r w:rsidR="006E346A" w:rsidRPr="001E78CF">
        <w:rPr>
          <w:rStyle w:val="Captionnotbold"/>
        </w:rPr>
        <w:t>laboratory type</w:t>
      </w:r>
    </w:p>
    <w:p w14:paraId="6B70CFEB" w14:textId="35B4ED0F" w:rsidR="00291E87" w:rsidRDefault="007E059B" w:rsidP="00631C5A">
      <w:pPr>
        <w:pStyle w:val="BodyCopy"/>
        <w:jc w:val="center"/>
      </w:pPr>
      <w:r w:rsidRPr="007E059B">
        <w:rPr>
          <w:noProof/>
          <w:lang w:eastAsia="en-AU"/>
        </w:rPr>
        <w:drawing>
          <wp:inline distT="0" distB="0" distL="0" distR="0" wp14:anchorId="55101841" wp14:editId="5F58A15A">
            <wp:extent cx="3895725" cy="2743200"/>
            <wp:effectExtent l="0" t="0" r="9525" b="0"/>
            <wp:docPr id="7" name="Picture 7"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a:ln>
                      <a:noFill/>
                    </a:ln>
                  </pic:spPr>
                </pic:pic>
              </a:graphicData>
            </a:graphic>
          </wp:inline>
        </w:drawing>
      </w:r>
    </w:p>
    <w:p w14:paraId="61E56C99" w14:textId="51F84BFF" w:rsidR="00631C5A" w:rsidRPr="00631C5A" w:rsidRDefault="00B55FBD" w:rsidP="0057566B">
      <w:pPr>
        <w:pStyle w:val="BodyCopy"/>
        <w:keepNext/>
        <w:jc w:val="both"/>
      </w:pPr>
      <w:r>
        <w:t xml:space="preserve">The </w:t>
      </w:r>
      <w:r w:rsidR="00A0183F">
        <w:t xml:space="preserve">approximate </w:t>
      </w:r>
      <w:r w:rsidR="00631C5A">
        <w:t>propo</w:t>
      </w:r>
      <w:r w:rsidR="00D515A0">
        <w:t>rtion of total funding per year</w:t>
      </w:r>
      <w:r w:rsidR="00631C5A">
        <w:t xml:space="preserve"> by activity type for the ARCBS</w:t>
      </w:r>
      <w:r>
        <w:t xml:space="preserve"> </w:t>
      </w:r>
      <w:r w:rsidR="00A0183F">
        <w:t xml:space="preserve">(from Schedules 2 and 3) </w:t>
      </w:r>
      <w:r>
        <w:t xml:space="preserve">is shown in </w:t>
      </w:r>
      <w:r>
        <w:fldChar w:fldCharType="begin"/>
      </w:r>
      <w:r>
        <w:instrText xml:space="preserve"> REF _Ref513806176 \h </w:instrText>
      </w:r>
      <w:r>
        <w:fldChar w:fldCharType="separate"/>
      </w:r>
      <w:r w:rsidR="0078683A">
        <w:t xml:space="preserve">Figure </w:t>
      </w:r>
      <w:r w:rsidR="0078683A">
        <w:rPr>
          <w:noProof/>
        </w:rPr>
        <w:t>1</w:t>
      </w:r>
      <w:r w:rsidR="0078683A">
        <w:t>.</w:t>
      </w:r>
      <w:r w:rsidR="0078683A">
        <w:rPr>
          <w:noProof/>
        </w:rPr>
        <w:t>3</w:t>
      </w:r>
      <w:r>
        <w:fldChar w:fldCharType="end"/>
      </w:r>
      <w:r w:rsidR="00D515A0">
        <w:t xml:space="preserve"> which shows that </w:t>
      </w:r>
      <w:r w:rsidR="0057566B">
        <w:t xml:space="preserve">the majority of service delivery funding (93%) contributes to QC processes. </w:t>
      </w:r>
    </w:p>
    <w:p w14:paraId="3984031F" w14:textId="77550251" w:rsidR="00631C5A" w:rsidRPr="00631C5A" w:rsidRDefault="00631C5A" w:rsidP="00A50D66">
      <w:pPr>
        <w:pStyle w:val="Caption"/>
        <w:rPr>
          <w:rStyle w:val="Captionnotbold"/>
        </w:rPr>
      </w:pPr>
      <w:bookmarkStart w:id="13" w:name="_Ref513806176"/>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1</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3</w:t>
      </w:r>
      <w:r w:rsidR="0083660F">
        <w:rPr>
          <w:noProof/>
        </w:rPr>
        <w:fldChar w:fldCharType="end"/>
      </w:r>
      <w:bookmarkEnd w:id="13"/>
      <w:r>
        <w:t xml:space="preserve">: </w:t>
      </w:r>
      <w:r w:rsidR="00A0183F" w:rsidRPr="00A0183F">
        <w:rPr>
          <w:rStyle w:val="Captionnotbold"/>
        </w:rPr>
        <w:t>Approximate proportion of</w:t>
      </w:r>
      <w:r w:rsidR="00A0183F">
        <w:t xml:space="preserve"> </w:t>
      </w:r>
      <w:r>
        <w:rPr>
          <w:rStyle w:val="Captionnotbold"/>
        </w:rPr>
        <w:t xml:space="preserve">funding </w:t>
      </w:r>
      <w:r w:rsidR="00C25573">
        <w:rPr>
          <w:rStyle w:val="Captionnotbold"/>
        </w:rPr>
        <w:t xml:space="preserve">for services </w:t>
      </w:r>
      <w:r>
        <w:rPr>
          <w:rStyle w:val="Captionnotbold"/>
        </w:rPr>
        <w:t>provided to the ARCBS per year, by activity type</w:t>
      </w:r>
      <w:r w:rsidR="00A0183F">
        <w:rPr>
          <w:rStyle w:val="Captionnotbold"/>
        </w:rPr>
        <w:t xml:space="preserve"> (f</w:t>
      </w:r>
      <w:r w:rsidR="004A1D24">
        <w:rPr>
          <w:rStyle w:val="Captionnotbold"/>
        </w:rPr>
        <w:t xml:space="preserve">rom </w:t>
      </w:r>
      <w:r w:rsidR="00A0183F">
        <w:rPr>
          <w:rStyle w:val="Captionnotbold"/>
        </w:rPr>
        <w:t xml:space="preserve">Schedules </w:t>
      </w:r>
      <w:r w:rsidR="004A1D24">
        <w:rPr>
          <w:rStyle w:val="Captionnotbold"/>
        </w:rPr>
        <w:t xml:space="preserve">1, </w:t>
      </w:r>
      <w:r w:rsidR="00A0183F">
        <w:rPr>
          <w:rStyle w:val="Captionnotbold"/>
        </w:rPr>
        <w:t>2 and 3)</w:t>
      </w:r>
    </w:p>
    <w:p w14:paraId="1878986D" w14:textId="68770AFF" w:rsidR="00DB41DD" w:rsidRDefault="007E059B" w:rsidP="00A50D66">
      <w:pPr>
        <w:pStyle w:val="BodyCopy"/>
        <w:jc w:val="center"/>
      </w:pPr>
      <w:r w:rsidRPr="007E059B">
        <w:rPr>
          <w:noProof/>
          <w:lang w:eastAsia="en-AU"/>
        </w:rPr>
        <w:drawing>
          <wp:inline distT="0" distB="0" distL="0" distR="0" wp14:anchorId="06371262" wp14:editId="65698608">
            <wp:extent cx="4472940" cy="2683510"/>
            <wp:effectExtent l="0" t="0" r="3810" b="2540"/>
            <wp:docPr id="47" name="Picture 47" title="Figu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940" cy="2683510"/>
                    </a:xfrm>
                    <a:prstGeom prst="rect">
                      <a:avLst/>
                    </a:prstGeom>
                    <a:noFill/>
                    <a:ln>
                      <a:noFill/>
                    </a:ln>
                  </pic:spPr>
                </pic:pic>
              </a:graphicData>
            </a:graphic>
          </wp:inline>
        </w:drawing>
      </w:r>
    </w:p>
    <w:p w14:paraId="657C511B" w14:textId="77777777" w:rsidR="000D7A5B" w:rsidRDefault="000D7A5B" w:rsidP="00A50D66">
      <w:pPr>
        <w:pStyle w:val="BodyCopy"/>
        <w:jc w:val="center"/>
      </w:pPr>
    </w:p>
    <w:p w14:paraId="6D406BE5" w14:textId="2C63E0F7" w:rsidR="00B55FBD" w:rsidRPr="00631C5A" w:rsidRDefault="00B55FBD" w:rsidP="000D7A5B">
      <w:pPr>
        <w:pStyle w:val="BodyCopy"/>
        <w:keepNext/>
        <w:keepLines/>
        <w:jc w:val="both"/>
      </w:pPr>
      <w:r>
        <w:lastRenderedPageBreak/>
        <w:t xml:space="preserve">The </w:t>
      </w:r>
      <w:r w:rsidR="00A0183F">
        <w:t xml:space="preserve">approximate </w:t>
      </w:r>
      <w:r>
        <w:t>propo</w:t>
      </w:r>
      <w:r w:rsidR="0057566B">
        <w:t>rtion of total funding per year</w:t>
      </w:r>
      <w:r>
        <w:t xml:space="preserve"> by activity type for </w:t>
      </w:r>
      <w:r w:rsidR="00A0183F">
        <w:t xml:space="preserve">participating </w:t>
      </w:r>
      <w:r>
        <w:t xml:space="preserve">laboratories is shown in </w:t>
      </w:r>
      <w:r>
        <w:fldChar w:fldCharType="begin"/>
      </w:r>
      <w:r>
        <w:instrText xml:space="preserve"> REF _Ref513806555 \h </w:instrText>
      </w:r>
      <w:r>
        <w:fldChar w:fldCharType="separate"/>
      </w:r>
      <w:r w:rsidR="0078683A">
        <w:t xml:space="preserve">Figure </w:t>
      </w:r>
      <w:r w:rsidR="0078683A">
        <w:rPr>
          <w:noProof/>
        </w:rPr>
        <w:t>1</w:t>
      </w:r>
      <w:r w:rsidR="0078683A">
        <w:t>.</w:t>
      </w:r>
      <w:r w:rsidR="0078683A">
        <w:rPr>
          <w:noProof/>
        </w:rPr>
        <w:t>4</w:t>
      </w:r>
      <w:r>
        <w:fldChar w:fldCharType="end"/>
      </w:r>
      <w:r w:rsidR="0057566B">
        <w:t xml:space="preserve"> which shows that almost two thirds (6</w:t>
      </w:r>
      <w:r w:rsidR="004A1D24">
        <w:t>4</w:t>
      </w:r>
      <w:r w:rsidR="0057566B">
        <w:t xml:space="preserve">%) of service delivery funding contributes to QC processes, and approximately one fifth of service delivery funding (21%) contributes to QA activities. </w:t>
      </w:r>
    </w:p>
    <w:p w14:paraId="5B783064" w14:textId="0BE303FB" w:rsidR="00B55FBD" w:rsidRPr="00B55FBD" w:rsidRDefault="00B55FBD" w:rsidP="00B55FBD">
      <w:pPr>
        <w:pStyle w:val="Caption"/>
        <w:rPr>
          <w:rStyle w:val="Captionnotbold"/>
        </w:rPr>
      </w:pPr>
      <w:bookmarkStart w:id="14" w:name="_Ref513806555"/>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1</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4</w:t>
      </w:r>
      <w:r w:rsidR="0083660F">
        <w:rPr>
          <w:noProof/>
        </w:rPr>
        <w:fldChar w:fldCharType="end"/>
      </w:r>
      <w:bookmarkEnd w:id="14"/>
      <w:r>
        <w:t xml:space="preserve">: </w:t>
      </w:r>
      <w:r>
        <w:rPr>
          <w:rStyle w:val="Captionnotbold"/>
        </w:rPr>
        <w:t>Total funding</w:t>
      </w:r>
      <w:r w:rsidR="00C25573">
        <w:rPr>
          <w:rStyle w:val="Captionnotbold"/>
        </w:rPr>
        <w:t xml:space="preserve"> for services</w:t>
      </w:r>
      <w:r>
        <w:rPr>
          <w:rStyle w:val="Captionnotbold"/>
        </w:rPr>
        <w:t xml:space="preserve"> provided to </w:t>
      </w:r>
      <w:r w:rsidR="00C302AC">
        <w:rPr>
          <w:rStyle w:val="Captionnotbold"/>
        </w:rPr>
        <w:t xml:space="preserve">participating </w:t>
      </w:r>
      <w:r>
        <w:rPr>
          <w:rStyle w:val="Captionnotbold"/>
        </w:rPr>
        <w:t>laboratories per year, by activity type</w:t>
      </w:r>
      <w:r w:rsidR="00A0183F">
        <w:rPr>
          <w:rStyle w:val="Captionnotbold"/>
        </w:rPr>
        <w:t xml:space="preserve"> (from Schedule</w:t>
      </w:r>
      <w:r w:rsidR="004A1D24">
        <w:rPr>
          <w:rStyle w:val="Captionnotbold"/>
        </w:rPr>
        <w:t>s 1 and</w:t>
      </w:r>
      <w:r w:rsidR="00A0183F">
        <w:rPr>
          <w:rStyle w:val="Captionnotbold"/>
        </w:rPr>
        <w:t xml:space="preserve"> 2)</w:t>
      </w:r>
    </w:p>
    <w:p w14:paraId="2CE56471" w14:textId="1FF8D08A" w:rsidR="00B55FBD" w:rsidRDefault="007E059B" w:rsidP="00B55FBD">
      <w:pPr>
        <w:pStyle w:val="BodyCopy"/>
        <w:jc w:val="center"/>
      </w:pPr>
      <w:r w:rsidRPr="007E059B">
        <w:rPr>
          <w:noProof/>
          <w:lang w:eastAsia="en-AU"/>
        </w:rPr>
        <w:drawing>
          <wp:inline distT="0" distB="0" distL="0" distR="0" wp14:anchorId="47345892" wp14:editId="76CD41F4">
            <wp:extent cx="4472940" cy="2683510"/>
            <wp:effectExtent l="0" t="0" r="3810" b="2540"/>
            <wp:docPr id="65" name="Picture 65"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83510"/>
                    </a:xfrm>
                    <a:prstGeom prst="rect">
                      <a:avLst/>
                    </a:prstGeom>
                    <a:noFill/>
                    <a:ln>
                      <a:noFill/>
                    </a:ln>
                  </pic:spPr>
                </pic:pic>
              </a:graphicData>
            </a:graphic>
          </wp:inline>
        </w:drawing>
      </w:r>
    </w:p>
    <w:p w14:paraId="774AFD0B" w14:textId="77777777" w:rsidR="00D6193E" w:rsidRDefault="006D7BBF" w:rsidP="00D6193E">
      <w:pPr>
        <w:pStyle w:val="Heading2"/>
      </w:pPr>
      <w:bookmarkStart w:id="15" w:name="_Toc505783250"/>
      <w:bookmarkStart w:id="16" w:name="_Toc18664620"/>
      <w:r>
        <w:t xml:space="preserve">Purpose </w:t>
      </w:r>
      <w:r w:rsidR="00D6193E">
        <w:t>of the review</w:t>
      </w:r>
      <w:bookmarkEnd w:id="15"/>
      <w:bookmarkEnd w:id="16"/>
      <w:r w:rsidR="00D6193E">
        <w:t xml:space="preserve"> </w:t>
      </w:r>
    </w:p>
    <w:p w14:paraId="12DA7F77" w14:textId="77777777" w:rsidR="00813B72" w:rsidRDefault="002F1960" w:rsidP="0057566B">
      <w:pPr>
        <w:pStyle w:val="BodyCopy"/>
        <w:keepNext/>
      </w:pPr>
      <w:r>
        <w:t xml:space="preserve">The </w:t>
      </w:r>
      <w:r w:rsidR="00D6193E">
        <w:t>purpose of this</w:t>
      </w:r>
      <w:r w:rsidR="00952202">
        <w:t xml:space="preserve"> review</w:t>
      </w:r>
      <w:r w:rsidR="00B26346">
        <w:t xml:space="preserve"> was to</w:t>
      </w:r>
      <w:r w:rsidR="00813B72">
        <w:t>:</w:t>
      </w:r>
    </w:p>
    <w:p w14:paraId="6358C46E" w14:textId="77777777" w:rsidR="00813B72" w:rsidRDefault="0057566B" w:rsidP="0057566B">
      <w:pPr>
        <w:pStyle w:val="Bullets1"/>
        <w:keepNext/>
      </w:pPr>
      <w:r>
        <w:t xml:space="preserve">assess </w:t>
      </w:r>
      <w:r w:rsidR="00D6193E">
        <w:t>the c</w:t>
      </w:r>
      <w:r w:rsidR="002F1960">
        <w:t>urrency</w:t>
      </w:r>
      <w:r w:rsidR="00AE2DD3">
        <w:t>, effectiveness and appropriateness of Commonwealth funding</w:t>
      </w:r>
      <w:r w:rsidR="00813B72">
        <w:t xml:space="preserve"> of the services </w:t>
      </w:r>
    </w:p>
    <w:p w14:paraId="5F74A5BF" w14:textId="77777777" w:rsidR="00D01548" w:rsidRDefault="0057566B" w:rsidP="0057566B">
      <w:pPr>
        <w:pStyle w:val="Bullets1"/>
        <w:keepNext/>
      </w:pPr>
      <w:r>
        <w:t xml:space="preserve">set </w:t>
      </w:r>
      <w:r w:rsidR="00D6193E">
        <w:t>out and clarify c</w:t>
      </w:r>
      <w:r w:rsidR="00D01548">
        <w:t>urrent practices in relation to the funded services and the clinical and regulatory environment</w:t>
      </w:r>
      <w:r>
        <w:t xml:space="preserve">, and </w:t>
      </w:r>
    </w:p>
    <w:p w14:paraId="19077EE9" w14:textId="77777777" w:rsidR="002F1960" w:rsidRDefault="0057566B" w:rsidP="006A46D9">
      <w:pPr>
        <w:pStyle w:val="Bullets1"/>
      </w:pPr>
      <w:r>
        <w:t xml:space="preserve">provide </w:t>
      </w:r>
      <w:r w:rsidR="00D6193E">
        <w:t>p</w:t>
      </w:r>
      <w:r w:rsidR="002F1960">
        <w:t xml:space="preserve">ossible variations </w:t>
      </w:r>
      <w:r w:rsidR="00D4493C">
        <w:t xml:space="preserve">and options </w:t>
      </w:r>
      <w:r w:rsidR="002F1960">
        <w:t>to funding arrangements and the potential impacts these variations would have on</w:t>
      </w:r>
      <w:r w:rsidR="00813B72">
        <w:t xml:space="preserve"> </w:t>
      </w:r>
      <w:r w:rsidR="00D01548">
        <w:t>the safety of the Australian blood supply</w:t>
      </w:r>
      <w:r w:rsidR="00813B72">
        <w:t xml:space="preserve">. </w:t>
      </w:r>
    </w:p>
    <w:p w14:paraId="4F9C610C" w14:textId="77777777" w:rsidR="003F1BEC" w:rsidRDefault="003F1BEC" w:rsidP="00B31B03">
      <w:pPr>
        <w:pStyle w:val="Heading2"/>
      </w:pPr>
      <w:bookmarkStart w:id="17" w:name="_Toc18664621"/>
      <w:r w:rsidRPr="00B31B03">
        <w:t>Objectives</w:t>
      </w:r>
      <w:r>
        <w:t xml:space="preserve"> of the review</w:t>
      </w:r>
      <w:bookmarkEnd w:id="17"/>
      <w:r>
        <w:t xml:space="preserve"> </w:t>
      </w:r>
    </w:p>
    <w:p w14:paraId="3D43F03D" w14:textId="49B70323" w:rsidR="003F1BEC" w:rsidRDefault="003F1BEC" w:rsidP="003F1BEC">
      <w:pPr>
        <w:pStyle w:val="BodyCopy"/>
      </w:pPr>
      <w:r>
        <w:t>The objectives of the review were to:</w:t>
      </w:r>
    </w:p>
    <w:p w14:paraId="43E5AEBF" w14:textId="2174F018" w:rsidR="00F10314" w:rsidRPr="00F10314" w:rsidRDefault="00331277" w:rsidP="00331277">
      <w:pPr>
        <w:pStyle w:val="Numbers1"/>
        <w:numPr>
          <w:ilvl w:val="0"/>
          <w:numId w:val="59"/>
        </w:numPr>
      </w:pPr>
      <w:r w:rsidRPr="00F10314">
        <w:t>analys</w:t>
      </w:r>
      <w:r>
        <w:t xml:space="preserve">e </w:t>
      </w:r>
      <w:r w:rsidR="00F10314" w:rsidRPr="00F10314">
        <w:t>the regulatory framework for HIV, HCV and HBV testing in Australia including national regulations for IVD registration and</w:t>
      </w:r>
      <w:r w:rsidR="00F10314" w:rsidRPr="00F10314">
        <w:rPr>
          <w:spacing w:val="-16"/>
        </w:rPr>
        <w:t xml:space="preserve"> </w:t>
      </w:r>
      <w:r w:rsidR="00F10314" w:rsidRPr="00F10314">
        <w:t>use</w:t>
      </w:r>
    </w:p>
    <w:p w14:paraId="5D6DB764" w14:textId="2A039593" w:rsidR="00F10314" w:rsidRPr="00F10314" w:rsidRDefault="00331277" w:rsidP="00331277">
      <w:pPr>
        <w:pStyle w:val="Numbers1"/>
      </w:pPr>
      <w:r w:rsidRPr="00F10314">
        <w:t>analys</w:t>
      </w:r>
      <w:r>
        <w:t>e</w:t>
      </w:r>
      <w:r w:rsidRPr="00F10314">
        <w:t xml:space="preserve"> </w:t>
      </w:r>
      <w:r w:rsidR="00F10314" w:rsidRPr="00F10314">
        <w:t>relevant licensing and accreditation conditions, relevant national standards, and/or</w:t>
      </w:r>
      <w:r w:rsidR="00F10314" w:rsidRPr="00F10314">
        <w:rPr>
          <w:spacing w:val="-28"/>
        </w:rPr>
        <w:t xml:space="preserve"> </w:t>
      </w:r>
      <w:r w:rsidR="00F10314" w:rsidRPr="00F10314">
        <w:t>any relevant requirements under state and territory</w:t>
      </w:r>
      <w:r w:rsidR="00F10314" w:rsidRPr="00F10314">
        <w:rPr>
          <w:spacing w:val="-24"/>
        </w:rPr>
        <w:t xml:space="preserve"> </w:t>
      </w:r>
      <w:r w:rsidR="00F10314" w:rsidRPr="00F10314">
        <w:t>legislation</w:t>
      </w:r>
    </w:p>
    <w:p w14:paraId="552167A5" w14:textId="05D609B1" w:rsidR="00F10314" w:rsidRPr="00F10314" w:rsidRDefault="00331277" w:rsidP="00331277">
      <w:pPr>
        <w:pStyle w:val="Numbers1"/>
      </w:pPr>
      <w:r w:rsidRPr="00F10314">
        <w:t>analys</w:t>
      </w:r>
      <w:r>
        <w:t>e</w:t>
      </w:r>
      <w:r w:rsidRPr="00F10314">
        <w:t xml:space="preserve"> </w:t>
      </w:r>
      <w:r w:rsidR="00F10314" w:rsidRPr="00F10314">
        <w:t>the current funding arrangements to assess cost/benefit comparisons of the</w:t>
      </w:r>
      <w:r w:rsidR="00F10314" w:rsidRPr="00F10314">
        <w:rPr>
          <w:spacing w:val="-33"/>
        </w:rPr>
        <w:t xml:space="preserve"> </w:t>
      </w:r>
      <w:r w:rsidR="00364AF5">
        <w:rPr>
          <w:spacing w:val="-33"/>
        </w:rPr>
        <w:t xml:space="preserve"> </w:t>
      </w:r>
      <w:r w:rsidR="00F10314" w:rsidRPr="00F10314">
        <w:t>Commonwealth funded services with services from other providers</w:t>
      </w:r>
      <w:r w:rsidR="00F10314" w:rsidRPr="00F10314">
        <w:rPr>
          <w:spacing w:val="-22"/>
        </w:rPr>
        <w:t xml:space="preserve"> </w:t>
      </w:r>
      <w:r w:rsidR="00F10314" w:rsidRPr="00F10314">
        <w:t>including:</w:t>
      </w:r>
    </w:p>
    <w:p w14:paraId="66831DD5" w14:textId="77777777" w:rsidR="00F10314" w:rsidRPr="00F10314" w:rsidRDefault="00F10314" w:rsidP="00331277">
      <w:pPr>
        <w:pStyle w:val="Numbers2"/>
      </w:pPr>
      <w:r w:rsidRPr="00F10314">
        <w:t>review of current model and services, including the degree to which resources are</w:t>
      </w:r>
      <w:r w:rsidRPr="00F10314">
        <w:rPr>
          <w:spacing w:val="-31"/>
        </w:rPr>
        <w:t xml:space="preserve"> </w:t>
      </w:r>
      <w:r w:rsidRPr="00F10314">
        <w:t>allocated efficiently and</w:t>
      </w:r>
      <w:r w:rsidRPr="00F10314">
        <w:rPr>
          <w:spacing w:val="-11"/>
        </w:rPr>
        <w:t xml:space="preserve"> </w:t>
      </w:r>
      <w:r w:rsidRPr="00F10314">
        <w:t>effectively</w:t>
      </w:r>
    </w:p>
    <w:p w14:paraId="4F1C6658" w14:textId="77777777" w:rsidR="00F10314" w:rsidRPr="00F10314" w:rsidRDefault="00F10314" w:rsidP="00331277">
      <w:pPr>
        <w:pStyle w:val="Numbers2"/>
      </w:pPr>
      <w:r w:rsidRPr="00F10314">
        <w:t>assessment of the capacity of the market to provide required services for HIV, HCB, HBV and HTLV testing in Australia to the required level to meet the Australian Government’s</w:t>
      </w:r>
      <w:r w:rsidRPr="00F10314">
        <w:rPr>
          <w:spacing w:val="-28"/>
        </w:rPr>
        <w:t xml:space="preserve"> </w:t>
      </w:r>
      <w:r w:rsidRPr="00F10314">
        <w:t>commitments to prevent the spread of blood borne viruses, including an assessment of the capacity of the market/existing laboratories to mobilise if required to provide the same</w:t>
      </w:r>
      <w:r w:rsidRPr="00F10314">
        <w:rPr>
          <w:spacing w:val="-29"/>
        </w:rPr>
        <w:t xml:space="preserve"> </w:t>
      </w:r>
      <w:r w:rsidRPr="00F10314">
        <w:t>services</w:t>
      </w:r>
    </w:p>
    <w:p w14:paraId="0F8F2260" w14:textId="2E174963" w:rsidR="00F10314" w:rsidRPr="00F10314" w:rsidRDefault="00F10314" w:rsidP="00331277">
      <w:pPr>
        <w:pStyle w:val="Numbers2"/>
      </w:pPr>
      <w:r w:rsidRPr="00F10314">
        <w:t>analys</w:t>
      </w:r>
      <w:r w:rsidR="00331277">
        <w:t>e</w:t>
      </w:r>
      <w:r w:rsidRPr="00F10314">
        <w:t xml:space="preserve"> the potential impacts/risks on the safety of the Australian blood supply, industry,</w:t>
      </w:r>
      <w:r w:rsidRPr="00F10314">
        <w:rPr>
          <w:spacing w:val="-32"/>
        </w:rPr>
        <w:t xml:space="preserve"> </w:t>
      </w:r>
      <w:r w:rsidRPr="00F10314">
        <w:t xml:space="preserve">and consumers if there was a change to current </w:t>
      </w:r>
      <w:r w:rsidRPr="00F10314">
        <w:lastRenderedPageBreak/>
        <w:t>arrangements for the required services, including tendering arrangements or transitioning to a cost-recovery</w:t>
      </w:r>
      <w:r w:rsidRPr="00F10314">
        <w:rPr>
          <w:spacing w:val="-21"/>
        </w:rPr>
        <w:t xml:space="preserve"> </w:t>
      </w:r>
      <w:r w:rsidRPr="00F10314">
        <w:t>model</w:t>
      </w:r>
    </w:p>
    <w:p w14:paraId="01267FA4" w14:textId="72B89EF4" w:rsidR="00F10314" w:rsidRPr="00F10314" w:rsidRDefault="00331277" w:rsidP="00331277">
      <w:pPr>
        <w:pStyle w:val="Numbers1"/>
      </w:pPr>
      <w:r>
        <w:t>provide o</w:t>
      </w:r>
      <w:r w:rsidR="00F10314" w:rsidRPr="00F10314">
        <w:t>ptions on the services and effective and efficient funding models to meet Australia’s ongoing requirements for relevant HIV, HCV, HBV and HTLV testing (taking into account any perceived or actual impact on the safety of the blood</w:t>
      </w:r>
      <w:r w:rsidR="00F10314" w:rsidRPr="00F10314">
        <w:rPr>
          <w:spacing w:val="-17"/>
        </w:rPr>
        <w:t xml:space="preserve"> </w:t>
      </w:r>
      <w:r w:rsidR="00F10314" w:rsidRPr="00F10314">
        <w:t>supply)</w:t>
      </w:r>
      <w:r>
        <w:t xml:space="preserve">, and </w:t>
      </w:r>
    </w:p>
    <w:p w14:paraId="335BDE3B" w14:textId="4FDEDF42" w:rsidR="00F10314" w:rsidRDefault="00331277" w:rsidP="00331277">
      <w:pPr>
        <w:pStyle w:val="Numbers1"/>
      </w:pPr>
      <w:r>
        <w:t>provide o</w:t>
      </w:r>
      <w:r w:rsidR="00F10314" w:rsidRPr="00F10314">
        <w:t>ptions on potential integration and/or collaboration with existing services or programs administered</w:t>
      </w:r>
      <w:r w:rsidR="00F10314" w:rsidRPr="00F10314">
        <w:rPr>
          <w:spacing w:val="-31"/>
        </w:rPr>
        <w:t xml:space="preserve"> </w:t>
      </w:r>
      <w:r w:rsidR="00F10314" w:rsidRPr="00F10314">
        <w:t>by other entities, such as the National Blood</w:t>
      </w:r>
      <w:r w:rsidR="00F10314" w:rsidRPr="00F10314">
        <w:rPr>
          <w:spacing w:val="-26"/>
        </w:rPr>
        <w:t xml:space="preserve"> </w:t>
      </w:r>
      <w:r w:rsidR="00F10314" w:rsidRPr="00F10314">
        <w:t>Authority</w:t>
      </w:r>
      <w:r>
        <w:t xml:space="preserve">. </w:t>
      </w:r>
    </w:p>
    <w:p w14:paraId="7FF3C182" w14:textId="77777777" w:rsidR="00D80E58" w:rsidRDefault="00AD0F52" w:rsidP="00B31B03">
      <w:pPr>
        <w:pStyle w:val="Heading2"/>
      </w:pPr>
      <w:bookmarkStart w:id="18" w:name="_Toc18664622"/>
      <w:r>
        <w:t>historical context</w:t>
      </w:r>
      <w:bookmarkEnd w:id="18"/>
      <w:r>
        <w:t xml:space="preserve"> </w:t>
      </w:r>
    </w:p>
    <w:p w14:paraId="45538360" w14:textId="5BAFCD27" w:rsidR="008D645A" w:rsidRDefault="008D645A" w:rsidP="008D645A">
      <w:pPr>
        <w:pStyle w:val="BodyCopy"/>
      </w:pPr>
      <w:r>
        <w:t>In Australia, the</w:t>
      </w:r>
      <w:r w:rsidRPr="006B1195">
        <w:t xml:space="preserve"> first HIV</w:t>
      </w:r>
      <w:r w:rsidR="00082A7E">
        <w:t>-</w:t>
      </w:r>
      <w:r w:rsidRPr="006B1195">
        <w:t>related death was reported in 1984. In the same year, the first transfusion</w:t>
      </w:r>
      <w:r w:rsidR="00082A7E">
        <w:t>-</w:t>
      </w:r>
      <w:r w:rsidRPr="006B1195">
        <w:t>related HIV infection was reported and a uniform donor declaration form</w:t>
      </w:r>
      <w:r>
        <w:t xml:space="preserve"> was introduced</w:t>
      </w:r>
      <w:r w:rsidRPr="006B1195">
        <w:t xml:space="preserve"> </w:t>
      </w:r>
      <w:sdt>
        <w:sdtPr>
          <w:id w:val="-898354596"/>
          <w:citation/>
        </w:sdtPr>
        <w:sdtEndPr/>
        <w:sdtContent>
          <w:r w:rsidR="00BC3EAB" w:rsidRPr="006B1195">
            <w:fldChar w:fldCharType="begin"/>
          </w:r>
          <w:r w:rsidR="00BC3EAB" w:rsidRPr="006B1195">
            <w:instrText xml:space="preserve"> CITATION Par04 \l 3081 </w:instrText>
          </w:r>
          <w:r w:rsidR="00BC3EAB" w:rsidRPr="006B1195">
            <w:fldChar w:fldCharType="separate"/>
          </w:r>
          <w:r w:rsidR="005B3EFB" w:rsidRPr="005B3EFB">
            <w:rPr>
              <w:noProof/>
            </w:rPr>
            <w:t>[1]</w:t>
          </w:r>
          <w:r w:rsidR="00BC3EAB" w:rsidRPr="006B1195">
            <w:fldChar w:fldCharType="end"/>
          </w:r>
        </w:sdtContent>
      </w:sdt>
      <w:r w:rsidR="005B3EFB">
        <w:t>.</w:t>
      </w:r>
    </w:p>
    <w:p w14:paraId="2FE3CA20" w14:textId="61D8536E" w:rsidR="008D645A" w:rsidRDefault="008D645A" w:rsidP="008D645A">
      <w:pPr>
        <w:pStyle w:val="BodyCopy"/>
      </w:pPr>
      <w:r>
        <w:t xml:space="preserve">In response, </w:t>
      </w:r>
      <w:r w:rsidRPr="006B1195">
        <w:t>HIV serological testing for all blood donations was introduced</w:t>
      </w:r>
      <w:r>
        <w:t xml:space="preserve"> in 1985 </w:t>
      </w:r>
      <w:sdt>
        <w:sdtPr>
          <w:id w:val="132295472"/>
          <w:citation/>
        </w:sdtPr>
        <w:sdtEndPr/>
        <w:sdtContent>
          <w:r w:rsidR="00BC3EAB" w:rsidRPr="006B1195">
            <w:fldChar w:fldCharType="begin"/>
          </w:r>
          <w:r w:rsidR="00BC3EAB" w:rsidRPr="006B1195">
            <w:instrText xml:space="preserve"> CITATION Par04 \l 3081 </w:instrText>
          </w:r>
          <w:r w:rsidR="00BC3EAB" w:rsidRPr="006B1195">
            <w:fldChar w:fldCharType="separate"/>
          </w:r>
          <w:r w:rsidR="005B3EFB" w:rsidRPr="005B3EFB">
            <w:rPr>
              <w:noProof/>
            </w:rPr>
            <w:t>[1]</w:t>
          </w:r>
          <w:r w:rsidR="00BC3EAB" w:rsidRPr="006B1195">
            <w:fldChar w:fldCharType="end"/>
          </w:r>
        </w:sdtContent>
      </w:sdt>
      <w:r>
        <w:t xml:space="preserve"> and NRL was established </w:t>
      </w:r>
      <w:r w:rsidRPr="006B1195">
        <w:t>to evaluate HIV tests and adjudicate on the interpretation of HIV test results</w:t>
      </w:r>
      <w:sdt>
        <w:sdtPr>
          <w:id w:val="-1228375762"/>
          <w:citation/>
        </w:sdtPr>
        <w:sdtEndPr/>
        <w:sdtContent>
          <w:r w:rsidR="005B3EFB" w:rsidRPr="00047802">
            <w:fldChar w:fldCharType="begin"/>
          </w:r>
          <w:r w:rsidR="005B3EFB" w:rsidRPr="00047802">
            <w:instrText xml:space="preserve"> CITATION Nat17A \l 3081 </w:instrText>
          </w:r>
          <w:r w:rsidR="005B3EFB" w:rsidRPr="00047802">
            <w:fldChar w:fldCharType="separate"/>
          </w:r>
          <w:r w:rsidR="005B3EFB">
            <w:rPr>
              <w:noProof/>
            </w:rPr>
            <w:t xml:space="preserve"> </w:t>
          </w:r>
          <w:r w:rsidR="005B3EFB" w:rsidRPr="005B3EFB">
            <w:rPr>
              <w:noProof/>
            </w:rPr>
            <w:t>[2]</w:t>
          </w:r>
          <w:r w:rsidR="005B3EFB" w:rsidRPr="00047802">
            <w:fldChar w:fldCharType="end"/>
          </w:r>
        </w:sdtContent>
      </w:sdt>
      <w:r w:rsidR="005B3EFB">
        <w:t>.</w:t>
      </w:r>
      <w:r w:rsidR="00AD0F52" w:rsidRPr="00AD0F52">
        <w:t xml:space="preserve"> </w:t>
      </w:r>
      <w:r w:rsidR="00AD0F52">
        <w:t xml:space="preserve">At this time </w:t>
      </w:r>
      <w:r w:rsidR="00AD0F52" w:rsidRPr="00047802">
        <w:t xml:space="preserve">serological testing for HIV was new, testing was not yet regulated under the </w:t>
      </w:r>
      <w:r w:rsidR="001D7A5E" w:rsidRPr="003E0E7D">
        <w:rPr>
          <w:rFonts w:cs="Garamond"/>
          <w:szCs w:val="24"/>
        </w:rPr>
        <w:t>Therapeutic Goods Administration (</w:t>
      </w:r>
      <w:r w:rsidR="00AD0F52" w:rsidRPr="00047802">
        <w:t>TGA</w:t>
      </w:r>
      <w:r w:rsidR="001D7A5E">
        <w:t>)</w:t>
      </w:r>
      <w:r w:rsidR="00AD0F52">
        <w:t>,</w:t>
      </w:r>
      <w:r w:rsidR="00AD0F52" w:rsidRPr="00047802">
        <w:t xml:space="preserve"> and very few laboratories </w:t>
      </w:r>
      <w:r w:rsidR="00AD0F52">
        <w:t>could</w:t>
      </w:r>
      <w:r w:rsidR="00AD0F52" w:rsidRPr="00047802">
        <w:t xml:space="preserve"> perform HIV tests.</w:t>
      </w:r>
      <w:r w:rsidR="001D7A5E">
        <w:t xml:space="preserve"> Today, most pathology laboratories with microbiology capacity are able to test for HIV and HCV and reference laboratories located in most jurisdictions can perform HIV confirmatory testing by serology and NAT. </w:t>
      </w:r>
    </w:p>
    <w:p w14:paraId="50CDF5B5" w14:textId="66AA07AC" w:rsidR="00AD0F52" w:rsidRPr="006B1195" w:rsidRDefault="00AD0F52" w:rsidP="00AD0F52">
      <w:pPr>
        <w:pStyle w:val="BodyCopy"/>
      </w:pPr>
      <w:r w:rsidRPr="006B1195">
        <w:t>In 1989 HCV was identified and by 1990 HCV screening commenced in all transfusion services</w:t>
      </w:r>
      <w:r w:rsidR="005B3EFB" w:rsidRPr="005B3EFB">
        <w:t xml:space="preserve"> </w:t>
      </w:r>
      <w:sdt>
        <w:sdtPr>
          <w:id w:val="-180742021"/>
          <w:citation/>
        </w:sdtPr>
        <w:sdtEndPr/>
        <w:sdtContent>
          <w:r w:rsidR="005B3EFB" w:rsidRPr="006B1195">
            <w:fldChar w:fldCharType="begin"/>
          </w:r>
          <w:r w:rsidR="005B3EFB" w:rsidRPr="006B1195">
            <w:instrText xml:space="preserve"> CITATION Par04 \l 3081 </w:instrText>
          </w:r>
          <w:r w:rsidR="005B3EFB" w:rsidRPr="006B1195">
            <w:fldChar w:fldCharType="separate"/>
          </w:r>
          <w:r w:rsidR="004C32EE" w:rsidRPr="004C32EE">
            <w:rPr>
              <w:noProof/>
            </w:rPr>
            <w:t>[1]</w:t>
          </w:r>
          <w:r w:rsidR="005B3EFB" w:rsidRPr="006B1195">
            <w:fldChar w:fldCharType="end"/>
          </w:r>
        </w:sdtContent>
      </w:sdt>
      <w:r w:rsidRPr="006B1195">
        <w:t xml:space="preserve">. In 1996, the </w:t>
      </w:r>
      <w:r w:rsidR="006254D9">
        <w:t xml:space="preserve">National </w:t>
      </w:r>
      <w:r w:rsidRPr="006B1195">
        <w:t>ARCBS was established</w:t>
      </w:r>
      <w:r w:rsidR="005B3EFB">
        <w:t xml:space="preserve"> </w:t>
      </w:r>
      <w:sdt>
        <w:sdtPr>
          <w:id w:val="925927972"/>
          <w:citation/>
        </w:sdtPr>
        <w:sdtEndPr/>
        <w:sdtContent>
          <w:r w:rsidR="005B3EFB" w:rsidRPr="006B1195">
            <w:fldChar w:fldCharType="begin"/>
          </w:r>
          <w:r w:rsidR="005B3EFB" w:rsidRPr="006B1195">
            <w:instrText xml:space="preserve"> CITATION Par04 \l 3081 </w:instrText>
          </w:r>
          <w:r w:rsidR="005B3EFB" w:rsidRPr="006B1195">
            <w:fldChar w:fldCharType="separate"/>
          </w:r>
          <w:r w:rsidR="004C32EE" w:rsidRPr="004C32EE">
            <w:rPr>
              <w:noProof/>
            </w:rPr>
            <w:t>[1]</w:t>
          </w:r>
          <w:r w:rsidR="005B3EFB" w:rsidRPr="006B1195">
            <w:fldChar w:fldCharType="end"/>
          </w:r>
        </w:sdtContent>
      </w:sdt>
      <w:r w:rsidR="005B3EFB">
        <w:t>.</w:t>
      </w:r>
    </w:p>
    <w:p w14:paraId="0857F08E" w14:textId="52C09E11" w:rsidR="00AD7A58" w:rsidRDefault="00DA4F72" w:rsidP="00AD7A58">
      <w:pPr>
        <w:pStyle w:val="BodyCopy"/>
      </w:pPr>
      <w:r>
        <w:t xml:space="preserve">In 2003, the </w:t>
      </w:r>
      <w:r w:rsidR="006E333D">
        <w:t xml:space="preserve">national blood arrangements </w:t>
      </w:r>
      <w:r w:rsidR="00AD7A58">
        <w:t>were established to coordinate the blood supply at a national level. These arrangements</w:t>
      </w:r>
      <w:r>
        <w:t xml:space="preserve">, still in place, </w:t>
      </w:r>
      <w:r w:rsidR="00AD7A58">
        <w:t xml:space="preserve">are managed by the NBA on behalf of all Australian </w:t>
      </w:r>
      <w:r w:rsidR="00CC636C">
        <w:t>g</w:t>
      </w:r>
      <w:r w:rsidR="00AD7A58">
        <w:t>overnments, which all contribute to the funding arrangements</w:t>
      </w:r>
      <w:r w:rsidR="004C32EE">
        <w:t xml:space="preserve"> </w:t>
      </w:r>
      <w:sdt>
        <w:sdtPr>
          <w:id w:val="355010632"/>
          <w:citation/>
        </w:sdtPr>
        <w:sdtEndPr/>
        <w:sdtContent>
          <w:r w:rsidR="004C32EE">
            <w:fldChar w:fldCharType="begin"/>
          </w:r>
          <w:r w:rsidR="004C32EE">
            <w:instrText xml:space="preserve">CITATION Com17 \l 3081 </w:instrText>
          </w:r>
          <w:r w:rsidR="004C32EE">
            <w:fldChar w:fldCharType="separate"/>
          </w:r>
          <w:r w:rsidR="004C32EE" w:rsidRPr="004C32EE">
            <w:rPr>
              <w:noProof/>
            </w:rPr>
            <w:t>[3]</w:t>
          </w:r>
          <w:r w:rsidR="004C32EE">
            <w:fldChar w:fldCharType="end"/>
          </w:r>
        </w:sdtContent>
      </w:sdt>
      <w:r w:rsidR="004C32EE">
        <w:t>.</w:t>
      </w:r>
    </w:p>
    <w:p w14:paraId="30B43C39" w14:textId="07DC3067" w:rsidR="00AD7A58" w:rsidRDefault="00DA4F72" w:rsidP="00904EDD">
      <w:pPr>
        <w:pStyle w:val="BodyCopy"/>
      </w:pPr>
      <w:r>
        <w:t>At this time, the regulatory requirements for HIV and HCV required ARCBS to participate in</w:t>
      </w:r>
      <w:r w:rsidR="00CC636C">
        <w:t xml:space="preserve"> the</w:t>
      </w:r>
      <w:r>
        <w:t xml:space="preserve"> HIV and HCV QA program provide by the NRL (under TGA regulation established in 2000 under the </w:t>
      </w:r>
      <w:r w:rsidRPr="008458D4">
        <w:rPr>
          <w:i/>
        </w:rPr>
        <w:t>Therapeutic Goods Act 1989</w:t>
      </w:r>
      <w:r w:rsidRPr="00142DA5">
        <w:t xml:space="preserve"> </w:t>
      </w:r>
      <w:sdt>
        <w:sdtPr>
          <w:id w:val="-1142800567"/>
          <w:citation/>
        </w:sdtPr>
        <w:sdtEndPr/>
        <w:sdtContent>
          <w:r w:rsidR="004C32EE" w:rsidRPr="006B1195">
            <w:fldChar w:fldCharType="begin"/>
          </w:r>
          <w:r w:rsidR="004C32EE" w:rsidRPr="006B1195">
            <w:instrText xml:space="preserve"> CITATION Par04 \l 3081 </w:instrText>
          </w:r>
          <w:r w:rsidR="004C32EE" w:rsidRPr="006B1195">
            <w:fldChar w:fldCharType="separate"/>
          </w:r>
          <w:r w:rsidR="004C32EE" w:rsidRPr="004C32EE">
            <w:rPr>
              <w:noProof/>
            </w:rPr>
            <w:t>[1]</w:t>
          </w:r>
          <w:r w:rsidR="004C32EE" w:rsidRPr="006B1195">
            <w:fldChar w:fldCharType="end"/>
          </w:r>
        </w:sdtContent>
      </w:sdt>
      <w:r>
        <w:t xml:space="preserve">). Consequently, the NBA funding arrangement excluded these services, </w:t>
      </w:r>
      <w:r w:rsidR="00C30BBE">
        <w:t xml:space="preserve">as they </w:t>
      </w:r>
      <w:r>
        <w:t xml:space="preserve">were already funded by the Australian Government.  </w:t>
      </w:r>
    </w:p>
    <w:p w14:paraId="0D7718DF" w14:textId="7C66148B" w:rsidR="00AD7A58" w:rsidRDefault="006254D9" w:rsidP="00CC636C">
      <w:pPr>
        <w:pStyle w:val="BodyCopy"/>
      </w:pPr>
      <w:r>
        <w:t>In July 2010,</w:t>
      </w:r>
      <w:r w:rsidRPr="00047802">
        <w:t xml:space="preserve"> </w:t>
      </w:r>
      <w:r>
        <w:t>a new regulatory framework was introduced for</w:t>
      </w:r>
      <w:r w:rsidRPr="00047802">
        <w:t xml:space="preserve"> IVDs</w:t>
      </w:r>
      <w:r>
        <w:t xml:space="preserve">, </w:t>
      </w:r>
      <w:r w:rsidR="00904EDD">
        <w:t>which changed the regulatory involvement of NRL</w:t>
      </w:r>
      <w:r w:rsidR="00AD7A58">
        <w:t xml:space="preserve"> in the registration of IVD on the </w:t>
      </w:r>
      <w:r w:rsidR="001D7A5E">
        <w:t>Australian Register of Therapeutic Goods (</w:t>
      </w:r>
      <w:r w:rsidR="00AD7A58">
        <w:t>ARTG</w:t>
      </w:r>
      <w:r w:rsidR="001D7A5E">
        <w:t>)</w:t>
      </w:r>
      <w:r w:rsidR="00AD7A58">
        <w:t>. Under the new regulations</w:t>
      </w:r>
      <w:r w:rsidR="00DA4F72">
        <w:t xml:space="preserve">, </w:t>
      </w:r>
      <w:r w:rsidR="00AD7A58">
        <w:t xml:space="preserve">laboratories are able to choose a supplier of a </w:t>
      </w:r>
      <w:r w:rsidR="00AD7A58" w:rsidRPr="00AD7A58">
        <w:t>relevant</w:t>
      </w:r>
      <w:r w:rsidR="00AD7A58">
        <w:t xml:space="preserve"> QA program (which may or may not be NRL)</w:t>
      </w:r>
      <w:r w:rsidR="004C32EE">
        <w:t xml:space="preserve"> </w:t>
      </w:r>
      <w:sdt>
        <w:sdtPr>
          <w:id w:val="686641245"/>
          <w:citation/>
        </w:sdtPr>
        <w:sdtEndPr/>
        <w:sdtContent>
          <w:r w:rsidR="004C32EE">
            <w:fldChar w:fldCharType="begin"/>
          </w:r>
          <w:r w:rsidR="004C32EE">
            <w:instrText xml:space="preserve"> CITATION McN17 \l 3081 </w:instrText>
          </w:r>
          <w:r w:rsidR="004C32EE">
            <w:fldChar w:fldCharType="separate"/>
          </w:r>
          <w:r w:rsidR="004C32EE" w:rsidRPr="004C32EE">
            <w:rPr>
              <w:noProof/>
            </w:rPr>
            <w:t>[4]</w:t>
          </w:r>
          <w:r w:rsidR="004C32EE">
            <w:fldChar w:fldCharType="end"/>
          </w:r>
        </w:sdtContent>
      </w:sdt>
      <w:r w:rsidR="00AD7A58">
        <w:t xml:space="preserve">. </w:t>
      </w:r>
    </w:p>
    <w:p w14:paraId="2D01E566" w14:textId="77777777" w:rsidR="001D7A5E" w:rsidRDefault="001D7A5E" w:rsidP="00AD7A58">
      <w:pPr>
        <w:pStyle w:val="BodyCopy"/>
      </w:pPr>
      <w:r>
        <w:t xml:space="preserve">To allow time for compliance, the new regulatory framework was introduced through a staged transition process. The transition period for the IVD regulatory framework ended on 30 June 2017. </w:t>
      </w:r>
    </w:p>
    <w:p w14:paraId="3CCA5159" w14:textId="167A8283" w:rsidR="00400FE3" w:rsidRPr="006B1195" w:rsidRDefault="001D7A5E" w:rsidP="00AD7A58">
      <w:pPr>
        <w:pStyle w:val="BodyCopy"/>
      </w:pPr>
      <w:r>
        <w:t xml:space="preserve">It is timely to now review the funding arrangements for the in-scope services in consideration of the significant changes to regulatory requirements, and the expansion of testing service provision and market capacity. </w:t>
      </w:r>
      <w:r w:rsidR="00400FE3">
        <w:t xml:space="preserve">A timeline of events relating to HIV and HCV testing in Australia is provided at </w:t>
      </w:r>
      <w:r w:rsidR="00400FE3">
        <w:fldChar w:fldCharType="begin"/>
      </w:r>
      <w:r w:rsidR="00400FE3">
        <w:instrText xml:space="preserve"> REF _Ref1051333 \r \h </w:instrText>
      </w:r>
      <w:r w:rsidR="00400FE3">
        <w:fldChar w:fldCharType="separate"/>
      </w:r>
      <w:r w:rsidR="0078683A">
        <w:t>Appendix A</w:t>
      </w:r>
      <w:r w:rsidR="00400FE3">
        <w:fldChar w:fldCharType="end"/>
      </w:r>
      <w:r w:rsidR="00082A7E">
        <w:t>.</w:t>
      </w:r>
    </w:p>
    <w:p w14:paraId="389F8E43" w14:textId="77777777" w:rsidR="00B26346" w:rsidRPr="006A46D9" w:rsidRDefault="008D645A" w:rsidP="00B31B03">
      <w:pPr>
        <w:pStyle w:val="Heading2"/>
      </w:pPr>
      <w:r>
        <w:t xml:space="preserve"> </w:t>
      </w:r>
      <w:bookmarkStart w:id="19" w:name="_Toc18664623"/>
      <w:r w:rsidR="006D7BBF">
        <w:t>Summary of</w:t>
      </w:r>
      <w:r w:rsidR="00B26346">
        <w:t xml:space="preserve"> </w:t>
      </w:r>
      <w:r w:rsidR="00B26346" w:rsidRPr="006A46D9">
        <w:t>review methodology</w:t>
      </w:r>
      <w:bookmarkEnd w:id="19"/>
      <w:r w:rsidR="00B26346" w:rsidRPr="006A46D9">
        <w:t xml:space="preserve"> </w:t>
      </w:r>
    </w:p>
    <w:p w14:paraId="0948202F" w14:textId="59D2829F" w:rsidR="002F1960" w:rsidRDefault="00B26346" w:rsidP="004C32EE">
      <w:pPr>
        <w:pStyle w:val="Bullets1"/>
        <w:numPr>
          <w:ilvl w:val="0"/>
          <w:numId w:val="0"/>
        </w:numPr>
      </w:pPr>
      <w:r>
        <w:t xml:space="preserve">This review was conducted in and informed by three key stages: desktop review, consultation with key stakeholders, and survey of laboratories utilising the funded services. More information on the review methodology is available at </w:t>
      </w:r>
      <w:r w:rsidR="00400FE3">
        <w:rPr>
          <w:b/>
        </w:rPr>
        <w:fldChar w:fldCharType="begin"/>
      </w:r>
      <w:r w:rsidR="00400FE3">
        <w:instrText xml:space="preserve"> REF _Ref1051340 \r \h </w:instrText>
      </w:r>
      <w:r w:rsidR="00400FE3">
        <w:rPr>
          <w:b/>
        </w:rPr>
      </w:r>
      <w:r w:rsidR="00400FE3">
        <w:rPr>
          <w:b/>
        </w:rPr>
        <w:fldChar w:fldCharType="separate"/>
      </w:r>
      <w:r w:rsidR="0078683A">
        <w:t>Appendix B</w:t>
      </w:r>
      <w:r w:rsidR="00400FE3">
        <w:rPr>
          <w:b/>
        </w:rPr>
        <w:fldChar w:fldCharType="end"/>
      </w:r>
      <w:r w:rsidR="00400FE3" w:rsidRPr="00991729">
        <w:t>.</w:t>
      </w:r>
      <w:r w:rsidR="004C32EE">
        <w:t xml:space="preserve"> </w:t>
      </w:r>
      <w:bookmarkEnd w:id="8"/>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383A1D" w:rsidRPr="003E0E7D" w14:paraId="4758E930" w14:textId="77777777" w:rsidTr="003E0E7D">
        <w:trPr>
          <w:cantSplit/>
          <w:trHeight w:hRule="exact" w:val="1871"/>
        </w:trPr>
        <w:tc>
          <w:tcPr>
            <w:tcW w:w="5000" w:type="pct"/>
            <w:shd w:val="solid" w:color="FFFFFF" w:fill="FFFFFF"/>
            <w:vAlign w:val="bottom"/>
          </w:tcPr>
          <w:p w14:paraId="2F07551C" w14:textId="77777777" w:rsidR="00383A1D" w:rsidRPr="003E0E7D" w:rsidRDefault="00681054" w:rsidP="003E0E7D">
            <w:pPr>
              <w:pStyle w:val="Heading1"/>
            </w:pPr>
            <w:bookmarkStart w:id="20" w:name="_Toc18664624"/>
            <w:r w:rsidRPr="003E0E7D">
              <w:lastRenderedPageBreak/>
              <w:t>Testing for Blood Borne VIruses</w:t>
            </w:r>
            <w:bookmarkEnd w:id="20"/>
            <w:r w:rsidRPr="003E0E7D">
              <w:t xml:space="preserve"> </w:t>
            </w:r>
          </w:p>
        </w:tc>
      </w:tr>
    </w:tbl>
    <w:p w14:paraId="38F6C45C" w14:textId="04921408" w:rsidR="00E32EE3" w:rsidRDefault="00D4493C" w:rsidP="00DD5BC5">
      <w:pPr>
        <w:pStyle w:val="BodyCopy"/>
      </w:pPr>
      <w:r>
        <w:t xml:space="preserve">BBV </w:t>
      </w:r>
      <w:r w:rsidR="00681054">
        <w:t xml:space="preserve">is a term used to refer to viruses </w:t>
      </w:r>
      <w:r w:rsidR="009A44E4">
        <w:t>that</w:t>
      </w:r>
      <w:r w:rsidR="00681054">
        <w:t xml:space="preserve"> </w:t>
      </w:r>
      <w:r>
        <w:t>can be</w:t>
      </w:r>
      <w:r w:rsidR="00681054">
        <w:t xml:space="preserve"> transmitted through contact with contaminated blood. </w:t>
      </w:r>
      <w:r w:rsidR="00341B6C">
        <w:t>Tests used to detect BBVs work by testing for viral antigens</w:t>
      </w:r>
      <w:r w:rsidR="00E93B42">
        <w:t>, antibodies or nucleic acids</w:t>
      </w:r>
      <w:r w:rsidR="00070A9A">
        <w:t>.</w:t>
      </w:r>
      <w:r w:rsidR="00341B6C">
        <w:t xml:space="preserve"> </w:t>
      </w:r>
      <w:r w:rsidR="00DB558F">
        <w:t>T</w:t>
      </w:r>
      <w:r w:rsidR="006A46D9">
        <w:t xml:space="preserve">o ensure that </w:t>
      </w:r>
      <w:r w:rsidR="00070A9A">
        <w:t>test results</w:t>
      </w:r>
      <w:r w:rsidR="006A46D9">
        <w:t xml:space="preserve"> are correct, it is important</w:t>
      </w:r>
      <w:r w:rsidR="009E0611">
        <w:t xml:space="preserve"> to ensure that the testing procedures </w:t>
      </w:r>
      <w:r w:rsidR="00663ADD">
        <w:t xml:space="preserve">and platforms </w:t>
      </w:r>
      <w:r w:rsidR="0084007B">
        <w:t xml:space="preserve">used are </w:t>
      </w:r>
      <w:r w:rsidR="0002340D">
        <w:t>reliable</w:t>
      </w:r>
      <w:r w:rsidR="0084007B">
        <w:t xml:space="preserve"> and </w:t>
      </w:r>
      <w:r w:rsidR="00663ADD">
        <w:t xml:space="preserve">performing </w:t>
      </w:r>
      <w:r w:rsidR="009E0611">
        <w:t xml:space="preserve">at the expected </w:t>
      </w:r>
      <w:r w:rsidR="00663ADD">
        <w:t>standard</w:t>
      </w:r>
      <w:r w:rsidR="00262C98">
        <w:t>s</w:t>
      </w:r>
      <w:r w:rsidR="009E0611">
        <w:t xml:space="preserve">. </w:t>
      </w:r>
      <w:r w:rsidR="00DA422F">
        <w:t xml:space="preserve">To this end, numerous regulatory processes </w:t>
      </w:r>
      <w:r w:rsidR="0002340D">
        <w:t xml:space="preserve">and standards </w:t>
      </w:r>
      <w:r w:rsidR="000F6CEB">
        <w:t xml:space="preserve">are </w:t>
      </w:r>
      <w:r w:rsidR="00DA422F">
        <w:t>in place to ensure that technology and kits available in Australia f</w:t>
      </w:r>
      <w:r w:rsidR="000F6CEB">
        <w:t>or testing of BBV</w:t>
      </w:r>
      <w:r w:rsidR="00DA422F">
        <w:t xml:space="preserve">s are maintained at a high standard, with minimal rates of error. </w:t>
      </w:r>
      <w:r w:rsidR="009E0611">
        <w:t>T</w:t>
      </w:r>
      <w:r w:rsidR="000F6CEB">
        <w:t>his includes requirements for</w:t>
      </w:r>
      <w:r w:rsidR="009E0611">
        <w:t xml:space="preserve"> Australian </w:t>
      </w:r>
      <w:r w:rsidR="008101E9">
        <w:t xml:space="preserve">pathology </w:t>
      </w:r>
      <w:r w:rsidR="009E0611">
        <w:t>laboratories</w:t>
      </w:r>
      <w:r w:rsidR="00952202">
        <w:t xml:space="preserve"> </w:t>
      </w:r>
      <w:r w:rsidR="00E93B42">
        <w:t xml:space="preserve">and the </w:t>
      </w:r>
      <w:r w:rsidR="000E23B3">
        <w:t>ARCBS</w:t>
      </w:r>
      <w:r w:rsidR="00AF18AB">
        <w:t xml:space="preserve"> </w:t>
      </w:r>
      <w:r w:rsidR="0084007B">
        <w:t>laboratories</w:t>
      </w:r>
      <w:r w:rsidR="000F6CEB">
        <w:t xml:space="preserve"> that </w:t>
      </w:r>
      <w:r w:rsidR="00952202">
        <w:t>use Class 4 IVDs</w:t>
      </w:r>
      <w:r w:rsidR="004B0D0F">
        <w:t xml:space="preserve"> </w:t>
      </w:r>
      <w:r w:rsidR="009E0611">
        <w:t xml:space="preserve">to </w:t>
      </w:r>
      <w:r w:rsidR="004F3E3C">
        <w:t xml:space="preserve">participate in </w:t>
      </w:r>
      <w:r w:rsidR="008A11B2">
        <w:t>QA</w:t>
      </w:r>
      <w:r w:rsidR="004F3E3C">
        <w:t>/</w:t>
      </w:r>
      <w:r w:rsidR="008A11B2">
        <w:t>QC</w:t>
      </w:r>
      <w:r w:rsidR="004F3E3C">
        <w:t xml:space="preserve"> programs</w:t>
      </w:r>
      <w:r w:rsidR="00070A9A">
        <w:t xml:space="preserve">. </w:t>
      </w:r>
      <w:r w:rsidR="000F6CEB">
        <w:t>Requirements</w:t>
      </w:r>
      <w:r w:rsidR="009E0611">
        <w:t xml:space="preserve"> include </w:t>
      </w:r>
      <w:r w:rsidR="0084007B">
        <w:t>QA</w:t>
      </w:r>
      <w:r w:rsidR="009E0611">
        <w:t xml:space="preserve"> designed to be</w:t>
      </w:r>
      <w:r w:rsidR="005F21B8">
        <w:t xml:space="preserve"> a</w:t>
      </w:r>
      <w:r w:rsidR="009E0611">
        <w:t xml:space="preserve"> </w:t>
      </w:r>
      <w:r w:rsidR="005F21B8">
        <w:t>point-in-</w:t>
      </w:r>
      <w:r w:rsidR="009E0611">
        <w:t>time check of the entire laboratory system</w:t>
      </w:r>
      <w:r w:rsidR="005F21B8">
        <w:t>,</w:t>
      </w:r>
      <w:r w:rsidR="009E0611">
        <w:t xml:space="preserve"> and </w:t>
      </w:r>
      <w:r w:rsidR="0084007B">
        <w:t>QC</w:t>
      </w:r>
      <w:r w:rsidR="009E0611">
        <w:t xml:space="preserve"> measures designed to provide ongoing checks for specific assays. </w:t>
      </w:r>
    </w:p>
    <w:p w14:paraId="6DD7C2CE" w14:textId="392D62DC" w:rsidR="00124104" w:rsidRDefault="00124104" w:rsidP="00124104">
      <w:pPr>
        <w:pStyle w:val="BodyCopy"/>
      </w:pPr>
      <w:r>
        <w:t>The Australian Government is committed to ensuring the safety and security of the Australian blood supply. The impact of a blood donation returning a false negative result is the potential infection of multiple blood recipients (a single blood donation can be used to help three or more recipients (when separated into blood components)</w:t>
      </w:r>
      <w:r w:rsidR="004C32EE">
        <w:t xml:space="preserve"> </w:t>
      </w:r>
      <w:sdt>
        <w:sdtPr>
          <w:id w:val="-1182208294"/>
          <w:citation/>
        </w:sdtPr>
        <w:sdtEndPr/>
        <w:sdtContent>
          <w:r w:rsidR="004C32EE">
            <w:fldChar w:fldCharType="begin"/>
          </w:r>
          <w:r w:rsidR="007054D1">
            <w:rPr>
              <w:lang w:val="en-US"/>
            </w:rPr>
            <w:instrText xml:space="preserve">CITATION ust \l 1033 </w:instrText>
          </w:r>
          <w:r w:rsidR="004C32EE">
            <w:fldChar w:fldCharType="separate"/>
          </w:r>
          <w:r w:rsidR="007054D1" w:rsidRPr="007054D1">
            <w:rPr>
              <w:noProof/>
              <w:lang w:val="en-US"/>
            </w:rPr>
            <w:t>[5]</w:t>
          </w:r>
          <w:r w:rsidR="004C32EE">
            <w:fldChar w:fldCharType="end"/>
          </w:r>
        </w:sdtContent>
      </w:sdt>
      <w:r>
        <w:t xml:space="preserve">). Similarly, an at-risk individual </w:t>
      </w:r>
      <w:r w:rsidR="00082A7E">
        <w:t>who</w:t>
      </w:r>
      <w:r>
        <w:t xml:space="preserve"> falsely tests negative for a BBV could subsequently spread the infection to others</w:t>
      </w:r>
      <w:r w:rsidR="00082A7E">
        <w:t>,</w:t>
      </w:r>
      <w:r>
        <w:t xml:space="preserve"> e.g. their sexual partner(s). </w:t>
      </w:r>
      <w:r w:rsidR="00602062">
        <w:t xml:space="preserve">Both of these scenarios pose a public health risk: the likelihood of harm if exposed and consequence if infection occurs is high for HIV and moderate for </w:t>
      </w:r>
      <w:r w:rsidR="00010F58">
        <w:t>HBV and HCV</w:t>
      </w:r>
      <w:r w:rsidR="00602062">
        <w:t xml:space="preserve"> Ensuring accurate and reliable testing for BBVs is therefore essential.</w:t>
      </w:r>
    </w:p>
    <w:p w14:paraId="09593A52" w14:textId="77777777" w:rsidR="00A14422" w:rsidRDefault="008101E9" w:rsidP="00DD5BC5">
      <w:pPr>
        <w:pStyle w:val="BodyCopy"/>
      </w:pPr>
      <w:r>
        <w:t xml:space="preserve">The primary </w:t>
      </w:r>
      <w:r w:rsidR="000F6CEB">
        <w:t>purpose</w:t>
      </w:r>
      <w:r>
        <w:t xml:space="preserve"> of the Australian Government </w:t>
      </w:r>
      <w:r w:rsidR="008A11B2">
        <w:t>fund</w:t>
      </w:r>
      <w:r w:rsidR="00397E1A">
        <w:t xml:space="preserve">ing under review </w:t>
      </w:r>
      <w:r>
        <w:t xml:space="preserve">is to provide </w:t>
      </w:r>
      <w:r w:rsidR="008A11B2">
        <w:t>QA</w:t>
      </w:r>
      <w:r>
        <w:t xml:space="preserve"> and </w:t>
      </w:r>
      <w:r w:rsidR="008A11B2">
        <w:t>QC</w:t>
      </w:r>
      <w:r>
        <w:t xml:space="preserve"> services for </w:t>
      </w:r>
      <w:r w:rsidR="000F6CEB">
        <w:t xml:space="preserve">the </w:t>
      </w:r>
      <w:r w:rsidR="004B0D0F">
        <w:t xml:space="preserve">use of Australian laboratories that </w:t>
      </w:r>
      <w:r w:rsidR="007B395B">
        <w:t>test</w:t>
      </w:r>
      <w:r w:rsidR="003F3BC8">
        <w:t xml:space="preserve"> </w:t>
      </w:r>
      <w:r w:rsidR="00AF18AB">
        <w:t xml:space="preserve">for </w:t>
      </w:r>
      <w:r w:rsidR="00B74F72">
        <w:t>BBV</w:t>
      </w:r>
      <w:r w:rsidR="000F6CEB">
        <w:t>s</w:t>
      </w:r>
      <w:r w:rsidR="00397E1A">
        <w:t xml:space="preserve">, specifically </w:t>
      </w:r>
      <w:r w:rsidR="00283769">
        <w:t>HIV</w:t>
      </w:r>
      <w:r w:rsidR="00CC636C">
        <w:t xml:space="preserve"> and </w:t>
      </w:r>
      <w:r w:rsidR="00283769">
        <w:t>HCV.</w:t>
      </w:r>
      <w:r w:rsidR="00397E1A">
        <w:t xml:space="preserve"> </w:t>
      </w:r>
      <w:r w:rsidR="009E0611">
        <w:t>In addition,</w:t>
      </w:r>
      <w:r w:rsidR="000F6CEB">
        <w:t xml:space="preserve"> funding is provided to</w:t>
      </w:r>
      <w:r w:rsidR="002C6EC3">
        <w:t xml:space="preserve"> support</w:t>
      </w:r>
      <w:r w:rsidR="00DB0C2E">
        <w:t xml:space="preserve"> specificity </w:t>
      </w:r>
      <w:r w:rsidR="004F3E3C">
        <w:t>monitoring</w:t>
      </w:r>
      <w:r w:rsidR="00DB0C2E">
        <w:t xml:space="preserve"> for the ARCBS. </w:t>
      </w:r>
      <w:r w:rsidR="009E0611">
        <w:t>Combined</w:t>
      </w:r>
      <w:r w:rsidR="00BF4424">
        <w:t>,</w:t>
      </w:r>
      <w:r w:rsidR="009E0611">
        <w:t xml:space="preserve"> these activities ensure the testing of </w:t>
      </w:r>
      <w:r w:rsidR="0012142E">
        <w:t>BBV</w:t>
      </w:r>
      <w:r w:rsidR="009E0611">
        <w:t xml:space="preserve"> in Australia is </w:t>
      </w:r>
      <w:r w:rsidR="00602062">
        <w:t xml:space="preserve">reliable, </w:t>
      </w:r>
      <w:r w:rsidR="009E0611">
        <w:t>accurate and that the blood supply is not contaminated</w:t>
      </w:r>
      <w:r w:rsidR="003F3BC8">
        <w:t xml:space="preserve">. </w:t>
      </w:r>
    </w:p>
    <w:p w14:paraId="3F1F1B67" w14:textId="77777777" w:rsidR="003E4470" w:rsidRDefault="004E0CBA" w:rsidP="00DD5BC5">
      <w:pPr>
        <w:pStyle w:val="BodyCopy"/>
      </w:pPr>
      <w:r>
        <w:t>Under the agreement</w:t>
      </w:r>
      <w:r w:rsidR="00C35085">
        <w:t>,</w:t>
      </w:r>
      <w:r w:rsidR="00C30BBE">
        <w:t xml:space="preserve"> although not related to the safety of the blood supply,</w:t>
      </w:r>
      <w:r w:rsidR="003E4470">
        <w:t xml:space="preserve"> the NRL also performs a small </w:t>
      </w:r>
      <w:r w:rsidR="00C35085">
        <w:t>amount of</w:t>
      </w:r>
      <w:r w:rsidR="003E4470">
        <w:t xml:space="preserve"> viral testing on </w:t>
      </w:r>
      <w:r w:rsidR="00FC58F4">
        <w:t xml:space="preserve">HIV and HTLV </w:t>
      </w:r>
      <w:r w:rsidR="003E4470">
        <w:t xml:space="preserve">samples that </w:t>
      </w:r>
      <w:r w:rsidR="00C35085">
        <w:t>require</w:t>
      </w:r>
      <w:r w:rsidR="003E4470">
        <w:t xml:space="preserve"> adjudication as to their </w:t>
      </w:r>
      <w:r w:rsidR="002C6EC3">
        <w:t xml:space="preserve">type </w:t>
      </w:r>
      <w:r w:rsidR="003E4470">
        <w:t xml:space="preserve">status.  </w:t>
      </w:r>
    </w:p>
    <w:p w14:paraId="276B206D" w14:textId="77777777" w:rsidR="009E438C" w:rsidRPr="00D73E89" w:rsidRDefault="00BF4424" w:rsidP="00CE662D">
      <w:pPr>
        <w:pStyle w:val="Heading2"/>
      </w:pPr>
      <w:bookmarkStart w:id="21" w:name="_Toc18664625"/>
      <w:r w:rsidRPr="00CE662D">
        <w:t>Purpose of laboratory</w:t>
      </w:r>
      <w:r w:rsidR="009E438C" w:rsidRPr="00CE662D">
        <w:t xml:space="preserve"> testing</w:t>
      </w:r>
      <w:r w:rsidR="00B61696" w:rsidRPr="00CE662D">
        <w:t xml:space="preserve"> for blood </w:t>
      </w:r>
      <w:r w:rsidR="00B61696" w:rsidRPr="000C2536">
        <w:t>borne viruses</w:t>
      </w:r>
      <w:bookmarkEnd w:id="21"/>
      <w:r w:rsidR="009E438C" w:rsidRPr="000C2536">
        <w:t xml:space="preserve">  </w:t>
      </w:r>
    </w:p>
    <w:p w14:paraId="53C7BF8D" w14:textId="77777777" w:rsidR="00934594" w:rsidRDefault="002C6EC3" w:rsidP="00EC3F06">
      <w:pPr>
        <w:pStyle w:val="Bullets1"/>
        <w:keepNext/>
        <w:keepLines/>
        <w:numPr>
          <w:ilvl w:val="0"/>
          <w:numId w:val="0"/>
        </w:numPr>
      </w:pPr>
      <w:r>
        <w:t xml:space="preserve">In Australia, </w:t>
      </w:r>
      <w:r w:rsidR="008048DD">
        <w:t xml:space="preserve">tests for </w:t>
      </w:r>
      <w:r>
        <w:t>BBV</w:t>
      </w:r>
      <w:r w:rsidR="008048DD">
        <w:t xml:space="preserve">s </w:t>
      </w:r>
      <w:r>
        <w:t xml:space="preserve">are </w:t>
      </w:r>
      <w:r w:rsidR="008048DD">
        <w:t>performed</w:t>
      </w:r>
      <w:r w:rsidR="008F676F">
        <w:t xml:space="preserve"> for three</w:t>
      </w:r>
      <w:r w:rsidR="00934594">
        <w:t xml:space="preserve"> reasons:</w:t>
      </w:r>
    </w:p>
    <w:p w14:paraId="310C68C7" w14:textId="77777777" w:rsidR="00116965" w:rsidRPr="006A46D9" w:rsidRDefault="002C6EC3" w:rsidP="00EC3F06">
      <w:pPr>
        <w:pStyle w:val="Bullets1"/>
        <w:keepNext/>
        <w:keepLines/>
      </w:pPr>
      <w:r w:rsidRPr="00AC1205">
        <w:t xml:space="preserve">disease </w:t>
      </w:r>
      <w:r w:rsidRPr="006A46D9">
        <w:rPr>
          <w:b/>
        </w:rPr>
        <w:t>diagnosis</w:t>
      </w:r>
    </w:p>
    <w:p w14:paraId="441C6AFE" w14:textId="77777777" w:rsidR="00116965" w:rsidRPr="00AC1205" w:rsidRDefault="002C6EC3" w:rsidP="00AC1205">
      <w:pPr>
        <w:pStyle w:val="Bullets1"/>
      </w:pPr>
      <w:r w:rsidRPr="006A46D9">
        <w:rPr>
          <w:b/>
        </w:rPr>
        <w:t>clinical monitoring</w:t>
      </w:r>
      <w:r w:rsidRPr="00AC1205">
        <w:t>, and</w:t>
      </w:r>
    </w:p>
    <w:p w14:paraId="11415DCE" w14:textId="77777777" w:rsidR="00116965" w:rsidRPr="00AC1205" w:rsidRDefault="002C6EC3" w:rsidP="00AC1205">
      <w:pPr>
        <w:pStyle w:val="Bullets1"/>
      </w:pPr>
      <w:r w:rsidRPr="006A46D9">
        <w:rPr>
          <w:b/>
        </w:rPr>
        <w:t>screening</w:t>
      </w:r>
      <w:r w:rsidRPr="00AC1205">
        <w:t xml:space="preserve"> of donations (blood, organ and tissue).</w:t>
      </w:r>
    </w:p>
    <w:p w14:paraId="13B85EE9" w14:textId="77777777" w:rsidR="00116965" w:rsidRDefault="00116965" w:rsidP="006A46D9">
      <w:pPr>
        <w:pStyle w:val="Bullets1"/>
        <w:numPr>
          <w:ilvl w:val="0"/>
          <w:numId w:val="0"/>
        </w:numPr>
      </w:pPr>
      <w:r>
        <w:t>Secondary testing includes:</w:t>
      </w:r>
    </w:p>
    <w:p w14:paraId="231DD787" w14:textId="695D0F2D" w:rsidR="00AC1205" w:rsidRDefault="002C6EC3" w:rsidP="00AC1205">
      <w:pPr>
        <w:pStyle w:val="Bullets1"/>
      </w:pPr>
      <w:r w:rsidRPr="006A46D9">
        <w:rPr>
          <w:b/>
        </w:rPr>
        <w:t>confirmatory testing</w:t>
      </w:r>
      <w:r w:rsidR="00C9156B">
        <w:t xml:space="preserve"> </w:t>
      </w:r>
      <w:r w:rsidR="0060732F">
        <w:t>for samples that test positive,</w:t>
      </w:r>
      <w:r w:rsidR="0060732F" w:rsidDel="0060732F">
        <w:t xml:space="preserve"> </w:t>
      </w:r>
      <w:r w:rsidR="00CE662D">
        <w:t xml:space="preserve">equivocal or indeterminate </w:t>
      </w:r>
      <w:r w:rsidR="00AC1205">
        <w:t>and</w:t>
      </w:r>
    </w:p>
    <w:p w14:paraId="4AE22970" w14:textId="7947BDB6" w:rsidR="00BF4424" w:rsidRDefault="00C9156B" w:rsidP="00AC1205">
      <w:pPr>
        <w:pStyle w:val="Bullets1"/>
      </w:pPr>
      <w:r w:rsidRPr="00AC1205">
        <w:rPr>
          <w:b/>
        </w:rPr>
        <w:t>reference testing</w:t>
      </w:r>
      <w:r w:rsidRPr="00AC1205">
        <w:t xml:space="preserve"> </w:t>
      </w:r>
      <w:r w:rsidR="0060732F">
        <w:t>for samples that test</w:t>
      </w:r>
      <w:r w:rsidRPr="00ED3F82">
        <w:t xml:space="preserve"> </w:t>
      </w:r>
      <w:r w:rsidR="0060732F">
        <w:t>that require adjudication as to their status</w:t>
      </w:r>
      <w:r>
        <w:t>.</w:t>
      </w:r>
    </w:p>
    <w:p w14:paraId="10F8C4D4" w14:textId="77777777" w:rsidR="00920EB7" w:rsidRDefault="006F14C4" w:rsidP="006A46D9">
      <w:pPr>
        <w:pStyle w:val="Heading2"/>
      </w:pPr>
      <w:bookmarkStart w:id="22" w:name="_Toc18664626"/>
      <w:bookmarkStart w:id="23" w:name="_Toc467496940"/>
      <w:r>
        <w:t xml:space="preserve">QA and </w:t>
      </w:r>
      <w:r w:rsidR="006D7BBF">
        <w:t xml:space="preserve">QC </w:t>
      </w:r>
      <w:r>
        <w:t>of BBV tests</w:t>
      </w:r>
      <w:bookmarkEnd w:id="22"/>
    </w:p>
    <w:p w14:paraId="32A3B4BC" w14:textId="176257D5" w:rsidR="00EF774F" w:rsidRDefault="00784DA3">
      <w:pPr>
        <w:pStyle w:val="BodyCopy"/>
      </w:pPr>
      <w:r>
        <w:t xml:space="preserve">QA and QC are critical to laboratories ensuring that the platforms and kits used to detect BBVs </w:t>
      </w:r>
      <w:r w:rsidR="00F11117">
        <w:t>are performing as intended and producing correct results.</w:t>
      </w:r>
      <w:r w:rsidR="006E6086">
        <w:t xml:space="preserve"> </w:t>
      </w:r>
      <w:r w:rsidR="005F1FB7">
        <w:t>QA and QC can be summarised as:</w:t>
      </w:r>
    </w:p>
    <w:p w14:paraId="4D596138" w14:textId="67311F0A" w:rsidR="005F1FB7" w:rsidRDefault="005F1FB7" w:rsidP="00AA73E9">
      <w:pPr>
        <w:pStyle w:val="Bullets1"/>
      </w:pPr>
      <w:r w:rsidRPr="005F1FB7">
        <w:rPr>
          <w:b/>
        </w:rPr>
        <w:t>QA:</w:t>
      </w:r>
      <w:r w:rsidRPr="00DC0313">
        <w:t xml:space="preserve"> </w:t>
      </w:r>
      <w:r>
        <w:t>(</w:t>
      </w:r>
      <w:r w:rsidRPr="00DC0313">
        <w:t>usually conducted by an external agency</w:t>
      </w:r>
      <w:r>
        <w:t xml:space="preserve">) </w:t>
      </w:r>
      <w:r w:rsidRPr="00DC0313">
        <w:t xml:space="preserve">is primarily designed to determine the </w:t>
      </w:r>
      <w:r>
        <w:t xml:space="preserve">laboratory </w:t>
      </w:r>
      <w:r w:rsidRPr="00DC0313">
        <w:t>performance for specific tests or test procedures, and to monitor continuing performance</w:t>
      </w:r>
      <w:r>
        <w:t xml:space="preserve"> of a laboratory</w:t>
      </w:r>
      <w:r w:rsidR="004C32EE">
        <w:t xml:space="preserve"> </w:t>
      </w:r>
      <w:sdt>
        <w:sdtPr>
          <w:id w:val="-2010589564"/>
          <w:citation/>
        </w:sdtPr>
        <w:sdtEndPr/>
        <w:sdtContent>
          <w:r w:rsidR="004C32EE">
            <w:fldChar w:fldCharType="begin"/>
          </w:r>
          <w:r w:rsidR="004C32EE">
            <w:instrText xml:space="preserve">CITATION Placeholder1 \l 3081 </w:instrText>
          </w:r>
          <w:r w:rsidR="004C32EE">
            <w:fldChar w:fldCharType="separate"/>
          </w:r>
          <w:r w:rsidR="000C17B5" w:rsidRPr="000C17B5">
            <w:rPr>
              <w:noProof/>
            </w:rPr>
            <w:t>[6]</w:t>
          </w:r>
          <w:r w:rsidR="004C32EE">
            <w:fldChar w:fldCharType="end"/>
          </w:r>
        </w:sdtContent>
      </w:sdt>
      <w:r w:rsidRPr="00DC0313">
        <w:t xml:space="preserve">. </w:t>
      </w:r>
    </w:p>
    <w:p w14:paraId="78F381C6" w14:textId="672F1A87" w:rsidR="005F1FB7" w:rsidRDefault="005F1FB7" w:rsidP="00AA73E9">
      <w:pPr>
        <w:pStyle w:val="Bullets1"/>
      </w:pPr>
      <w:r>
        <w:rPr>
          <w:b/>
        </w:rPr>
        <w:t>QC:</w:t>
      </w:r>
      <w:r w:rsidRPr="00DC0313">
        <w:t xml:space="preserve"> results provide an objective means of assessing the reliability and comparative accuracy of the data through inter-</w:t>
      </w:r>
      <w:r>
        <w:t>l</w:t>
      </w:r>
      <w:r w:rsidRPr="00DC0313">
        <w:t>aboratory comparisons</w:t>
      </w:r>
      <w:r w:rsidR="004C32EE">
        <w:t xml:space="preserve"> </w:t>
      </w:r>
      <w:sdt>
        <w:sdtPr>
          <w:id w:val="921988570"/>
          <w:citation/>
        </w:sdtPr>
        <w:sdtEndPr/>
        <w:sdtContent>
          <w:r w:rsidR="004C32EE">
            <w:fldChar w:fldCharType="begin"/>
          </w:r>
          <w:r w:rsidR="004C32EE">
            <w:instrText xml:space="preserve">CITATION Placeholder1 \l 3081 </w:instrText>
          </w:r>
          <w:r w:rsidR="004C32EE">
            <w:fldChar w:fldCharType="separate"/>
          </w:r>
          <w:r w:rsidR="000C17B5" w:rsidRPr="000C17B5">
            <w:rPr>
              <w:noProof/>
            </w:rPr>
            <w:t>[6]</w:t>
          </w:r>
          <w:r w:rsidR="004C32EE">
            <w:fldChar w:fldCharType="end"/>
          </w:r>
        </w:sdtContent>
      </w:sdt>
      <w:r w:rsidRPr="00DC0313">
        <w:t xml:space="preserve">. </w:t>
      </w:r>
    </w:p>
    <w:p w14:paraId="39B52D90" w14:textId="125AC862" w:rsidR="0087320E" w:rsidRDefault="00940CE3" w:rsidP="00940CE3">
      <w:pPr>
        <w:pStyle w:val="BodyCopy"/>
      </w:pPr>
      <w:r>
        <w:lastRenderedPageBreak/>
        <w:t xml:space="preserve">The ARCBS and pathology laboratory testing processes are illustrated in </w:t>
      </w:r>
      <w:r>
        <w:fldChar w:fldCharType="begin"/>
      </w:r>
      <w:r>
        <w:instrText xml:space="preserve"> REF _Ref425033 \h </w:instrText>
      </w:r>
      <w:r>
        <w:fldChar w:fldCharType="separate"/>
      </w:r>
      <w:r w:rsidR="0078683A">
        <w:t xml:space="preserve">Figure </w:t>
      </w:r>
      <w:r w:rsidR="0078683A">
        <w:rPr>
          <w:noProof/>
        </w:rPr>
        <w:t>2</w:t>
      </w:r>
      <w:r w:rsidR="0078683A">
        <w:t>.</w:t>
      </w:r>
      <w:r w:rsidR="0078683A">
        <w:rPr>
          <w:noProof/>
        </w:rPr>
        <w:t>1</w:t>
      </w:r>
      <w:r>
        <w:fldChar w:fldCharType="end"/>
      </w:r>
      <w:r>
        <w:t xml:space="preserve"> and </w:t>
      </w:r>
      <w:r>
        <w:fldChar w:fldCharType="begin"/>
      </w:r>
      <w:r>
        <w:instrText xml:space="preserve"> REF _Ref513814584 \h </w:instrText>
      </w:r>
      <w:r>
        <w:fldChar w:fldCharType="separate"/>
      </w:r>
      <w:r w:rsidR="0078683A">
        <w:t xml:space="preserve">Figure </w:t>
      </w:r>
      <w:r w:rsidR="0078683A">
        <w:rPr>
          <w:noProof/>
        </w:rPr>
        <w:t>2</w:t>
      </w:r>
      <w:r w:rsidR="0078683A">
        <w:t>.</w:t>
      </w:r>
      <w:r w:rsidR="0078683A">
        <w:rPr>
          <w:noProof/>
        </w:rPr>
        <w:t>2</w:t>
      </w:r>
      <w:r>
        <w:fldChar w:fldCharType="end"/>
      </w:r>
      <w:r>
        <w:t xml:space="preserve">, respectively. </w:t>
      </w:r>
    </w:p>
    <w:p w14:paraId="65F0D591" w14:textId="77777777" w:rsidR="0087320E" w:rsidRDefault="0087320E" w:rsidP="00940CE3">
      <w:pPr>
        <w:pStyle w:val="BodyCopy"/>
      </w:pPr>
    </w:p>
    <w:p w14:paraId="4A375E4E" w14:textId="77777777" w:rsidR="007F5851" w:rsidRDefault="007F5851" w:rsidP="005F1FB7">
      <w:pPr>
        <w:pStyle w:val="Caption"/>
        <w:sectPr w:rsidR="007F5851" w:rsidSect="007F5851">
          <w:headerReference w:type="default" r:id="rId27"/>
          <w:footerReference w:type="default" r:id="rId28"/>
          <w:type w:val="continuous"/>
          <w:pgSz w:w="16839" w:h="11907" w:orient="landscape" w:code="9"/>
          <w:pgMar w:top="2268" w:right="1304" w:bottom="850" w:left="737" w:header="567" w:footer="284" w:gutter="0"/>
          <w:cols w:num="2" w:space="709"/>
          <w:docGrid w:linePitch="360"/>
        </w:sectPr>
      </w:pPr>
      <w:bookmarkStart w:id="24" w:name="_Ref513814576"/>
    </w:p>
    <w:p w14:paraId="4929AD1A" w14:textId="0A33463C" w:rsidR="005F1FB7" w:rsidRPr="005F1FB7" w:rsidRDefault="005F1FB7" w:rsidP="005F1FB7">
      <w:pPr>
        <w:pStyle w:val="Caption"/>
        <w:rPr>
          <w:rStyle w:val="Captionnotbold"/>
        </w:rPr>
      </w:pPr>
      <w:bookmarkStart w:id="25" w:name="_Ref425033"/>
      <w:r>
        <w:lastRenderedPageBreak/>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2</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1</w:t>
      </w:r>
      <w:r w:rsidR="0083660F">
        <w:rPr>
          <w:noProof/>
        </w:rPr>
        <w:fldChar w:fldCharType="end"/>
      </w:r>
      <w:bookmarkEnd w:id="24"/>
      <w:bookmarkEnd w:id="25"/>
      <w:r>
        <w:t xml:space="preserve">: </w:t>
      </w:r>
      <w:r w:rsidR="00EC0F82">
        <w:rPr>
          <w:rStyle w:val="Captionnotbold"/>
        </w:rPr>
        <w:t>ARCBS</w:t>
      </w:r>
      <w:r w:rsidRPr="00F6537F">
        <w:rPr>
          <w:rStyle w:val="Captionnotbold"/>
        </w:rPr>
        <w:t xml:space="preserve"> testing process</w:t>
      </w:r>
      <w:r>
        <w:rPr>
          <w:rStyle w:val="Captionnotbold"/>
        </w:rPr>
        <w:t xml:space="preserve"> and relationship of in-scope services</w:t>
      </w:r>
    </w:p>
    <w:p w14:paraId="5EE2A552" w14:textId="77777777" w:rsidR="005F1FB7" w:rsidRDefault="005E30D2" w:rsidP="005F1FB7">
      <w:pPr>
        <w:pStyle w:val="BodyCopy"/>
        <w:jc w:val="center"/>
      </w:pPr>
      <w:r w:rsidRPr="005E30D2">
        <w:rPr>
          <w:noProof/>
          <w:lang w:eastAsia="en-AU"/>
        </w:rPr>
        <w:drawing>
          <wp:inline distT="0" distB="0" distL="0" distR="0" wp14:anchorId="7DF7EFBB" wp14:editId="4A567AC4">
            <wp:extent cx="8782050" cy="4505325"/>
            <wp:effectExtent l="0" t="0" r="0" b="0"/>
            <wp:docPr id="81" name="Picture 81"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0" cy="4505325"/>
                    </a:xfrm>
                    <a:prstGeom prst="rect">
                      <a:avLst/>
                    </a:prstGeom>
                    <a:noFill/>
                    <a:ln>
                      <a:noFill/>
                    </a:ln>
                  </pic:spPr>
                </pic:pic>
              </a:graphicData>
            </a:graphic>
          </wp:inline>
        </w:drawing>
      </w:r>
    </w:p>
    <w:p w14:paraId="37ED23B1" w14:textId="695A5D03" w:rsidR="005F1FB7" w:rsidRPr="005F1FB7" w:rsidRDefault="005F1FB7" w:rsidP="005F1FB7">
      <w:pPr>
        <w:pStyle w:val="Caption"/>
        <w:rPr>
          <w:rStyle w:val="Captionnotbold"/>
        </w:rPr>
      </w:pPr>
      <w:bookmarkStart w:id="26" w:name="_Ref513814584"/>
      <w:r>
        <w:lastRenderedPageBreak/>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2</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2</w:t>
      </w:r>
      <w:r w:rsidR="0083660F">
        <w:rPr>
          <w:noProof/>
        </w:rPr>
        <w:fldChar w:fldCharType="end"/>
      </w:r>
      <w:bookmarkEnd w:id="26"/>
      <w:r>
        <w:t xml:space="preserve">: </w:t>
      </w:r>
      <w:r>
        <w:rPr>
          <w:rStyle w:val="Captionnotbold"/>
        </w:rPr>
        <w:t>Accredited Pathology Laboratory</w:t>
      </w:r>
      <w:r w:rsidRPr="00F6537F">
        <w:rPr>
          <w:rStyle w:val="Captionnotbold"/>
        </w:rPr>
        <w:t xml:space="preserve"> testing process</w:t>
      </w:r>
      <w:r>
        <w:rPr>
          <w:rStyle w:val="Captionnotbold"/>
        </w:rPr>
        <w:t xml:space="preserve"> and relationship of in-scope services</w:t>
      </w:r>
    </w:p>
    <w:p w14:paraId="1F7EFC2B" w14:textId="77777777" w:rsidR="00993E18" w:rsidRDefault="00D66D4D" w:rsidP="00753314">
      <w:pPr>
        <w:pStyle w:val="BodyCopy"/>
        <w:jc w:val="center"/>
      </w:pPr>
      <w:r>
        <w:rPr>
          <w:noProof/>
          <w:lang w:eastAsia="en-AU"/>
        </w:rPr>
        <w:drawing>
          <wp:inline distT="0" distB="0" distL="0" distR="0" wp14:anchorId="511826C6" wp14:editId="5FBC1BB8">
            <wp:extent cx="8067675" cy="4657725"/>
            <wp:effectExtent l="0" t="0" r="9525" b="0"/>
            <wp:docPr id="51" name="Picture 81" title="Figur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67675" cy="4657725"/>
                    </a:xfrm>
                    <a:prstGeom prst="rect">
                      <a:avLst/>
                    </a:prstGeom>
                    <a:noFill/>
                    <a:ln>
                      <a:noFill/>
                    </a:ln>
                  </pic:spPr>
                </pic:pic>
              </a:graphicData>
            </a:graphic>
          </wp:inline>
        </w:drawing>
      </w:r>
    </w:p>
    <w:p w14:paraId="659CC04E" w14:textId="77777777" w:rsidR="00993E18" w:rsidRDefault="00993E18" w:rsidP="006232D5">
      <w:pPr>
        <w:pStyle w:val="BodyCopy"/>
        <w:sectPr w:rsidR="00993E18" w:rsidSect="0087320E">
          <w:pgSz w:w="16839" w:h="11907" w:orient="landscape" w:code="9"/>
          <w:pgMar w:top="2268" w:right="1304" w:bottom="851" w:left="737" w:header="567" w:footer="284" w:gutter="0"/>
          <w:cols w:space="709"/>
          <w:docGrid w:linePitch="360"/>
        </w:sectPr>
      </w:pP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370C46" w:rsidRPr="003E0E7D" w14:paraId="5D18064E" w14:textId="77777777" w:rsidTr="003E0E7D">
        <w:trPr>
          <w:cantSplit/>
          <w:trHeight w:hRule="exact" w:val="1871"/>
        </w:trPr>
        <w:tc>
          <w:tcPr>
            <w:tcW w:w="5000" w:type="pct"/>
            <w:shd w:val="solid" w:color="FFFFFF" w:fill="FFFFFF"/>
            <w:vAlign w:val="bottom"/>
          </w:tcPr>
          <w:p w14:paraId="498A6380" w14:textId="77777777" w:rsidR="00370C46" w:rsidRPr="003E0E7D" w:rsidRDefault="001E78F2" w:rsidP="003E0E7D">
            <w:pPr>
              <w:pStyle w:val="Heading1"/>
            </w:pPr>
            <w:bookmarkStart w:id="27" w:name="_Toc18664627"/>
            <w:bookmarkEnd w:id="23"/>
            <w:r w:rsidRPr="003E0E7D">
              <w:lastRenderedPageBreak/>
              <w:t xml:space="preserve">REGULATORY and </w:t>
            </w:r>
            <w:r w:rsidR="006B0BD9" w:rsidRPr="003E0E7D">
              <w:t xml:space="preserve">accreditation </w:t>
            </w:r>
            <w:r w:rsidR="00370C46" w:rsidRPr="003E0E7D">
              <w:t>framework</w:t>
            </w:r>
            <w:bookmarkEnd w:id="27"/>
            <w:r w:rsidR="00370C46" w:rsidRPr="003E0E7D">
              <w:t xml:space="preserve"> </w:t>
            </w:r>
          </w:p>
        </w:tc>
      </w:tr>
    </w:tbl>
    <w:p w14:paraId="7DB6D23F" w14:textId="77777777" w:rsidR="00570D25" w:rsidRDefault="00417D31" w:rsidP="006A46D9">
      <w:pPr>
        <w:autoSpaceDE w:val="0"/>
        <w:autoSpaceDN w:val="0"/>
        <w:adjustRightInd w:val="0"/>
        <w:spacing w:after="120" w:line="240" w:lineRule="auto"/>
      </w:pPr>
      <w:r w:rsidRPr="006A46D9">
        <w:t xml:space="preserve">There are </w:t>
      </w:r>
      <w:r w:rsidRPr="00417D31">
        <w:t xml:space="preserve">a number of risk-based </w:t>
      </w:r>
      <w:r>
        <w:t>regulations</w:t>
      </w:r>
      <w:r w:rsidRPr="006A46D9">
        <w:t xml:space="preserve"> and </w:t>
      </w:r>
      <w:r>
        <w:t>standards</w:t>
      </w:r>
      <w:r w:rsidRPr="006A46D9">
        <w:t xml:space="preserve"> that set out requirements to ensure quality, competency and efficacy of laboratory systems in Australia.</w:t>
      </w:r>
      <w:r>
        <w:t xml:space="preserve"> </w:t>
      </w:r>
      <w:r w:rsidR="007A3189">
        <w:t>An understanding of the regulatory and accreditation context for the funded services is needed in order to assess the currency, appropriateness, and effectiveness of the funding arrangements under review. T</w:t>
      </w:r>
      <w:r w:rsidR="00DC3377">
        <w:t>h</w:t>
      </w:r>
      <w:r w:rsidR="005C3106">
        <w:t>is chapter</w:t>
      </w:r>
      <w:r w:rsidR="00DC3377">
        <w:t xml:space="preserve"> sets out the current regulatory and accreditation</w:t>
      </w:r>
      <w:r w:rsidR="007A3189">
        <w:t xml:space="preserve"> framework applicable</w:t>
      </w:r>
      <w:r w:rsidR="00937162">
        <w:t xml:space="preserve"> to the funded services</w:t>
      </w:r>
      <w:r w:rsidR="00570D25">
        <w:t xml:space="preserve">, </w:t>
      </w:r>
      <w:r w:rsidR="005C3106">
        <w:t>including</w:t>
      </w:r>
      <w:r w:rsidR="00570D25">
        <w:t>:</w:t>
      </w:r>
    </w:p>
    <w:p w14:paraId="69ACBB03" w14:textId="77777777" w:rsidR="000546EF" w:rsidRDefault="000546EF" w:rsidP="00570D25">
      <w:pPr>
        <w:pStyle w:val="Bullets1"/>
      </w:pPr>
      <w:r>
        <w:t>r</w:t>
      </w:r>
      <w:r w:rsidR="00AB7563">
        <w:t>egulation of IVDs for</w:t>
      </w:r>
      <w:r w:rsidR="00937162">
        <w:t xml:space="preserve"> use in Australia</w:t>
      </w:r>
    </w:p>
    <w:p w14:paraId="228F534F" w14:textId="77777777" w:rsidR="00937162" w:rsidRDefault="00937162" w:rsidP="00570D25">
      <w:pPr>
        <w:pStyle w:val="Bullets1"/>
      </w:pPr>
      <w:r>
        <w:t>regulatory role of the NRL in relation to the funded services</w:t>
      </w:r>
    </w:p>
    <w:p w14:paraId="6F7BC2C8" w14:textId="77777777" w:rsidR="000878B6" w:rsidRDefault="00570D25" w:rsidP="00570D25">
      <w:pPr>
        <w:pStyle w:val="Bullets1"/>
      </w:pPr>
      <w:r>
        <w:t>accreditation processes for laboratories</w:t>
      </w:r>
      <w:r w:rsidR="007F5851">
        <w:t xml:space="preserve">, and </w:t>
      </w:r>
    </w:p>
    <w:p w14:paraId="79EC5EA0" w14:textId="77777777" w:rsidR="00525492" w:rsidRDefault="000878B6" w:rsidP="00570D25">
      <w:pPr>
        <w:pStyle w:val="Bullets1"/>
      </w:pPr>
      <w:r>
        <w:t>regulations specific to the ARCBS</w:t>
      </w:r>
      <w:r w:rsidR="000546EF">
        <w:t>.</w:t>
      </w:r>
    </w:p>
    <w:p w14:paraId="7BF71695" w14:textId="77777777" w:rsidR="00F05978" w:rsidRDefault="00F05978" w:rsidP="00F05978">
      <w:pPr>
        <w:pStyle w:val="Heading2"/>
      </w:pPr>
      <w:bookmarkStart w:id="28" w:name="_Ref438126"/>
      <w:bookmarkStart w:id="29" w:name="_Toc18664628"/>
      <w:bookmarkStart w:id="30" w:name="_Ref478475076"/>
      <w:r>
        <w:t xml:space="preserve">Regulations for IVD Registration </w:t>
      </w:r>
      <w:r w:rsidR="00290790">
        <w:t>and </w:t>
      </w:r>
      <w:r>
        <w:t>use</w:t>
      </w:r>
      <w:bookmarkEnd w:id="28"/>
      <w:bookmarkEnd w:id="29"/>
    </w:p>
    <w:p w14:paraId="512A5913" w14:textId="63187C28" w:rsidR="00F05978" w:rsidRDefault="00F05978" w:rsidP="00F05978">
      <w:pPr>
        <w:pStyle w:val="BodyCopy"/>
      </w:pPr>
      <w:r>
        <w:t>T</w:t>
      </w:r>
      <w:r w:rsidR="005C3106">
        <w:t>he T</w:t>
      </w:r>
      <w:r>
        <w:t xml:space="preserve">GA </w:t>
      </w:r>
      <w:r w:rsidRPr="00382413">
        <w:t xml:space="preserve">is part of the </w:t>
      </w:r>
      <w:r>
        <w:t xml:space="preserve">Australian Government </w:t>
      </w:r>
      <w:r w:rsidRPr="00382413">
        <w:t xml:space="preserve">Department of Health and is responsible for regulating </w:t>
      </w:r>
      <w:r w:rsidR="005C3106">
        <w:t>therapeutic goods such as</w:t>
      </w:r>
      <w:r w:rsidR="00A94D60">
        <w:t xml:space="preserve"> </w:t>
      </w:r>
      <w:r w:rsidRPr="00382413">
        <w:t>medicines and medical devices</w:t>
      </w:r>
      <w:r w:rsidR="00387166">
        <w:t>, including IVDs</w:t>
      </w:r>
      <w:r w:rsidRPr="00047802">
        <w:t>.</w:t>
      </w:r>
      <w:r w:rsidR="00A94D60">
        <w:t xml:space="preserve"> The TGA regulates through a number of ways including</w:t>
      </w:r>
      <w:r w:rsidR="00AB7563">
        <w:t xml:space="preserve"> pre-market assessment, post-market monitoring, and enforcement of standards</w:t>
      </w:r>
      <w:r w:rsidR="004C32EE">
        <w:t xml:space="preserve"> </w:t>
      </w:r>
      <w:sdt>
        <w:sdtPr>
          <w:id w:val="-1908297734"/>
          <w:citation/>
        </w:sdtPr>
        <w:sdtEndPr/>
        <w:sdtContent>
          <w:r w:rsidR="004C32EE">
            <w:fldChar w:fldCharType="begin"/>
          </w:r>
          <w:r w:rsidR="007054D1">
            <w:rPr>
              <w:lang w:val="en-US"/>
            </w:rPr>
            <w:instrText xml:space="preserve">CITATION The \l 1033 </w:instrText>
          </w:r>
          <w:r w:rsidR="004C32EE">
            <w:fldChar w:fldCharType="separate"/>
          </w:r>
          <w:r w:rsidR="007054D1" w:rsidRPr="007054D1">
            <w:rPr>
              <w:noProof/>
              <w:lang w:val="en-US"/>
            </w:rPr>
            <w:t>[7]</w:t>
          </w:r>
          <w:r w:rsidR="004C32EE">
            <w:fldChar w:fldCharType="end"/>
          </w:r>
        </w:sdtContent>
      </w:sdt>
      <w:r w:rsidR="00AB7563">
        <w:t>.</w:t>
      </w:r>
      <w:r w:rsidR="00A94D60">
        <w:t xml:space="preserve"> </w:t>
      </w:r>
      <w:r w:rsidRPr="00047802">
        <w:t xml:space="preserve"> </w:t>
      </w:r>
    </w:p>
    <w:p w14:paraId="60A80CFC" w14:textId="3C8215C1" w:rsidR="007F5851" w:rsidRDefault="0090130E" w:rsidP="00F05978">
      <w:pPr>
        <w:pStyle w:val="BodyCopy"/>
      </w:pPr>
      <w:r>
        <w:t xml:space="preserve">An IVD is a medical device that is intended by the manufacturer to be used </w:t>
      </w:r>
      <w:r w:rsidRPr="006A46D9">
        <w:rPr>
          <w:i/>
        </w:rPr>
        <w:t>in vitro</w:t>
      </w:r>
      <w:r>
        <w:t xml:space="preserve"> (alone or in combination with other diagnostic goods) to examine specimens from the human body, solely or principally </w:t>
      </w:r>
      <w:r w:rsidR="009E4C7C">
        <w:t>to gain information</w:t>
      </w:r>
      <w:r>
        <w:t xml:space="preserve"> </w:t>
      </w:r>
      <w:r w:rsidR="009E4C7C">
        <w:t>about</w:t>
      </w:r>
      <w:r>
        <w:t xml:space="preserve"> </w:t>
      </w:r>
      <w:r w:rsidR="009E3AEE">
        <w:t xml:space="preserve">a physiological or </w:t>
      </w:r>
      <w:r w:rsidR="00F05978">
        <w:t>pathological st</w:t>
      </w:r>
      <w:r w:rsidR="009E3AEE">
        <w:t>ate in order to diagnose, monitor, screen and/or assess</w:t>
      </w:r>
      <w:r w:rsidR="004C32EE">
        <w:t xml:space="preserve"> </w:t>
      </w:r>
      <w:sdt>
        <w:sdtPr>
          <w:id w:val="-1955390844"/>
          <w:citation/>
        </w:sdtPr>
        <w:sdtEndPr/>
        <w:sdtContent>
          <w:r w:rsidR="004C32EE">
            <w:fldChar w:fldCharType="begin"/>
          </w:r>
          <w:r w:rsidR="007054D1">
            <w:rPr>
              <w:lang w:val="en-US"/>
            </w:rPr>
            <w:instrText xml:space="preserve">CITATION The1 \l 1033 </w:instrText>
          </w:r>
          <w:r w:rsidR="004C32EE">
            <w:fldChar w:fldCharType="separate"/>
          </w:r>
          <w:r w:rsidR="007054D1" w:rsidRPr="007054D1">
            <w:rPr>
              <w:noProof/>
              <w:lang w:val="en-US"/>
            </w:rPr>
            <w:t>[8]</w:t>
          </w:r>
          <w:r w:rsidR="004C32EE">
            <w:fldChar w:fldCharType="end"/>
          </w:r>
        </w:sdtContent>
      </w:sdt>
      <w:r w:rsidR="009E3AEE">
        <w:t>.</w:t>
      </w:r>
    </w:p>
    <w:p w14:paraId="6B7CDB66" w14:textId="147C8976" w:rsidR="00133B41" w:rsidRDefault="00766135" w:rsidP="00F05978">
      <w:pPr>
        <w:pStyle w:val="BodyCopy"/>
      </w:pPr>
      <w:r>
        <w:t xml:space="preserve">In Australia, </w:t>
      </w:r>
      <w:r w:rsidR="002F2CE2">
        <w:t>IVDs are regulated under the</w:t>
      </w:r>
      <w:r>
        <w:t xml:space="preserve"> Therapeutic Goods Act 1989 and the</w:t>
      </w:r>
      <w:r w:rsidR="002F2CE2">
        <w:t xml:space="preserve"> </w:t>
      </w:r>
      <w:hyperlink r:id="rId31" w:history="1">
        <w:r w:rsidR="002F2CE2" w:rsidRPr="00F93593">
          <w:rPr>
            <w:rStyle w:val="Hyperlink"/>
            <w:i/>
          </w:rPr>
          <w:t>Therapeutic Goods (Medical Devices) Regulations 2002</w:t>
        </w:r>
      </w:hyperlink>
      <w:r>
        <w:rPr>
          <w:i/>
        </w:rPr>
        <w:t xml:space="preserve"> </w:t>
      </w:r>
      <w:r>
        <w:t>(the Regulations)</w:t>
      </w:r>
      <w:r w:rsidR="000C17B5">
        <w:t xml:space="preserve"> </w:t>
      </w:r>
      <w:sdt>
        <w:sdtPr>
          <w:id w:val="-1002039025"/>
          <w:citation/>
        </w:sdtPr>
        <w:sdtEndPr/>
        <w:sdtContent>
          <w:r w:rsidR="000C17B5">
            <w:fldChar w:fldCharType="begin"/>
          </w:r>
          <w:r w:rsidR="007054D1">
            <w:rPr>
              <w:lang w:val="en-US"/>
            </w:rPr>
            <w:instrText xml:space="preserve">CITATION The2 \l 1033 </w:instrText>
          </w:r>
          <w:r w:rsidR="000C17B5">
            <w:fldChar w:fldCharType="separate"/>
          </w:r>
          <w:r w:rsidR="007054D1" w:rsidRPr="007054D1">
            <w:rPr>
              <w:noProof/>
              <w:lang w:val="en-US"/>
            </w:rPr>
            <w:t>[9]</w:t>
          </w:r>
          <w:r w:rsidR="000C17B5">
            <w:fldChar w:fldCharType="end"/>
          </w:r>
        </w:sdtContent>
      </w:sdt>
      <w:r w:rsidR="00763217">
        <w:t>.</w:t>
      </w:r>
      <w:r>
        <w:t xml:space="preserve"> The Regulations set out the regulatory requirements </w:t>
      </w:r>
      <w:r w:rsidR="002444D7">
        <w:t>for IVDs</w:t>
      </w:r>
      <w:r>
        <w:t xml:space="preserve"> including</w:t>
      </w:r>
      <w:r w:rsidR="002444D7">
        <w:t xml:space="preserve"> requirements for qual</w:t>
      </w:r>
      <w:r w:rsidR="007F5851">
        <w:t>ity management and monitoring. Under t</w:t>
      </w:r>
      <w:r w:rsidR="002444D7">
        <w:t>he Regulations</w:t>
      </w:r>
      <w:r w:rsidR="007F5851">
        <w:t xml:space="preserve">, IVDs are </w:t>
      </w:r>
      <w:r w:rsidR="002444D7">
        <w:t>regulate</w:t>
      </w:r>
      <w:r w:rsidR="007F5851">
        <w:t>d</w:t>
      </w:r>
      <w:r w:rsidR="002444D7">
        <w:t xml:space="preserve"> according to risk and incorporate best practice relating to ‘safety, quality and risk management procedures</w:t>
      </w:r>
      <w:r w:rsidR="005E30D2">
        <w:t>.</w:t>
      </w:r>
      <w:r w:rsidR="007F5851">
        <w:t>’</w:t>
      </w:r>
    </w:p>
    <w:p w14:paraId="2FF9C082" w14:textId="77777777" w:rsidR="00133B41" w:rsidRPr="00740E01" w:rsidRDefault="00133B41" w:rsidP="00740E01">
      <w:pPr>
        <w:pStyle w:val="ESHeading2"/>
        <w:rPr>
          <w:sz w:val="28"/>
          <w:szCs w:val="28"/>
        </w:rPr>
      </w:pPr>
      <w:r w:rsidRPr="00740E01">
        <w:rPr>
          <w:sz w:val="28"/>
          <w:szCs w:val="28"/>
        </w:rPr>
        <w:t xml:space="preserve">Essential </w:t>
      </w:r>
      <w:r w:rsidRPr="00740E01">
        <w:rPr>
          <w:rFonts w:asciiTheme="majorHAnsi" w:hAnsiTheme="majorHAnsi"/>
          <w:iCs/>
          <w:spacing w:val="-6"/>
          <w:sz w:val="28"/>
          <w:szCs w:val="28"/>
        </w:rPr>
        <w:t>principles</w:t>
      </w:r>
    </w:p>
    <w:p w14:paraId="1B5AF6CC" w14:textId="77777777" w:rsidR="002F2CE2" w:rsidRDefault="0014266D" w:rsidP="00133B41">
      <w:pPr>
        <w:pStyle w:val="BodyCopy"/>
      </w:pPr>
      <w:r>
        <w:t>The TGA regulations include a set of essential principles that set o</w:t>
      </w:r>
      <w:r w:rsidRPr="0014266D">
        <w:t xml:space="preserve">ut the requirements relating to the safety and performance characteristics of </w:t>
      </w:r>
      <w:r w:rsidR="00B55EEF">
        <w:t xml:space="preserve">medical devices, including </w:t>
      </w:r>
      <w:r>
        <w:t>IVDs.</w:t>
      </w:r>
      <w:r w:rsidR="00B55EEF">
        <w:t xml:space="preserve"> Two essential principles </w:t>
      </w:r>
      <w:r w:rsidR="001479DF">
        <w:t xml:space="preserve">relate to the QA and QC of IVDs: </w:t>
      </w:r>
    </w:p>
    <w:p w14:paraId="0BBAB319" w14:textId="77777777" w:rsidR="001479DF" w:rsidRDefault="00B55EEF" w:rsidP="00B55EEF">
      <w:pPr>
        <w:pStyle w:val="Bullets1"/>
      </w:pPr>
      <w:r>
        <w:t>If performance of an IVD medical device depends in whole or part on the use of calibrators or control materials, the traceability of values assigned to the calibrators or control material must be assured through a</w:t>
      </w:r>
      <w:r w:rsidR="001479DF">
        <w:t xml:space="preserve"> quality management system.</w:t>
      </w:r>
    </w:p>
    <w:p w14:paraId="14758866" w14:textId="225EAE45" w:rsidR="00B55EEF" w:rsidRPr="00F93593" w:rsidRDefault="00B55EEF" w:rsidP="00B55EEF">
      <w:pPr>
        <w:pStyle w:val="Bullets1"/>
      </w:pPr>
      <w:r>
        <w:t>An IVD medical device must, to the extent reasonably practicable, include provision for the user to verify, at the time of use, that the device will perform as intended by the manufacturer</w:t>
      </w:r>
      <w:r w:rsidR="000C17B5">
        <w:t xml:space="preserve"> </w:t>
      </w:r>
      <w:sdt>
        <w:sdtPr>
          <w:id w:val="-565721890"/>
          <w:citation/>
        </w:sdtPr>
        <w:sdtEndPr/>
        <w:sdtContent>
          <w:r w:rsidR="000C17B5">
            <w:fldChar w:fldCharType="begin"/>
          </w:r>
          <w:r w:rsidR="000C17B5">
            <w:instrText xml:space="preserve">CITATION The17 \l 3081 </w:instrText>
          </w:r>
          <w:r w:rsidR="000C17B5">
            <w:fldChar w:fldCharType="separate"/>
          </w:r>
          <w:r w:rsidR="000C17B5" w:rsidRPr="000C17B5">
            <w:rPr>
              <w:noProof/>
            </w:rPr>
            <w:t>[10]</w:t>
          </w:r>
          <w:r w:rsidR="000C17B5">
            <w:fldChar w:fldCharType="end"/>
          </w:r>
        </w:sdtContent>
      </w:sdt>
      <w:r w:rsidR="000C17B5">
        <w:t>.</w:t>
      </w:r>
    </w:p>
    <w:p w14:paraId="7BFE5B03" w14:textId="77777777" w:rsidR="00F05978" w:rsidRDefault="00441F87" w:rsidP="00F05978">
      <w:pPr>
        <w:pStyle w:val="Heading3"/>
      </w:pPr>
      <w:bookmarkStart w:id="31" w:name="_Toc18664629"/>
      <w:r>
        <w:t>Changing IVD regulations and role of the NRL</w:t>
      </w:r>
      <w:bookmarkEnd w:id="31"/>
      <w:r w:rsidR="00F05978">
        <w:t xml:space="preserve"> </w:t>
      </w:r>
    </w:p>
    <w:p w14:paraId="67F67780" w14:textId="77777777" w:rsidR="00F05978" w:rsidRPr="00047802" w:rsidRDefault="00F05978" w:rsidP="00F05978">
      <w:pPr>
        <w:pStyle w:val="BodyCopy"/>
      </w:pPr>
      <w:r w:rsidRPr="00047802">
        <w:t>In 1</w:t>
      </w:r>
      <w:r w:rsidR="00142DA5">
        <w:t>985 at the beginning of the HIV/</w:t>
      </w:r>
      <w:r w:rsidRPr="00047802">
        <w:t xml:space="preserve">AIDS epidemic, the NRL was established </w:t>
      </w:r>
      <w:r w:rsidR="009A4F97">
        <w:t xml:space="preserve">by the Australian Government </w:t>
      </w:r>
      <w:r w:rsidRPr="00047802">
        <w:t>to evaluate HIV tests and adjudicate on the interpretation of HIV test results.</w:t>
      </w:r>
      <w:r w:rsidR="00C9096B">
        <w:rPr>
          <w:noProof/>
        </w:rPr>
        <w:t xml:space="preserve"> </w:t>
      </w:r>
      <w:r w:rsidR="00C9096B" w:rsidRPr="003E0E7D">
        <w:rPr>
          <w:noProof/>
        </w:rPr>
        <w:t>[2]</w:t>
      </w:r>
      <w:r w:rsidRPr="00047802">
        <w:t xml:space="preserve"> This was at a time when serological testing for HIV was new, testing was not yet regulated under the TGA</w:t>
      </w:r>
      <w:r w:rsidR="00142DA5">
        <w:t>,</w:t>
      </w:r>
      <w:r w:rsidRPr="00047802">
        <w:t xml:space="preserve"> and very few laboratories </w:t>
      </w:r>
      <w:r w:rsidR="0094474A">
        <w:t>could</w:t>
      </w:r>
      <w:r w:rsidRPr="00047802">
        <w:t xml:space="preserve"> perform HIV tests. </w:t>
      </w:r>
    </w:p>
    <w:p w14:paraId="75535B9D" w14:textId="25ABE8F3" w:rsidR="00F05978" w:rsidRPr="00047802" w:rsidRDefault="00F05978" w:rsidP="00F05978">
      <w:pPr>
        <w:pStyle w:val="BodyCopy"/>
      </w:pPr>
      <w:r w:rsidRPr="00047802">
        <w:t>At this time, the role of the NRL was to ensure that the test kits in use for HIV testing were suitably sensitive and specific for screening and diagnosis, and to act as a referral source for HIV serological tests that could not be resolved by the testing laboratory (i.e. indeterminate results)</w:t>
      </w:r>
      <w:sdt>
        <w:sdtPr>
          <w:id w:val="1504158556"/>
          <w:citation/>
        </w:sdtPr>
        <w:sdtEndPr/>
        <w:sdtContent>
          <w:r w:rsidR="000C17B5" w:rsidRPr="00047802">
            <w:fldChar w:fldCharType="begin"/>
          </w:r>
          <w:r w:rsidR="000C17B5" w:rsidRPr="00047802">
            <w:instrText xml:space="preserve"> CITATION Nat17A \l 3081 </w:instrText>
          </w:r>
          <w:r w:rsidR="000C17B5" w:rsidRPr="00047802">
            <w:fldChar w:fldCharType="separate"/>
          </w:r>
          <w:r w:rsidR="000C17B5">
            <w:rPr>
              <w:noProof/>
            </w:rPr>
            <w:t xml:space="preserve"> </w:t>
          </w:r>
          <w:r w:rsidR="000C17B5" w:rsidRPr="005B3EFB">
            <w:rPr>
              <w:noProof/>
            </w:rPr>
            <w:t>[2]</w:t>
          </w:r>
          <w:r w:rsidR="000C17B5" w:rsidRPr="00047802">
            <w:fldChar w:fldCharType="end"/>
          </w:r>
        </w:sdtContent>
      </w:sdt>
      <w:r w:rsidRPr="00047802">
        <w:t>.</w:t>
      </w:r>
    </w:p>
    <w:p w14:paraId="19EE8861" w14:textId="27904E48" w:rsidR="00F05978" w:rsidRPr="00047802" w:rsidRDefault="00F05978" w:rsidP="00F05978">
      <w:pPr>
        <w:pStyle w:val="BodyCopy"/>
      </w:pPr>
      <w:r w:rsidRPr="00047802">
        <w:lastRenderedPageBreak/>
        <w:t xml:space="preserve">In 2000, the testing of fresh blood became regulated by the TGA </w:t>
      </w:r>
      <w:r w:rsidR="00142DA5" w:rsidRPr="00047802">
        <w:t xml:space="preserve">under the </w:t>
      </w:r>
      <w:r w:rsidR="00142DA5" w:rsidRPr="008458D4">
        <w:rPr>
          <w:i/>
        </w:rPr>
        <w:t>Therapeutic Goods Act 1989</w:t>
      </w:r>
      <w:r w:rsidR="00142DA5" w:rsidRPr="00142DA5">
        <w:t xml:space="preserve"> </w:t>
      </w:r>
      <w:sdt>
        <w:sdtPr>
          <w:id w:val="-1561480518"/>
          <w:citation/>
        </w:sdtPr>
        <w:sdtEndPr/>
        <w:sdtContent>
          <w:r w:rsidR="000C17B5">
            <w:fldChar w:fldCharType="begin"/>
          </w:r>
          <w:r w:rsidR="000C17B5">
            <w:rPr>
              <w:noProof/>
              <w:lang w:val="en-US"/>
            </w:rPr>
            <w:instrText xml:space="preserve"> CITATION NPAACHIV13 \l 1033 </w:instrText>
          </w:r>
          <w:r w:rsidR="000C17B5">
            <w:fldChar w:fldCharType="separate"/>
          </w:r>
          <w:r w:rsidR="000C17B5" w:rsidRPr="000C17B5">
            <w:rPr>
              <w:noProof/>
              <w:lang w:val="en-US"/>
            </w:rPr>
            <w:t>[11]</w:t>
          </w:r>
          <w:r w:rsidR="000C17B5">
            <w:fldChar w:fldCharType="end"/>
          </w:r>
        </w:sdtContent>
      </w:sdt>
      <w:r w:rsidR="000C17B5">
        <w:t xml:space="preserve"> </w:t>
      </w:r>
      <w:r w:rsidR="002444D7">
        <w:t>and</w:t>
      </w:r>
      <w:r w:rsidR="005A0A05">
        <w:t xml:space="preserve"> </w:t>
      </w:r>
      <w:r w:rsidRPr="00047802">
        <w:t xml:space="preserve">IVDs for HIV and HCV testing were required to be ‘registered’ on the ARTG. </w:t>
      </w:r>
      <w:r>
        <w:t xml:space="preserve">To </w:t>
      </w:r>
      <w:r w:rsidRPr="00047802">
        <w:t>be registered on the ARTG, HIV and HCV IVDs:</w:t>
      </w:r>
    </w:p>
    <w:p w14:paraId="6EF2ABE8" w14:textId="77777777" w:rsidR="00F05978" w:rsidRPr="00047802" w:rsidRDefault="00F05978" w:rsidP="00F05978">
      <w:pPr>
        <w:pStyle w:val="Bullets1"/>
      </w:pPr>
      <w:r>
        <w:t>underwent</w:t>
      </w:r>
      <w:r w:rsidRPr="00047802">
        <w:t xml:space="preserve"> a pre-market laboratory</w:t>
      </w:r>
      <w:r>
        <w:t>-</w:t>
      </w:r>
      <w:r w:rsidRPr="00047802">
        <w:t xml:space="preserve">based performance evaluation, undertaken by the NRL on behalf of the TGA, and </w:t>
      </w:r>
    </w:p>
    <w:p w14:paraId="6EB9C5BC" w14:textId="77777777" w:rsidR="00F05978" w:rsidRPr="00047802" w:rsidRDefault="00F05978" w:rsidP="00F05978">
      <w:pPr>
        <w:pStyle w:val="Bullets1"/>
      </w:pPr>
      <w:r w:rsidRPr="00047802">
        <w:t>laboratories using the IVDs ha</w:t>
      </w:r>
      <w:r w:rsidR="0088451D">
        <w:t>d to participate in the QA</w:t>
      </w:r>
      <w:r w:rsidR="00142DA5">
        <w:t xml:space="preserve"> </w:t>
      </w:r>
      <w:r w:rsidRPr="00047802">
        <w:t>programs provided by the NRL.</w:t>
      </w:r>
    </w:p>
    <w:p w14:paraId="25123E75" w14:textId="0553099F" w:rsidR="00441F87" w:rsidRDefault="00F05978" w:rsidP="00441F87">
      <w:pPr>
        <w:pStyle w:val="BodyCopy"/>
      </w:pPr>
      <w:r>
        <w:t xml:space="preserve">In </w:t>
      </w:r>
      <w:r w:rsidR="005A0A05">
        <w:t xml:space="preserve">July </w:t>
      </w:r>
      <w:r>
        <w:t>2010,</w:t>
      </w:r>
      <w:r w:rsidRPr="00047802">
        <w:t xml:space="preserve"> </w:t>
      </w:r>
      <w:r>
        <w:t>a new regulatory framework was introduced for</w:t>
      </w:r>
      <w:r w:rsidRPr="00047802">
        <w:t xml:space="preserve"> IVDs</w:t>
      </w:r>
      <w:r w:rsidR="006774C4">
        <w:t>,</w:t>
      </w:r>
      <w:r w:rsidR="005A0A05">
        <w:t xml:space="preserve"> with IVDs now regulated as a subset of medical devices under the </w:t>
      </w:r>
      <w:r w:rsidR="00766135">
        <w:t>Regulations.</w:t>
      </w:r>
      <w:r w:rsidR="006774C4">
        <w:t xml:space="preserve"> The new IV</w:t>
      </w:r>
      <w:r w:rsidR="00230D14">
        <w:t>D regulations introduced a four-</w:t>
      </w:r>
      <w:r w:rsidR="006774C4">
        <w:t>tier risk</w:t>
      </w:r>
      <w:r w:rsidR="00D242A3">
        <w:t>-</w:t>
      </w:r>
      <w:r w:rsidR="006774C4">
        <w:t>based classification scheme. Under this scheme, IVDs used to detect diseases considered to pose a high risk to public health are c</w:t>
      </w:r>
      <w:r w:rsidR="00EB0AAA">
        <w:t>lassified at</w:t>
      </w:r>
      <w:r w:rsidR="006774C4">
        <w:t xml:space="preserve"> t</w:t>
      </w:r>
      <w:r w:rsidR="00EB0AAA">
        <w:t xml:space="preserve">he highest IVD class </w:t>
      </w:r>
      <w:r w:rsidR="006774C4">
        <w:t xml:space="preserve">– Class 4 </w:t>
      </w:r>
      <w:r w:rsidR="00D242A3">
        <w:t xml:space="preserve">– </w:t>
      </w:r>
      <w:r w:rsidR="006774C4">
        <w:t xml:space="preserve">and are subject to </w:t>
      </w:r>
      <w:r w:rsidR="00EB0AAA">
        <w:t>a greater</w:t>
      </w:r>
      <w:r w:rsidR="006774C4">
        <w:t xml:space="preserve"> level of regulation</w:t>
      </w:r>
      <w:r w:rsidR="00C9096B">
        <w:rPr>
          <w:noProof/>
        </w:rPr>
        <w:t xml:space="preserve"> </w:t>
      </w:r>
      <w:sdt>
        <w:sdtPr>
          <w:id w:val="-1907370125"/>
          <w:citation/>
        </w:sdtPr>
        <w:sdtEndPr/>
        <w:sdtContent>
          <w:r w:rsidR="000C17B5">
            <w:fldChar w:fldCharType="begin"/>
          </w:r>
          <w:r w:rsidR="000C17B5">
            <w:instrText xml:space="preserve">CITATION Placeholder3 \l 3081 </w:instrText>
          </w:r>
          <w:r w:rsidR="000C17B5">
            <w:fldChar w:fldCharType="separate"/>
          </w:r>
          <w:r w:rsidR="000C17B5" w:rsidRPr="000C17B5">
            <w:rPr>
              <w:noProof/>
            </w:rPr>
            <w:t>[12]</w:t>
          </w:r>
          <w:r w:rsidR="000C17B5">
            <w:fldChar w:fldCharType="end"/>
          </w:r>
        </w:sdtContent>
      </w:sdt>
      <w:r w:rsidR="000C17B5">
        <w:t xml:space="preserve">. </w:t>
      </w:r>
      <w:r w:rsidR="00BD4DDE">
        <w:t xml:space="preserve">Class 4 IVDs include those </w:t>
      </w:r>
      <w:r w:rsidR="00EB0AAA">
        <w:t>used to detect HIV, HBV, HCV, and HTLV, and donor screening tests for infectious diseases.</w:t>
      </w:r>
      <w:r w:rsidR="00441F87">
        <w:t xml:space="preserve"> </w:t>
      </w:r>
    </w:p>
    <w:p w14:paraId="47F2E02D" w14:textId="77777777" w:rsidR="00F05978" w:rsidRDefault="00441F87" w:rsidP="00F05978">
      <w:pPr>
        <w:pStyle w:val="BodyCopy"/>
      </w:pPr>
      <w:r>
        <w:t>Under the new IVD regulations, commercially supplied IVDs to be used in Australian laboratories must be included in the ARTG (unless an exemption has been granted). To be included on the ARTG, m</w:t>
      </w:r>
      <w:r w:rsidRPr="001B7A58">
        <w:t xml:space="preserve">anufacturers of Class 4 IVDs require TGA </w:t>
      </w:r>
      <w:r w:rsidRPr="005051F8">
        <w:rPr>
          <w:b/>
        </w:rPr>
        <w:t>conformity assessment</w:t>
      </w:r>
      <w:r>
        <w:t xml:space="preserve"> </w:t>
      </w:r>
      <w:r w:rsidRPr="006A46D9">
        <w:rPr>
          <w:b/>
        </w:rPr>
        <w:t>certification</w:t>
      </w:r>
      <w:r w:rsidR="00A64FCD">
        <w:t xml:space="preserve"> (CAC)</w:t>
      </w:r>
      <w:r>
        <w:t>, which involves assessment of the manufacturer’s quality management system (QMS certification) and a desktop evaluation of the design dossier for the device (Design Examination Certification) to assess safety and performance.</w:t>
      </w:r>
    </w:p>
    <w:p w14:paraId="4B8EF7BD" w14:textId="05614BE0" w:rsidR="00683DA0" w:rsidRDefault="00706BED" w:rsidP="00683DA0">
      <w:pPr>
        <w:pStyle w:val="BodyCopy"/>
      </w:pPr>
      <w:r>
        <w:t>The new IVD framework</w:t>
      </w:r>
      <w:r w:rsidR="004168BB">
        <w:t xml:space="preserve"> signi</w:t>
      </w:r>
      <w:r>
        <w:t>ficantly changed</w:t>
      </w:r>
      <w:r w:rsidR="00683DA0">
        <w:t xml:space="preserve"> the r</w:t>
      </w:r>
      <w:r>
        <w:t>ole of the NRL in the ARTG</w:t>
      </w:r>
      <w:r w:rsidR="0041611D">
        <w:t xml:space="preserve"> regulatory</w:t>
      </w:r>
      <w:r>
        <w:t xml:space="preserve"> process</w:t>
      </w:r>
      <w:r w:rsidR="00683DA0">
        <w:t xml:space="preserve">. </w:t>
      </w:r>
      <w:r w:rsidR="00986C38">
        <w:t xml:space="preserve">Participation in </w:t>
      </w:r>
      <w:r w:rsidR="00F125CD">
        <w:t>a</w:t>
      </w:r>
      <w:r w:rsidR="00D242A3">
        <w:t>n</w:t>
      </w:r>
      <w:r w:rsidR="00F125CD">
        <w:t xml:space="preserve"> NRL QA program is n</w:t>
      </w:r>
      <w:r w:rsidR="00986C38">
        <w:t>o longer a requirement for IVD inclusion on the ARTG.</w:t>
      </w:r>
      <w:r w:rsidR="007C37D8">
        <w:t xml:space="preserve"> Laboratories using IVDs are still required to participate in quality monitoring programs, but the program supplier can be selected at the discretion of the laboratory</w:t>
      </w:r>
      <w:sdt>
        <w:sdtPr>
          <w:id w:val="-1311247346"/>
          <w:citation/>
        </w:sdtPr>
        <w:sdtEndPr/>
        <w:sdtContent>
          <w:r w:rsidR="000C17B5">
            <w:fldChar w:fldCharType="begin"/>
          </w:r>
          <w:r w:rsidR="000C17B5">
            <w:rPr>
              <w:lang w:val="en-US"/>
            </w:rPr>
            <w:instrText xml:space="preserve"> CITATION McN17 \l 1033 </w:instrText>
          </w:r>
          <w:r w:rsidR="000C17B5">
            <w:fldChar w:fldCharType="separate"/>
          </w:r>
          <w:r w:rsidR="000C17B5">
            <w:rPr>
              <w:noProof/>
              <w:lang w:val="en-US"/>
            </w:rPr>
            <w:t xml:space="preserve"> </w:t>
          </w:r>
          <w:r w:rsidR="000C17B5" w:rsidRPr="000C17B5">
            <w:rPr>
              <w:noProof/>
              <w:lang w:val="en-US"/>
            </w:rPr>
            <w:t>[4]</w:t>
          </w:r>
          <w:r w:rsidR="000C17B5">
            <w:fldChar w:fldCharType="end"/>
          </w:r>
        </w:sdtContent>
      </w:sdt>
      <w:r w:rsidR="007C37D8">
        <w:t xml:space="preserve">. </w:t>
      </w:r>
      <w:r w:rsidR="00986C38">
        <w:t>In addition,</w:t>
      </w:r>
      <w:r w:rsidR="001F6E22">
        <w:t xml:space="preserve"> </w:t>
      </w:r>
      <w:r w:rsidR="00897241">
        <w:t>it is no longer a requirement</w:t>
      </w:r>
      <w:r w:rsidR="00683DA0" w:rsidRPr="00E3236F">
        <w:t xml:space="preserve"> </w:t>
      </w:r>
      <w:r w:rsidR="00F125CD">
        <w:t xml:space="preserve">under the new </w:t>
      </w:r>
      <w:r w:rsidR="00897241">
        <w:t xml:space="preserve">IVD </w:t>
      </w:r>
      <w:r w:rsidR="00F125CD">
        <w:t xml:space="preserve">framework </w:t>
      </w:r>
      <w:r w:rsidR="00683DA0" w:rsidRPr="00E3236F">
        <w:t>to request pre</w:t>
      </w:r>
      <w:r w:rsidR="00683DA0">
        <w:t>-</w:t>
      </w:r>
      <w:r w:rsidR="00683DA0" w:rsidRPr="00E3236F">
        <w:t>market performance evaluation of a Class 4 IVD to independently verify the manufacturer</w:t>
      </w:r>
      <w:r w:rsidR="00683DA0">
        <w:t>’</w:t>
      </w:r>
      <w:r w:rsidR="00F125CD">
        <w:t>s performance claims. Accordingly</w:t>
      </w:r>
      <w:r w:rsidR="00683DA0" w:rsidRPr="00E3236F">
        <w:t xml:space="preserve">, the TGA </w:t>
      </w:r>
      <w:r w:rsidR="00216D2F">
        <w:t xml:space="preserve">has </w:t>
      </w:r>
      <w:r w:rsidR="00683DA0" w:rsidRPr="00E3236F">
        <w:t>ceased pre-market</w:t>
      </w:r>
      <w:r w:rsidR="00683DA0">
        <w:t xml:space="preserve"> laboratory</w:t>
      </w:r>
      <w:r w:rsidR="00C70E61">
        <w:t>-</w:t>
      </w:r>
      <w:r w:rsidR="00683DA0">
        <w:t>based performance</w:t>
      </w:r>
      <w:r w:rsidR="00683DA0" w:rsidRPr="00E3236F">
        <w:t xml:space="preserve"> evaluations undertaken by the NRL</w:t>
      </w:r>
      <w:r w:rsidR="00C9096B">
        <w:rPr>
          <w:noProof/>
        </w:rPr>
        <w:t xml:space="preserve"> </w:t>
      </w:r>
      <w:sdt>
        <w:sdtPr>
          <w:id w:val="445594146"/>
          <w:citation/>
        </w:sdtPr>
        <w:sdtEndPr/>
        <w:sdtContent>
          <w:r w:rsidR="000C17B5">
            <w:fldChar w:fldCharType="begin"/>
          </w:r>
          <w:r w:rsidR="000C17B5">
            <w:instrText xml:space="preserve">CITATION Placeholder4 \l 3081 </w:instrText>
          </w:r>
          <w:r w:rsidR="000C17B5">
            <w:fldChar w:fldCharType="separate"/>
          </w:r>
          <w:r w:rsidR="000C17B5" w:rsidRPr="000C17B5">
            <w:rPr>
              <w:noProof/>
            </w:rPr>
            <w:t>[13]</w:t>
          </w:r>
          <w:r w:rsidR="000C17B5">
            <w:fldChar w:fldCharType="end"/>
          </w:r>
        </w:sdtContent>
      </w:sdt>
      <w:r w:rsidR="000C17B5">
        <w:t xml:space="preserve">. </w:t>
      </w:r>
      <w:r w:rsidR="00A64FCD">
        <w:t>Currently, t</w:t>
      </w:r>
      <w:r w:rsidR="00216D2F">
        <w:t>he TGA performs the majority of desktop assessments as part of the CAC</w:t>
      </w:r>
      <w:r w:rsidR="00480A7D">
        <w:t>,</w:t>
      </w:r>
      <w:r w:rsidR="0041611D">
        <w:t xml:space="preserve"> h</w:t>
      </w:r>
      <w:r w:rsidR="00B1580F">
        <w:t>owever</w:t>
      </w:r>
      <w:r w:rsidR="00216D2F">
        <w:t xml:space="preserve"> the T</w:t>
      </w:r>
      <w:r w:rsidR="00A64FCD">
        <w:t xml:space="preserve">GA </w:t>
      </w:r>
      <w:r w:rsidR="00216D2F">
        <w:t>has</w:t>
      </w:r>
      <w:r w:rsidR="00A64FCD">
        <w:t xml:space="preserve"> a panel </w:t>
      </w:r>
      <w:r w:rsidR="00480A7D">
        <w:t xml:space="preserve">of </w:t>
      </w:r>
      <w:r w:rsidR="00480A7D">
        <w:t xml:space="preserve">external organisations </w:t>
      </w:r>
      <w:r w:rsidR="00A64FCD" w:rsidRPr="00230D14">
        <w:t xml:space="preserve">that can be </w:t>
      </w:r>
      <w:r w:rsidR="00216D2F" w:rsidRPr="00230D14">
        <w:t xml:space="preserve">used </w:t>
      </w:r>
      <w:r w:rsidR="00A64FCD" w:rsidRPr="00230D14">
        <w:t xml:space="preserve">to undertake </w:t>
      </w:r>
      <w:r w:rsidR="00216D2F" w:rsidRPr="00230D14">
        <w:t xml:space="preserve">an </w:t>
      </w:r>
      <w:r w:rsidR="00A64FCD" w:rsidRPr="00230D14">
        <w:t>assessment</w:t>
      </w:r>
      <w:r w:rsidR="00480A7D">
        <w:t xml:space="preserve"> </w:t>
      </w:r>
      <w:r w:rsidR="00216D2F" w:rsidRPr="00230D14">
        <w:t>if required. T</w:t>
      </w:r>
      <w:r w:rsidR="00A64FCD" w:rsidRPr="00230D14">
        <w:t xml:space="preserve">he NRL is a </w:t>
      </w:r>
      <w:r w:rsidR="00216D2F" w:rsidRPr="00230D14">
        <w:t>current member of the panel</w:t>
      </w:r>
      <w:r w:rsidR="00A64FCD" w:rsidRPr="00230D14">
        <w:t xml:space="preserve">. </w:t>
      </w:r>
    </w:p>
    <w:p w14:paraId="46C2DBE3" w14:textId="5615D1A7" w:rsidR="00706BED" w:rsidRDefault="00A64FCD" w:rsidP="00683DA0">
      <w:pPr>
        <w:pStyle w:val="BodyCopy"/>
      </w:pPr>
      <w:r>
        <w:t>P</w:t>
      </w:r>
      <w:r w:rsidR="00706BED" w:rsidRPr="00E3236F">
        <w:t>ost-market evaluation</w:t>
      </w:r>
      <w:r w:rsidR="00706BED">
        <w:t>s</w:t>
      </w:r>
      <w:r w:rsidR="00706BED" w:rsidRPr="00E3236F">
        <w:t xml:space="preserve"> of IVDs included on the ARTG are perf</w:t>
      </w:r>
      <w:r w:rsidR="00480C9E">
        <w:t>ormed by the TGA as required, e.g</w:t>
      </w:r>
      <w:r w:rsidR="00706BED">
        <w:t>. in response to reports of adverse events</w:t>
      </w:r>
      <w:r w:rsidR="00061B82">
        <w:t xml:space="preserve"> or kit malfunctions</w:t>
      </w:r>
      <w:r w:rsidR="00706BED">
        <w:t xml:space="preserve">. </w:t>
      </w:r>
      <w:r w:rsidR="00480C9E">
        <w:t>The TGA may consult with relevant experts when conducting a post-market evaluation, but it does not have an established arrangement with a third party to undertake post-market invest</w:t>
      </w:r>
      <w:r w:rsidR="00480A7D">
        <w:t xml:space="preserve">igations on behalf of the TGA. </w:t>
      </w:r>
      <w:r w:rsidR="00706BED">
        <w:t xml:space="preserve">Adverse events or identified problems with IVDs can be reported </w:t>
      </w:r>
      <w:r w:rsidR="00986C38">
        <w:t xml:space="preserve">directly </w:t>
      </w:r>
      <w:r w:rsidR="00706BED">
        <w:t>to the TGA by anyone, including the device manufacturer, sponsor, users/consumers</w:t>
      </w:r>
      <w:r w:rsidR="00986C38">
        <w:t>,</w:t>
      </w:r>
      <w:r w:rsidR="00706BED">
        <w:t xml:space="preserve"> and quality performance organisations </w:t>
      </w:r>
      <w:r w:rsidR="00706BED" w:rsidRPr="00A91600">
        <w:t>such as the NRL</w:t>
      </w:r>
      <w:r w:rsidR="000C17B5" w:rsidRPr="000C17B5">
        <w:t xml:space="preserve"> </w:t>
      </w:r>
      <w:sdt>
        <w:sdtPr>
          <w:id w:val="-1225532651"/>
          <w:citation/>
        </w:sdtPr>
        <w:sdtEndPr/>
        <w:sdtContent>
          <w:r w:rsidR="000C17B5">
            <w:fldChar w:fldCharType="begin"/>
          </w:r>
          <w:r w:rsidR="000C17B5">
            <w:instrText xml:space="preserve">CITATION Placeholder4 \l 3081 </w:instrText>
          </w:r>
          <w:r w:rsidR="000C17B5">
            <w:fldChar w:fldCharType="separate"/>
          </w:r>
          <w:r w:rsidR="000C17B5" w:rsidRPr="000C17B5">
            <w:rPr>
              <w:noProof/>
            </w:rPr>
            <w:t>[13]</w:t>
          </w:r>
          <w:r w:rsidR="000C17B5">
            <w:fldChar w:fldCharType="end"/>
          </w:r>
        </w:sdtContent>
      </w:sdt>
      <w:r w:rsidR="00706BED" w:rsidRPr="00A91600">
        <w:t xml:space="preserve">. </w:t>
      </w:r>
    </w:p>
    <w:p w14:paraId="3C7A5F38" w14:textId="5E96253A" w:rsidR="00986C38" w:rsidRDefault="00986C38" w:rsidP="00986C38">
      <w:pPr>
        <w:pStyle w:val="BodyCopy"/>
      </w:pPr>
      <w:r>
        <w:t>To allow time for compliance, the new regulatory framework was introduced through a staged transition process. The transition period for the IVD regulatory framework ended on 30 June 2017</w:t>
      </w:r>
      <w:r w:rsidR="000C17B5">
        <w:t xml:space="preserve"> </w:t>
      </w:r>
      <w:sdt>
        <w:sdtPr>
          <w:id w:val="450211925"/>
          <w:citation/>
        </w:sdtPr>
        <w:sdtEndPr/>
        <w:sdtContent>
          <w:r w:rsidR="000C17B5">
            <w:fldChar w:fldCharType="begin"/>
          </w:r>
          <w:r w:rsidR="000C17B5">
            <w:rPr>
              <w:lang w:val="en-US"/>
            </w:rPr>
            <w:instrText xml:space="preserve"> CITATION The3 \l 1033 </w:instrText>
          </w:r>
          <w:r w:rsidR="000C17B5">
            <w:fldChar w:fldCharType="separate"/>
          </w:r>
          <w:r w:rsidR="000C17B5" w:rsidRPr="000C17B5">
            <w:rPr>
              <w:noProof/>
              <w:lang w:val="en-US"/>
            </w:rPr>
            <w:t>[14]</w:t>
          </w:r>
          <w:r w:rsidR="000C17B5">
            <w:fldChar w:fldCharType="end"/>
          </w:r>
        </w:sdtContent>
      </w:sdt>
      <w:r>
        <w:t>.</w:t>
      </w:r>
      <w:r w:rsidR="00207DFC">
        <w:t xml:space="preserve"> </w:t>
      </w:r>
    </w:p>
    <w:p w14:paraId="7D356800" w14:textId="77777777" w:rsidR="00CF14DC" w:rsidRPr="006D7BBF" w:rsidRDefault="006D7BBF" w:rsidP="006D7BBF">
      <w:pPr>
        <w:pStyle w:val="Heading2"/>
      </w:pPr>
      <w:bookmarkStart w:id="32" w:name="_Ref437163"/>
      <w:bookmarkStart w:id="33" w:name="_Toc18664630"/>
      <w:r w:rsidRPr="006D7BBF">
        <w:t>L</w:t>
      </w:r>
      <w:r w:rsidR="00CF14DC" w:rsidRPr="006D7BBF">
        <w:t xml:space="preserve">aboratory </w:t>
      </w:r>
      <w:r w:rsidRPr="00991729">
        <w:t>accreditation</w:t>
      </w:r>
      <w:bookmarkEnd w:id="32"/>
      <w:bookmarkEnd w:id="33"/>
      <w:r w:rsidRPr="00991729">
        <w:t xml:space="preserve"> </w:t>
      </w:r>
    </w:p>
    <w:p w14:paraId="04E3C403" w14:textId="050EC948" w:rsidR="002877E5" w:rsidRDefault="00737C85" w:rsidP="008458D4">
      <w:pPr>
        <w:pStyle w:val="BodyCopy"/>
      </w:pPr>
      <w:r>
        <w:t xml:space="preserve">Diagnostic </w:t>
      </w:r>
      <w:r w:rsidR="002A5FF0">
        <w:t xml:space="preserve">tests </w:t>
      </w:r>
      <w:r w:rsidR="004C32A2">
        <w:t>and other pathology services</w:t>
      </w:r>
      <w:r w:rsidR="005964FB">
        <w:t xml:space="preserve"> </w:t>
      </w:r>
      <w:r w:rsidR="002543A6">
        <w:t>for HIV, HBV and HC</w:t>
      </w:r>
      <w:r w:rsidR="002A5FF0">
        <w:t xml:space="preserve">V are </w:t>
      </w:r>
      <w:r w:rsidR="005964FB">
        <w:t xml:space="preserve">subsidised by </w:t>
      </w:r>
      <w:r w:rsidR="002543A6">
        <w:t xml:space="preserve">the Australian Government </w:t>
      </w:r>
      <w:r w:rsidR="005964FB">
        <w:t>through the Medicare Benefits Schedule</w:t>
      </w:r>
      <w:r w:rsidR="00061B82">
        <w:t xml:space="preserve"> (MBS)</w:t>
      </w:r>
      <w:r w:rsidR="002543A6">
        <w:t>.</w:t>
      </w:r>
      <w:r w:rsidR="005964FB">
        <w:t xml:space="preserve"> </w:t>
      </w:r>
      <w:r w:rsidR="000A37D2">
        <w:t>In order to receive M</w:t>
      </w:r>
      <w:r w:rsidR="00061B82">
        <w:t>BS</w:t>
      </w:r>
      <w:r w:rsidR="000A37D2">
        <w:t xml:space="preserve"> benefits for pathology services</w:t>
      </w:r>
      <w:r w:rsidR="00021723">
        <w:t>,</w:t>
      </w:r>
      <w:r w:rsidR="000A37D2">
        <w:t xml:space="preserve"> </w:t>
      </w:r>
      <w:r w:rsidR="00A52DD7">
        <w:t>p</w:t>
      </w:r>
      <w:r w:rsidR="00CF14DC">
        <w:t xml:space="preserve">athology laboratories in Australia must </w:t>
      </w:r>
      <w:r w:rsidR="00136EFC">
        <w:t xml:space="preserve">be an Accredited </w:t>
      </w:r>
      <w:r w:rsidR="007D75B6">
        <w:t xml:space="preserve">Pathology Laboratory </w:t>
      </w:r>
      <w:r w:rsidR="004C32A2">
        <w:t>(APL)</w:t>
      </w:r>
      <w:r w:rsidR="007C37D8">
        <w:t xml:space="preserve"> under Section 23DN of the </w:t>
      </w:r>
      <w:r w:rsidR="007C37D8" w:rsidRPr="006A46D9">
        <w:rPr>
          <w:i/>
        </w:rPr>
        <w:t>Health Insurance Act 1973</w:t>
      </w:r>
      <w:r w:rsidR="00B27678">
        <w:t>. To be approved as an APL, laboratories must</w:t>
      </w:r>
      <w:r w:rsidR="007D75B6">
        <w:t xml:space="preserve"> </w:t>
      </w:r>
      <w:r w:rsidR="00CF14DC">
        <w:t xml:space="preserve">adhere to </w:t>
      </w:r>
      <w:r w:rsidR="00B534CD">
        <w:t>s</w:t>
      </w:r>
      <w:r w:rsidR="00CF14DC">
        <w:t xml:space="preserve">tandards </w:t>
      </w:r>
      <w:r w:rsidR="002B1477">
        <w:t xml:space="preserve">and guidelines </w:t>
      </w:r>
      <w:r w:rsidR="004C32A2">
        <w:t xml:space="preserve">that are </w:t>
      </w:r>
      <w:r w:rsidR="00B27678">
        <w:t xml:space="preserve">developed and </w:t>
      </w:r>
      <w:r w:rsidR="002877E5">
        <w:t>maintained by</w:t>
      </w:r>
      <w:r w:rsidR="00CF14DC">
        <w:t xml:space="preserve"> the</w:t>
      </w:r>
      <w:r w:rsidR="00CF14DC" w:rsidRPr="00C62F6F">
        <w:t xml:space="preserve"> </w:t>
      </w:r>
      <w:r w:rsidR="00CF14DC">
        <w:t>National Pathology Accreditation Advisory Council (NPAAC)</w:t>
      </w:r>
      <w:r w:rsidR="002B1477">
        <w:t xml:space="preserve">. </w:t>
      </w:r>
      <w:r w:rsidR="00742508">
        <w:t xml:space="preserve">The NPAAC standards are informed by other national and international standards and guidelines including </w:t>
      </w:r>
      <w:r w:rsidR="007B0848">
        <w:t xml:space="preserve">the </w:t>
      </w:r>
      <w:r w:rsidR="007B0848" w:rsidRPr="002469C5">
        <w:t>Australian Standard AS ISO 15189, which is an ad</w:t>
      </w:r>
      <w:r w:rsidR="007B0848">
        <w:t>a</w:t>
      </w:r>
      <w:r w:rsidR="007B0848" w:rsidRPr="002469C5">
        <w:t>ption of the International Organization for Standardization (ISO) standard ISO 15189</w:t>
      </w:r>
      <w:r w:rsidR="00742508" w:rsidRPr="004C32A2">
        <w:t xml:space="preserve"> </w:t>
      </w:r>
      <w:r w:rsidR="00742508" w:rsidRPr="006A46D9">
        <w:rPr>
          <w:i/>
        </w:rPr>
        <w:t>Medical laboratories – Requirements for quality and competence</w:t>
      </w:r>
      <w:r w:rsidR="00742508">
        <w:t>.</w:t>
      </w:r>
      <w:r w:rsidR="000A37D2">
        <w:t xml:space="preserve"> </w:t>
      </w:r>
    </w:p>
    <w:p w14:paraId="30E34BE2" w14:textId="5E1146AB" w:rsidR="00CF14DC" w:rsidRDefault="00C72EBE" w:rsidP="008458D4">
      <w:pPr>
        <w:pStyle w:val="BodyCopy"/>
      </w:pPr>
      <w:r w:rsidRPr="00661F03">
        <w:t xml:space="preserve">Adherence to the NPAAC standards is </w:t>
      </w:r>
      <w:r w:rsidR="007C37D8" w:rsidRPr="00661F03">
        <w:t xml:space="preserve">assessed </w:t>
      </w:r>
      <w:r w:rsidR="000A37D2" w:rsidRPr="00661F03">
        <w:t xml:space="preserve">under a joint accreditation program administered by </w:t>
      </w:r>
      <w:r w:rsidR="00337E79" w:rsidRPr="00661F03">
        <w:t>the National Association of Testing Authorities, Australia (</w:t>
      </w:r>
      <w:r w:rsidR="000A37D2" w:rsidRPr="00661F03">
        <w:t>NATA</w:t>
      </w:r>
      <w:r w:rsidR="00337E79" w:rsidRPr="00661F03">
        <w:t>)</w:t>
      </w:r>
      <w:r w:rsidR="000A37D2" w:rsidRPr="00661F03">
        <w:t xml:space="preserve"> </w:t>
      </w:r>
      <w:r w:rsidR="00136EFC" w:rsidRPr="00661F03">
        <w:t xml:space="preserve">and </w:t>
      </w:r>
      <w:r w:rsidR="000A37D2" w:rsidRPr="00661F03">
        <w:t xml:space="preserve">the </w:t>
      </w:r>
      <w:r w:rsidR="00D326DB" w:rsidRPr="00661F03">
        <w:t>RCPA</w:t>
      </w:r>
      <w:r w:rsidR="000C17B5">
        <w:t xml:space="preserve"> </w:t>
      </w:r>
      <w:sdt>
        <w:sdtPr>
          <w:id w:val="-297538422"/>
          <w:citation/>
        </w:sdtPr>
        <w:sdtEndPr/>
        <w:sdtContent>
          <w:r w:rsidR="000C17B5">
            <w:fldChar w:fldCharType="begin"/>
          </w:r>
          <w:r w:rsidR="000C17B5">
            <w:rPr>
              <w:lang w:val="en-US"/>
            </w:rPr>
            <w:instrText xml:space="preserve"> CITATION Aus03A \l 1033 </w:instrText>
          </w:r>
          <w:r w:rsidR="000C17B5">
            <w:fldChar w:fldCharType="separate"/>
          </w:r>
          <w:r w:rsidR="00D51E2E" w:rsidRPr="00D51E2E">
            <w:rPr>
              <w:noProof/>
              <w:lang w:val="en-US"/>
            </w:rPr>
            <w:t>[15]</w:t>
          </w:r>
          <w:r w:rsidR="000C17B5">
            <w:fldChar w:fldCharType="end"/>
          </w:r>
        </w:sdtContent>
      </w:sdt>
      <w:r w:rsidR="000A37D2" w:rsidRPr="00661F03">
        <w:t>.</w:t>
      </w:r>
      <w:r w:rsidR="002877E5" w:rsidRPr="00661F03">
        <w:t xml:space="preserve"> </w:t>
      </w:r>
      <w:r w:rsidRPr="00661F03">
        <w:t xml:space="preserve">The standards include laboratory </w:t>
      </w:r>
      <w:r w:rsidR="004C32A2" w:rsidRPr="00661F03">
        <w:t>requirements for</w:t>
      </w:r>
      <w:r w:rsidR="00061B82" w:rsidRPr="00661F03">
        <w:t xml:space="preserve"> QA</w:t>
      </w:r>
      <w:r w:rsidRPr="00661F03">
        <w:t xml:space="preserve"> and </w:t>
      </w:r>
      <w:r w:rsidR="00061B82" w:rsidRPr="00661F03">
        <w:t>QC</w:t>
      </w:r>
      <w:sdt>
        <w:sdtPr>
          <w:id w:val="-519009623"/>
          <w:citation/>
        </w:sdtPr>
        <w:sdtEndPr/>
        <w:sdtContent>
          <w:r w:rsidR="00D51E2E">
            <w:fldChar w:fldCharType="begin"/>
          </w:r>
          <w:r w:rsidR="00D51E2E">
            <w:rPr>
              <w:lang w:val="en-US"/>
            </w:rPr>
            <w:instrText xml:space="preserve"> CITATION Placeholder1 \l 1033 </w:instrText>
          </w:r>
          <w:r w:rsidR="00D51E2E">
            <w:fldChar w:fldCharType="separate"/>
          </w:r>
          <w:r w:rsidR="00D51E2E">
            <w:rPr>
              <w:noProof/>
              <w:lang w:val="en-US"/>
            </w:rPr>
            <w:t xml:space="preserve"> </w:t>
          </w:r>
          <w:r w:rsidR="00D51E2E" w:rsidRPr="00D51E2E">
            <w:rPr>
              <w:noProof/>
              <w:lang w:val="en-US"/>
            </w:rPr>
            <w:t>[6]</w:t>
          </w:r>
          <w:r w:rsidR="00D51E2E">
            <w:fldChar w:fldCharType="end"/>
          </w:r>
        </w:sdtContent>
      </w:sdt>
      <w:r w:rsidR="00D51E2E">
        <w:t>.</w:t>
      </w:r>
    </w:p>
    <w:p w14:paraId="1AE2D7B3" w14:textId="77777777" w:rsidR="00CF14DC" w:rsidRDefault="00CF14DC" w:rsidP="00CF14DC">
      <w:pPr>
        <w:pStyle w:val="Heading3"/>
      </w:pPr>
      <w:bookmarkStart w:id="34" w:name="_Toc18664631"/>
      <w:r>
        <w:lastRenderedPageBreak/>
        <w:t>National Pathology Accreditation Advisory Council Standards</w:t>
      </w:r>
      <w:bookmarkEnd w:id="34"/>
      <w:r>
        <w:t xml:space="preserve"> </w:t>
      </w:r>
    </w:p>
    <w:p w14:paraId="0B79A328" w14:textId="1936DC22" w:rsidR="00CF14DC" w:rsidRDefault="00CF14DC" w:rsidP="00CF14DC">
      <w:pPr>
        <w:pStyle w:val="BodyCopy"/>
      </w:pPr>
      <w:r>
        <w:t xml:space="preserve">NPAAC advises on the accreditation of pathology laboratories and is responsible for development and maintenance of </w:t>
      </w:r>
      <w:r w:rsidR="00C72EBE">
        <w:t xml:space="preserve">the </w:t>
      </w:r>
      <w:r w:rsidR="00C72EBE" w:rsidRPr="006A46D9">
        <w:rPr>
          <w:i/>
        </w:rPr>
        <w:t>Health Insurance (</w:t>
      </w:r>
      <w:r w:rsidRPr="006A46D9">
        <w:rPr>
          <w:i/>
        </w:rPr>
        <w:t>A</w:t>
      </w:r>
      <w:r w:rsidR="00C72EBE" w:rsidRPr="006A46D9">
        <w:rPr>
          <w:i/>
        </w:rPr>
        <w:t>ccredited</w:t>
      </w:r>
      <w:r w:rsidRPr="006A46D9">
        <w:rPr>
          <w:i/>
        </w:rPr>
        <w:t xml:space="preserve"> Pathology </w:t>
      </w:r>
      <w:r w:rsidR="00C72EBE" w:rsidRPr="006A46D9">
        <w:rPr>
          <w:i/>
        </w:rPr>
        <w:t>Laboratories – Approval) P</w:t>
      </w:r>
      <w:r w:rsidRPr="006A46D9">
        <w:rPr>
          <w:i/>
        </w:rPr>
        <w:t xml:space="preserve">rinciples </w:t>
      </w:r>
      <w:r w:rsidR="00C72EBE" w:rsidRPr="006A46D9">
        <w:rPr>
          <w:i/>
        </w:rPr>
        <w:t>2017</w:t>
      </w:r>
      <w:r w:rsidR="00C72EBE">
        <w:t xml:space="preserve"> </w:t>
      </w:r>
      <w:r>
        <w:t>which outline the legal requirement</w:t>
      </w:r>
      <w:r w:rsidR="004C32A2">
        <w:t>s</w:t>
      </w:r>
      <w:r>
        <w:t xml:space="preserve"> for laborator</w:t>
      </w:r>
      <w:r w:rsidR="004C32A2">
        <w:t>ies to be approved as an APL</w:t>
      </w:r>
      <w:r w:rsidR="001D4B66">
        <w:t>. Requirements</w:t>
      </w:r>
      <w:r>
        <w:t xml:space="preserve"> includ</w:t>
      </w:r>
      <w:r w:rsidR="001D4B66">
        <w:t>e</w:t>
      </w:r>
      <w:r>
        <w:t xml:space="preserve"> the conditions of the premises, staffing qualifications, procedural types, material storag</w:t>
      </w:r>
      <w:r w:rsidR="00F96B6E">
        <w:t xml:space="preserve">e and </w:t>
      </w:r>
      <w:r>
        <w:t>reporting</w:t>
      </w:r>
      <w:r w:rsidR="00D51E2E">
        <w:t xml:space="preserve"> </w:t>
      </w:r>
      <w:sdt>
        <w:sdtPr>
          <w:id w:val="1392693443"/>
          <w:citation/>
        </w:sdtPr>
        <w:sdtEndPr/>
        <w:sdtContent>
          <w:r w:rsidR="00D51E2E">
            <w:fldChar w:fldCharType="begin"/>
          </w:r>
          <w:r w:rsidR="00D51E2E">
            <w:instrText xml:space="preserve"> CITATION Dep171 \l 3081 </w:instrText>
          </w:r>
          <w:r w:rsidR="00D51E2E">
            <w:fldChar w:fldCharType="separate"/>
          </w:r>
          <w:r w:rsidR="00D51E2E">
            <w:rPr>
              <w:noProof/>
            </w:rPr>
            <w:t xml:space="preserve"> </w:t>
          </w:r>
          <w:r w:rsidR="00D51E2E" w:rsidRPr="000816BB">
            <w:rPr>
              <w:noProof/>
            </w:rPr>
            <w:t>[11]</w:t>
          </w:r>
          <w:r w:rsidR="00D51E2E">
            <w:fldChar w:fldCharType="end"/>
          </w:r>
        </w:sdtContent>
      </w:sdt>
      <w:r w:rsidR="00F96B6E">
        <w:t>.</w:t>
      </w:r>
      <w:r w:rsidR="00C9096B">
        <w:rPr>
          <w:noProof/>
        </w:rPr>
        <w:t xml:space="preserve"> </w:t>
      </w:r>
    </w:p>
    <w:p w14:paraId="5474E0B0" w14:textId="77777777" w:rsidR="00CF14DC" w:rsidRDefault="00CF14DC" w:rsidP="00570D25">
      <w:pPr>
        <w:pStyle w:val="BodyCopy"/>
        <w:keepNext/>
      </w:pPr>
      <w:r>
        <w:t>In relation to quality management processes</w:t>
      </w:r>
      <w:r w:rsidR="00570D25">
        <w:t xml:space="preserve"> </w:t>
      </w:r>
      <w:r w:rsidR="001D4B66">
        <w:t>relevant</w:t>
      </w:r>
      <w:r w:rsidR="00C54369">
        <w:t xml:space="preserve"> to </w:t>
      </w:r>
      <w:r w:rsidR="001D4B66">
        <w:t>the funded services</w:t>
      </w:r>
      <w:r>
        <w:t>, the NP</w:t>
      </w:r>
      <w:r w:rsidR="00DB558F">
        <w:t>A</w:t>
      </w:r>
      <w:r>
        <w:t>AC standards state that:</w:t>
      </w:r>
    </w:p>
    <w:p w14:paraId="22DCB1C1" w14:textId="27C92D83" w:rsidR="00CF14DC" w:rsidRDefault="00CF14DC" w:rsidP="00CF14DC">
      <w:pPr>
        <w:pStyle w:val="Bullets1"/>
      </w:pPr>
      <w:r>
        <w:t xml:space="preserve">Laboratories must have a documented and monitored </w:t>
      </w:r>
      <w:r w:rsidRPr="00DC0313">
        <w:rPr>
          <w:b/>
        </w:rPr>
        <w:t>Quality System</w:t>
      </w:r>
      <w:r>
        <w:t xml:space="preserve"> in place that includes laboratory operations a</w:t>
      </w:r>
      <w:r w:rsidR="007D7A7B">
        <w:t>nd</w:t>
      </w:r>
      <w:r>
        <w:t xml:space="preserve"> testing procedures</w:t>
      </w:r>
      <w:r w:rsidR="007D7A7B">
        <w:t>,</w:t>
      </w:r>
      <w:r>
        <w:t xml:space="preserve"> and is reviewed and updated regularly</w:t>
      </w:r>
      <w:r w:rsidR="00D51E2E" w:rsidRPr="00D51E2E">
        <w:t xml:space="preserve"> </w:t>
      </w:r>
      <w:sdt>
        <w:sdtPr>
          <w:id w:val="-2132929205"/>
          <w:citation/>
        </w:sdtPr>
        <w:sdtEndPr/>
        <w:sdtContent>
          <w:r w:rsidR="00D51E2E">
            <w:fldChar w:fldCharType="begin"/>
          </w:r>
          <w:r w:rsidR="00D51E2E">
            <w:instrText xml:space="preserve"> CITATION NPAACT213 \l 3081 </w:instrText>
          </w:r>
          <w:r w:rsidR="00D51E2E">
            <w:fldChar w:fldCharType="separate"/>
          </w:r>
          <w:r w:rsidR="00D51E2E" w:rsidRPr="00D51E2E">
            <w:rPr>
              <w:noProof/>
            </w:rPr>
            <w:t>[17]</w:t>
          </w:r>
          <w:r w:rsidR="00D51E2E">
            <w:fldChar w:fldCharType="end"/>
          </w:r>
        </w:sdtContent>
      </w:sdt>
      <w:r>
        <w:t xml:space="preserve">. </w:t>
      </w:r>
    </w:p>
    <w:p w14:paraId="079C0F96" w14:textId="54E69BA3" w:rsidR="00CF14DC" w:rsidRDefault="00CF14DC" w:rsidP="00CF14DC">
      <w:pPr>
        <w:pStyle w:val="Bullets1"/>
      </w:pPr>
      <w:r>
        <w:t xml:space="preserve">Laboratories must be enrolled, participate and perform to an acceptable standard in </w:t>
      </w:r>
      <w:r w:rsidRPr="0068176C">
        <w:rPr>
          <w:b/>
        </w:rPr>
        <w:t>external proficiency testing programs</w:t>
      </w:r>
      <w:r>
        <w:t xml:space="preserve"> that cover all test methods performed where such programs are available</w:t>
      </w:r>
      <w:r w:rsidR="00D51E2E">
        <w:t xml:space="preserve"> </w:t>
      </w:r>
      <w:sdt>
        <w:sdtPr>
          <w:id w:val="-1249570474"/>
          <w:citation/>
        </w:sdtPr>
        <w:sdtEndPr/>
        <w:sdtContent>
          <w:r w:rsidR="00D51E2E">
            <w:fldChar w:fldCharType="begin"/>
          </w:r>
          <w:r w:rsidR="00D51E2E">
            <w:instrText xml:space="preserve"> CITATION NPAACT213 \l 3081 </w:instrText>
          </w:r>
          <w:r w:rsidR="00D51E2E">
            <w:fldChar w:fldCharType="separate"/>
          </w:r>
          <w:r w:rsidR="00D51E2E" w:rsidRPr="00D51E2E">
            <w:rPr>
              <w:noProof/>
            </w:rPr>
            <w:t>[17]</w:t>
          </w:r>
          <w:r w:rsidR="00D51E2E">
            <w:fldChar w:fldCharType="end"/>
          </w:r>
        </w:sdtContent>
      </w:sdt>
      <w:r>
        <w:t>.</w:t>
      </w:r>
      <w:r w:rsidRPr="00DC0313">
        <w:t xml:space="preserve"> </w:t>
      </w:r>
    </w:p>
    <w:p w14:paraId="090E9223" w14:textId="7345FC26" w:rsidR="00CF14DC" w:rsidRDefault="00CF14DC" w:rsidP="00CF14DC">
      <w:pPr>
        <w:pStyle w:val="Bullets1"/>
      </w:pPr>
      <w:r>
        <w:t>A</w:t>
      </w:r>
      <w:r w:rsidRPr="00C812B3">
        <w:t xml:space="preserve">ll </w:t>
      </w:r>
      <w:r>
        <w:t xml:space="preserve">NAT </w:t>
      </w:r>
      <w:r w:rsidRPr="00C812B3">
        <w:t xml:space="preserve">assay runs must include </w:t>
      </w:r>
      <w:r w:rsidRPr="00B01368">
        <w:rPr>
          <w:b/>
        </w:rPr>
        <w:t>positive and negative controls</w:t>
      </w:r>
      <w:r w:rsidRPr="00C812B3">
        <w:t xml:space="preserve"> that are subject to the whole test process, including the extraction</w:t>
      </w:r>
      <w:sdt>
        <w:sdtPr>
          <w:id w:val="1795952306"/>
          <w:citation/>
        </w:sdtPr>
        <w:sdtEndPr/>
        <w:sdtContent>
          <w:r w:rsidR="00D51E2E">
            <w:fldChar w:fldCharType="begin"/>
          </w:r>
          <w:r w:rsidR="00D51E2E">
            <w:instrText xml:space="preserve"> CITATION NPAACNAT13 \l 3081 </w:instrText>
          </w:r>
          <w:r w:rsidR="00D51E2E">
            <w:fldChar w:fldCharType="separate"/>
          </w:r>
          <w:r w:rsidR="00D51E2E">
            <w:rPr>
              <w:noProof/>
            </w:rPr>
            <w:t xml:space="preserve"> </w:t>
          </w:r>
          <w:r w:rsidR="00D51E2E" w:rsidRPr="00D51E2E">
            <w:rPr>
              <w:noProof/>
            </w:rPr>
            <w:t>[18]</w:t>
          </w:r>
          <w:r w:rsidR="00D51E2E">
            <w:fldChar w:fldCharType="end"/>
          </w:r>
        </w:sdtContent>
      </w:sdt>
      <w:r w:rsidRPr="00C812B3">
        <w:t>.</w:t>
      </w:r>
    </w:p>
    <w:p w14:paraId="0F08F560" w14:textId="77777777" w:rsidR="00570D25" w:rsidRDefault="00570D25" w:rsidP="005B25EA">
      <w:pPr>
        <w:pStyle w:val="KeyFinding"/>
      </w:pPr>
      <w:r>
        <w:t>Under NPA</w:t>
      </w:r>
      <w:r w:rsidR="005B25EA">
        <w:t>AC</w:t>
      </w:r>
      <w:r>
        <w:t xml:space="preserve"> standards</w:t>
      </w:r>
      <w:r w:rsidR="00021723">
        <w:t>,</w:t>
      </w:r>
      <w:r>
        <w:t xml:space="preserve"> pathology laboratories </w:t>
      </w:r>
      <w:r w:rsidRPr="00FD5088">
        <w:rPr>
          <w:b/>
        </w:rPr>
        <w:t>must</w:t>
      </w:r>
      <w:r>
        <w:t xml:space="preserve"> have appropriate QA and QC processes in place that are performed and reviewed regularly. </w:t>
      </w:r>
      <w:r w:rsidR="00FB7070">
        <w:t>T</w:t>
      </w:r>
      <w:r>
        <w:t>he use of external providers is not mandated in the standards</w:t>
      </w:r>
      <w:r w:rsidR="002877E5">
        <w:t>.</w:t>
      </w:r>
    </w:p>
    <w:p w14:paraId="65BA213D" w14:textId="3EDD9045" w:rsidR="004C32A2" w:rsidRDefault="00CF14DC" w:rsidP="004C32A2">
      <w:pPr>
        <w:pStyle w:val="BodyCopy"/>
      </w:pPr>
      <w:r>
        <w:t>NPAAC also has a standard specific for HIV and HCV testing</w:t>
      </w:r>
      <w:r w:rsidR="00A67A7B">
        <w:t xml:space="preserve">; </w:t>
      </w:r>
      <w:r w:rsidR="00A67A7B">
        <w:rPr>
          <w:i/>
        </w:rPr>
        <w:t>Requirements for testing Human Immunodeficiency Virus (HIV) and Hepatitis C Virus (HCV): Third Edition (2013)</w:t>
      </w:r>
      <w:r w:rsidR="00A67A7B">
        <w:t>,</w:t>
      </w:r>
      <w:r w:rsidR="00951E94">
        <w:t xml:space="preserve"> however t</w:t>
      </w:r>
      <w:r w:rsidR="004C32A2" w:rsidRPr="0086357F">
        <w:t>here</w:t>
      </w:r>
      <w:r w:rsidR="004C32A2">
        <w:t xml:space="preserve"> are no additional or specialised quality measures specified for HIV or HCV in this standard</w:t>
      </w:r>
      <w:r w:rsidR="00D51E2E">
        <w:t xml:space="preserve"> </w:t>
      </w:r>
      <w:sdt>
        <w:sdtPr>
          <w:id w:val="-2072579177"/>
          <w:citation/>
        </w:sdtPr>
        <w:sdtEndPr/>
        <w:sdtContent>
          <w:r w:rsidR="00D51E2E">
            <w:fldChar w:fldCharType="begin"/>
          </w:r>
          <w:r w:rsidR="00D51E2E">
            <w:instrText xml:space="preserve">CITATION Placeholder5 \l 3081 </w:instrText>
          </w:r>
          <w:r w:rsidR="00D51E2E">
            <w:fldChar w:fldCharType="separate"/>
          </w:r>
          <w:r w:rsidR="00D51E2E" w:rsidRPr="00D51E2E">
            <w:rPr>
              <w:noProof/>
            </w:rPr>
            <w:t>[19]</w:t>
          </w:r>
          <w:r w:rsidR="00D51E2E">
            <w:fldChar w:fldCharType="end"/>
          </w:r>
        </w:sdtContent>
      </w:sdt>
      <w:r w:rsidR="00D51E2E">
        <w:t>.</w:t>
      </w:r>
    </w:p>
    <w:p w14:paraId="309A184C" w14:textId="16A93E5F" w:rsidR="00EA10D4" w:rsidRDefault="00CD7CD3" w:rsidP="006A46D9">
      <w:pPr>
        <w:pStyle w:val="BodyCopy"/>
      </w:pPr>
      <w:r>
        <w:t>Of note, t</w:t>
      </w:r>
      <w:r w:rsidR="004C32A2">
        <w:t xml:space="preserve">he HIV and HCV </w:t>
      </w:r>
      <w:r w:rsidR="007D7A7B">
        <w:t xml:space="preserve">specific </w:t>
      </w:r>
      <w:r w:rsidR="004C32A2">
        <w:t>standard</w:t>
      </w:r>
      <w:r w:rsidR="00FB7070">
        <w:t xml:space="preserve"> </w:t>
      </w:r>
      <w:r w:rsidR="00AF0356">
        <w:t>does state that “laboratories conducting reference testing should include Nucleic Acid Testing (NAT) as part of their testing for corroboration of difficult diagnostic assessments”</w:t>
      </w:r>
      <w:r w:rsidR="00AA73E9">
        <w:t xml:space="preserve">. This type of </w:t>
      </w:r>
      <w:r w:rsidR="00AA73E9">
        <w:t xml:space="preserve">testing is funded by the </w:t>
      </w:r>
      <w:r w:rsidR="00BC4C48">
        <w:t xml:space="preserve">Australian Government </w:t>
      </w:r>
      <w:r w:rsidR="00F83CDC">
        <w:t xml:space="preserve">for the ARCBS and </w:t>
      </w:r>
      <w:r w:rsidR="00C97FC6">
        <w:t xml:space="preserve">participating </w:t>
      </w:r>
      <w:r w:rsidR="00F83CDC">
        <w:t>laboratories.</w:t>
      </w:r>
    </w:p>
    <w:p w14:paraId="22A2EE1C" w14:textId="77777777" w:rsidR="00570D25" w:rsidRDefault="005B25EA" w:rsidP="005B25EA">
      <w:pPr>
        <w:pStyle w:val="KeyFinding"/>
      </w:pPr>
      <w:r>
        <w:t>There are no specific QA or QC requirements for HIV or HCV testing under NPAAC standards (general QA and QC standards apply).</w:t>
      </w:r>
    </w:p>
    <w:p w14:paraId="5F955B1F" w14:textId="3EFDEFE9" w:rsidR="004C32A2" w:rsidRDefault="004C32A2" w:rsidP="004C32A2">
      <w:pPr>
        <w:pStyle w:val="KeyFinding"/>
      </w:pPr>
      <w:r>
        <w:t xml:space="preserve">The NPAAC standards state that </w:t>
      </w:r>
      <w:r w:rsidR="00055B25">
        <w:t xml:space="preserve">laboratories providing </w:t>
      </w:r>
      <w:r>
        <w:t xml:space="preserve">reference </w:t>
      </w:r>
      <w:r w:rsidR="00055B25">
        <w:t xml:space="preserve">testing </w:t>
      </w:r>
      <w:r>
        <w:t xml:space="preserve">should use NAT </w:t>
      </w:r>
      <w:r w:rsidR="00AF0356">
        <w:t>for corroboration of difficult diagnostic assessments for HIV and HCV</w:t>
      </w:r>
      <w:r>
        <w:t xml:space="preserve">. </w:t>
      </w:r>
    </w:p>
    <w:p w14:paraId="14DB33CB" w14:textId="77777777" w:rsidR="009C5FFF" w:rsidRPr="006D7BBF" w:rsidRDefault="006D7BBF" w:rsidP="006D7BBF">
      <w:pPr>
        <w:pStyle w:val="Heading2"/>
      </w:pPr>
      <w:bookmarkStart w:id="35" w:name="_Toc18664632"/>
      <w:r w:rsidRPr="00991729">
        <w:t xml:space="preserve">Regulations specific </w:t>
      </w:r>
      <w:r w:rsidR="0063438C">
        <w:t>to</w:t>
      </w:r>
      <w:r w:rsidR="0063438C" w:rsidRPr="006D7BBF">
        <w:t xml:space="preserve"> </w:t>
      </w:r>
      <w:r w:rsidR="009D7DCD" w:rsidRPr="006D7BBF">
        <w:t xml:space="preserve">ARCBS </w:t>
      </w:r>
      <w:r w:rsidRPr="00991729">
        <w:t>s</w:t>
      </w:r>
      <w:bookmarkEnd w:id="30"/>
      <w:r w:rsidRPr="00991729">
        <w:t>creening of blood donations</w:t>
      </w:r>
      <w:bookmarkEnd w:id="35"/>
      <w:r w:rsidRPr="00991729">
        <w:t xml:space="preserve"> </w:t>
      </w:r>
    </w:p>
    <w:p w14:paraId="385E9FB4" w14:textId="58E26CE7" w:rsidR="00B63FB4" w:rsidRPr="00B63FB4" w:rsidRDefault="00B63FB4" w:rsidP="00B63FB4">
      <w:pPr>
        <w:pStyle w:val="BodyCopy"/>
      </w:pPr>
      <w:r>
        <w:t xml:space="preserve">The ARCBS is contracted by the NBA on behalf of all Australian </w:t>
      </w:r>
      <w:r w:rsidR="00CC636C">
        <w:t>g</w:t>
      </w:r>
      <w:r>
        <w:t xml:space="preserve">overnments to supply fresh blood and blood components from Australian donations. Screening of blood donations for specific </w:t>
      </w:r>
      <w:r w:rsidR="009D66E0">
        <w:t xml:space="preserve">pathogens </w:t>
      </w:r>
      <w:r>
        <w:t xml:space="preserve">is a critical part of maintaining the quality of the Australian blood supply and the funded services utilised by the ARCBS are an important component of the screening process, see </w:t>
      </w:r>
      <w:r>
        <w:fldChar w:fldCharType="begin"/>
      </w:r>
      <w:r>
        <w:instrText xml:space="preserve"> REF _Ref425033 \h </w:instrText>
      </w:r>
      <w:r>
        <w:fldChar w:fldCharType="separate"/>
      </w:r>
      <w:r w:rsidR="0078683A">
        <w:t xml:space="preserve">Figure </w:t>
      </w:r>
      <w:r w:rsidR="0078683A">
        <w:rPr>
          <w:noProof/>
        </w:rPr>
        <w:t>2</w:t>
      </w:r>
      <w:r w:rsidR="0078683A">
        <w:t>.</w:t>
      </w:r>
      <w:r w:rsidR="0078683A">
        <w:rPr>
          <w:noProof/>
        </w:rPr>
        <w:t>1</w:t>
      </w:r>
      <w:r>
        <w:fldChar w:fldCharType="end"/>
      </w:r>
      <w:r>
        <w:t>. In addition to general laboratory requirements and those specific to the use of IVDs, the ARCBS is required to adhere to all national and state/territory accreditation and regulations regarding the manufacture, QA and QC of blood and blood components</w:t>
      </w:r>
      <w:r w:rsidR="00D51E2E">
        <w:t xml:space="preserve"> </w:t>
      </w:r>
      <w:sdt>
        <w:sdtPr>
          <w:id w:val="-313561664"/>
          <w:citation/>
        </w:sdtPr>
        <w:sdtEndPr/>
        <w:sdtContent>
          <w:r w:rsidR="00D51E2E">
            <w:fldChar w:fldCharType="begin"/>
          </w:r>
          <w:r w:rsidR="00D51E2E">
            <w:instrText xml:space="preserve"> CITATION San17 \l 3081 </w:instrText>
          </w:r>
          <w:r w:rsidR="00D51E2E">
            <w:fldChar w:fldCharType="separate"/>
          </w:r>
          <w:r w:rsidR="00D51E2E" w:rsidRPr="00D51E2E">
            <w:rPr>
              <w:noProof/>
            </w:rPr>
            <w:t>[20]</w:t>
          </w:r>
          <w:r w:rsidR="00D51E2E">
            <w:fldChar w:fldCharType="end"/>
          </w:r>
        </w:sdtContent>
      </w:sdt>
      <w:r>
        <w:t xml:space="preserve">. This includes adherence to the </w:t>
      </w:r>
      <w:r w:rsidRPr="009A21AB">
        <w:t>Australian Code of Good Manufacturing Practice</w:t>
      </w:r>
      <w:r>
        <w:t xml:space="preserve">, and the </w:t>
      </w:r>
      <w:r w:rsidRPr="006A46D9">
        <w:rPr>
          <w:i/>
        </w:rPr>
        <w:t>Therapeutic Goods Order (TGO) No.</w:t>
      </w:r>
      <w:r w:rsidR="00692EC6">
        <w:rPr>
          <w:i/>
        </w:rPr>
        <w:t xml:space="preserve"> </w:t>
      </w:r>
      <w:r w:rsidRPr="006A46D9">
        <w:rPr>
          <w:i/>
        </w:rPr>
        <w:t>88</w:t>
      </w:r>
      <w:r>
        <w:t>.</w:t>
      </w:r>
    </w:p>
    <w:p w14:paraId="212195A2" w14:textId="77777777" w:rsidR="00936EB9" w:rsidRDefault="00936EB9" w:rsidP="000F37A7">
      <w:pPr>
        <w:pStyle w:val="Heading3"/>
      </w:pPr>
      <w:bookmarkStart w:id="36" w:name="_Toc18664633"/>
      <w:r>
        <w:t>Australian Code of Good Manufacturing Practice</w:t>
      </w:r>
      <w:bookmarkEnd w:id="36"/>
    </w:p>
    <w:p w14:paraId="20762824" w14:textId="36841BF1" w:rsidR="00936EB9" w:rsidRDefault="00936EB9" w:rsidP="00AC6646">
      <w:pPr>
        <w:pStyle w:val="BodyCopy"/>
      </w:pPr>
      <w:r>
        <w:t xml:space="preserve">The TGA regulates good manufacturing process (GMP) through a series of codes that need to be adhered </w:t>
      </w:r>
      <w:r w:rsidR="00545925">
        <w:t xml:space="preserve">to </w:t>
      </w:r>
      <w:r>
        <w:t xml:space="preserve">by Australian manufacturers. </w:t>
      </w:r>
      <w:r w:rsidR="000F37A7">
        <w:t xml:space="preserve">This includes the </w:t>
      </w:r>
      <w:r w:rsidR="000F37A7" w:rsidRPr="006A46D9">
        <w:rPr>
          <w:i/>
        </w:rPr>
        <w:t>Australian Code of Good Manufacturing Practice for human blood and blood components, human tissues and human cellular therapy products</w:t>
      </w:r>
      <w:r w:rsidR="000F37A7">
        <w:t xml:space="preserve"> (the Code)</w:t>
      </w:r>
      <w:r w:rsidR="00D51E2E">
        <w:t xml:space="preserve"> </w:t>
      </w:r>
      <w:sdt>
        <w:sdtPr>
          <w:id w:val="-1260135640"/>
          <w:citation/>
        </w:sdtPr>
        <w:sdtEndPr/>
        <w:sdtContent>
          <w:r w:rsidR="00D51E2E">
            <w:fldChar w:fldCharType="begin"/>
          </w:r>
          <w:r w:rsidR="00D51E2E">
            <w:instrText xml:space="preserve"> CITATION TGA13 \l 3081 </w:instrText>
          </w:r>
          <w:r w:rsidR="00D51E2E">
            <w:fldChar w:fldCharType="separate"/>
          </w:r>
          <w:r w:rsidR="00D51E2E" w:rsidRPr="00D51E2E">
            <w:rPr>
              <w:noProof/>
            </w:rPr>
            <w:t>[21]</w:t>
          </w:r>
          <w:r w:rsidR="00D51E2E">
            <w:fldChar w:fldCharType="end"/>
          </w:r>
        </w:sdtContent>
      </w:sdt>
      <w:r w:rsidR="000F37A7">
        <w:t xml:space="preserve">. </w:t>
      </w:r>
      <w:r w:rsidR="00C9096B" w:rsidRPr="003E0E7D">
        <w:rPr>
          <w:noProof/>
        </w:rPr>
        <w:t>[</w:t>
      </w:r>
    </w:p>
    <w:p w14:paraId="6FEEC112" w14:textId="57BD6401" w:rsidR="00C06188" w:rsidRDefault="00D01078" w:rsidP="00D01078">
      <w:pPr>
        <w:pStyle w:val="BodyCopy"/>
      </w:pPr>
      <w:r>
        <w:lastRenderedPageBreak/>
        <w:t xml:space="preserve">The ARCBS </w:t>
      </w:r>
      <w:r w:rsidR="000F37A7">
        <w:t>undertake</w:t>
      </w:r>
      <w:r>
        <w:t>s</w:t>
      </w:r>
      <w:r w:rsidR="000F37A7">
        <w:t xml:space="preserve"> collection, processing,</w:t>
      </w:r>
      <w:r w:rsidR="00127638">
        <w:t xml:space="preserve"> screening</w:t>
      </w:r>
      <w:r w:rsidR="000F37A7">
        <w:t>, storage</w:t>
      </w:r>
      <w:r>
        <w:t xml:space="preserve"> and r</w:t>
      </w:r>
      <w:r w:rsidR="000F37A7">
        <w:t>elease for supply</w:t>
      </w:r>
      <w:r>
        <w:t xml:space="preserve"> of blood and blood </w:t>
      </w:r>
      <w:r w:rsidR="00B351BC">
        <w:t>components</w:t>
      </w:r>
      <w:r>
        <w:t>.</w:t>
      </w:r>
      <w:r w:rsidR="000F37A7" w:rsidRPr="000F37A7">
        <w:t xml:space="preserve"> </w:t>
      </w:r>
      <w:r w:rsidR="00654B62">
        <w:t>Therefore, the ARCBS must adhere to the Code</w:t>
      </w:r>
      <w:r w:rsidR="00D51E2E" w:rsidRPr="00D51E2E">
        <w:t xml:space="preserve"> </w:t>
      </w:r>
      <w:sdt>
        <w:sdtPr>
          <w:id w:val="144477816"/>
          <w:citation/>
        </w:sdtPr>
        <w:sdtEndPr/>
        <w:sdtContent>
          <w:r w:rsidR="00D51E2E">
            <w:fldChar w:fldCharType="begin"/>
          </w:r>
          <w:r w:rsidR="00D51E2E">
            <w:instrText xml:space="preserve"> CITATION TGA13 \l 3081 </w:instrText>
          </w:r>
          <w:r w:rsidR="00D51E2E">
            <w:fldChar w:fldCharType="separate"/>
          </w:r>
          <w:r w:rsidR="00D51E2E" w:rsidRPr="00D51E2E">
            <w:rPr>
              <w:noProof/>
            </w:rPr>
            <w:t>[21]</w:t>
          </w:r>
          <w:r w:rsidR="00D51E2E">
            <w:fldChar w:fldCharType="end"/>
          </w:r>
        </w:sdtContent>
      </w:sdt>
      <w:r w:rsidR="00654B62">
        <w:t>.</w:t>
      </w:r>
      <w:r w:rsidRPr="00D01078">
        <w:t xml:space="preserve"> </w:t>
      </w:r>
      <w:r w:rsidR="00821FF1">
        <w:t>The funded services support the ARCBS capability to meet some requirements of the Code</w:t>
      </w:r>
      <w:r w:rsidR="00413522">
        <w:t>. For example</w:t>
      </w:r>
      <w:r w:rsidR="00821FF1">
        <w:t>,</w:t>
      </w:r>
      <w:r w:rsidR="00413522">
        <w:t xml:space="preserve"> u</w:t>
      </w:r>
      <w:r>
        <w:t>nder the requirements of the Code, the ARCBS</w:t>
      </w:r>
      <w:r w:rsidR="00C06188">
        <w:t>:</w:t>
      </w:r>
    </w:p>
    <w:p w14:paraId="3571C122" w14:textId="4603660A" w:rsidR="00C06188" w:rsidRDefault="00C06188" w:rsidP="00C06188">
      <w:pPr>
        <w:pStyle w:val="Bullets1"/>
      </w:pPr>
      <w:r>
        <w:t xml:space="preserve">should </w:t>
      </w:r>
      <w:r w:rsidR="00D01078">
        <w:t xml:space="preserve">participate in </w:t>
      </w:r>
      <w:r>
        <w:t xml:space="preserve">a formal system of proficiency testing such as </w:t>
      </w:r>
      <w:r w:rsidR="009A21AB">
        <w:t xml:space="preserve">an </w:t>
      </w:r>
      <w:r w:rsidR="00D01078">
        <w:t>external quality assurance progra</w:t>
      </w:r>
      <w:r>
        <w:t xml:space="preserve">m (refer to </w:t>
      </w:r>
      <w:r w:rsidR="00CE662D">
        <w:t xml:space="preserve">the </w:t>
      </w:r>
      <w:r>
        <w:t>Code item 909</w:t>
      </w:r>
      <w:r w:rsidR="00D01078">
        <w:t>)</w:t>
      </w:r>
      <w:r>
        <w:t xml:space="preserve">, and </w:t>
      </w:r>
    </w:p>
    <w:p w14:paraId="680AF6E9" w14:textId="07043B26" w:rsidR="00936EB9" w:rsidRDefault="00C06188" w:rsidP="00C06188">
      <w:pPr>
        <w:pStyle w:val="Bullets1"/>
      </w:pPr>
      <w:r>
        <w:t xml:space="preserve">should perform tests using qualified equipment and methodology that has been appropriately validated (refer to </w:t>
      </w:r>
      <w:r w:rsidR="00CE662D">
        <w:t xml:space="preserve">the </w:t>
      </w:r>
      <w:r>
        <w:t>Code item 907)</w:t>
      </w:r>
      <w:r w:rsidR="00D51E2E">
        <w:t xml:space="preserve"> </w:t>
      </w:r>
      <w:sdt>
        <w:sdtPr>
          <w:id w:val="1279759781"/>
          <w:citation/>
        </w:sdtPr>
        <w:sdtEndPr/>
        <w:sdtContent>
          <w:r w:rsidR="00D51E2E">
            <w:fldChar w:fldCharType="begin"/>
          </w:r>
          <w:r w:rsidR="00D51E2E">
            <w:instrText xml:space="preserve"> CITATION TGA13 \l 3081 </w:instrText>
          </w:r>
          <w:r w:rsidR="00D51E2E">
            <w:fldChar w:fldCharType="separate"/>
          </w:r>
          <w:r w:rsidR="00D51E2E" w:rsidRPr="00D51E2E">
            <w:rPr>
              <w:noProof/>
            </w:rPr>
            <w:t>[21]</w:t>
          </w:r>
          <w:r w:rsidR="00D51E2E">
            <w:fldChar w:fldCharType="end"/>
          </w:r>
        </w:sdtContent>
      </w:sdt>
      <w:r w:rsidR="00D01078">
        <w:t xml:space="preserve">. </w:t>
      </w:r>
    </w:p>
    <w:p w14:paraId="6A2BA2C5" w14:textId="77777777" w:rsidR="00C06188" w:rsidRDefault="00C06188" w:rsidP="00C06188">
      <w:pPr>
        <w:pStyle w:val="KeyFinding"/>
      </w:pPr>
      <w:r>
        <w:t xml:space="preserve">Under </w:t>
      </w:r>
      <w:r w:rsidR="00D3428A">
        <w:t xml:space="preserve">the </w:t>
      </w:r>
      <w:r>
        <w:t xml:space="preserve">Code, it is preferred but </w:t>
      </w:r>
      <w:r w:rsidRPr="00C06188">
        <w:rPr>
          <w:b/>
        </w:rPr>
        <w:t>not</w:t>
      </w:r>
      <w:r>
        <w:t xml:space="preserve"> </w:t>
      </w:r>
      <w:r w:rsidRPr="00C06188">
        <w:rPr>
          <w:b/>
        </w:rPr>
        <w:t>mandated</w:t>
      </w:r>
      <w:r>
        <w:t xml:space="preserve"> that ARCBS</w:t>
      </w:r>
      <w:r w:rsidR="00821FF1">
        <w:t xml:space="preserve"> laboratories</w:t>
      </w:r>
      <w:r>
        <w:t xml:space="preserve"> participate in external </w:t>
      </w:r>
      <w:r w:rsidR="00821FF1">
        <w:t>QA</w:t>
      </w:r>
      <w:r>
        <w:t xml:space="preserve"> program</w:t>
      </w:r>
      <w:r w:rsidR="0083791F">
        <w:t>s</w:t>
      </w:r>
      <w:r>
        <w:t xml:space="preserve"> and use testing equipment and methodologies that are validated</w:t>
      </w:r>
      <w:r w:rsidR="000D1AEE">
        <w:t>.</w:t>
      </w:r>
    </w:p>
    <w:p w14:paraId="27104DDD" w14:textId="77777777" w:rsidR="008A3518" w:rsidRDefault="008A3518" w:rsidP="008A3518">
      <w:pPr>
        <w:pStyle w:val="Heading3"/>
      </w:pPr>
      <w:bookmarkStart w:id="37" w:name="_Toc18664634"/>
      <w:r>
        <w:t>Therapeutic Goods Order No.</w:t>
      </w:r>
      <w:r w:rsidR="00692EC6">
        <w:t xml:space="preserve"> </w:t>
      </w:r>
      <w:r>
        <w:t>88</w:t>
      </w:r>
      <w:bookmarkEnd w:id="37"/>
    </w:p>
    <w:p w14:paraId="3787D926" w14:textId="6FB6D63E" w:rsidR="00F62D53" w:rsidRDefault="004F4089" w:rsidP="00CB6A24">
      <w:pPr>
        <w:pStyle w:val="BodyCopy"/>
      </w:pPr>
      <w:r>
        <w:t>T</w:t>
      </w:r>
      <w:r w:rsidR="000E4D85">
        <w:t>he AR</w:t>
      </w:r>
      <w:r w:rsidR="00DB558F">
        <w:t>CB</w:t>
      </w:r>
      <w:r w:rsidR="000E4D85">
        <w:t xml:space="preserve">S must adhere to the </w:t>
      </w:r>
      <w:r w:rsidR="000E4D85" w:rsidRPr="006A46D9">
        <w:rPr>
          <w:i/>
        </w:rPr>
        <w:t>TGO</w:t>
      </w:r>
      <w:r w:rsidR="008A3518" w:rsidRPr="006A46D9">
        <w:rPr>
          <w:i/>
        </w:rPr>
        <w:t> </w:t>
      </w:r>
      <w:r w:rsidR="000E4D85" w:rsidRPr="006A46D9">
        <w:rPr>
          <w:i/>
        </w:rPr>
        <w:t>No. 88:</w:t>
      </w:r>
      <w:r w:rsidR="000E4D85" w:rsidRPr="000E4D85">
        <w:t xml:space="preserve"> </w:t>
      </w:r>
      <w:r w:rsidR="000E4D85" w:rsidRPr="000E4D85">
        <w:rPr>
          <w:i/>
        </w:rPr>
        <w:t>Standards for donor selection, testing and minimising infectious disease transmission via therapeutic goods that are human blood and blood components, human tissues and human cellular therapy products</w:t>
      </w:r>
      <w:r w:rsidR="00D51E2E">
        <w:rPr>
          <w:i/>
        </w:rPr>
        <w:t xml:space="preserve"> </w:t>
      </w:r>
      <w:sdt>
        <w:sdtPr>
          <w:id w:val="1352540920"/>
          <w:citation/>
        </w:sdtPr>
        <w:sdtEndPr/>
        <w:sdtContent>
          <w:r w:rsidR="00D51E2E">
            <w:fldChar w:fldCharType="begin"/>
          </w:r>
          <w:r w:rsidR="00D51E2E">
            <w:instrText xml:space="preserve"> CITATION The16 \l 3081 </w:instrText>
          </w:r>
          <w:r w:rsidR="00D51E2E">
            <w:fldChar w:fldCharType="separate"/>
          </w:r>
          <w:r w:rsidR="00D51E2E" w:rsidRPr="00D51E2E">
            <w:rPr>
              <w:noProof/>
            </w:rPr>
            <w:t>[22]</w:t>
          </w:r>
          <w:r w:rsidR="00D51E2E">
            <w:fldChar w:fldCharType="end"/>
          </w:r>
        </w:sdtContent>
      </w:sdt>
      <w:sdt>
        <w:sdtPr>
          <w:id w:val="-1529785727"/>
          <w:citation/>
        </w:sdtPr>
        <w:sdtEndPr/>
        <w:sdtContent>
          <w:r w:rsidR="00D51E2E">
            <w:fldChar w:fldCharType="begin"/>
          </w:r>
          <w:r w:rsidR="00D51E2E">
            <w:instrText xml:space="preserve">CITATION TGATGO88 \l 3081 </w:instrText>
          </w:r>
          <w:r w:rsidR="00D51E2E">
            <w:fldChar w:fldCharType="separate"/>
          </w:r>
          <w:r w:rsidR="00D51E2E">
            <w:rPr>
              <w:noProof/>
            </w:rPr>
            <w:t xml:space="preserve"> </w:t>
          </w:r>
          <w:r w:rsidR="00D51E2E" w:rsidRPr="00D51E2E">
            <w:rPr>
              <w:noProof/>
            </w:rPr>
            <w:t>[23]</w:t>
          </w:r>
          <w:r w:rsidR="00D51E2E">
            <w:fldChar w:fldCharType="end"/>
          </w:r>
        </w:sdtContent>
      </w:sdt>
      <w:r w:rsidR="000E4D85">
        <w:t xml:space="preserve">. </w:t>
      </w:r>
      <w:r w:rsidR="00CB6A24">
        <w:t xml:space="preserve">Under the </w:t>
      </w:r>
      <w:r w:rsidR="0083791F">
        <w:t>Order</w:t>
      </w:r>
      <w:r w:rsidR="00CB6A24">
        <w:t xml:space="preserve">, </w:t>
      </w:r>
      <w:r w:rsidR="00F62D53">
        <w:t>blood samples from all potential donors</w:t>
      </w:r>
      <w:r w:rsidR="000E4D85">
        <w:t xml:space="preserve"> </w:t>
      </w:r>
      <w:r>
        <w:t xml:space="preserve">(blood, blood component, organ or tissue) </w:t>
      </w:r>
      <w:r w:rsidR="000E4D85">
        <w:t>must</w:t>
      </w:r>
      <w:r w:rsidR="00CB6A24">
        <w:t xml:space="preserve"> </w:t>
      </w:r>
      <w:r w:rsidR="008C352F">
        <w:t xml:space="preserve">use serology to test for </w:t>
      </w:r>
      <w:r>
        <w:t xml:space="preserve">HIV, HCV, HBV, HTLV and syphilis. In </w:t>
      </w:r>
      <w:r w:rsidR="00940CE3">
        <w:t>addition,</w:t>
      </w:r>
      <w:r>
        <w:t xml:space="preserve"> </w:t>
      </w:r>
      <w:r w:rsidR="008C352F">
        <w:t xml:space="preserve">the Order states that </w:t>
      </w:r>
      <w:r>
        <w:t xml:space="preserve">donor material must </w:t>
      </w:r>
      <w:r w:rsidR="00CC636C">
        <w:t xml:space="preserve">be </w:t>
      </w:r>
      <w:r w:rsidR="008C352F">
        <w:t>test</w:t>
      </w:r>
      <w:r w:rsidR="00CC636C">
        <w:t xml:space="preserve">ed for </w:t>
      </w:r>
      <w:r w:rsidR="00CB6A24">
        <w:t>HIV, HCV and HBV by serology and NAT</w:t>
      </w:r>
      <w:sdt>
        <w:sdtPr>
          <w:id w:val="-815643860"/>
          <w:citation/>
        </w:sdtPr>
        <w:sdtEndPr/>
        <w:sdtContent>
          <w:r w:rsidR="00D51E2E">
            <w:fldChar w:fldCharType="begin"/>
          </w:r>
          <w:r w:rsidR="00D51E2E">
            <w:instrText xml:space="preserve">CITATION TGATGO88 \l 3081 </w:instrText>
          </w:r>
          <w:r w:rsidR="00D51E2E">
            <w:fldChar w:fldCharType="separate"/>
          </w:r>
          <w:r w:rsidR="00D51E2E">
            <w:rPr>
              <w:noProof/>
            </w:rPr>
            <w:t xml:space="preserve"> </w:t>
          </w:r>
          <w:r w:rsidR="00D51E2E" w:rsidRPr="00D51E2E">
            <w:rPr>
              <w:noProof/>
            </w:rPr>
            <w:t>[23]</w:t>
          </w:r>
          <w:r w:rsidR="00D51E2E">
            <w:fldChar w:fldCharType="end"/>
          </w:r>
        </w:sdtContent>
      </w:sdt>
      <w:r w:rsidR="00D51E2E">
        <w:t>.</w:t>
      </w:r>
      <w:r w:rsidR="00CB6A24">
        <w:t xml:space="preserve"> Further detail on TGO No. 88 screening requirements are provided in</w:t>
      </w:r>
      <w:r w:rsidR="00400FE3">
        <w:t xml:space="preserve"> </w:t>
      </w:r>
      <w:r w:rsidR="00400FE3">
        <w:fldChar w:fldCharType="begin"/>
      </w:r>
      <w:r w:rsidR="00400FE3">
        <w:instrText xml:space="preserve"> REF _Ref1051585 \r \h </w:instrText>
      </w:r>
      <w:r w:rsidR="00400FE3">
        <w:fldChar w:fldCharType="separate"/>
      </w:r>
      <w:r w:rsidR="0078683A">
        <w:t>Appendix C</w:t>
      </w:r>
      <w:r w:rsidR="00400FE3">
        <w:fldChar w:fldCharType="end"/>
      </w:r>
      <w:r w:rsidR="00B0752B">
        <w:t xml:space="preserve">. </w:t>
      </w:r>
      <w:r w:rsidR="00787E0A">
        <w:t xml:space="preserve">It should be noted that </w:t>
      </w:r>
      <w:r w:rsidR="00787E0A" w:rsidRPr="00787E0A">
        <w:t xml:space="preserve">TGO </w:t>
      </w:r>
      <w:r w:rsidR="00D452E2">
        <w:t xml:space="preserve">No. </w:t>
      </w:r>
      <w:r w:rsidR="00787E0A" w:rsidRPr="00787E0A">
        <w:t>88 applies to the ARCBS but not routinely to other lab</w:t>
      </w:r>
      <w:r w:rsidR="00526F41">
        <w:t>oratorie</w:t>
      </w:r>
      <w:r w:rsidR="00787E0A" w:rsidRPr="00787E0A">
        <w:t>s. Therefore</w:t>
      </w:r>
      <w:r w:rsidR="00787E0A">
        <w:t>,</w:t>
      </w:r>
      <w:r w:rsidR="00787E0A" w:rsidRPr="00787E0A">
        <w:t xml:space="preserve"> this is additional to ARCBS and relates specifically to donor screening</w:t>
      </w:r>
      <w:r w:rsidR="00D452E2">
        <w:t>,</w:t>
      </w:r>
      <w:r w:rsidR="00787E0A" w:rsidRPr="00787E0A">
        <w:t xml:space="preserve"> as the us</w:t>
      </w:r>
      <w:r w:rsidR="00787E0A">
        <w:t xml:space="preserve">e of </w:t>
      </w:r>
      <w:r w:rsidR="008C352F">
        <w:t xml:space="preserve">donated </w:t>
      </w:r>
      <w:r w:rsidR="00787E0A">
        <w:t>blood</w:t>
      </w:r>
      <w:r w:rsidR="008C352F">
        <w:t xml:space="preserve">, organs and tissues presents a </w:t>
      </w:r>
      <w:r w:rsidR="00787E0A">
        <w:t>higher risk</w:t>
      </w:r>
      <w:r w:rsidR="008C352F">
        <w:t xml:space="preserve"> to public health</w:t>
      </w:r>
      <w:r w:rsidR="00787E0A">
        <w:t>.</w:t>
      </w:r>
      <w:r w:rsidR="00787E0A" w:rsidRPr="00787E0A">
        <w:t xml:space="preserve"> </w:t>
      </w:r>
    </w:p>
    <w:p w14:paraId="71A253AE" w14:textId="6DC94FB9" w:rsidR="008C352F" w:rsidRDefault="008C352F" w:rsidP="00CB6A24">
      <w:pPr>
        <w:pStyle w:val="BodyCopy"/>
      </w:pPr>
      <w:r>
        <w:t>No further QA or QC requirements, other than abiding by the IVD regulatory framework are listed in the Order.</w:t>
      </w:r>
    </w:p>
    <w:p w14:paraId="5F045DB9" w14:textId="77777777" w:rsidR="000367FB" w:rsidRDefault="000367FB" w:rsidP="00CB6A24">
      <w:pPr>
        <w:pStyle w:val="BodyCopy"/>
      </w:pPr>
    </w:p>
    <w:p w14:paraId="3E31B06A" w14:textId="6BB14694" w:rsidR="00A03CEA" w:rsidRDefault="00C06188" w:rsidP="00BB7895">
      <w:pPr>
        <w:pStyle w:val="KeyFinding"/>
      </w:pPr>
      <w:r>
        <w:t xml:space="preserve">Under TGO No. 88, ARCBS </w:t>
      </w:r>
      <w:r w:rsidR="00B849C5" w:rsidRPr="00B31261">
        <w:rPr>
          <w:b/>
        </w:rPr>
        <w:t xml:space="preserve">must </w:t>
      </w:r>
      <w:r w:rsidR="001501FD">
        <w:t>screen</w:t>
      </w:r>
      <w:r>
        <w:t xml:space="preserve"> blood samples </w:t>
      </w:r>
      <w:r w:rsidR="00B849C5">
        <w:t xml:space="preserve">for </w:t>
      </w:r>
      <w:r w:rsidR="00A03CEA">
        <w:t xml:space="preserve">HIV, HCV and HBV </w:t>
      </w:r>
      <w:r w:rsidR="00B849C5">
        <w:t>by serology</w:t>
      </w:r>
      <w:r w:rsidR="00A03CEA">
        <w:t xml:space="preserve"> and NAT</w:t>
      </w:r>
      <w:r w:rsidR="008C352F">
        <w:t>; and HTLV and syphilis by serology.</w:t>
      </w:r>
      <w:r w:rsidR="006B3928">
        <w:t xml:space="preserve"> </w:t>
      </w:r>
      <w:r w:rsidR="008A53E1">
        <w:t>The funded services do not include QC and QA for syphilis or QC for HTLV.</w:t>
      </w:r>
    </w:p>
    <w:p w14:paraId="02C5105A" w14:textId="49BCC2F9" w:rsidR="004057D9" w:rsidRDefault="00580C10" w:rsidP="002F57B4">
      <w:pPr>
        <w:pStyle w:val="Heading2"/>
      </w:pPr>
      <w:bookmarkStart w:id="38" w:name="_Toc18664635"/>
      <w:r>
        <w:t>Specificity monitoring</w:t>
      </w:r>
      <w:bookmarkEnd w:id="38"/>
      <w:r>
        <w:t xml:space="preserve"> </w:t>
      </w:r>
    </w:p>
    <w:p w14:paraId="22730B6B" w14:textId="6B3D8DED" w:rsidR="00580C10" w:rsidRDefault="00DA4F1B" w:rsidP="00DA4F1B">
      <w:pPr>
        <w:pStyle w:val="BodyCopy"/>
      </w:pPr>
      <w:r>
        <w:t>S</w:t>
      </w:r>
      <w:r w:rsidR="00580C10">
        <w:t>pecificity monitoring assess</w:t>
      </w:r>
      <w:r>
        <w:t xml:space="preserve">es rates </w:t>
      </w:r>
      <w:r w:rsidR="00580C10">
        <w:t>of false reactivity (i.e. false positive</w:t>
      </w:r>
      <w:r>
        <w:t xml:space="preserve">s), to ensure </w:t>
      </w:r>
      <w:r w:rsidR="00580C10">
        <w:t>the false positive rate is</w:t>
      </w:r>
      <w:r w:rsidR="00D0429B">
        <w:t xml:space="preserve"> maintained </w:t>
      </w:r>
      <w:r w:rsidR="00580C10">
        <w:t>in</w:t>
      </w:r>
      <w:r w:rsidR="00D0429B">
        <w:t xml:space="preserve"> an</w:t>
      </w:r>
      <w:r w:rsidR="00580C10">
        <w:t xml:space="preserve"> agreed and accepted range. </w:t>
      </w:r>
    </w:p>
    <w:p w14:paraId="76ABF6DA" w14:textId="2666B76E" w:rsidR="00AB5B69" w:rsidRDefault="00DA4F1B" w:rsidP="00AB5B69">
      <w:pPr>
        <w:pStyle w:val="BodyCopy"/>
      </w:pPr>
      <w:r>
        <w:t xml:space="preserve">The TGA </w:t>
      </w:r>
      <w:r w:rsidR="00102E71">
        <w:t xml:space="preserve">has issued </w:t>
      </w:r>
      <w:r w:rsidR="00AB5B69" w:rsidRPr="00AB5B69">
        <w:t>Clinical performance requirements and risk mitigation strategies for HIV tests</w:t>
      </w:r>
      <w:r w:rsidR="00773D57" w:rsidRPr="00773D57">
        <w:rPr>
          <w:i/>
        </w:rPr>
        <w:t xml:space="preserve"> </w:t>
      </w:r>
      <w:sdt>
        <w:sdtPr>
          <w:id w:val="1873721097"/>
          <w:citation/>
        </w:sdtPr>
        <w:sdtEndPr/>
        <w:sdtContent>
          <w:r w:rsidR="00773D57" w:rsidRPr="00773D57">
            <w:fldChar w:fldCharType="begin"/>
          </w:r>
          <w:r w:rsidR="00773D57" w:rsidRPr="00773D57">
            <w:rPr>
              <w:lang w:val="en-US"/>
            </w:rPr>
            <w:instrText xml:space="preserve"> CITATION The15 \l 1033 </w:instrText>
          </w:r>
          <w:r w:rsidR="00773D57" w:rsidRPr="00773D57">
            <w:fldChar w:fldCharType="separate"/>
          </w:r>
          <w:r w:rsidR="00773D57" w:rsidRPr="00773D57">
            <w:rPr>
              <w:noProof/>
              <w:lang w:val="en-US"/>
            </w:rPr>
            <w:t>[24]</w:t>
          </w:r>
          <w:r w:rsidR="00773D57" w:rsidRPr="00773D57">
            <w:fldChar w:fldCharType="end"/>
          </w:r>
        </w:sdtContent>
      </w:sdt>
      <w:r w:rsidR="00AB5B69">
        <w:t>. This document, published in 2015, provides manufacturers and sponsors with guidance on TGA's expectations in regard to clinical performance requirements (i.e. clinical sensitivity and specificity) and risk mitigation for IVD intended to be used to screen or diagnose HIV infection.</w:t>
      </w:r>
    </w:p>
    <w:p w14:paraId="6ECE5D27" w14:textId="23D22B27" w:rsidR="00580C10" w:rsidRDefault="00AB5B69" w:rsidP="00A159C0">
      <w:pPr>
        <w:pStyle w:val="Quote"/>
      </w:pPr>
      <w:r>
        <w:t xml:space="preserve">This guidance applies to Class 4 HIV </w:t>
      </w:r>
      <w:r w:rsidR="00493481">
        <w:t>serology</w:t>
      </w:r>
      <w:r>
        <w:t xml:space="preserve"> tests that are intended to be used: in the laboratory for diagnostic and/or donor screening or reference testing </w:t>
      </w:r>
    </w:p>
    <w:p w14:paraId="21AF889D" w14:textId="365AAF67" w:rsidR="00724FC5" w:rsidRPr="00724FC5" w:rsidRDefault="00AB5B69" w:rsidP="00D0429B">
      <w:pPr>
        <w:pStyle w:val="KeyFinding"/>
      </w:pPr>
      <w:r>
        <w:t>Under the revised regulatory framework for IVDs, s</w:t>
      </w:r>
      <w:r w:rsidR="00875974">
        <w:t xml:space="preserve">pecificity monitoring </w:t>
      </w:r>
      <w:r>
        <w:t xml:space="preserve">is required to be undertaken prior to inclusion on the ARTG of the Class 4 IVD. There are </w:t>
      </w:r>
      <w:r w:rsidRPr="00AB5B69">
        <w:rPr>
          <w:b/>
        </w:rPr>
        <w:t>no requirements</w:t>
      </w:r>
      <w:r>
        <w:t xml:space="preserve"> for the ARCBS to undertake specific monitoring for </w:t>
      </w:r>
      <w:r w:rsidR="00BD3426">
        <w:t xml:space="preserve">BBV tests on </w:t>
      </w:r>
      <w:r>
        <w:t xml:space="preserve">blood donations. </w:t>
      </w: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E60B88" w:rsidRPr="003E0E7D" w14:paraId="5BC01A82" w14:textId="77777777" w:rsidTr="003E0E7D">
        <w:trPr>
          <w:cantSplit/>
          <w:trHeight w:hRule="exact" w:val="1871"/>
        </w:trPr>
        <w:tc>
          <w:tcPr>
            <w:tcW w:w="5000" w:type="pct"/>
            <w:shd w:val="solid" w:color="FFFFFF" w:fill="FFFFFF"/>
            <w:vAlign w:val="bottom"/>
          </w:tcPr>
          <w:p w14:paraId="6618AD60" w14:textId="77777777" w:rsidR="00E60B88" w:rsidRPr="003E0E7D" w:rsidRDefault="00E60B88" w:rsidP="003E0E7D">
            <w:pPr>
              <w:pStyle w:val="Heading1"/>
              <w:numPr>
                <w:ilvl w:val="0"/>
                <w:numId w:val="1"/>
              </w:numPr>
            </w:pPr>
            <w:bookmarkStart w:id="39" w:name="_Toc18664636"/>
            <w:r w:rsidRPr="003E0E7D">
              <w:lastRenderedPageBreak/>
              <w:t>current funding arrangements</w:t>
            </w:r>
            <w:bookmarkEnd w:id="39"/>
            <w:r w:rsidRPr="003E0E7D">
              <w:t xml:space="preserve"> </w:t>
            </w:r>
          </w:p>
        </w:tc>
      </w:tr>
    </w:tbl>
    <w:p w14:paraId="73C5D6DF" w14:textId="77777777" w:rsidR="004934B1" w:rsidRPr="003E0E7D" w:rsidRDefault="004934B1" w:rsidP="00991729">
      <w:pPr>
        <w:pStyle w:val="BodyCopy"/>
        <w:rPr>
          <w:rStyle w:val="PlaceholderText"/>
          <w:b/>
          <w:bCs/>
          <w:caps/>
          <w:color w:val="000000"/>
        </w:rPr>
      </w:pPr>
      <w:r w:rsidRPr="003E0E7D">
        <w:rPr>
          <w:rStyle w:val="PlaceholderText"/>
          <w:color w:val="000000"/>
        </w:rPr>
        <w:t>This chapter presents the current funding environment relevant to the funded services.</w:t>
      </w:r>
    </w:p>
    <w:p w14:paraId="07D12D90" w14:textId="77777777" w:rsidR="004934B1" w:rsidRPr="003E0E7D" w:rsidRDefault="004934B1" w:rsidP="004934B1">
      <w:pPr>
        <w:pStyle w:val="BodyCopy"/>
        <w:rPr>
          <w:rStyle w:val="PlaceholderText"/>
          <w:color w:val="000000"/>
        </w:rPr>
      </w:pPr>
      <w:r w:rsidRPr="003E0E7D">
        <w:rPr>
          <w:rStyle w:val="PlaceholderText"/>
          <w:color w:val="000000"/>
        </w:rPr>
        <w:t xml:space="preserve">There is a mixture of funding mechanisms for pathology relating to the testing of BBVs in Australia. Current funding mechanisms were appraised throughout this review and used to inform </w:t>
      </w:r>
      <w:r w:rsidR="00C620BA" w:rsidRPr="003E0E7D">
        <w:rPr>
          <w:rStyle w:val="PlaceholderText"/>
          <w:color w:val="000000"/>
        </w:rPr>
        <w:t xml:space="preserve">potential future </w:t>
      </w:r>
      <w:r w:rsidRPr="003E0E7D">
        <w:rPr>
          <w:rStyle w:val="PlaceholderText"/>
          <w:color w:val="000000"/>
        </w:rPr>
        <w:t>options</w:t>
      </w:r>
      <w:r w:rsidR="009A0872" w:rsidRPr="003E0E7D">
        <w:rPr>
          <w:rStyle w:val="PlaceholderText"/>
          <w:color w:val="000000"/>
        </w:rPr>
        <w:t>. I</w:t>
      </w:r>
      <w:r w:rsidRPr="003E0E7D">
        <w:rPr>
          <w:rStyle w:val="PlaceholderText"/>
          <w:color w:val="000000"/>
        </w:rPr>
        <w:t xml:space="preserve">n summary: </w:t>
      </w:r>
    </w:p>
    <w:p w14:paraId="14F6A162" w14:textId="15B7A5CB" w:rsidR="001C69BF" w:rsidRDefault="001C69BF" w:rsidP="004934B1">
      <w:pPr>
        <w:pStyle w:val="Bullets1"/>
        <w:rPr>
          <w:rStyle w:val="PlaceholderText"/>
          <w:color w:val="000000"/>
        </w:rPr>
      </w:pPr>
      <w:r>
        <w:rPr>
          <w:rStyle w:val="PlaceholderText"/>
          <w:color w:val="000000"/>
        </w:rPr>
        <w:t xml:space="preserve">the Australian Government funds </w:t>
      </w:r>
      <w:r w:rsidR="0060732F">
        <w:rPr>
          <w:rStyle w:val="PlaceholderText"/>
          <w:color w:val="000000"/>
        </w:rPr>
        <w:t xml:space="preserve">HIV and HCV </w:t>
      </w:r>
      <w:r>
        <w:rPr>
          <w:rStyle w:val="PlaceholderText"/>
          <w:color w:val="000000"/>
        </w:rPr>
        <w:t>QC</w:t>
      </w:r>
      <w:r w:rsidR="0060732F">
        <w:rPr>
          <w:rStyle w:val="PlaceholderText"/>
          <w:color w:val="000000"/>
        </w:rPr>
        <w:t xml:space="preserve">, </w:t>
      </w:r>
      <w:r>
        <w:rPr>
          <w:rStyle w:val="PlaceholderText"/>
          <w:color w:val="000000"/>
        </w:rPr>
        <w:t xml:space="preserve">QA </w:t>
      </w:r>
      <w:r w:rsidR="0060732F">
        <w:rPr>
          <w:rStyle w:val="PlaceholderText"/>
          <w:color w:val="000000"/>
        </w:rPr>
        <w:t xml:space="preserve">and monitoring activities </w:t>
      </w:r>
      <w:r>
        <w:rPr>
          <w:rStyle w:val="PlaceholderText"/>
          <w:color w:val="000000"/>
        </w:rPr>
        <w:t>for pa</w:t>
      </w:r>
      <w:r w:rsidR="008A53E1">
        <w:rPr>
          <w:rStyle w:val="PlaceholderText"/>
          <w:color w:val="000000"/>
        </w:rPr>
        <w:t xml:space="preserve">rticipating </w:t>
      </w:r>
      <w:r>
        <w:rPr>
          <w:rStyle w:val="PlaceholderText"/>
          <w:color w:val="000000"/>
        </w:rPr>
        <w:t xml:space="preserve">laboratories </w:t>
      </w:r>
      <w:r w:rsidR="0060732F">
        <w:rPr>
          <w:rStyle w:val="PlaceholderText"/>
          <w:color w:val="000000"/>
        </w:rPr>
        <w:t xml:space="preserve">and HIV, HBV and HCV QC, QA and monitoring activities </w:t>
      </w:r>
      <w:r>
        <w:rPr>
          <w:rStyle w:val="PlaceholderText"/>
          <w:color w:val="000000"/>
        </w:rPr>
        <w:t>for the ARCBS</w:t>
      </w:r>
    </w:p>
    <w:p w14:paraId="2F6459C5" w14:textId="703ADE50" w:rsidR="0060732F" w:rsidRDefault="0060732F" w:rsidP="004934B1">
      <w:pPr>
        <w:pStyle w:val="Bullets1"/>
        <w:rPr>
          <w:rStyle w:val="PlaceholderText"/>
          <w:color w:val="000000"/>
        </w:rPr>
      </w:pPr>
      <w:r>
        <w:rPr>
          <w:rStyle w:val="PlaceholderText"/>
          <w:color w:val="000000"/>
        </w:rPr>
        <w:t xml:space="preserve">the Australian Government funds reference testing </w:t>
      </w:r>
      <w:r>
        <w:t>for HIV and HTLV samples that require adjudication as to their status</w:t>
      </w:r>
      <w:r>
        <w:rPr>
          <w:rStyle w:val="PlaceholderText"/>
          <w:color w:val="000000"/>
        </w:rPr>
        <w:t xml:space="preserve"> for pa</w:t>
      </w:r>
      <w:r w:rsidR="008A53E1">
        <w:rPr>
          <w:rStyle w:val="PlaceholderText"/>
          <w:color w:val="000000"/>
        </w:rPr>
        <w:t xml:space="preserve">rticipating </w:t>
      </w:r>
      <w:r>
        <w:rPr>
          <w:rStyle w:val="PlaceholderText"/>
          <w:color w:val="000000"/>
        </w:rPr>
        <w:t xml:space="preserve">laboratories </w:t>
      </w:r>
      <w:r w:rsidR="008A53E1">
        <w:rPr>
          <w:rStyle w:val="PlaceholderText"/>
          <w:color w:val="000000"/>
        </w:rPr>
        <w:t xml:space="preserve">and the ARCBS </w:t>
      </w:r>
    </w:p>
    <w:p w14:paraId="41446AB0" w14:textId="039F4305" w:rsidR="0060732F" w:rsidRDefault="0060732F" w:rsidP="0060732F">
      <w:pPr>
        <w:pStyle w:val="Bullets1"/>
      </w:pPr>
      <w:r w:rsidRPr="0060732F">
        <w:rPr>
          <w:rStyle w:val="PlaceholderText"/>
          <w:color w:val="000000"/>
        </w:rPr>
        <w:t>the Australian Government funds s</w:t>
      </w:r>
      <w:r>
        <w:t>pecificity monitoring of HIV and HCV serological assays performed by the ARCBS, and provision of plasma control panels for staff training or proficiency testing for the ARCBS</w:t>
      </w:r>
    </w:p>
    <w:p w14:paraId="7ECDAD39" w14:textId="41602A99" w:rsidR="004934B1" w:rsidRPr="003E0E7D" w:rsidRDefault="00A66B9D" w:rsidP="004934B1">
      <w:pPr>
        <w:pStyle w:val="Bullets1"/>
        <w:rPr>
          <w:rStyle w:val="PlaceholderText"/>
          <w:color w:val="000000"/>
        </w:rPr>
      </w:pPr>
      <w:r w:rsidRPr="003E0E7D">
        <w:rPr>
          <w:rStyle w:val="PlaceholderText"/>
          <w:color w:val="000000"/>
        </w:rPr>
        <w:t>diagnostic</w:t>
      </w:r>
      <w:r>
        <w:rPr>
          <w:rStyle w:val="PlaceholderText"/>
          <w:color w:val="000000"/>
        </w:rPr>
        <w:t xml:space="preserve"> </w:t>
      </w:r>
      <w:r w:rsidR="00E5613D">
        <w:rPr>
          <w:rStyle w:val="PlaceholderText"/>
          <w:color w:val="000000"/>
        </w:rPr>
        <w:t xml:space="preserve">and monitoring </w:t>
      </w:r>
      <w:r w:rsidR="004934B1" w:rsidRPr="003E0E7D">
        <w:rPr>
          <w:rStyle w:val="PlaceholderText"/>
          <w:color w:val="000000"/>
        </w:rPr>
        <w:t xml:space="preserve">testing is funded by the appropriate MBS rebate </w:t>
      </w:r>
      <w:sdt>
        <w:sdtPr>
          <w:id w:val="-88699306"/>
          <w:citation/>
        </w:sdtPr>
        <w:sdtEndPr/>
        <w:sdtContent>
          <w:r w:rsidR="00D51E2E">
            <w:fldChar w:fldCharType="begin"/>
          </w:r>
          <w:r w:rsidR="007054D1">
            <w:instrText xml:space="preserve">CITATION Aus172 \l 3081 </w:instrText>
          </w:r>
          <w:r w:rsidR="00D51E2E">
            <w:fldChar w:fldCharType="separate"/>
          </w:r>
          <w:r w:rsidR="007054D1" w:rsidRPr="007054D1">
            <w:rPr>
              <w:noProof/>
            </w:rPr>
            <w:t>[24]</w:t>
          </w:r>
          <w:r w:rsidR="00D51E2E">
            <w:fldChar w:fldCharType="end"/>
          </w:r>
        </w:sdtContent>
      </w:sdt>
      <w:r w:rsidR="00D51E2E" w:rsidRPr="003E0E7D">
        <w:rPr>
          <w:noProof/>
        </w:rPr>
        <w:t xml:space="preserve"> </w:t>
      </w:r>
    </w:p>
    <w:p w14:paraId="337B6196" w14:textId="0CD5FB95" w:rsidR="004E137D" w:rsidRPr="003E0E7D" w:rsidRDefault="004934B1" w:rsidP="00B060C2">
      <w:pPr>
        <w:pStyle w:val="Bullets1"/>
        <w:rPr>
          <w:rStyle w:val="PlaceholderText"/>
          <w:color w:val="000000"/>
        </w:rPr>
      </w:pPr>
      <w:r w:rsidRPr="003E0E7D">
        <w:rPr>
          <w:rStyle w:val="PlaceholderText"/>
          <w:color w:val="000000"/>
        </w:rPr>
        <w:t>donor blood screening is performed by the ARCBS and funded under the agreement between the ARCBS and the NBA</w:t>
      </w:r>
      <w:r w:rsidR="001C69BF">
        <w:rPr>
          <w:rStyle w:val="PlaceholderText"/>
          <w:color w:val="000000"/>
        </w:rPr>
        <w:t xml:space="preserve">, this includes QC and QA </w:t>
      </w:r>
      <w:r w:rsidR="001C69BF">
        <w:t xml:space="preserve">services for syphilis, malaria and </w:t>
      </w:r>
      <w:r w:rsidR="008A53E1">
        <w:t xml:space="preserve">QC for </w:t>
      </w:r>
      <w:r w:rsidR="001C69BF">
        <w:t>HTLV</w:t>
      </w:r>
    </w:p>
    <w:p w14:paraId="1F5B9754" w14:textId="77777777" w:rsidR="00C620BA" w:rsidRPr="003E0E7D" w:rsidRDefault="00C620BA" w:rsidP="004934B1">
      <w:pPr>
        <w:pStyle w:val="Bullets1"/>
        <w:rPr>
          <w:rStyle w:val="PlaceholderText"/>
          <w:color w:val="000000"/>
        </w:rPr>
      </w:pPr>
      <w:r w:rsidRPr="003E0E7D">
        <w:rPr>
          <w:rStyle w:val="PlaceholderText"/>
          <w:color w:val="000000"/>
        </w:rPr>
        <w:t xml:space="preserve">donor tissue and organ screening </w:t>
      </w:r>
      <w:r w:rsidR="00C3250E" w:rsidRPr="003E0E7D">
        <w:rPr>
          <w:rStyle w:val="PlaceholderText"/>
          <w:color w:val="000000"/>
        </w:rPr>
        <w:t>are</w:t>
      </w:r>
      <w:r w:rsidRPr="003E0E7D">
        <w:rPr>
          <w:rStyle w:val="PlaceholderText"/>
          <w:color w:val="000000"/>
        </w:rPr>
        <w:t xml:space="preserve"> funded by the States and Territories through hospital</w:t>
      </w:r>
      <w:r w:rsidR="00084424" w:rsidRPr="003E0E7D">
        <w:rPr>
          <w:rStyle w:val="PlaceholderText"/>
          <w:color w:val="000000"/>
        </w:rPr>
        <w:t xml:space="preserve"> activity-based costing </w:t>
      </w:r>
      <w:r w:rsidR="0040147E" w:rsidRPr="003E0E7D">
        <w:rPr>
          <w:rStyle w:val="PlaceholderText"/>
          <w:color w:val="000000"/>
        </w:rPr>
        <w:t xml:space="preserve">for </w:t>
      </w:r>
      <w:r w:rsidR="00684D18" w:rsidRPr="003E0E7D">
        <w:rPr>
          <w:rStyle w:val="PlaceholderText"/>
          <w:color w:val="000000"/>
        </w:rPr>
        <w:t xml:space="preserve">organ/tissue procurement and </w:t>
      </w:r>
      <w:r w:rsidR="0040147E" w:rsidRPr="003E0E7D">
        <w:rPr>
          <w:rStyle w:val="PlaceholderText"/>
          <w:color w:val="000000"/>
        </w:rPr>
        <w:t>transplantation</w:t>
      </w:r>
      <w:r w:rsidR="00084424" w:rsidRPr="003E0E7D">
        <w:rPr>
          <w:rStyle w:val="PlaceholderText"/>
          <w:color w:val="000000"/>
        </w:rPr>
        <w:t xml:space="preserve"> procedures</w:t>
      </w:r>
    </w:p>
    <w:p w14:paraId="17C93135" w14:textId="77777777" w:rsidR="004934B1" w:rsidRPr="003E0E7D" w:rsidRDefault="004934B1" w:rsidP="004934B1">
      <w:pPr>
        <w:pStyle w:val="Bullets1"/>
        <w:rPr>
          <w:rStyle w:val="PlaceholderText"/>
          <w:color w:val="000000"/>
        </w:rPr>
      </w:pPr>
      <w:r w:rsidRPr="003E0E7D">
        <w:rPr>
          <w:rStyle w:val="PlaceholderText"/>
          <w:color w:val="000000"/>
        </w:rPr>
        <w:t>reference testing performed by jurisdictional reference laboratories is funded by individual arrangements with their jurisdictional government</w:t>
      </w:r>
    </w:p>
    <w:p w14:paraId="1C7180DE" w14:textId="77777777" w:rsidR="004934B1" w:rsidRPr="003E0E7D" w:rsidRDefault="004934B1" w:rsidP="004934B1">
      <w:pPr>
        <w:pStyle w:val="Bullets1"/>
        <w:rPr>
          <w:rStyle w:val="PlaceholderText"/>
          <w:color w:val="000000"/>
        </w:rPr>
      </w:pPr>
      <w:r w:rsidRPr="003E0E7D">
        <w:rPr>
          <w:rStyle w:val="PlaceholderText"/>
          <w:color w:val="000000"/>
        </w:rPr>
        <w:t xml:space="preserve">the Australian Government funds the NRL to provide reference testing to distinguish between HIV and HTLV viral types if this has not been resolved in previous tests  </w:t>
      </w:r>
    </w:p>
    <w:p w14:paraId="49698A7B" w14:textId="77777777" w:rsidR="004934B1" w:rsidRPr="003E0E7D" w:rsidRDefault="004934B1" w:rsidP="004934B1">
      <w:pPr>
        <w:pStyle w:val="Bullets1"/>
        <w:rPr>
          <w:rStyle w:val="PlaceholderText"/>
          <w:color w:val="000000"/>
        </w:rPr>
      </w:pPr>
      <w:r w:rsidRPr="003E0E7D">
        <w:rPr>
          <w:rStyle w:val="PlaceholderText"/>
          <w:color w:val="000000"/>
        </w:rPr>
        <w:t xml:space="preserve">direct patient payments fund some services such as specialised tests performed by private fertility clinics. </w:t>
      </w:r>
    </w:p>
    <w:p w14:paraId="70F2759C" w14:textId="272D5177" w:rsidR="00942961" w:rsidRDefault="008D0115" w:rsidP="00C70E61">
      <w:pPr>
        <w:pStyle w:val="Heading2"/>
      </w:pPr>
      <w:bookmarkStart w:id="40" w:name="_Toc18664637"/>
      <w:r>
        <w:t>Funding for tests</w:t>
      </w:r>
      <w:bookmarkEnd w:id="40"/>
      <w:r>
        <w:t xml:space="preserve"> </w:t>
      </w:r>
    </w:p>
    <w:p w14:paraId="6AEC34D5" w14:textId="3FF6E78C" w:rsidR="0060732F" w:rsidRDefault="00942961" w:rsidP="00942961">
      <w:pPr>
        <w:pStyle w:val="BodyCopy"/>
      </w:pPr>
      <w:r>
        <w:t>Currently, diagnostic</w:t>
      </w:r>
      <w:r w:rsidR="00FA6395">
        <w:t xml:space="preserve"> and clinical</w:t>
      </w:r>
      <w:r>
        <w:t xml:space="preserve"> testing for HIV, HCV and HBV is </w:t>
      </w:r>
      <w:r w:rsidR="00B31261">
        <w:t xml:space="preserve">subsidised </w:t>
      </w:r>
      <w:r>
        <w:t>by MBS claims (where appropriate)</w:t>
      </w:r>
      <w:sdt>
        <w:sdtPr>
          <w:id w:val="-1785489404"/>
          <w:citation/>
        </w:sdtPr>
        <w:sdtEndPr/>
        <w:sdtContent>
          <w:r w:rsidR="00D51E2E">
            <w:fldChar w:fldCharType="begin"/>
          </w:r>
          <w:r w:rsidR="007054D1">
            <w:instrText xml:space="preserve">CITATION Aus172 \l 3081 </w:instrText>
          </w:r>
          <w:r w:rsidR="00D51E2E">
            <w:fldChar w:fldCharType="separate"/>
          </w:r>
          <w:r w:rsidR="007054D1">
            <w:rPr>
              <w:noProof/>
            </w:rPr>
            <w:t xml:space="preserve"> </w:t>
          </w:r>
          <w:r w:rsidR="007054D1" w:rsidRPr="007054D1">
            <w:rPr>
              <w:noProof/>
            </w:rPr>
            <w:t>[24]</w:t>
          </w:r>
          <w:r w:rsidR="00D51E2E">
            <w:fldChar w:fldCharType="end"/>
          </w:r>
        </w:sdtContent>
      </w:sdt>
      <w:r w:rsidR="003471AE">
        <w:t>,</w:t>
      </w:r>
      <w:sdt>
        <w:sdtPr>
          <w:id w:val="861091092"/>
          <w:citation/>
        </w:sdtPr>
        <w:sdtEndPr/>
        <w:sdtContent>
          <w:r w:rsidR="00D51E2E">
            <w:fldChar w:fldCharType="begin"/>
          </w:r>
          <w:r w:rsidR="00D51E2E">
            <w:instrText xml:space="preserve"> CITATION Dep172 \l 3081 </w:instrText>
          </w:r>
          <w:r w:rsidR="00D51E2E">
            <w:fldChar w:fldCharType="separate"/>
          </w:r>
          <w:bookmarkStart w:id="41" w:name="_Hlk18414037"/>
          <w:r w:rsidR="00D51E2E">
            <w:rPr>
              <w:noProof/>
            </w:rPr>
            <w:t xml:space="preserve"> </w:t>
          </w:r>
          <w:r w:rsidR="00D51E2E" w:rsidRPr="00D51E2E">
            <w:rPr>
              <w:noProof/>
            </w:rPr>
            <w:t>[25]</w:t>
          </w:r>
          <w:bookmarkEnd w:id="41"/>
          <w:r w:rsidR="00D51E2E">
            <w:fldChar w:fldCharType="end"/>
          </w:r>
        </w:sdtContent>
      </w:sdt>
      <w:r w:rsidR="00D51E2E">
        <w:rPr>
          <w:noProof/>
        </w:rPr>
        <w:t xml:space="preserve">. </w:t>
      </w:r>
      <w:r>
        <w:t xml:space="preserve"> </w:t>
      </w:r>
      <w:r w:rsidR="00DB558F">
        <w:t>Most</w:t>
      </w:r>
      <w:r>
        <w:t xml:space="preserve"> pathology testing services are funded through this mechanism.</w:t>
      </w:r>
      <w:r w:rsidR="008D0115">
        <w:t xml:space="preserve"> A small proportion of screening (e.g. for fertility clinics) may be patient funded. </w:t>
      </w:r>
    </w:p>
    <w:p w14:paraId="04E31247" w14:textId="2624DA47" w:rsidR="0060732F" w:rsidRPr="001C69BF" w:rsidRDefault="0060732F" w:rsidP="0060732F">
      <w:pPr>
        <w:pStyle w:val="BodyCopy"/>
      </w:pPr>
      <w:r>
        <w:t>Through the service agreements with the NRL, t</w:t>
      </w:r>
      <w:r>
        <w:rPr>
          <w:rStyle w:val="PlaceholderText"/>
          <w:color w:val="000000"/>
        </w:rPr>
        <w:t>he Australian Government funds HIV and HCV QC and QA services for p</w:t>
      </w:r>
      <w:r w:rsidR="008A53E1">
        <w:rPr>
          <w:rStyle w:val="PlaceholderText"/>
          <w:color w:val="000000"/>
        </w:rPr>
        <w:t xml:space="preserve">articipating </w:t>
      </w:r>
      <w:r>
        <w:rPr>
          <w:rStyle w:val="PlaceholderText"/>
          <w:color w:val="000000"/>
        </w:rPr>
        <w:t xml:space="preserve">laboratories and HIV, HBV and HCV QC and QA services </w:t>
      </w:r>
      <w:r w:rsidR="008A53E1">
        <w:rPr>
          <w:rStyle w:val="PlaceholderText"/>
          <w:color w:val="000000"/>
        </w:rPr>
        <w:t xml:space="preserve">and HTLV QA </w:t>
      </w:r>
      <w:r>
        <w:rPr>
          <w:rStyle w:val="PlaceholderText"/>
          <w:color w:val="000000"/>
        </w:rPr>
        <w:t xml:space="preserve">for the ARCBS. Other pathogens do not receive specific funding for </w:t>
      </w:r>
      <w:r>
        <w:t>QA and QC activities and laboratories must fund these activities from the combined revenue streams of the laboratory.</w:t>
      </w:r>
    </w:p>
    <w:p w14:paraId="557E560D" w14:textId="6F5F11D2" w:rsidR="00942961" w:rsidRPr="00F55D0C" w:rsidRDefault="00942961" w:rsidP="00942961">
      <w:pPr>
        <w:pStyle w:val="BodyCopy"/>
      </w:pPr>
      <w:r>
        <w:t xml:space="preserve">Confirmatory testing on reactive samples </w:t>
      </w:r>
      <w:r w:rsidR="00A66B9D">
        <w:t>is funded through the MBS for HBV and HCV</w:t>
      </w:r>
      <w:r w:rsidR="001C69BF">
        <w:t xml:space="preserve"> (same sample) or on a new sample for HIV testing</w:t>
      </w:r>
      <w:r w:rsidR="00D51E2E">
        <w:t xml:space="preserve"> </w:t>
      </w:r>
      <w:sdt>
        <w:sdtPr>
          <w:id w:val="1456061671"/>
          <w:citation/>
        </w:sdtPr>
        <w:sdtEndPr/>
        <w:sdtContent>
          <w:r w:rsidR="00D51E2E">
            <w:fldChar w:fldCharType="begin"/>
          </w:r>
          <w:r w:rsidR="007054D1">
            <w:instrText xml:space="preserve">CITATION Placeholder6 \l 3081 </w:instrText>
          </w:r>
          <w:r w:rsidR="00D51E2E">
            <w:fldChar w:fldCharType="separate"/>
          </w:r>
          <w:r w:rsidR="007054D1" w:rsidRPr="007054D1">
            <w:rPr>
              <w:noProof/>
            </w:rPr>
            <w:t>[26]</w:t>
          </w:r>
          <w:r w:rsidR="00D51E2E">
            <w:fldChar w:fldCharType="end"/>
          </w:r>
        </w:sdtContent>
      </w:sdt>
      <w:r w:rsidR="00D51E2E">
        <w:t xml:space="preserve">, </w:t>
      </w:r>
      <w:sdt>
        <w:sdtPr>
          <w:id w:val="1444037952"/>
          <w:citation/>
        </w:sdtPr>
        <w:sdtEndPr/>
        <w:sdtContent>
          <w:r w:rsidR="00D51E2E">
            <w:fldChar w:fldCharType="begin"/>
          </w:r>
          <w:r w:rsidR="007054D1">
            <w:instrText xml:space="preserve">CITATION Placeholder7 \l 3081 </w:instrText>
          </w:r>
          <w:r w:rsidR="00D51E2E">
            <w:fldChar w:fldCharType="separate"/>
          </w:r>
          <w:r w:rsidR="007054D1" w:rsidRPr="007054D1">
            <w:rPr>
              <w:noProof/>
            </w:rPr>
            <w:t>[27]</w:t>
          </w:r>
          <w:r w:rsidR="00D51E2E">
            <w:fldChar w:fldCharType="end"/>
          </w:r>
        </w:sdtContent>
      </w:sdt>
      <w:r w:rsidR="001C69BF">
        <w:t xml:space="preserve">. </w:t>
      </w:r>
    </w:p>
    <w:p w14:paraId="6AB81DF7" w14:textId="08C8CA04" w:rsidR="00942961" w:rsidRDefault="00634B2A" w:rsidP="00942961">
      <w:pPr>
        <w:pStyle w:val="BodyCopy"/>
      </w:pPr>
      <w:r>
        <w:t>Testing</w:t>
      </w:r>
      <w:r w:rsidR="00F55D0C" w:rsidRPr="00F55D0C">
        <w:t xml:space="preserve"> that requires adjudication, such as distinction between HIV-1 and HIV-2 or HTLV-1 and HTLV-2, is only performed by the NRL via Australian Government funding. The distinction between the various forms of the viruses is important for</w:t>
      </w:r>
      <w:r w:rsidR="00270991">
        <w:t>:</w:t>
      </w:r>
      <w:r w:rsidR="00F55D0C" w:rsidRPr="00F55D0C">
        <w:t xml:space="preserve"> a) epidemiological </w:t>
      </w:r>
      <w:r w:rsidR="00F55D0C" w:rsidRPr="00B638D8">
        <w:t xml:space="preserve">monitoring of HIV </w:t>
      </w:r>
      <w:r w:rsidR="00B63984">
        <w:t xml:space="preserve">and HTLV </w:t>
      </w:r>
      <w:r w:rsidR="00F55D0C" w:rsidRPr="00B638D8">
        <w:t>infection in Australia</w:t>
      </w:r>
      <w:r w:rsidR="00270991">
        <w:t>;</w:t>
      </w:r>
      <w:r w:rsidR="00F55D0C" w:rsidRPr="00B638D8">
        <w:t xml:space="preserve"> and b) </w:t>
      </w:r>
      <w:r w:rsidR="00B63984">
        <w:t xml:space="preserve">disease prognosis as HTLV-1 is </w:t>
      </w:r>
      <w:r w:rsidR="00B63984" w:rsidRPr="00B638D8">
        <w:t xml:space="preserve">associated </w:t>
      </w:r>
      <w:r w:rsidR="00B63984">
        <w:t xml:space="preserve">with </w:t>
      </w:r>
      <w:r w:rsidR="00B63984" w:rsidRPr="00B638D8">
        <w:t xml:space="preserve">adult T-cell leukaemia </w:t>
      </w:r>
      <w:r w:rsidR="00B63984">
        <w:t>or lymphoma</w:t>
      </w:r>
      <w:r w:rsidR="000367FB">
        <w:t xml:space="preserve"> </w:t>
      </w:r>
      <w:r w:rsidR="00B63984" w:rsidRPr="00B638D8">
        <w:lastRenderedPageBreak/>
        <w:t>or associated myelopathy</w:t>
      </w:r>
      <w:r w:rsidR="00B63984">
        <w:t xml:space="preserve">, while HTLV-2 </w:t>
      </w:r>
      <w:r w:rsidR="00B63984" w:rsidRPr="00B63984">
        <w:t>infection is less clearly associated with diseases</w:t>
      </w:r>
      <w:r w:rsidR="00B63984">
        <w:rPr>
          <w:rStyle w:val="FootnoteReference"/>
        </w:rPr>
        <w:footnoteReference w:id="2"/>
      </w:r>
      <w:r w:rsidR="00ED2E24">
        <w:t xml:space="preserve"> </w:t>
      </w:r>
      <w:sdt>
        <w:sdtPr>
          <w:id w:val="543095154"/>
          <w:citation/>
        </w:sdtPr>
        <w:sdtEndPr/>
        <w:sdtContent>
          <w:r w:rsidR="00ED2E24">
            <w:fldChar w:fldCharType="begin"/>
          </w:r>
          <w:r w:rsidR="00ED2E24">
            <w:rPr>
              <w:lang w:val="en-US"/>
            </w:rPr>
            <w:instrText xml:space="preserve"> CITATION Lab \l 1033 </w:instrText>
          </w:r>
          <w:r w:rsidR="00ED2E24">
            <w:fldChar w:fldCharType="separate"/>
          </w:r>
          <w:r w:rsidR="00ED2E24" w:rsidRPr="00ED2E24">
            <w:rPr>
              <w:noProof/>
              <w:lang w:val="en-US"/>
            </w:rPr>
            <w:t>[28]</w:t>
          </w:r>
          <w:r w:rsidR="00ED2E24">
            <w:fldChar w:fldCharType="end"/>
          </w:r>
        </w:sdtContent>
      </w:sdt>
      <w:r w:rsidR="00B63984">
        <w:t>.</w:t>
      </w:r>
      <w:r w:rsidR="0060732F" w:rsidRPr="0060732F">
        <w:t xml:space="preserve"> </w:t>
      </w:r>
    </w:p>
    <w:p w14:paraId="3462867D" w14:textId="2B0B54DF" w:rsidR="00B22D85" w:rsidRDefault="00B22D85" w:rsidP="00B22D85">
      <w:pPr>
        <w:pStyle w:val="KeyFinding"/>
      </w:pPr>
      <w:r>
        <w:t>There is a mix of funding arrangements in place for testing of the in-scope diseases</w:t>
      </w:r>
      <w:r w:rsidR="00A15C30">
        <w:t>. H</w:t>
      </w:r>
      <w:r w:rsidR="00FA6395">
        <w:t>owever</w:t>
      </w:r>
      <w:r w:rsidR="00A15C30">
        <w:t>,</w:t>
      </w:r>
      <w:r w:rsidR="00FA6395">
        <w:t xml:space="preserve"> none have been identified for QA or QC services related to diagnostic/clinical testing of these diseases</w:t>
      </w:r>
      <w:r w:rsidR="001C69BF">
        <w:t>, with the exception of the</w:t>
      </w:r>
      <w:r w:rsidR="0060732F">
        <w:t xml:space="preserve"> QC and QA services within the funding arrangements under review</w:t>
      </w:r>
    </w:p>
    <w:p w14:paraId="42CE499E" w14:textId="3A353C99" w:rsidR="00942961" w:rsidRDefault="008D0115" w:rsidP="008D0115">
      <w:pPr>
        <w:pStyle w:val="Heading2"/>
      </w:pPr>
      <w:bookmarkStart w:id="42" w:name="_Toc18664638"/>
      <w:r>
        <w:t xml:space="preserve">Funding for </w:t>
      </w:r>
      <w:r w:rsidR="0060732F">
        <w:t>QC and QA</w:t>
      </w:r>
      <w:bookmarkEnd w:id="42"/>
      <w:r w:rsidR="0060732F">
        <w:t xml:space="preserve"> </w:t>
      </w:r>
    </w:p>
    <w:p w14:paraId="7EEB14ED" w14:textId="440BE76C" w:rsidR="00942961" w:rsidRDefault="00942961" w:rsidP="00942961">
      <w:pPr>
        <w:pStyle w:val="BodyCopy"/>
      </w:pPr>
      <w:r>
        <w:t xml:space="preserve">The burden of cost of </w:t>
      </w:r>
      <w:r w:rsidR="00B22D85">
        <w:t xml:space="preserve">NATA </w:t>
      </w:r>
      <w:r>
        <w:t xml:space="preserve">accreditation required by pathology laboratories </w:t>
      </w:r>
      <w:r w:rsidR="00B22D85">
        <w:t xml:space="preserve">to be able to claim Medicare reimbursements is </w:t>
      </w:r>
      <w:r>
        <w:t xml:space="preserve">placed on the </w:t>
      </w:r>
      <w:r w:rsidR="00B22D85">
        <w:t xml:space="preserve">individual </w:t>
      </w:r>
      <w:r>
        <w:t xml:space="preserve">laboratories. </w:t>
      </w:r>
      <w:r w:rsidR="00B22D85">
        <w:t>Likewise, costs a</w:t>
      </w:r>
      <w:r>
        <w:t>ssociated with maintaining accreditation</w:t>
      </w:r>
      <w:r w:rsidR="004D3CE5">
        <w:t xml:space="preserve">, such as </w:t>
      </w:r>
      <w:r w:rsidR="00084424">
        <w:t xml:space="preserve">QA programs and QC material </w:t>
      </w:r>
      <w:r w:rsidR="004D3CE5">
        <w:t>costs,</w:t>
      </w:r>
      <w:r>
        <w:t xml:space="preserve"> are paid for by the laboratories</w:t>
      </w:r>
      <w:r w:rsidR="004D3CE5">
        <w:t>. The Australian Govern</w:t>
      </w:r>
      <w:r w:rsidR="00345214">
        <w:t>ment funding to deliver</w:t>
      </w:r>
      <w:r w:rsidR="00164B84">
        <w:t xml:space="preserve"> </w:t>
      </w:r>
      <w:r w:rsidR="00345214">
        <w:t xml:space="preserve">the </w:t>
      </w:r>
      <w:r w:rsidR="00164B84">
        <w:t>in-scope</w:t>
      </w:r>
      <w:r w:rsidR="00563C5E">
        <w:t xml:space="preserve"> QA and QC programs </w:t>
      </w:r>
      <w:r w:rsidR="00345214">
        <w:t>is an exception</w:t>
      </w:r>
      <w:r>
        <w:t xml:space="preserve">. </w:t>
      </w:r>
    </w:p>
    <w:p w14:paraId="4ED52D3C" w14:textId="25A5503F" w:rsidR="00B22D85" w:rsidRDefault="00B22D85" w:rsidP="00B22D85">
      <w:pPr>
        <w:pStyle w:val="KeyFinding"/>
      </w:pPr>
      <w:r>
        <w:t xml:space="preserve">The costs associated with laboratory accreditation and regulatory requirements are typically borne by the individual laboratories. </w:t>
      </w:r>
      <w:r w:rsidR="00953BEA">
        <w:t>This includes, in general, all QA and QC programs</w:t>
      </w:r>
      <w:r w:rsidR="00720DE9">
        <w:t>, with the exception of the funding arrangements under review</w:t>
      </w:r>
      <w:r w:rsidR="00953BEA">
        <w:t xml:space="preserve">. </w:t>
      </w:r>
    </w:p>
    <w:p w14:paraId="6335380D" w14:textId="77777777" w:rsidR="00FC348C" w:rsidRPr="006D7BBF" w:rsidRDefault="006D7BBF" w:rsidP="006D7BBF">
      <w:pPr>
        <w:pStyle w:val="Heading2"/>
      </w:pPr>
      <w:bookmarkStart w:id="43" w:name="_Toc18664639"/>
      <w:r>
        <w:t>T</w:t>
      </w:r>
      <w:r w:rsidRPr="00991729">
        <w:t>he National Blood Authority and funding to ARCBS for screening of blood donations</w:t>
      </w:r>
      <w:bookmarkEnd w:id="43"/>
      <w:r w:rsidRPr="00991729">
        <w:t xml:space="preserve"> </w:t>
      </w:r>
    </w:p>
    <w:p w14:paraId="0BB44216" w14:textId="1491B7F1" w:rsidR="00B768F4" w:rsidRDefault="00FC348C" w:rsidP="00FC348C">
      <w:pPr>
        <w:pStyle w:val="BodyCopy"/>
      </w:pPr>
      <w:r w:rsidRPr="00936EB9">
        <w:t xml:space="preserve">The </w:t>
      </w:r>
      <w:r w:rsidR="00B0752B">
        <w:t>NBA,</w:t>
      </w:r>
      <w:r w:rsidRPr="00936EB9">
        <w:t xml:space="preserve"> </w:t>
      </w:r>
      <w:r w:rsidR="008254A2">
        <w:t xml:space="preserve">on behalf of all Australian </w:t>
      </w:r>
      <w:r w:rsidR="00CC636C">
        <w:t>governments</w:t>
      </w:r>
      <w:r w:rsidR="00B0752B">
        <w:t>,</w:t>
      </w:r>
      <w:r w:rsidR="008254A2">
        <w:t xml:space="preserve"> </w:t>
      </w:r>
      <w:r w:rsidRPr="00936EB9">
        <w:t xml:space="preserve">manages </w:t>
      </w:r>
      <w:r w:rsidR="008254A2">
        <w:t xml:space="preserve">national contracts to secure </w:t>
      </w:r>
      <w:r w:rsidRPr="00936EB9">
        <w:t xml:space="preserve">the supply of </w:t>
      </w:r>
      <w:r w:rsidR="008254A2">
        <w:t xml:space="preserve">safe and affordable </w:t>
      </w:r>
      <w:r w:rsidRPr="00936EB9">
        <w:t xml:space="preserve">blood and blood </w:t>
      </w:r>
      <w:r w:rsidR="00B351BC">
        <w:t>components</w:t>
      </w:r>
      <w:r w:rsidR="00084424">
        <w:t xml:space="preserve"> </w:t>
      </w:r>
      <w:r>
        <w:t>in Australia</w:t>
      </w:r>
      <w:r w:rsidR="008254A2">
        <w:t>.</w:t>
      </w:r>
      <w:r>
        <w:t xml:space="preserve"> </w:t>
      </w:r>
      <w:r w:rsidR="008254A2">
        <w:t xml:space="preserve">The </w:t>
      </w:r>
      <w:r w:rsidR="00B0752B">
        <w:t xml:space="preserve">national </w:t>
      </w:r>
      <w:r w:rsidR="00C522EE">
        <w:t xml:space="preserve">blood </w:t>
      </w:r>
      <w:r w:rsidR="008254A2">
        <w:t xml:space="preserve">arrangements were </w:t>
      </w:r>
      <w:r>
        <w:t>established in 200</w:t>
      </w:r>
      <w:r w:rsidR="00A93FC9">
        <w:t>3</w:t>
      </w:r>
      <w:r>
        <w:t xml:space="preserve"> as a means to coordinate </w:t>
      </w:r>
      <w:r>
        <w:t xml:space="preserve">the blood supply at a national level. Australia’s blood supply comprises </w:t>
      </w:r>
      <w:r w:rsidR="008254A2">
        <w:t xml:space="preserve">domestically sourced </w:t>
      </w:r>
      <w:r>
        <w:t xml:space="preserve">donations </w:t>
      </w:r>
      <w:r w:rsidR="008254A2">
        <w:t xml:space="preserve">for Australia’s fresh blood </w:t>
      </w:r>
      <w:r w:rsidR="00B351BC">
        <w:t>component</w:t>
      </w:r>
      <w:r w:rsidR="008254A2">
        <w:t xml:space="preserve"> requirements and plasma derived products</w:t>
      </w:r>
      <w:r w:rsidR="0058465D">
        <w:rPr>
          <w:rStyle w:val="FootnoteReference"/>
        </w:rPr>
        <w:footnoteReference w:id="3"/>
      </w:r>
      <w:r w:rsidR="00CA25A1">
        <w:t xml:space="preserve">. </w:t>
      </w:r>
      <w:r w:rsidR="00270991">
        <w:t xml:space="preserve">The </w:t>
      </w:r>
      <w:r w:rsidR="00CA25A1">
        <w:t>NBA also manages the purchasing and supply arrangements of imported b</w:t>
      </w:r>
      <w:r w:rsidR="008254A2">
        <w:t>lood products</w:t>
      </w:r>
      <w:r w:rsidR="00ED2E24">
        <w:t xml:space="preserve"> </w:t>
      </w:r>
      <w:sdt>
        <w:sdtPr>
          <w:id w:val="1391232601"/>
          <w:citation/>
        </w:sdtPr>
        <w:sdtEndPr/>
        <w:sdtContent>
          <w:r w:rsidR="00ED2E24">
            <w:fldChar w:fldCharType="begin"/>
          </w:r>
          <w:r w:rsidR="00ED2E24">
            <w:rPr>
              <w:lang w:val="en-US"/>
            </w:rPr>
            <w:instrText xml:space="preserve"> CITATION Com17 \l 1033 </w:instrText>
          </w:r>
          <w:r w:rsidR="00ED2E24">
            <w:fldChar w:fldCharType="separate"/>
          </w:r>
          <w:r w:rsidR="00ED2E24" w:rsidRPr="00ED2E24">
            <w:rPr>
              <w:noProof/>
              <w:lang w:val="en-US"/>
            </w:rPr>
            <w:t>[3]</w:t>
          </w:r>
          <w:r w:rsidR="00ED2E24">
            <w:fldChar w:fldCharType="end"/>
          </w:r>
        </w:sdtContent>
      </w:sdt>
      <w:r w:rsidR="00CA25A1">
        <w:t xml:space="preserve">. </w:t>
      </w:r>
    </w:p>
    <w:p w14:paraId="1D580708" w14:textId="2BB36F3E" w:rsidR="000F5FCD" w:rsidRDefault="00B0752B" w:rsidP="000F5FCD">
      <w:pPr>
        <w:pStyle w:val="BodyCopy"/>
      </w:pPr>
      <w:r>
        <w:t>F</w:t>
      </w:r>
      <w:r w:rsidR="000F5FCD">
        <w:t xml:space="preserve">unding </w:t>
      </w:r>
      <w:r w:rsidR="00CA25A1">
        <w:t xml:space="preserve">for the national blood arrangements </w:t>
      </w:r>
      <w:r w:rsidR="000F5FCD">
        <w:t xml:space="preserve">is based on an annual national supply plan and budget, </w:t>
      </w:r>
      <w:r w:rsidR="00CA25A1">
        <w:t xml:space="preserve">developed by the NBA and is jointly </w:t>
      </w:r>
      <w:r w:rsidR="000F5FCD">
        <w:t xml:space="preserve">funded </w:t>
      </w:r>
      <w:r w:rsidR="00CA25A1">
        <w:t xml:space="preserve">by all </w:t>
      </w:r>
      <w:r w:rsidR="00270991">
        <w:t xml:space="preserve">governments </w:t>
      </w:r>
      <w:r>
        <w:t xml:space="preserve">– </w:t>
      </w:r>
      <w:r w:rsidR="00D233A2">
        <w:t xml:space="preserve">the Australian Government </w:t>
      </w:r>
      <w:r w:rsidR="00CA25A1">
        <w:t>provid</w:t>
      </w:r>
      <w:r>
        <w:t>es</w:t>
      </w:r>
      <w:r w:rsidR="00CA25A1">
        <w:t xml:space="preserve"> </w:t>
      </w:r>
      <w:r w:rsidR="000F5FCD">
        <w:t xml:space="preserve">63% </w:t>
      </w:r>
      <w:r>
        <w:t>of funding a</w:t>
      </w:r>
      <w:r w:rsidR="000F5FCD">
        <w:t xml:space="preserve">nd </w:t>
      </w:r>
      <w:r w:rsidR="00CA25A1">
        <w:t>States and Territories collectively provid</w:t>
      </w:r>
      <w:r>
        <w:t>e</w:t>
      </w:r>
      <w:r w:rsidR="00CA25A1">
        <w:t xml:space="preserve"> </w:t>
      </w:r>
      <w:r w:rsidR="000F5FCD">
        <w:t>the remaining 37%</w:t>
      </w:r>
      <w:r w:rsidR="00ED2E24">
        <w:t xml:space="preserve"> </w:t>
      </w:r>
      <w:sdt>
        <w:sdtPr>
          <w:id w:val="2711501"/>
          <w:citation/>
        </w:sdtPr>
        <w:sdtEndPr/>
        <w:sdtContent>
          <w:r w:rsidR="00ED2E24">
            <w:fldChar w:fldCharType="begin"/>
          </w:r>
          <w:r w:rsidR="00ED2E24">
            <w:rPr>
              <w:lang w:val="en-US"/>
            </w:rPr>
            <w:instrText xml:space="preserve"> CITATION Com17 \l 1033 </w:instrText>
          </w:r>
          <w:r w:rsidR="00ED2E24">
            <w:fldChar w:fldCharType="separate"/>
          </w:r>
          <w:r w:rsidR="00ED2E24" w:rsidRPr="00ED2E24">
            <w:rPr>
              <w:noProof/>
              <w:lang w:val="en-US"/>
            </w:rPr>
            <w:t>[3]</w:t>
          </w:r>
          <w:r w:rsidR="00ED2E24">
            <w:fldChar w:fldCharType="end"/>
          </w:r>
        </w:sdtContent>
      </w:sdt>
      <w:r>
        <w:t>.</w:t>
      </w:r>
      <w:r w:rsidR="000F5FCD">
        <w:t xml:space="preserve"> </w:t>
      </w:r>
    </w:p>
    <w:p w14:paraId="55128ADB" w14:textId="5F592817" w:rsidR="00A262EA" w:rsidRDefault="00A262EA" w:rsidP="000F5FCD">
      <w:pPr>
        <w:pStyle w:val="BodyCopy"/>
      </w:pPr>
      <w:r>
        <w:t xml:space="preserve">The ARCBS is contracted under a nine-year Deed of Agreement from 1 July 2016, which includes a three-year funding and servicing agreement. The funding and service agreement includes an output-based funding model that derives a per unit price for blood </w:t>
      </w:r>
      <w:r w:rsidR="00B351BC">
        <w:t>components</w:t>
      </w:r>
      <w:r>
        <w:t xml:space="preserve"> supplied by the ARCBS</w:t>
      </w:r>
      <w:r w:rsidR="00C43F37">
        <w:t>. T</w:t>
      </w:r>
      <w:r>
        <w:t>he per unit price calculation includes the cost of the tests used to screen blood for the following diseases: HIV, HCV, HBV, HTLV and syphilis</w:t>
      </w:r>
      <w:r w:rsidR="009C26DF">
        <w:t xml:space="preserve">, and includes costs of QA/QC processes not covered under the Department’s </w:t>
      </w:r>
      <w:r w:rsidR="0060732F">
        <w:t>funding arrangements under review</w:t>
      </w:r>
      <w:r w:rsidR="00235CC3">
        <w:t>.</w:t>
      </w:r>
      <w:r w:rsidR="0021148B">
        <w:t xml:space="preserve"> It should be noted that the ARCBS purchases services funded through the NBA from NRL as well as other services providers. </w:t>
      </w:r>
    </w:p>
    <w:p w14:paraId="4365E24D" w14:textId="333AFA59" w:rsidR="00942961" w:rsidRDefault="00A262EA" w:rsidP="00942961">
      <w:pPr>
        <w:pStyle w:val="Heading3"/>
      </w:pPr>
      <w:bookmarkStart w:id="44" w:name="_Toc18664640"/>
      <w:r>
        <w:t>Funding of Australian Red Cross Blood Service QA and QC activities</w:t>
      </w:r>
      <w:bookmarkEnd w:id="44"/>
    </w:p>
    <w:p w14:paraId="36A78FA5" w14:textId="2F777FF7" w:rsidR="00CF2F04" w:rsidRPr="00CB5902" w:rsidRDefault="00F30028" w:rsidP="009A0872">
      <w:pPr>
        <w:pStyle w:val="BodyCopy"/>
      </w:pPr>
      <w:r>
        <w:t xml:space="preserve">The per </w:t>
      </w:r>
      <w:r w:rsidRPr="00B22D85">
        <w:t xml:space="preserve">unit </w:t>
      </w:r>
      <w:r>
        <w:t xml:space="preserve">price </w:t>
      </w:r>
      <w:r w:rsidRPr="00B22D85">
        <w:t>calculations</w:t>
      </w:r>
      <w:r>
        <w:t xml:space="preserve"> </w:t>
      </w:r>
      <w:r w:rsidR="00940CE3">
        <w:t xml:space="preserve">funded by NBA </w:t>
      </w:r>
      <w:r>
        <w:t>include</w:t>
      </w:r>
      <w:r w:rsidR="003C3822">
        <w:t xml:space="preserve"> costs for q</w:t>
      </w:r>
      <w:r>
        <w:t>uality performance monitoring activities for</w:t>
      </w:r>
      <w:r w:rsidR="003C3822">
        <w:t xml:space="preserve"> syphilis</w:t>
      </w:r>
      <w:r w:rsidR="00720DE9">
        <w:t xml:space="preserve">, </w:t>
      </w:r>
      <w:r w:rsidR="003C3822">
        <w:t>malaria</w:t>
      </w:r>
      <w:r w:rsidR="00764358">
        <w:t xml:space="preserve"> and HBV </w:t>
      </w:r>
      <w:r w:rsidR="00720DE9">
        <w:t>(serology) and QA services for HTLV (NAT)</w:t>
      </w:r>
      <w:r w:rsidR="00940CE3">
        <w:t xml:space="preserve">. However, </w:t>
      </w:r>
      <w:r w:rsidR="003C3822">
        <w:t>equivalent services</w:t>
      </w:r>
      <w:r w:rsidR="00563C5E" w:rsidRPr="00B22D85">
        <w:t xml:space="preserve"> for HIV, HCV, and HBV</w:t>
      </w:r>
      <w:r w:rsidR="00346DA5">
        <w:t xml:space="preserve"> (NAT) and QA for HTLV (serology) </w:t>
      </w:r>
      <w:r w:rsidR="0003446A" w:rsidRPr="00B22D85">
        <w:t xml:space="preserve">(as required for accreditation and regulatory purposes) </w:t>
      </w:r>
      <w:r w:rsidR="005235BC" w:rsidRPr="00B22D85">
        <w:t>are</w:t>
      </w:r>
      <w:r w:rsidR="0003446A" w:rsidRPr="00B22D85">
        <w:t xml:space="preserve"> </w:t>
      </w:r>
      <w:r w:rsidR="009A0872" w:rsidRPr="00CB5902">
        <w:t>performed by NRL and funded by the Australian Government via the funding arrangement under review</w:t>
      </w:r>
      <w:r w:rsidR="00CF2F04" w:rsidRPr="00CB5902">
        <w:t xml:space="preserve">, see </w:t>
      </w:r>
      <w:r w:rsidR="00084424">
        <w:fldChar w:fldCharType="begin"/>
      </w:r>
      <w:r w:rsidR="00084424">
        <w:instrText xml:space="preserve"> REF _Ref188933 \h </w:instrText>
      </w:r>
      <w:r w:rsidR="00084424">
        <w:fldChar w:fldCharType="separate"/>
      </w:r>
      <w:r w:rsidR="0078683A" w:rsidRPr="00CB5902">
        <w:t xml:space="preserve">Table </w:t>
      </w:r>
      <w:r w:rsidR="0078683A">
        <w:rPr>
          <w:noProof/>
        </w:rPr>
        <w:t>4</w:t>
      </w:r>
      <w:r w:rsidR="0078683A" w:rsidRPr="00CB5902">
        <w:t>.</w:t>
      </w:r>
      <w:r w:rsidR="0078683A">
        <w:rPr>
          <w:noProof/>
        </w:rPr>
        <w:t>1</w:t>
      </w:r>
      <w:r w:rsidR="00084424">
        <w:fldChar w:fldCharType="end"/>
      </w:r>
      <w:r w:rsidR="009A0872" w:rsidRPr="00CB5902">
        <w:t>.</w:t>
      </w:r>
    </w:p>
    <w:p w14:paraId="553E8774" w14:textId="085F2C59" w:rsidR="00CF2F04" w:rsidRPr="00CB5902" w:rsidRDefault="00CF2F04" w:rsidP="00CF2F04">
      <w:pPr>
        <w:pStyle w:val="Caption"/>
      </w:pPr>
      <w:bookmarkStart w:id="45" w:name="_Ref188933"/>
      <w:r w:rsidRPr="00CB5902">
        <w:lastRenderedPageBreak/>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4</w:t>
      </w:r>
      <w:r w:rsidR="007F2202">
        <w:rPr>
          <w:noProof/>
        </w:rPr>
        <w:fldChar w:fldCharType="end"/>
      </w:r>
      <w:r w:rsidRPr="00CB5902">
        <w:t>.</w:t>
      </w:r>
      <w:r w:rsidR="0083660F">
        <w:rPr>
          <w:noProof/>
        </w:rPr>
        <w:fldChar w:fldCharType="begin"/>
      </w:r>
      <w:r w:rsidR="0083660F">
        <w:rPr>
          <w:noProof/>
        </w:rPr>
        <w:instrText xml:space="preserve"> SEQ Table \* ARABIC \s 1 </w:instrText>
      </w:r>
      <w:r w:rsidR="0083660F">
        <w:rPr>
          <w:noProof/>
        </w:rPr>
        <w:fldChar w:fldCharType="separate"/>
      </w:r>
      <w:r w:rsidR="0078683A">
        <w:rPr>
          <w:noProof/>
        </w:rPr>
        <w:t>1</w:t>
      </w:r>
      <w:r w:rsidR="0083660F">
        <w:rPr>
          <w:noProof/>
        </w:rPr>
        <w:fldChar w:fldCharType="end"/>
      </w:r>
      <w:bookmarkEnd w:id="45"/>
      <w:r w:rsidRPr="00CB5902">
        <w:t xml:space="preserve">: </w:t>
      </w:r>
      <w:r w:rsidRPr="00CB5902">
        <w:rPr>
          <w:rStyle w:val="Captionnotbold"/>
        </w:rPr>
        <w:t>QA/QC funding arrangements for diseases screened by the ARCBS</w:t>
      </w:r>
      <w:r w:rsidRPr="00CB5902">
        <w:t xml:space="preserve"> </w:t>
      </w:r>
    </w:p>
    <w:tbl>
      <w:tblPr>
        <w:tblW w:w="7225" w:type="dxa"/>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3539"/>
        <w:gridCol w:w="1843"/>
        <w:gridCol w:w="1843"/>
      </w:tblGrid>
      <w:tr w:rsidR="00720DE9" w:rsidRPr="003E0E7D" w14:paraId="6E38EF54" w14:textId="11A50412" w:rsidTr="00346DA5">
        <w:tc>
          <w:tcPr>
            <w:tcW w:w="3539" w:type="dxa"/>
            <w:shd w:val="clear" w:color="auto" w:fill="BEBEBE"/>
          </w:tcPr>
          <w:p w14:paraId="5ADF572A" w14:textId="77777777" w:rsidR="00720DE9" w:rsidRPr="003E0E7D" w:rsidRDefault="00720DE9" w:rsidP="00F20F5B">
            <w:pPr>
              <w:pStyle w:val="TableColumnHeading"/>
            </w:pPr>
            <w:r w:rsidRPr="003E0E7D">
              <w:t xml:space="preserve">QA/QC funding arrangement </w:t>
            </w:r>
          </w:p>
        </w:tc>
        <w:tc>
          <w:tcPr>
            <w:tcW w:w="1843" w:type="dxa"/>
            <w:shd w:val="clear" w:color="auto" w:fill="BEBEBE"/>
          </w:tcPr>
          <w:p w14:paraId="451FC0EC" w14:textId="74DFBA20" w:rsidR="00720DE9" w:rsidRPr="003E0E7D" w:rsidRDefault="00720DE9" w:rsidP="00F20F5B">
            <w:pPr>
              <w:pStyle w:val="TableColumnHeading"/>
            </w:pPr>
            <w:r>
              <w:t>QA services</w:t>
            </w:r>
            <w:r w:rsidRPr="003E0E7D">
              <w:t xml:space="preserve"> </w:t>
            </w:r>
          </w:p>
        </w:tc>
        <w:tc>
          <w:tcPr>
            <w:tcW w:w="1843" w:type="dxa"/>
            <w:shd w:val="clear" w:color="auto" w:fill="BEBEBE"/>
          </w:tcPr>
          <w:p w14:paraId="0299CFD4" w14:textId="43D5D92E" w:rsidR="00720DE9" w:rsidRPr="003E0E7D" w:rsidRDefault="00720DE9" w:rsidP="00F20F5B">
            <w:pPr>
              <w:pStyle w:val="TableColumnHeading"/>
            </w:pPr>
            <w:r>
              <w:t xml:space="preserve">QC services </w:t>
            </w:r>
          </w:p>
        </w:tc>
      </w:tr>
      <w:tr w:rsidR="00720DE9" w:rsidRPr="003E0E7D" w14:paraId="3AE25C63" w14:textId="61C6AEB6" w:rsidTr="00346DA5">
        <w:trPr>
          <w:trHeight w:val="683"/>
        </w:trPr>
        <w:tc>
          <w:tcPr>
            <w:tcW w:w="3539" w:type="dxa"/>
            <w:shd w:val="clear" w:color="auto" w:fill="DCDCDC"/>
          </w:tcPr>
          <w:p w14:paraId="1942624D" w14:textId="77777777" w:rsidR="00720DE9" w:rsidRPr="003E0E7D" w:rsidRDefault="00720DE9" w:rsidP="00720DE9">
            <w:pPr>
              <w:pStyle w:val="TableCopy"/>
              <w:keepNext/>
              <w:rPr>
                <w:b/>
              </w:rPr>
            </w:pPr>
            <w:r w:rsidRPr="003E0E7D">
              <w:rPr>
                <w:b/>
              </w:rPr>
              <w:t>Australian Government via NRL services</w:t>
            </w:r>
          </w:p>
        </w:tc>
        <w:tc>
          <w:tcPr>
            <w:tcW w:w="1843" w:type="dxa"/>
            <w:shd w:val="clear" w:color="auto" w:fill="DCDCDC"/>
          </w:tcPr>
          <w:p w14:paraId="22C1F652" w14:textId="77777777" w:rsidR="00720DE9" w:rsidRPr="003E0E7D" w:rsidRDefault="00720DE9" w:rsidP="00720DE9">
            <w:pPr>
              <w:pStyle w:val="TableCopy"/>
              <w:keepNext/>
            </w:pPr>
            <w:r w:rsidRPr="003E0E7D">
              <w:t>HIV</w:t>
            </w:r>
          </w:p>
          <w:p w14:paraId="0613732C" w14:textId="77777777" w:rsidR="00720DE9" w:rsidRPr="003E0E7D" w:rsidRDefault="00720DE9" w:rsidP="00720DE9">
            <w:pPr>
              <w:pStyle w:val="TableCopy"/>
              <w:keepNext/>
            </w:pPr>
            <w:r w:rsidRPr="003E0E7D">
              <w:t>HCV</w:t>
            </w:r>
          </w:p>
          <w:p w14:paraId="3547F5C8" w14:textId="45F4519D" w:rsidR="00720DE9" w:rsidRDefault="00720DE9" w:rsidP="00720DE9">
            <w:pPr>
              <w:pStyle w:val="TableCopy"/>
              <w:keepNext/>
            </w:pPr>
            <w:r w:rsidRPr="003E0E7D">
              <w:t>HBV</w:t>
            </w:r>
            <w:r>
              <w:t xml:space="preserve"> (NAT</w:t>
            </w:r>
            <w:r w:rsidR="00346DA5">
              <w:t>)</w:t>
            </w:r>
          </w:p>
          <w:p w14:paraId="3336081F" w14:textId="1A4E5027" w:rsidR="00720DE9" w:rsidRPr="003E0E7D" w:rsidRDefault="00720DE9" w:rsidP="00720DE9">
            <w:pPr>
              <w:pStyle w:val="TableCopy"/>
              <w:keepNext/>
            </w:pPr>
            <w:r>
              <w:t>HTLV (serology</w:t>
            </w:r>
            <w:r w:rsidR="00346DA5">
              <w:t>)</w:t>
            </w:r>
          </w:p>
        </w:tc>
        <w:tc>
          <w:tcPr>
            <w:tcW w:w="1843" w:type="dxa"/>
            <w:shd w:val="clear" w:color="auto" w:fill="DCDCDC"/>
          </w:tcPr>
          <w:p w14:paraId="0426B0F3" w14:textId="77777777" w:rsidR="00720DE9" w:rsidRPr="003E0E7D" w:rsidRDefault="00720DE9" w:rsidP="00720DE9">
            <w:pPr>
              <w:pStyle w:val="TableCopy"/>
              <w:keepNext/>
            </w:pPr>
            <w:r w:rsidRPr="003E0E7D">
              <w:t>HIV</w:t>
            </w:r>
          </w:p>
          <w:p w14:paraId="5B5F00DD" w14:textId="77777777" w:rsidR="00720DE9" w:rsidRPr="003E0E7D" w:rsidRDefault="00720DE9" w:rsidP="00720DE9">
            <w:pPr>
              <w:pStyle w:val="TableCopy"/>
              <w:keepNext/>
            </w:pPr>
            <w:r w:rsidRPr="003E0E7D">
              <w:t>HCV</w:t>
            </w:r>
          </w:p>
          <w:p w14:paraId="1E296CE4" w14:textId="09D74D70" w:rsidR="00720DE9" w:rsidRPr="003E0E7D" w:rsidRDefault="00720DE9" w:rsidP="00720DE9">
            <w:pPr>
              <w:pStyle w:val="TableCopy"/>
              <w:keepNext/>
            </w:pPr>
            <w:r w:rsidRPr="003E0E7D">
              <w:t>HBV</w:t>
            </w:r>
            <w:r>
              <w:t xml:space="preserve"> (NAT)</w:t>
            </w:r>
          </w:p>
        </w:tc>
      </w:tr>
      <w:tr w:rsidR="00720DE9" w:rsidRPr="003E0E7D" w14:paraId="679EE3C5" w14:textId="3643191B" w:rsidTr="00346DA5">
        <w:trPr>
          <w:trHeight w:val="490"/>
        </w:trPr>
        <w:tc>
          <w:tcPr>
            <w:tcW w:w="3539" w:type="dxa"/>
            <w:shd w:val="clear" w:color="auto" w:fill="DCDCDC"/>
          </w:tcPr>
          <w:p w14:paraId="18FF149D" w14:textId="77777777" w:rsidR="00720DE9" w:rsidRPr="003E0E7D" w:rsidRDefault="00720DE9" w:rsidP="00720DE9">
            <w:pPr>
              <w:pStyle w:val="TableCopy"/>
              <w:keepNext/>
              <w:rPr>
                <w:b/>
              </w:rPr>
            </w:pPr>
            <w:r w:rsidRPr="003E0E7D">
              <w:rPr>
                <w:b/>
              </w:rPr>
              <w:t xml:space="preserve">NBA funding arrangements </w:t>
            </w:r>
          </w:p>
        </w:tc>
        <w:tc>
          <w:tcPr>
            <w:tcW w:w="1843" w:type="dxa"/>
            <w:shd w:val="clear" w:color="auto" w:fill="DCDCDC"/>
          </w:tcPr>
          <w:p w14:paraId="0CC68BED" w14:textId="49659FB1" w:rsidR="00720DE9" w:rsidRDefault="00720DE9" w:rsidP="00720DE9">
            <w:pPr>
              <w:pStyle w:val="TableCopy"/>
              <w:keepNext/>
            </w:pPr>
            <w:r>
              <w:t>HBV (serology)</w:t>
            </w:r>
          </w:p>
          <w:p w14:paraId="37F2C21D" w14:textId="2090D766" w:rsidR="00720DE9" w:rsidRPr="003E0E7D" w:rsidRDefault="00720DE9" w:rsidP="00720DE9">
            <w:pPr>
              <w:pStyle w:val="TableCopy"/>
              <w:keepNext/>
            </w:pPr>
            <w:r w:rsidRPr="003E0E7D">
              <w:t xml:space="preserve">HTLV </w:t>
            </w:r>
            <w:r>
              <w:t>(NAT)</w:t>
            </w:r>
          </w:p>
          <w:p w14:paraId="770DA328" w14:textId="77777777" w:rsidR="00720DE9" w:rsidRPr="003E0E7D" w:rsidRDefault="00720DE9" w:rsidP="00720DE9">
            <w:pPr>
              <w:pStyle w:val="TableCopy"/>
              <w:keepNext/>
            </w:pPr>
            <w:r w:rsidRPr="003E0E7D">
              <w:t xml:space="preserve">Syphilis </w:t>
            </w:r>
          </w:p>
          <w:p w14:paraId="61392074" w14:textId="77777777" w:rsidR="00720DE9" w:rsidRPr="003E0E7D" w:rsidRDefault="00720DE9" w:rsidP="00720DE9">
            <w:pPr>
              <w:pStyle w:val="TableCopy"/>
              <w:keepNext/>
            </w:pPr>
            <w:r w:rsidRPr="003E0E7D">
              <w:t>Malaria</w:t>
            </w:r>
          </w:p>
        </w:tc>
        <w:tc>
          <w:tcPr>
            <w:tcW w:w="1843" w:type="dxa"/>
            <w:shd w:val="clear" w:color="auto" w:fill="DCDCDC"/>
          </w:tcPr>
          <w:p w14:paraId="34067CCC" w14:textId="5B51B739" w:rsidR="00720DE9" w:rsidRDefault="00720DE9" w:rsidP="00720DE9">
            <w:pPr>
              <w:pStyle w:val="TableCopy"/>
              <w:keepNext/>
            </w:pPr>
            <w:r>
              <w:t>HBV (serology)</w:t>
            </w:r>
          </w:p>
          <w:p w14:paraId="77EE78C5" w14:textId="592D8A2B" w:rsidR="00720DE9" w:rsidRPr="003E0E7D" w:rsidRDefault="00720DE9" w:rsidP="00720DE9">
            <w:pPr>
              <w:pStyle w:val="TableCopy"/>
              <w:keepNext/>
            </w:pPr>
            <w:r w:rsidRPr="003E0E7D">
              <w:t>HTLV</w:t>
            </w:r>
          </w:p>
          <w:p w14:paraId="129C1588" w14:textId="77777777" w:rsidR="00720DE9" w:rsidRPr="003E0E7D" w:rsidRDefault="00720DE9" w:rsidP="00720DE9">
            <w:pPr>
              <w:pStyle w:val="TableCopy"/>
              <w:keepNext/>
            </w:pPr>
            <w:r w:rsidRPr="003E0E7D">
              <w:t xml:space="preserve">Syphilis </w:t>
            </w:r>
          </w:p>
          <w:p w14:paraId="4726F614" w14:textId="08F2AE8B" w:rsidR="00720DE9" w:rsidRDefault="00720DE9" w:rsidP="00720DE9">
            <w:pPr>
              <w:pStyle w:val="TableCopy"/>
              <w:keepNext/>
            </w:pPr>
            <w:r w:rsidRPr="003E0E7D">
              <w:t>Malaria</w:t>
            </w:r>
          </w:p>
        </w:tc>
      </w:tr>
    </w:tbl>
    <w:p w14:paraId="4DD79894" w14:textId="77777777" w:rsidR="009A0872" w:rsidRDefault="00F30028" w:rsidP="009A0872">
      <w:pPr>
        <w:pStyle w:val="BodyCopy"/>
      </w:pPr>
      <w:r w:rsidRPr="00CB5902">
        <w:t xml:space="preserve">The current funding </w:t>
      </w:r>
      <w:r w:rsidR="00235CC3">
        <w:t xml:space="preserve">arrangements </w:t>
      </w:r>
      <w:r w:rsidRPr="00CB5902">
        <w:t>under review is a continuation of prior Australian</w:t>
      </w:r>
      <w:r>
        <w:t xml:space="preserve"> Government funding that started in 2000. This predates the </w:t>
      </w:r>
      <w:r w:rsidR="003C3822">
        <w:t xml:space="preserve">establishment of the </w:t>
      </w:r>
      <w:r>
        <w:t xml:space="preserve">national blood arrangements </w:t>
      </w:r>
      <w:r w:rsidR="003C3822">
        <w:t>in 2003</w:t>
      </w:r>
      <w:r w:rsidR="00C43F37">
        <w:t>. T</w:t>
      </w:r>
      <w:r>
        <w:t xml:space="preserve">he </w:t>
      </w:r>
      <w:r w:rsidR="00C43F37">
        <w:t xml:space="preserve">maintained </w:t>
      </w:r>
      <w:r>
        <w:t>separation of funding mechanisms</w:t>
      </w:r>
      <w:r w:rsidR="00084424">
        <w:t xml:space="preserve"> is</w:t>
      </w:r>
      <w:r>
        <w:t xml:space="preserve"> </w:t>
      </w:r>
      <w:r w:rsidR="00443CB9">
        <w:t>likely</w:t>
      </w:r>
      <w:r>
        <w:t xml:space="preserve"> due to historical reasons</w:t>
      </w:r>
      <w:r w:rsidR="00D61D28">
        <w:t>,</w:t>
      </w:r>
      <w:r w:rsidR="003C3822">
        <w:t xml:space="preserve"> i.e. when the national blood arrangements were established, they only included funding for the services that were not already covered</w:t>
      </w:r>
      <w:r w:rsidR="00F84897">
        <w:t xml:space="preserve"> under the funding arrangements with the NRL</w:t>
      </w:r>
      <w:r>
        <w:t>.</w:t>
      </w:r>
    </w:p>
    <w:p w14:paraId="63053497" w14:textId="3C228CC8" w:rsidR="00683766" w:rsidRDefault="00235CC3" w:rsidP="00A362EE">
      <w:pPr>
        <w:pStyle w:val="BodyCopy"/>
      </w:pPr>
      <w:r>
        <w:t xml:space="preserve">Although not required for the quality and safety of the blood supply, blood </w:t>
      </w:r>
      <w:r w:rsidR="00B22D85">
        <w:t>donations that are reactive</w:t>
      </w:r>
      <w:r w:rsidR="006F4574">
        <w:t xml:space="preserve"> undergo </w:t>
      </w:r>
      <w:r w:rsidR="00683766" w:rsidRPr="00B22D85">
        <w:t xml:space="preserve">confirmatory testing </w:t>
      </w:r>
      <w:r w:rsidR="006F4574">
        <w:t xml:space="preserve">in </w:t>
      </w:r>
      <w:r w:rsidR="00E704A3">
        <w:t xml:space="preserve">in </w:t>
      </w:r>
      <w:r w:rsidR="006F4574">
        <w:t xml:space="preserve">order to </w:t>
      </w:r>
      <w:r w:rsidR="002C2573">
        <w:t>advis</w:t>
      </w:r>
      <w:r w:rsidR="006F4574">
        <w:t>e</w:t>
      </w:r>
      <w:r w:rsidR="002C2573">
        <w:t xml:space="preserve"> the donor to seek further clinical follow up. All donations that test positive or indeterminate on the primary test are withdrawn from the blood pool. </w:t>
      </w:r>
      <w:r w:rsidR="00683766">
        <w:t>Currently the confirmatory testing performed on reactive samples</w:t>
      </w:r>
      <w:r w:rsidR="009F7875">
        <w:t xml:space="preserve"> for HIV, HCV and HBV</w:t>
      </w:r>
      <w:r w:rsidR="00683766">
        <w:t xml:space="preserve"> from the ARCBS are funded by the </w:t>
      </w:r>
      <w:r w:rsidR="00A93FC9">
        <w:t xml:space="preserve">Australian Government </w:t>
      </w:r>
      <w:r w:rsidR="003C3822">
        <w:t xml:space="preserve">and </w:t>
      </w:r>
      <w:r w:rsidR="00A362EE">
        <w:t xml:space="preserve">provided by NRL. </w:t>
      </w:r>
    </w:p>
    <w:p w14:paraId="59BF61FD" w14:textId="77777777" w:rsidR="006B1195" w:rsidRDefault="006B1195" w:rsidP="006B1195">
      <w:pPr>
        <w:pStyle w:val="KeyFinding"/>
      </w:pPr>
      <w:r>
        <w:t>The majority of services provided by the ARCBS are funded through arrangements with the NBA</w:t>
      </w:r>
      <w:r w:rsidR="000E63F4">
        <w:t xml:space="preserve">, </w:t>
      </w:r>
      <w:r w:rsidR="00864859">
        <w:t xml:space="preserve">using a per </w:t>
      </w:r>
      <w:r w:rsidR="000E63F4">
        <w:t>unit price</w:t>
      </w:r>
      <w:r w:rsidR="00864859">
        <w:t xml:space="preserve"> that allows for cost recovery</w:t>
      </w:r>
      <w:r>
        <w:t xml:space="preserve">. Services provided to ARCBS by NRL are not included in the </w:t>
      </w:r>
      <w:r w:rsidR="003C1744">
        <w:t xml:space="preserve">per </w:t>
      </w:r>
      <w:r>
        <w:t xml:space="preserve">unit </w:t>
      </w:r>
      <w:r w:rsidR="003C1744">
        <w:t xml:space="preserve">price </w:t>
      </w:r>
      <w:r w:rsidR="00CD6835">
        <w:t xml:space="preserve">funded </w:t>
      </w:r>
      <w:r w:rsidR="003C1744">
        <w:t>by the NBA.</w:t>
      </w:r>
    </w:p>
    <w:p w14:paraId="1E1F1EA6" w14:textId="77777777" w:rsidR="0048063B" w:rsidRDefault="00084424" w:rsidP="00084424">
      <w:pPr>
        <w:pStyle w:val="Heading2"/>
      </w:pPr>
      <w:bookmarkStart w:id="46" w:name="_Toc18664641"/>
      <w:r>
        <w:t>Screening of organs and tissues for transplantation</w:t>
      </w:r>
      <w:bookmarkEnd w:id="46"/>
      <w:r>
        <w:t xml:space="preserve"> </w:t>
      </w:r>
    </w:p>
    <w:p w14:paraId="2AE783D3" w14:textId="77777777" w:rsidR="00084424" w:rsidRDefault="00E1581A" w:rsidP="00E1581A">
      <w:pPr>
        <w:pStyle w:val="BodyCopy"/>
        <w:rPr>
          <w:lang w:val="en-US"/>
        </w:rPr>
      </w:pPr>
      <w:r>
        <w:rPr>
          <w:lang w:val="en-US"/>
        </w:rPr>
        <w:t xml:space="preserve">Organ and tissue donation / transplantation is funded by the </w:t>
      </w:r>
      <w:r w:rsidR="00CC636C">
        <w:rPr>
          <w:lang w:val="en-US"/>
        </w:rPr>
        <w:t>s</w:t>
      </w:r>
      <w:r>
        <w:rPr>
          <w:lang w:val="en-US"/>
        </w:rPr>
        <w:t xml:space="preserve">tates and </w:t>
      </w:r>
      <w:r w:rsidR="00CC636C">
        <w:rPr>
          <w:lang w:val="en-US"/>
        </w:rPr>
        <w:t>t</w:t>
      </w:r>
      <w:r>
        <w:rPr>
          <w:lang w:val="en-US"/>
        </w:rPr>
        <w:t xml:space="preserve">erritory </w:t>
      </w:r>
      <w:r w:rsidR="00CC636C">
        <w:rPr>
          <w:lang w:val="en-US"/>
        </w:rPr>
        <w:t>g</w:t>
      </w:r>
      <w:r>
        <w:rPr>
          <w:lang w:val="en-US"/>
        </w:rPr>
        <w:t xml:space="preserve">overnments at the appropriate rates set by the </w:t>
      </w:r>
      <w:r w:rsidR="00084424">
        <w:rPr>
          <w:lang w:val="en-US"/>
        </w:rPr>
        <w:t>Independent</w:t>
      </w:r>
      <w:r w:rsidR="000E63F4">
        <w:rPr>
          <w:lang w:val="en-US"/>
        </w:rPr>
        <w:t xml:space="preserve"> </w:t>
      </w:r>
      <w:r w:rsidR="00084424">
        <w:rPr>
          <w:lang w:val="en-US"/>
        </w:rPr>
        <w:t xml:space="preserve">Hospital </w:t>
      </w:r>
      <w:r w:rsidR="00243FF8">
        <w:rPr>
          <w:lang w:val="en-US"/>
        </w:rPr>
        <w:t xml:space="preserve">Pricing </w:t>
      </w:r>
      <w:r w:rsidR="00084424">
        <w:rPr>
          <w:lang w:val="en-US"/>
        </w:rPr>
        <w:t>Authority</w:t>
      </w:r>
      <w:r w:rsidR="00C10BC7">
        <w:rPr>
          <w:rStyle w:val="FootnoteReference"/>
          <w:lang w:val="en-US"/>
        </w:rPr>
        <w:footnoteReference w:id="4"/>
      </w:r>
      <w:r w:rsidR="00705C33">
        <w:rPr>
          <w:lang w:val="en-US"/>
        </w:rPr>
        <w:t>.</w:t>
      </w:r>
      <w:r w:rsidR="00084424">
        <w:rPr>
          <w:lang w:val="en-US"/>
        </w:rPr>
        <w:t xml:space="preserve">  </w:t>
      </w:r>
    </w:p>
    <w:p w14:paraId="342244C6" w14:textId="0D3A5848" w:rsidR="0060732F" w:rsidRPr="0060732F" w:rsidRDefault="00E1581A" w:rsidP="003561CF">
      <w:pPr>
        <w:pStyle w:val="BodyCopy"/>
        <w:rPr>
          <w:rStyle w:val="BodyCopyChar"/>
        </w:rPr>
      </w:pPr>
      <w:r>
        <w:rPr>
          <w:lang w:val="en-US"/>
        </w:rPr>
        <w:t xml:space="preserve">The transplantation of donated organs and tissues pose similar risks </w:t>
      </w:r>
      <w:r w:rsidR="003D365E">
        <w:rPr>
          <w:lang w:val="en-US"/>
        </w:rPr>
        <w:t xml:space="preserve">to recipients </w:t>
      </w:r>
      <w:r>
        <w:rPr>
          <w:lang w:val="en-US"/>
        </w:rPr>
        <w:t xml:space="preserve">as does </w:t>
      </w:r>
      <w:r w:rsidR="003D365E">
        <w:rPr>
          <w:lang w:val="en-US"/>
        </w:rPr>
        <w:t xml:space="preserve">the </w:t>
      </w:r>
      <w:r>
        <w:rPr>
          <w:lang w:val="en-US"/>
        </w:rPr>
        <w:t>transfusion of blood</w:t>
      </w:r>
      <w:r w:rsidR="003D365E">
        <w:rPr>
          <w:lang w:val="en-US"/>
        </w:rPr>
        <w:t xml:space="preserve"> and blood components</w:t>
      </w:r>
      <w:r>
        <w:rPr>
          <w:lang w:val="en-US"/>
        </w:rPr>
        <w:t xml:space="preserve">. </w:t>
      </w:r>
      <w:r w:rsidR="0060732F">
        <w:rPr>
          <w:lang w:val="en-US"/>
        </w:rPr>
        <w:t>T</w:t>
      </w:r>
      <w:r>
        <w:rPr>
          <w:lang w:val="en-US"/>
        </w:rPr>
        <w:t xml:space="preserve">issue donations are required to be screened for the same BBVs as blood donations are. </w:t>
      </w:r>
      <w:r w:rsidR="0060732F">
        <w:rPr>
          <w:lang w:val="en-US"/>
        </w:rPr>
        <w:t xml:space="preserve"> </w:t>
      </w:r>
      <w:r w:rsidR="0060732F" w:rsidRPr="0060732F">
        <w:rPr>
          <w:rStyle w:val="BodyCopyChar"/>
        </w:rPr>
        <w:t xml:space="preserve">Organs are exempt from TGO88. Organs are only required to be tested </w:t>
      </w:r>
      <w:r w:rsidR="0060732F">
        <w:rPr>
          <w:rStyle w:val="BodyCopyChar"/>
        </w:rPr>
        <w:t xml:space="preserve">by </w:t>
      </w:r>
      <w:r w:rsidR="0060732F" w:rsidRPr="0060732F">
        <w:rPr>
          <w:rStyle w:val="BodyCopyChar"/>
        </w:rPr>
        <w:t>serology for HIV-1 antibody, HIV-2 antibody, hepatitis B surface antibody and surface antigen, hepatitis B core antibody, hepatitis C antibody</w:t>
      </w:r>
      <w:r w:rsidR="0060732F">
        <w:rPr>
          <w:rStyle w:val="BodyCopyChar"/>
        </w:rPr>
        <w:t xml:space="preserve">. </w:t>
      </w:r>
    </w:p>
    <w:p w14:paraId="0EB8EE00" w14:textId="0BDA86D9" w:rsidR="00C10BC7" w:rsidRDefault="0060732F" w:rsidP="00E1581A">
      <w:pPr>
        <w:pStyle w:val="BodyCopy"/>
        <w:rPr>
          <w:lang w:val="en-US"/>
        </w:rPr>
      </w:pPr>
      <w:r>
        <w:rPr>
          <w:lang w:val="en-US"/>
        </w:rPr>
        <w:t>T</w:t>
      </w:r>
      <w:r w:rsidR="00E1581A">
        <w:rPr>
          <w:lang w:val="en-US"/>
        </w:rPr>
        <w:t xml:space="preserve">here is no specified funding source from the Australian Government, or </w:t>
      </w:r>
      <w:r w:rsidR="00CC636C">
        <w:rPr>
          <w:lang w:val="en-US"/>
        </w:rPr>
        <w:t>s</w:t>
      </w:r>
      <w:r w:rsidR="00E1581A">
        <w:rPr>
          <w:lang w:val="en-US"/>
        </w:rPr>
        <w:t>tate/</w:t>
      </w:r>
      <w:r w:rsidR="00CC636C">
        <w:rPr>
          <w:lang w:val="en-US"/>
        </w:rPr>
        <w:t>t</w:t>
      </w:r>
      <w:r w:rsidR="00E1581A">
        <w:rPr>
          <w:lang w:val="en-US"/>
        </w:rPr>
        <w:t xml:space="preserve">erritory </w:t>
      </w:r>
      <w:r w:rsidR="00CC636C">
        <w:rPr>
          <w:lang w:val="en-US"/>
        </w:rPr>
        <w:t>g</w:t>
      </w:r>
      <w:r w:rsidR="00E1581A">
        <w:rPr>
          <w:lang w:val="en-US"/>
        </w:rPr>
        <w:t>overnments, for the relevant QA and QC services associated with the necessary screening tests</w:t>
      </w:r>
      <w:r>
        <w:rPr>
          <w:lang w:val="en-US"/>
        </w:rPr>
        <w:t xml:space="preserve"> for organs and tissues</w:t>
      </w:r>
      <w:r w:rsidR="00E1581A">
        <w:rPr>
          <w:lang w:val="en-US"/>
        </w:rPr>
        <w:t xml:space="preserve">. </w:t>
      </w:r>
    </w:p>
    <w:p w14:paraId="678F4040" w14:textId="494F865E" w:rsidR="000E63F4" w:rsidRPr="00084424" w:rsidRDefault="002B0F64" w:rsidP="00991729">
      <w:pPr>
        <w:pStyle w:val="KeyFinding"/>
        <w:keepLines/>
      </w:pPr>
      <w:r>
        <w:t>Despite similar BBV testing requirements for blood, organs and tissue donors</w:t>
      </w:r>
      <w:r w:rsidR="00864859">
        <w:t xml:space="preserve">, there is no specific Australian Government funding source for the QA and QC procedures associated with BBV testing for </w:t>
      </w:r>
      <w:r>
        <w:t>organs and tissues</w:t>
      </w:r>
      <w:r w:rsidR="00864859">
        <w:t xml:space="preserve">.  </w:t>
      </w: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A514F1" w:rsidRPr="003E0E7D" w14:paraId="1E7EEE6D" w14:textId="77777777" w:rsidTr="003E0E7D">
        <w:trPr>
          <w:cantSplit/>
          <w:trHeight w:hRule="exact" w:val="1871"/>
        </w:trPr>
        <w:tc>
          <w:tcPr>
            <w:tcW w:w="5000" w:type="pct"/>
            <w:shd w:val="solid" w:color="FFFFFF" w:fill="FFFFFF"/>
            <w:vAlign w:val="bottom"/>
          </w:tcPr>
          <w:p w14:paraId="7DA0D7AC" w14:textId="77777777" w:rsidR="00A514F1" w:rsidRPr="003E0E7D" w:rsidRDefault="001C17D0" w:rsidP="003E0E7D">
            <w:pPr>
              <w:pStyle w:val="Heading1"/>
              <w:numPr>
                <w:ilvl w:val="0"/>
                <w:numId w:val="1"/>
              </w:numPr>
            </w:pPr>
            <w:bookmarkStart w:id="47" w:name="_Ref495072213"/>
            <w:bookmarkStart w:id="48" w:name="_Toc18664642"/>
            <w:r w:rsidRPr="003E0E7D">
              <w:lastRenderedPageBreak/>
              <w:t>ASSESSING THE MARKET FOR</w:t>
            </w:r>
            <w:r w:rsidR="00E27446" w:rsidRPr="003E0E7D">
              <w:t xml:space="preserve"> THE FUNDED SERVICES</w:t>
            </w:r>
            <w:bookmarkEnd w:id="47"/>
            <w:bookmarkEnd w:id="48"/>
          </w:p>
        </w:tc>
      </w:tr>
    </w:tbl>
    <w:p w14:paraId="068D98B4" w14:textId="77777777" w:rsidR="00850FF2" w:rsidRDefault="00850FF2" w:rsidP="006A46D9">
      <w:pPr>
        <w:pStyle w:val="BodyCopy"/>
        <w:rPr>
          <w:shd w:val="clear" w:color="auto" w:fill="FFFFFF"/>
        </w:rPr>
      </w:pPr>
      <w:r>
        <w:rPr>
          <w:shd w:val="clear" w:color="auto" w:fill="FFFFFF"/>
        </w:rPr>
        <w:t xml:space="preserve">When considering funding options going forward it is important to understand the current market – users and providers </w:t>
      </w:r>
      <w:r w:rsidR="004C41D3">
        <w:rPr>
          <w:shd w:val="clear" w:color="auto" w:fill="FFFFFF"/>
        </w:rPr>
        <w:t>–</w:t>
      </w:r>
      <w:r>
        <w:rPr>
          <w:shd w:val="clear" w:color="auto" w:fill="FFFFFF"/>
        </w:rPr>
        <w:t xml:space="preserve"> for funded services. </w:t>
      </w:r>
      <w:r w:rsidR="00E27446" w:rsidRPr="008723D6">
        <w:rPr>
          <w:shd w:val="clear" w:color="auto" w:fill="FFFFFF"/>
        </w:rPr>
        <w:t xml:space="preserve">A survey of all laboratories </w:t>
      </w:r>
      <w:r w:rsidR="004C41D3" w:rsidRPr="008723D6">
        <w:rPr>
          <w:shd w:val="clear" w:color="auto" w:fill="FFFFFF"/>
        </w:rPr>
        <w:t>utilising</w:t>
      </w:r>
      <w:r w:rsidR="00E27446" w:rsidRPr="008723D6">
        <w:rPr>
          <w:shd w:val="clear" w:color="auto" w:fill="FFFFFF"/>
        </w:rPr>
        <w:t xml:space="preserve"> the funded services</w:t>
      </w:r>
      <w:r w:rsidR="00AB6DDA">
        <w:rPr>
          <w:shd w:val="clear" w:color="auto" w:fill="FFFFFF"/>
        </w:rPr>
        <w:t xml:space="preserve"> (identified using NRL service </w:t>
      </w:r>
      <w:r w:rsidR="004C41D3">
        <w:rPr>
          <w:shd w:val="clear" w:color="auto" w:fill="FFFFFF"/>
        </w:rPr>
        <w:t xml:space="preserve">provision </w:t>
      </w:r>
      <w:r w:rsidR="00AB6DDA">
        <w:rPr>
          <w:shd w:val="clear" w:color="auto" w:fill="FFFFFF"/>
        </w:rPr>
        <w:t>data)</w:t>
      </w:r>
      <w:r w:rsidR="00E27446" w:rsidRPr="008723D6">
        <w:rPr>
          <w:shd w:val="clear" w:color="auto" w:fill="FFFFFF"/>
        </w:rPr>
        <w:t xml:space="preserve"> was conducted. The survey sought to </w:t>
      </w:r>
      <w:r w:rsidR="00087D80" w:rsidRPr="008723D6">
        <w:rPr>
          <w:shd w:val="clear" w:color="auto" w:fill="FFFFFF"/>
        </w:rPr>
        <w:t xml:space="preserve">create a clear picture of service use, </w:t>
      </w:r>
      <w:r>
        <w:rPr>
          <w:shd w:val="clear" w:color="auto" w:fill="FFFFFF"/>
        </w:rPr>
        <w:t>including k</w:t>
      </w:r>
      <w:r w:rsidR="00087D80" w:rsidRPr="008723D6">
        <w:rPr>
          <w:shd w:val="clear" w:color="auto" w:fill="FFFFFF"/>
        </w:rPr>
        <w:t>ey factors influencing uptake, as well as to identify other service providers in the market.</w:t>
      </w:r>
      <w:r w:rsidR="00E27446" w:rsidRPr="008723D6">
        <w:rPr>
          <w:shd w:val="clear" w:color="auto" w:fill="FFFFFF"/>
        </w:rPr>
        <w:t xml:space="preserve"> </w:t>
      </w:r>
    </w:p>
    <w:p w14:paraId="0127E159" w14:textId="2A7F6DC8" w:rsidR="00E27446" w:rsidRDefault="00850FF2" w:rsidP="006A46D9">
      <w:pPr>
        <w:pStyle w:val="BodyCopy"/>
        <w:rPr>
          <w:shd w:val="clear" w:color="auto" w:fill="FFFFFF"/>
        </w:rPr>
      </w:pPr>
      <w:r>
        <w:rPr>
          <w:shd w:val="clear" w:color="auto" w:fill="FFFFFF"/>
        </w:rPr>
        <w:t xml:space="preserve">The survey was sent to </w:t>
      </w:r>
      <w:r w:rsidRPr="00781F71">
        <w:rPr>
          <w:shd w:val="clear" w:color="auto" w:fill="FFFFFF"/>
        </w:rPr>
        <w:t xml:space="preserve">all </w:t>
      </w:r>
      <w:r w:rsidR="00781F71" w:rsidRPr="00781F71">
        <w:rPr>
          <w:shd w:val="clear" w:color="auto" w:fill="FFFFFF"/>
        </w:rPr>
        <w:t>79</w:t>
      </w:r>
      <w:r w:rsidR="00781F71">
        <w:rPr>
          <w:shd w:val="clear" w:color="auto" w:fill="FFFFFF"/>
        </w:rPr>
        <w:t xml:space="preserve"> pathology</w:t>
      </w:r>
      <w:r w:rsidRPr="00781F71">
        <w:rPr>
          <w:shd w:val="clear" w:color="auto" w:fill="FFFFFF"/>
        </w:rPr>
        <w:t xml:space="preserve"> laboratories utilising the funded services. Follow up contact was made to laboratories that had not</w:t>
      </w:r>
      <w:r>
        <w:rPr>
          <w:shd w:val="clear" w:color="auto" w:fill="FFFFFF"/>
        </w:rPr>
        <w:t xml:space="preserve"> responded by the initial end date. In </w:t>
      </w:r>
      <w:r w:rsidRPr="00781F71">
        <w:rPr>
          <w:shd w:val="clear" w:color="auto" w:fill="FFFFFF"/>
        </w:rPr>
        <w:t xml:space="preserve">total, </w:t>
      </w:r>
      <w:r w:rsidR="00781F71" w:rsidRPr="00781F71">
        <w:rPr>
          <w:shd w:val="clear" w:color="auto" w:fill="FFFFFF"/>
        </w:rPr>
        <w:t>30 (38</w:t>
      </w:r>
      <w:r w:rsidRPr="00781F71">
        <w:rPr>
          <w:shd w:val="clear" w:color="auto" w:fill="FFFFFF"/>
        </w:rPr>
        <w:t>%) laboratories</w:t>
      </w:r>
      <w:r>
        <w:rPr>
          <w:shd w:val="clear" w:color="auto" w:fill="FFFFFF"/>
        </w:rPr>
        <w:t xml:space="preserve"> responded and the survey</w:t>
      </w:r>
      <w:r w:rsidR="004C41D3">
        <w:rPr>
          <w:shd w:val="clear" w:color="auto" w:fill="FFFFFF"/>
        </w:rPr>
        <w:t xml:space="preserve"> results are presented in </w:t>
      </w:r>
      <w:r w:rsidR="00CC636C">
        <w:rPr>
          <w:shd w:val="clear" w:color="auto" w:fill="FFFFFF"/>
        </w:rPr>
        <w:t xml:space="preserve">this </w:t>
      </w:r>
      <w:r>
        <w:rPr>
          <w:shd w:val="clear" w:color="auto" w:fill="FFFFFF"/>
        </w:rPr>
        <w:t>chapter.</w:t>
      </w:r>
      <w:r w:rsidR="00781F71">
        <w:rPr>
          <w:shd w:val="clear" w:color="auto" w:fill="FFFFFF"/>
        </w:rPr>
        <w:t xml:space="preserve"> Issues outlined in this section should be treated with caution due to the low response rate of laboratories. Difficulties with individual laboratory inventory/accounting systems, along with the need for multiple departments to complete the survey may have contributed to the low response rate.</w:t>
      </w:r>
      <w:r>
        <w:rPr>
          <w:shd w:val="clear" w:color="auto" w:fill="FFFFFF"/>
        </w:rPr>
        <w:t xml:space="preserve"> More details on the survey methodology can be found </w:t>
      </w:r>
      <w:r w:rsidR="00DD1D71">
        <w:rPr>
          <w:shd w:val="clear" w:color="auto" w:fill="FFFFFF"/>
        </w:rPr>
        <w:t xml:space="preserve">at </w:t>
      </w:r>
      <w:r w:rsidR="00DD1D71">
        <w:rPr>
          <w:shd w:val="clear" w:color="auto" w:fill="FFFFFF"/>
        </w:rPr>
        <w:fldChar w:fldCharType="begin"/>
      </w:r>
      <w:r w:rsidR="00DD1D71">
        <w:rPr>
          <w:shd w:val="clear" w:color="auto" w:fill="FFFFFF"/>
        </w:rPr>
        <w:instrText xml:space="preserve"> REF _Ref514752957 \r \h </w:instrText>
      </w:r>
      <w:r w:rsidR="00DD1D71">
        <w:rPr>
          <w:shd w:val="clear" w:color="auto" w:fill="FFFFFF"/>
        </w:rPr>
      </w:r>
      <w:r w:rsidR="00DD1D71">
        <w:rPr>
          <w:shd w:val="clear" w:color="auto" w:fill="FFFFFF"/>
        </w:rPr>
        <w:fldChar w:fldCharType="separate"/>
      </w:r>
      <w:r w:rsidR="0078683A">
        <w:rPr>
          <w:shd w:val="clear" w:color="auto" w:fill="FFFFFF"/>
        </w:rPr>
        <w:t>Appendix D</w:t>
      </w:r>
      <w:r w:rsidR="00DD1D71">
        <w:rPr>
          <w:shd w:val="clear" w:color="auto" w:fill="FFFFFF"/>
        </w:rPr>
        <w:fldChar w:fldCharType="end"/>
      </w:r>
      <w:r>
        <w:rPr>
          <w:shd w:val="clear" w:color="auto" w:fill="FFFFFF"/>
        </w:rPr>
        <w:t>.</w:t>
      </w:r>
    </w:p>
    <w:p w14:paraId="71FCD065" w14:textId="14F8EB82" w:rsidR="00D60D14" w:rsidRDefault="00D60D14" w:rsidP="006A46D9">
      <w:pPr>
        <w:pStyle w:val="BodyCopy"/>
        <w:rPr>
          <w:shd w:val="clear" w:color="auto" w:fill="FFFFFF"/>
        </w:rPr>
      </w:pPr>
      <w:r>
        <w:rPr>
          <w:shd w:val="clear" w:color="auto" w:fill="FFFFFF"/>
        </w:rPr>
        <w:t>This chapter was also informed through consultations with key stakeholders, including the ARCBS. Furt</w:t>
      </w:r>
      <w:r w:rsidR="00C115ED">
        <w:rPr>
          <w:shd w:val="clear" w:color="auto" w:fill="FFFFFF"/>
        </w:rPr>
        <w:t xml:space="preserve">her detail on the consultation questions </w:t>
      </w:r>
      <w:r>
        <w:rPr>
          <w:shd w:val="clear" w:color="auto" w:fill="FFFFFF"/>
        </w:rPr>
        <w:t xml:space="preserve">is included in </w:t>
      </w:r>
      <w:r w:rsidR="00C115ED">
        <w:rPr>
          <w:shd w:val="clear" w:color="auto" w:fill="FFFFFF"/>
        </w:rPr>
        <w:fldChar w:fldCharType="begin"/>
      </w:r>
      <w:r w:rsidR="00C115ED">
        <w:rPr>
          <w:shd w:val="clear" w:color="auto" w:fill="FFFFFF"/>
        </w:rPr>
        <w:instrText xml:space="preserve"> REF _Ref514753711 \r \h </w:instrText>
      </w:r>
      <w:r w:rsidR="00C115ED">
        <w:rPr>
          <w:shd w:val="clear" w:color="auto" w:fill="FFFFFF"/>
        </w:rPr>
      </w:r>
      <w:r w:rsidR="00C115ED">
        <w:rPr>
          <w:shd w:val="clear" w:color="auto" w:fill="FFFFFF"/>
        </w:rPr>
        <w:fldChar w:fldCharType="separate"/>
      </w:r>
      <w:r w:rsidR="0078683A">
        <w:rPr>
          <w:shd w:val="clear" w:color="auto" w:fill="FFFFFF"/>
        </w:rPr>
        <w:t>Appendix E</w:t>
      </w:r>
      <w:r w:rsidR="00C115ED">
        <w:rPr>
          <w:shd w:val="clear" w:color="auto" w:fill="FFFFFF"/>
        </w:rPr>
        <w:fldChar w:fldCharType="end"/>
      </w:r>
      <w:r>
        <w:rPr>
          <w:shd w:val="clear" w:color="auto" w:fill="FFFFFF"/>
        </w:rPr>
        <w:t xml:space="preserve">. </w:t>
      </w:r>
    </w:p>
    <w:p w14:paraId="0AD3B452" w14:textId="77777777" w:rsidR="00B308E7" w:rsidRDefault="00B308E7" w:rsidP="004C41D3">
      <w:pPr>
        <w:pStyle w:val="Heading2"/>
        <w:rPr>
          <w:shd w:val="clear" w:color="auto" w:fill="FFFFFF"/>
        </w:rPr>
      </w:pPr>
      <w:bookmarkStart w:id="49" w:name="_Toc18664643"/>
      <w:r>
        <w:rPr>
          <w:shd w:val="clear" w:color="auto" w:fill="FFFFFF"/>
        </w:rPr>
        <w:t xml:space="preserve">Summary of </w:t>
      </w:r>
      <w:r w:rsidR="0063438C">
        <w:rPr>
          <w:shd w:val="clear" w:color="auto" w:fill="FFFFFF"/>
        </w:rPr>
        <w:t xml:space="preserve">funded </w:t>
      </w:r>
      <w:r>
        <w:rPr>
          <w:shd w:val="clear" w:color="auto" w:fill="FFFFFF"/>
        </w:rPr>
        <w:t>services</w:t>
      </w:r>
      <w:bookmarkEnd w:id="49"/>
      <w:r>
        <w:rPr>
          <w:shd w:val="clear" w:color="auto" w:fill="FFFFFF"/>
        </w:rPr>
        <w:t xml:space="preserve"> </w:t>
      </w:r>
    </w:p>
    <w:p w14:paraId="76B975F1" w14:textId="77777777" w:rsidR="003F409A" w:rsidRDefault="00AA2668" w:rsidP="003F409A">
      <w:pPr>
        <w:pStyle w:val="BodyCopy"/>
        <w:rPr>
          <w:shd w:val="clear" w:color="auto" w:fill="FFFFFF"/>
        </w:rPr>
      </w:pPr>
      <w:r>
        <w:rPr>
          <w:shd w:val="clear" w:color="auto" w:fill="FFFFFF"/>
        </w:rPr>
        <w:t xml:space="preserve">As specified in the schedule of services, the Department of Health provides funding to the NRL to provide specified QC and QA </w:t>
      </w:r>
      <w:r w:rsidR="000B3DBE">
        <w:rPr>
          <w:shd w:val="clear" w:color="auto" w:fill="FFFFFF"/>
        </w:rPr>
        <w:t xml:space="preserve">programs </w:t>
      </w:r>
      <w:r>
        <w:rPr>
          <w:shd w:val="clear" w:color="auto" w:fill="FFFFFF"/>
        </w:rPr>
        <w:t xml:space="preserve">to </w:t>
      </w:r>
      <w:r w:rsidR="008723D6">
        <w:rPr>
          <w:shd w:val="clear" w:color="auto" w:fill="FFFFFF"/>
        </w:rPr>
        <w:t>participating laboratories</w:t>
      </w:r>
      <w:r>
        <w:rPr>
          <w:shd w:val="clear" w:color="auto" w:fill="FFFFFF"/>
        </w:rPr>
        <w:t xml:space="preserve"> and the ARCBS laboratories</w:t>
      </w:r>
      <w:r w:rsidR="00B308E7">
        <w:rPr>
          <w:shd w:val="clear" w:color="auto" w:fill="FFFFFF"/>
        </w:rPr>
        <w:t>.</w:t>
      </w:r>
    </w:p>
    <w:p w14:paraId="43EE9BAE" w14:textId="77777777" w:rsidR="001B5E6D" w:rsidRDefault="00907275" w:rsidP="00B31706">
      <w:pPr>
        <w:pStyle w:val="BodyCopy"/>
        <w:rPr>
          <w:shd w:val="clear" w:color="auto" w:fill="FFFFFF"/>
        </w:rPr>
      </w:pPr>
      <w:r>
        <w:rPr>
          <w:shd w:val="clear" w:color="auto" w:fill="FFFFFF"/>
        </w:rPr>
        <w:t xml:space="preserve">The review found that </w:t>
      </w:r>
      <w:r w:rsidR="00294965">
        <w:rPr>
          <w:shd w:val="clear" w:color="auto" w:fill="FFFFFF"/>
        </w:rPr>
        <w:t>in addition to NRL, there w</w:t>
      </w:r>
      <w:r w:rsidR="006F4574">
        <w:rPr>
          <w:shd w:val="clear" w:color="auto" w:fill="FFFFFF"/>
        </w:rPr>
        <w:t xml:space="preserve">ere two </w:t>
      </w:r>
      <w:r w:rsidR="00B308E7">
        <w:rPr>
          <w:shd w:val="clear" w:color="auto" w:fill="FFFFFF"/>
        </w:rPr>
        <w:t>other service provider</w:t>
      </w:r>
      <w:r w:rsidR="006F4574">
        <w:rPr>
          <w:shd w:val="clear" w:color="auto" w:fill="FFFFFF"/>
        </w:rPr>
        <w:t>s</w:t>
      </w:r>
      <w:r w:rsidR="00B308E7">
        <w:rPr>
          <w:shd w:val="clear" w:color="auto" w:fill="FFFFFF"/>
        </w:rPr>
        <w:t xml:space="preserve"> in Australia that offer</w:t>
      </w:r>
      <w:r w:rsidR="006F4574">
        <w:rPr>
          <w:shd w:val="clear" w:color="auto" w:fill="FFFFFF"/>
        </w:rPr>
        <w:t>ed</w:t>
      </w:r>
      <w:r w:rsidR="00B308E7">
        <w:rPr>
          <w:shd w:val="clear" w:color="auto" w:fill="FFFFFF"/>
        </w:rPr>
        <w:t xml:space="preserve"> comparable </w:t>
      </w:r>
      <w:r w:rsidR="00294965">
        <w:rPr>
          <w:shd w:val="clear" w:color="auto" w:fill="FFFFFF"/>
        </w:rPr>
        <w:t xml:space="preserve">QC </w:t>
      </w:r>
      <w:r w:rsidR="00B308E7">
        <w:rPr>
          <w:shd w:val="clear" w:color="auto" w:fill="FFFFFF"/>
        </w:rPr>
        <w:t>services,</w:t>
      </w:r>
      <w:r>
        <w:rPr>
          <w:shd w:val="clear" w:color="auto" w:fill="FFFFFF"/>
        </w:rPr>
        <w:t xml:space="preserve"> SeraCare</w:t>
      </w:r>
      <w:r w:rsidR="006F4574">
        <w:rPr>
          <w:shd w:val="clear" w:color="auto" w:fill="FFFFFF"/>
        </w:rPr>
        <w:t xml:space="preserve"> and Thermo</w:t>
      </w:r>
      <w:r w:rsidR="001B5E6D">
        <w:rPr>
          <w:shd w:val="clear" w:color="auto" w:fill="FFFFFF"/>
        </w:rPr>
        <w:t> F</w:t>
      </w:r>
      <w:r w:rsidR="006F4574">
        <w:rPr>
          <w:shd w:val="clear" w:color="auto" w:fill="FFFFFF"/>
        </w:rPr>
        <w:t>isher</w:t>
      </w:r>
      <w:r>
        <w:rPr>
          <w:shd w:val="clear" w:color="auto" w:fill="FFFFFF"/>
        </w:rPr>
        <w:t xml:space="preserve">. </w:t>
      </w:r>
    </w:p>
    <w:p w14:paraId="33D7493D" w14:textId="77777777" w:rsidR="00907275" w:rsidRDefault="00907275" w:rsidP="00B31706">
      <w:pPr>
        <w:pStyle w:val="BodyCopy"/>
        <w:rPr>
          <w:shd w:val="clear" w:color="auto" w:fill="FFFFFF"/>
        </w:rPr>
      </w:pPr>
      <w:r>
        <w:rPr>
          <w:shd w:val="clear" w:color="auto" w:fill="FFFFFF"/>
        </w:rPr>
        <w:t>SeraCare is used by the ARCBS</w:t>
      </w:r>
      <w:r w:rsidR="00B308E7">
        <w:rPr>
          <w:shd w:val="clear" w:color="auto" w:fill="FFFFFF"/>
        </w:rPr>
        <w:t xml:space="preserve"> </w:t>
      </w:r>
      <w:r>
        <w:rPr>
          <w:shd w:val="clear" w:color="auto" w:fill="FFFFFF"/>
        </w:rPr>
        <w:t>as a back-up for NRL products and in the</w:t>
      </w:r>
      <w:r w:rsidR="000B3DBE">
        <w:rPr>
          <w:shd w:val="clear" w:color="auto" w:fill="FFFFFF"/>
        </w:rPr>
        <w:t xml:space="preserve"> ARCBS</w:t>
      </w:r>
      <w:r>
        <w:rPr>
          <w:shd w:val="clear" w:color="auto" w:fill="FFFFFF"/>
        </w:rPr>
        <w:t xml:space="preserve"> N</w:t>
      </w:r>
      <w:r w:rsidR="00400FE3">
        <w:rPr>
          <w:shd w:val="clear" w:color="auto" w:fill="FFFFFF"/>
        </w:rPr>
        <w:t xml:space="preserve">ew </w:t>
      </w:r>
      <w:r>
        <w:rPr>
          <w:shd w:val="clear" w:color="auto" w:fill="FFFFFF"/>
        </w:rPr>
        <w:t>S</w:t>
      </w:r>
      <w:r w:rsidR="00400FE3">
        <w:rPr>
          <w:shd w:val="clear" w:color="auto" w:fill="FFFFFF"/>
        </w:rPr>
        <w:t xml:space="preserve">outh </w:t>
      </w:r>
      <w:r>
        <w:rPr>
          <w:shd w:val="clear" w:color="auto" w:fill="FFFFFF"/>
        </w:rPr>
        <w:t>W</w:t>
      </w:r>
      <w:r w:rsidR="00400FE3">
        <w:rPr>
          <w:shd w:val="clear" w:color="auto" w:fill="FFFFFF"/>
        </w:rPr>
        <w:t>ales</w:t>
      </w:r>
      <w:r>
        <w:rPr>
          <w:shd w:val="clear" w:color="auto" w:fill="FFFFFF"/>
        </w:rPr>
        <w:t xml:space="preserve"> laboratory where confirmatory testing requires an independent test type to be used.</w:t>
      </w:r>
    </w:p>
    <w:p w14:paraId="652179A2" w14:textId="243ADEF3" w:rsidR="00907275" w:rsidRDefault="001B5E6D" w:rsidP="00B31706">
      <w:pPr>
        <w:pStyle w:val="BodyCopy"/>
      </w:pPr>
      <w:r>
        <w:rPr>
          <w:shd w:val="clear" w:color="auto" w:fill="FFFFFF"/>
        </w:rPr>
        <w:t>At the time of the review</w:t>
      </w:r>
      <w:r w:rsidR="00907275">
        <w:rPr>
          <w:shd w:val="clear" w:color="auto" w:fill="FFFFFF"/>
        </w:rPr>
        <w:t xml:space="preserve">, NRL contracted Thermo Fisher to supply QC materials but was in the process of transitioning to a new supplier, </w:t>
      </w:r>
      <w:r w:rsidR="00907275">
        <w:t xml:space="preserve">Diamex. </w:t>
      </w:r>
      <w:r>
        <w:t>Thermo Fisher QC material</w:t>
      </w:r>
      <w:r w:rsidR="00346DA5">
        <w:t xml:space="preserve"> is now available</w:t>
      </w:r>
      <w:r>
        <w:t xml:space="preserve"> directly </w:t>
      </w:r>
      <w:r w:rsidR="00346DA5">
        <w:t xml:space="preserve">to </w:t>
      </w:r>
      <w:r w:rsidR="00981629">
        <w:t xml:space="preserve">laboratories </w:t>
      </w:r>
      <w:r>
        <w:t>in Australia</w:t>
      </w:r>
      <w:r w:rsidR="00907275">
        <w:t xml:space="preserve">. </w:t>
      </w:r>
    </w:p>
    <w:p w14:paraId="504418D6" w14:textId="77777777" w:rsidR="001B5E6D" w:rsidRDefault="001B5E6D" w:rsidP="00B31706">
      <w:pPr>
        <w:pStyle w:val="BodyCopy"/>
      </w:pPr>
      <w:r>
        <w:t xml:space="preserve">NRL is now supplied by Diamex, who only distribute through NRL in Australia. </w:t>
      </w:r>
    </w:p>
    <w:p w14:paraId="5F79B38A" w14:textId="77777777" w:rsidR="00B308E7" w:rsidRDefault="00907275" w:rsidP="00B31706">
      <w:pPr>
        <w:pStyle w:val="BodyCopy"/>
      </w:pPr>
      <w:r>
        <w:t>In addi</w:t>
      </w:r>
      <w:r w:rsidR="00294965">
        <w:t>tion</w:t>
      </w:r>
      <w:r>
        <w:t xml:space="preserve">, </w:t>
      </w:r>
      <w:r w:rsidRPr="00907275">
        <w:t xml:space="preserve">BioRad </w:t>
      </w:r>
      <w:r w:rsidR="00010F58">
        <w:t>HBV</w:t>
      </w:r>
      <w:r w:rsidRPr="00907275">
        <w:t xml:space="preserve"> controls were</w:t>
      </w:r>
      <w:r>
        <w:t xml:space="preserve"> used by reference </w:t>
      </w:r>
      <w:r w:rsidR="00F76749">
        <w:t>laboratories (NRL and PathWest) and the ARCBS for reference testing.</w:t>
      </w:r>
      <w:r w:rsidRPr="00907275">
        <w:t xml:space="preserve"> </w:t>
      </w:r>
      <w:r>
        <w:t>No other labor</w:t>
      </w:r>
      <w:r w:rsidR="00294965">
        <w:t xml:space="preserve">atories </w:t>
      </w:r>
      <w:r>
        <w:t xml:space="preserve">indicated use of BioRad products and the scope of BioRad to provide other QC products was not explored in the review process. </w:t>
      </w:r>
    </w:p>
    <w:p w14:paraId="5AE9A141" w14:textId="77777777" w:rsidR="00EA0B00" w:rsidRDefault="00294965" w:rsidP="00EA0B00">
      <w:pPr>
        <w:pStyle w:val="BodyCopy"/>
      </w:pPr>
      <w:r>
        <w:rPr>
          <w:shd w:val="clear" w:color="auto" w:fill="FFFFFF"/>
        </w:rPr>
        <w:t>The review found that</w:t>
      </w:r>
      <w:r w:rsidR="00D61D28">
        <w:rPr>
          <w:shd w:val="clear" w:color="auto" w:fill="FFFFFF"/>
        </w:rPr>
        <w:t>,</w:t>
      </w:r>
      <w:r>
        <w:rPr>
          <w:shd w:val="clear" w:color="auto" w:fill="FFFFFF"/>
        </w:rPr>
        <w:t xml:space="preserve"> in addition to NRL, there was one other service provider in Australia that offers comparable QA services, </w:t>
      </w:r>
      <w:r w:rsidR="00EA0B00">
        <w:rPr>
          <w:shd w:val="clear" w:color="auto" w:fill="FFFFFF"/>
        </w:rPr>
        <w:t xml:space="preserve">the </w:t>
      </w:r>
      <w:r>
        <w:rPr>
          <w:shd w:val="clear" w:color="auto" w:fill="FFFFFF"/>
        </w:rPr>
        <w:t>RCPA</w:t>
      </w:r>
      <w:r w:rsidR="00EA0B00">
        <w:rPr>
          <w:shd w:val="clear" w:color="auto" w:fill="FFFFFF"/>
        </w:rPr>
        <w:t>.</w:t>
      </w:r>
      <w:r>
        <w:rPr>
          <w:shd w:val="clear" w:color="auto" w:fill="FFFFFF"/>
        </w:rPr>
        <w:t xml:space="preserve"> </w:t>
      </w:r>
      <w:r w:rsidR="00EA0B00">
        <w:rPr>
          <w:shd w:val="clear" w:color="auto" w:fill="FFFFFF"/>
        </w:rPr>
        <w:t>RCPA is used by m</w:t>
      </w:r>
      <w:r w:rsidR="00EA0B00">
        <w:t xml:space="preserve">any laboratories for QA products, often in addition to NRL QA products. The necessity for multiple QA </w:t>
      </w:r>
      <w:r w:rsidR="000B3DBE">
        <w:t xml:space="preserve">providers </w:t>
      </w:r>
      <w:r w:rsidR="00EA0B00">
        <w:t xml:space="preserve">was not explored in the review. </w:t>
      </w:r>
    </w:p>
    <w:p w14:paraId="4FDC1893" w14:textId="0187E89F" w:rsidR="00EA0B00" w:rsidRDefault="00EA0B00" w:rsidP="00EA0B00">
      <w:pPr>
        <w:pStyle w:val="BodyCopy"/>
      </w:pPr>
      <w:r>
        <w:t>In addition, one laboratory used a U</w:t>
      </w:r>
      <w:r w:rsidR="00CE555F">
        <w:t xml:space="preserve">nited </w:t>
      </w:r>
      <w:r>
        <w:t>K</w:t>
      </w:r>
      <w:r w:rsidR="00CE555F">
        <w:t>ingdom</w:t>
      </w:r>
      <w:r>
        <w:t xml:space="preserve"> </w:t>
      </w:r>
      <w:r w:rsidR="00400FE3">
        <w:t xml:space="preserve">(UK) </w:t>
      </w:r>
      <w:r>
        <w:t>based company, Randox RIQAS, for</w:t>
      </w:r>
      <w:r w:rsidR="00E71BF2">
        <w:t xml:space="preserve"> QA of</w:t>
      </w:r>
      <w:r>
        <w:t xml:space="preserve"> HIV, HCV and HBV serology</w:t>
      </w:r>
      <w:r w:rsidR="00E71BF2">
        <w:t xml:space="preserve"> testing processes</w:t>
      </w:r>
      <w:r>
        <w:t xml:space="preserve">. This laboratory was a fertility clinic in Western Australia. The capacity of Randox RIQAS to supply within Australia more broadly or the breadth of Randox </w:t>
      </w:r>
      <w:r w:rsidR="00E71BF2">
        <w:t xml:space="preserve">services </w:t>
      </w:r>
      <w:r>
        <w:t xml:space="preserve">was not explored in the review process.  </w:t>
      </w:r>
    </w:p>
    <w:p w14:paraId="49A790B3" w14:textId="2F637C06" w:rsidR="00294965" w:rsidRDefault="00E71BF2" w:rsidP="00B31706">
      <w:pPr>
        <w:pStyle w:val="BodyCopy"/>
      </w:pPr>
      <w:r>
        <w:t xml:space="preserve">However, it should be noted that the true extent of the market capacity may not be realised unless an open tender process is initiated released and the market responds. </w:t>
      </w:r>
    </w:p>
    <w:p w14:paraId="7449F2B1" w14:textId="77777777" w:rsidR="00B308E7" w:rsidRDefault="00B308E7" w:rsidP="00D11286">
      <w:pPr>
        <w:pStyle w:val="Heading2"/>
        <w:rPr>
          <w:shd w:val="clear" w:color="auto" w:fill="FFFFFF"/>
        </w:rPr>
      </w:pPr>
      <w:bookmarkStart w:id="50" w:name="_Toc18664644"/>
      <w:r>
        <w:rPr>
          <w:shd w:val="clear" w:color="auto" w:fill="FFFFFF"/>
        </w:rPr>
        <w:lastRenderedPageBreak/>
        <w:t>Quality control programs</w:t>
      </w:r>
      <w:bookmarkEnd w:id="50"/>
    </w:p>
    <w:p w14:paraId="53F07440" w14:textId="77777777" w:rsidR="00686B4D" w:rsidRDefault="00686B4D" w:rsidP="00D11286">
      <w:pPr>
        <w:pStyle w:val="Heading3"/>
        <w:rPr>
          <w:shd w:val="clear" w:color="auto" w:fill="FFFFFF"/>
        </w:rPr>
      </w:pPr>
      <w:bookmarkStart w:id="51" w:name="_Toc18664645"/>
      <w:r>
        <w:rPr>
          <w:shd w:val="clear" w:color="auto" w:fill="FFFFFF"/>
        </w:rPr>
        <w:t>Participating laboratories</w:t>
      </w:r>
      <w:bookmarkEnd w:id="51"/>
      <w:r>
        <w:rPr>
          <w:shd w:val="clear" w:color="auto" w:fill="FFFFFF"/>
        </w:rPr>
        <w:t xml:space="preserve"> </w:t>
      </w:r>
    </w:p>
    <w:p w14:paraId="4AA89025" w14:textId="2F86F003" w:rsidR="00652898" w:rsidRDefault="00652898" w:rsidP="00B31706">
      <w:pPr>
        <w:pStyle w:val="BodyCopy"/>
      </w:pPr>
      <w:r>
        <w:rPr>
          <w:shd w:val="clear" w:color="auto" w:fill="FFFFFF"/>
        </w:rPr>
        <w:t xml:space="preserve">Based on survey responses from 30 laboratories using NRL products (38% response rate), the majority of laboratories used NRL </w:t>
      </w:r>
      <w:r>
        <w:t xml:space="preserve">serology multi-marker controls, at a median cost of </w:t>
      </w:r>
      <w:r>
        <w:rPr>
          <w:rFonts w:ascii="Times New Roman" w:hAnsi="Times New Roman"/>
        </w:rPr>
        <w:t>$</w:t>
      </w:r>
      <w:r>
        <w:t xml:space="preserve">275 per kit </w:t>
      </w:r>
      <w:r>
        <w:rPr>
          <w:shd w:val="clear" w:color="auto" w:fill="FFFFFF"/>
        </w:rPr>
        <w:t>(n=28, 93%)</w:t>
      </w:r>
      <w:r>
        <w:t xml:space="preserve">, and NRL serology HIV p24 antigen control, at a median cost of </w:t>
      </w:r>
      <w:r>
        <w:rPr>
          <w:rFonts w:ascii="Times New Roman" w:hAnsi="Times New Roman"/>
        </w:rPr>
        <w:t>$370</w:t>
      </w:r>
      <w:r>
        <w:t xml:space="preserve"> per kit (n=21, 70%). Conversely, fewer laboratories used NRL serology hepatitis controls, at a cost of between </w:t>
      </w:r>
      <w:r>
        <w:rPr>
          <w:rFonts w:ascii="Times New Roman" w:hAnsi="Times New Roman"/>
        </w:rPr>
        <w:t>$</w:t>
      </w:r>
      <w:r>
        <w:t xml:space="preserve">675 and </w:t>
      </w:r>
      <w:r>
        <w:rPr>
          <w:rFonts w:ascii="Times New Roman" w:hAnsi="Times New Roman"/>
        </w:rPr>
        <w:t>$</w:t>
      </w:r>
      <w:r>
        <w:t xml:space="preserve">1,000 per kit (n=6, 20%). </w:t>
      </w:r>
      <w:r w:rsidR="009C50D3">
        <w:t>One third of the responding laboratories (10 laboratories, 33%) used NRL NAT controls for HIV, HCV and HBV. HIV and HCV are provi</w:t>
      </w:r>
      <w:r w:rsidR="00D0297A">
        <w:t>ded free of charge to laboratories</w:t>
      </w:r>
      <w:r w:rsidR="009C50D3">
        <w:t xml:space="preserve">, while HBV is at a cost of </w:t>
      </w:r>
      <w:r w:rsidR="009C50D3">
        <w:rPr>
          <w:rFonts w:ascii="Times New Roman" w:hAnsi="Times New Roman"/>
        </w:rPr>
        <w:t>$</w:t>
      </w:r>
      <w:r w:rsidR="009C50D3">
        <w:t>350 per kit</w:t>
      </w:r>
      <w:r w:rsidR="00687E2A">
        <w:t xml:space="preserve">. </w:t>
      </w:r>
      <w:r w:rsidR="0042491D">
        <w:t xml:space="preserve">See </w:t>
      </w:r>
      <w:r w:rsidR="0042491D">
        <w:fldChar w:fldCharType="begin"/>
      </w:r>
      <w:r w:rsidR="0042491D">
        <w:instrText xml:space="preserve"> REF _Ref494877839 \h </w:instrText>
      </w:r>
      <w:r w:rsidR="0042491D">
        <w:fldChar w:fldCharType="separate"/>
      </w:r>
      <w:r w:rsidR="0078683A">
        <w:t xml:space="preserve">Table </w:t>
      </w:r>
      <w:r w:rsidR="0078683A">
        <w:rPr>
          <w:noProof/>
        </w:rPr>
        <w:t>5</w:t>
      </w:r>
      <w:r w:rsidR="0078683A">
        <w:t>.</w:t>
      </w:r>
      <w:r w:rsidR="0078683A">
        <w:rPr>
          <w:noProof/>
        </w:rPr>
        <w:t>1</w:t>
      </w:r>
      <w:r w:rsidR="0042491D">
        <w:fldChar w:fldCharType="end"/>
      </w:r>
      <w:r w:rsidR="0042491D">
        <w:t xml:space="preserve">. </w:t>
      </w:r>
    </w:p>
    <w:p w14:paraId="3FAEAD90" w14:textId="77777777" w:rsidR="0006152E" w:rsidRDefault="001C69E0" w:rsidP="0006152E">
      <w:pPr>
        <w:pStyle w:val="BodyCopy"/>
      </w:pPr>
      <w:r>
        <w:t xml:space="preserve">The majority of responding laboratories provided rankings on what </w:t>
      </w:r>
      <w:r>
        <w:rPr>
          <w:i/>
        </w:rPr>
        <w:t>factors most influence their choice of service provider for QC programs</w:t>
      </w:r>
      <w:r>
        <w:t xml:space="preserve"> (n=27, 90%). </w:t>
      </w:r>
    </w:p>
    <w:p w14:paraId="2B454A26" w14:textId="19A4790D" w:rsidR="000C7CF3" w:rsidRDefault="001C69E0" w:rsidP="001C69E0">
      <w:pPr>
        <w:pStyle w:val="BodyCopy"/>
      </w:pPr>
      <w:r>
        <w:t xml:space="preserve">Reponses were assigned ranking points to determine the overall importance of influencing factors. Laboratories </w:t>
      </w:r>
      <w:r w:rsidR="00D0297A">
        <w:t xml:space="preserve">were </w:t>
      </w:r>
      <w:r>
        <w:t xml:space="preserve">assigned a total of 235 ranking points to factors influencing their choice of QC provider. </w:t>
      </w:r>
      <w:r w:rsidR="00294965">
        <w:t xml:space="preserve">As shown in </w:t>
      </w:r>
      <w:r w:rsidR="00294965">
        <w:fldChar w:fldCharType="begin"/>
      </w:r>
      <w:r w:rsidR="00294965">
        <w:instrText xml:space="preserve"> REF _Ref494892361 \h </w:instrText>
      </w:r>
      <w:r w:rsidR="00294965">
        <w:fldChar w:fldCharType="separate"/>
      </w:r>
      <w:r w:rsidR="0078683A">
        <w:t xml:space="preserve">Figure </w:t>
      </w:r>
      <w:r w:rsidR="0078683A">
        <w:rPr>
          <w:noProof/>
        </w:rPr>
        <w:t>5</w:t>
      </w:r>
      <w:r w:rsidR="0078683A">
        <w:t>.</w:t>
      </w:r>
      <w:r w:rsidR="0078683A">
        <w:rPr>
          <w:noProof/>
        </w:rPr>
        <w:t>1</w:t>
      </w:r>
      <w:r w:rsidR="00294965">
        <w:fldChar w:fldCharType="end"/>
      </w:r>
      <w:r w:rsidR="00294965">
        <w:t>, t</w:t>
      </w:r>
      <w:r w:rsidR="000C7CF3">
        <w:t>he analysis showed that the top three factors influencing choice of QC service p</w:t>
      </w:r>
      <w:r w:rsidR="00294965">
        <w:t>rovider were</w:t>
      </w:r>
      <w:r w:rsidR="000C7CF3">
        <w:t xml:space="preserve">: </w:t>
      </w:r>
    </w:p>
    <w:p w14:paraId="1C3A6FAB" w14:textId="77777777" w:rsidR="000C7CF3" w:rsidRPr="00294965" w:rsidRDefault="001C69E0" w:rsidP="00294965">
      <w:pPr>
        <w:pStyle w:val="Numbers1"/>
        <w:numPr>
          <w:ilvl w:val="0"/>
          <w:numId w:val="47"/>
        </w:numPr>
      </w:pPr>
      <w:r w:rsidRPr="00294965">
        <w:t>meeting minimum regulation requirements</w:t>
      </w:r>
      <w:r w:rsidR="000C7CF3" w:rsidRPr="00294965">
        <w:t xml:space="preserve"> </w:t>
      </w:r>
    </w:p>
    <w:p w14:paraId="08DAC120" w14:textId="77777777" w:rsidR="000C7CF3" w:rsidRPr="00294965" w:rsidRDefault="001C69E0" w:rsidP="00294965">
      <w:pPr>
        <w:pStyle w:val="Numbers1"/>
        <w:numPr>
          <w:ilvl w:val="0"/>
          <w:numId w:val="47"/>
        </w:numPr>
      </w:pPr>
      <w:r w:rsidRPr="00294965">
        <w:t>reliability</w:t>
      </w:r>
      <w:r w:rsidR="000C7CF3" w:rsidRPr="00294965">
        <w:t xml:space="preserve">, and </w:t>
      </w:r>
    </w:p>
    <w:p w14:paraId="4B2F9F79" w14:textId="77777777" w:rsidR="001C69E0" w:rsidRPr="00294965" w:rsidRDefault="000C7CF3" w:rsidP="00294965">
      <w:pPr>
        <w:pStyle w:val="Numbers1"/>
        <w:numPr>
          <w:ilvl w:val="0"/>
          <w:numId w:val="47"/>
        </w:numPr>
      </w:pPr>
      <w:r w:rsidRPr="00294965">
        <w:t xml:space="preserve">cost. </w:t>
      </w:r>
    </w:p>
    <w:p w14:paraId="7D05BD4B" w14:textId="58183C88" w:rsidR="00294965" w:rsidRDefault="00294965" w:rsidP="00294965">
      <w:pPr>
        <w:pStyle w:val="Caption"/>
        <w:rPr>
          <w:rStyle w:val="Captionnotbold"/>
          <w:bCs w:val="0"/>
        </w:rPr>
      </w:pPr>
      <w:bookmarkStart w:id="52" w:name="_Ref494892361"/>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5</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1</w:t>
      </w:r>
      <w:r w:rsidR="0083660F">
        <w:rPr>
          <w:noProof/>
        </w:rPr>
        <w:fldChar w:fldCharType="end"/>
      </w:r>
      <w:bookmarkEnd w:id="52"/>
      <w:r>
        <w:t xml:space="preserve">: </w:t>
      </w:r>
      <w:r>
        <w:rPr>
          <w:rStyle w:val="Captionnotbold"/>
          <w:bCs w:val="0"/>
        </w:rPr>
        <w:t>Important factors in choice of QC provider for participating laboratories (ranking points method, percentage of total points)</w:t>
      </w:r>
    </w:p>
    <w:p w14:paraId="603BEC5E" w14:textId="77777777" w:rsidR="00294965" w:rsidRDefault="00D66D4D" w:rsidP="00294965">
      <w:pPr>
        <w:pStyle w:val="BodyCopy"/>
        <w:rPr>
          <w:shd w:val="clear" w:color="auto" w:fill="FFFFFF"/>
        </w:rPr>
      </w:pPr>
      <w:r>
        <w:rPr>
          <w:noProof/>
          <w:lang w:eastAsia="en-AU"/>
        </w:rPr>
        <w:drawing>
          <wp:inline distT="0" distB="0" distL="0" distR="0" wp14:anchorId="7AA13230" wp14:editId="3EDDB6F9">
            <wp:extent cx="4467225" cy="3429000"/>
            <wp:effectExtent l="0" t="0" r="9525" b="0"/>
            <wp:docPr id="45" name="Picture 51"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3429000"/>
                    </a:xfrm>
                    <a:prstGeom prst="rect">
                      <a:avLst/>
                    </a:prstGeom>
                    <a:noFill/>
                    <a:ln>
                      <a:noFill/>
                    </a:ln>
                  </pic:spPr>
                </pic:pic>
              </a:graphicData>
            </a:graphic>
          </wp:inline>
        </w:drawing>
      </w:r>
    </w:p>
    <w:p w14:paraId="75E7B161" w14:textId="77777777" w:rsidR="00294965" w:rsidRDefault="00294965" w:rsidP="00294965">
      <w:pPr>
        <w:pStyle w:val="BodyCopy"/>
      </w:pPr>
    </w:p>
    <w:p w14:paraId="548CD145" w14:textId="7E3C5D8B" w:rsidR="00241409" w:rsidRDefault="006D68BE" w:rsidP="00241409">
      <w:pPr>
        <w:pStyle w:val="Heading4"/>
      </w:pPr>
      <w:r>
        <w:t xml:space="preserve">Participating </w:t>
      </w:r>
      <w:r w:rsidR="00241409">
        <w:t>laboratory QC summary</w:t>
      </w:r>
    </w:p>
    <w:p w14:paraId="2D148DE2" w14:textId="5AF2E047" w:rsidR="00241409" w:rsidRDefault="00241409" w:rsidP="003E0E7D">
      <w:pPr>
        <w:pStyle w:val="Bullets1"/>
        <w:keepNext/>
        <w:shd w:val="clear" w:color="auto" w:fill="FFFCCC"/>
      </w:pPr>
      <w:r>
        <w:t xml:space="preserve">The estimated cost to </w:t>
      </w:r>
      <w:r w:rsidR="001B5E6D">
        <w:t>the Department</w:t>
      </w:r>
      <w:r>
        <w:t xml:space="preserve"> for </w:t>
      </w:r>
      <w:r w:rsidR="00377DE9">
        <w:t xml:space="preserve">participating </w:t>
      </w:r>
      <w:r>
        <w:t xml:space="preserve">laboratory QC programs is </w:t>
      </w:r>
      <w:r w:rsidR="00557762">
        <w:t xml:space="preserve">approximately </w:t>
      </w:r>
      <w:r>
        <w:rPr>
          <w:rFonts w:ascii="Times New Roman" w:hAnsi="Times New Roman"/>
        </w:rPr>
        <w:t>$</w:t>
      </w:r>
      <w:r w:rsidR="008E699E" w:rsidRPr="008E699E">
        <w:rPr>
          <w:rStyle w:val="BodyCopyChar"/>
        </w:rPr>
        <w:t>1.1</w:t>
      </w:r>
      <w:r w:rsidR="00557762" w:rsidRPr="008E699E">
        <w:rPr>
          <w:rStyle w:val="BodyCopyChar"/>
        </w:rPr>
        <w:t xml:space="preserve"> m</w:t>
      </w:r>
      <w:r w:rsidR="008E699E">
        <w:rPr>
          <w:rStyle w:val="BodyCopyChar"/>
        </w:rPr>
        <w:t>illion</w:t>
      </w:r>
      <w:r w:rsidRPr="00C8781C">
        <w:t xml:space="preserve"> per annum</w:t>
      </w:r>
      <w:r>
        <w:t>.</w:t>
      </w:r>
    </w:p>
    <w:p w14:paraId="34B98470" w14:textId="0B844A66" w:rsidR="003424D6" w:rsidRDefault="00241409" w:rsidP="00745E50">
      <w:pPr>
        <w:pStyle w:val="Bullets1"/>
        <w:shd w:val="clear" w:color="auto" w:fill="FFFCCC"/>
      </w:pPr>
      <w:r>
        <w:t>The main factors influencing pathology laboratory choice of QC provider were meeting regulatory requirements, reliability and cost.</w:t>
      </w:r>
    </w:p>
    <w:p w14:paraId="4C1A884A" w14:textId="77777777" w:rsidR="003424D6" w:rsidRPr="003424D6" w:rsidRDefault="003424D6" w:rsidP="003424D6">
      <w:pPr>
        <w:pStyle w:val="BodyCopy"/>
        <w:sectPr w:rsidR="003424D6" w:rsidRPr="003424D6" w:rsidSect="000240C0">
          <w:footnotePr>
            <w:numFmt w:val="lowerLetter"/>
          </w:footnotePr>
          <w:type w:val="continuous"/>
          <w:pgSz w:w="16839" w:h="11907" w:orient="landscape" w:code="9"/>
          <w:pgMar w:top="2268" w:right="1304" w:bottom="851" w:left="737" w:header="567" w:footer="284" w:gutter="0"/>
          <w:cols w:num="2" w:space="709"/>
          <w:docGrid w:linePitch="360"/>
        </w:sectPr>
      </w:pPr>
    </w:p>
    <w:p w14:paraId="30EB634A" w14:textId="25CFEBC8" w:rsidR="00652898" w:rsidRDefault="00652898" w:rsidP="00C70E61">
      <w:pPr>
        <w:pStyle w:val="Caption"/>
        <w:spacing w:before="0"/>
      </w:pPr>
      <w:bookmarkStart w:id="53" w:name="_Ref494283321"/>
      <w:bookmarkStart w:id="54" w:name="_Ref494877839"/>
      <w:r>
        <w:lastRenderedPageBreak/>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5</w:t>
      </w:r>
      <w:r w:rsidR="007F2202">
        <w:rPr>
          <w:noProof/>
        </w:rPr>
        <w:fldChar w:fldCharType="end"/>
      </w:r>
      <w:r w:rsidR="00C916B2">
        <w:t>.</w:t>
      </w:r>
      <w:r w:rsidR="0083660F">
        <w:rPr>
          <w:noProof/>
        </w:rPr>
        <w:fldChar w:fldCharType="begin"/>
      </w:r>
      <w:r w:rsidR="0083660F">
        <w:rPr>
          <w:noProof/>
        </w:rPr>
        <w:instrText xml:space="preserve"> SEQ Table \* ARABIC \s 1 </w:instrText>
      </w:r>
      <w:r w:rsidR="0083660F">
        <w:rPr>
          <w:noProof/>
        </w:rPr>
        <w:fldChar w:fldCharType="separate"/>
      </w:r>
      <w:r w:rsidR="0078683A">
        <w:rPr>
          <w:noProof/>
        </w:rPr>
        <w:t>1</w:t>
      </w:r>
      <w:r w:rsidR="0083660F">
        <w:rPr>
          <w:noProof/>
        </w:rPr>
        <w:fldChar w:fldCharType="end"/>
      </w:r>
      <w:bookmarkEnd w:id="53"/>
      <w:bookmarkEnd w:id="54"/>
      <w:r>
        <w:t>:</w:t>
      </w:r>
      <w:r>
        <w:rPr>
          <w:rStyle w:val="Captionnotbold"/>
          <w:bCs w:val="0"/>
        </w:rPr>
        <w:t xml:space="preserve"> Summa</w:t>
      </w:r>
      <w:r w:rsidR="00370FA6">
        <w:rPr>
          <w:rStyle w:val="Captionnotbold"/>
          <w:bCs w:val="0"/>
        </w:rPr>
        <w:t>ry of QC</w:t>
      </w:r>
      <w:r>
        <w:rPr>
          <w:rStyle w:val="Captionnotbold"/>
          <w:bCs w:val="0"/>
        </w:rPr>
        <w:t xml:space="preserve"> products used</w:t>
      </w:r>
      <w:r w:rsidR="00EB00F9">
        <w:rPr>
          <w:rStyle w:val="Captionnotbold"/>
          <w:bCs w:val="0"/>
        </w:rPr>
        <w:t xml:space="preserve"> by participating laborato</w:t>
      </w:r>
      <w:r w:rsidR="00164B84">
        <w:rPr>
          <w:rStyle w:val="Captionnotbold"/>
          <w:bCs w:val="0"/>
        </w:rPr>
        <w:t>ries (do</w:t>
      </w:r>
      <w:r w:rsidR="00EB00F9">
        <w:rPr>
          <w:rStyle w:val="Captionnotbold"/>
          <w:bCs w:val="0"/>
        </w:rPr>
        <w:t>es not include ARCBS)</w:t>
      </w:r>
    </w:p>
    <w:tbl>
      <w:tblPr>
        <w:tblW w:w="4935"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Layout w:type="fixed"/>
        <w:tblCellMar>
          <w:left w:w="0" w:type="dxa"/>
          <w:right w:w="0" w:type="dxa"/>
        </w:tblCellMar>
        <w:tblLook w:val="04A0" w:firstRow="1" w:lastRow="0" w:firstColumn="1" w:lastColumn="0" w:noHBand="0" w:noVBand="1"/>
      </w:tblPr>
      <w:tblGrid>
        <w:gridCol w:w="1845"/>
        <w:gridCol w:w="1702"/>
        <w:gridCol w:w="2268"/>
        <w:gridCol w:w="2268"/>
        <w:gridCol w:w="1982"/>
        <w:gridCol w:w="4531"/>
      </w:tblGrid>
      <w:tr w:rsidR="00A24B4B" w:rsidRPr="003E0E7D" w14:paraId="52C1C9BD" w14:textId="77777777" w:rsidTr="00A24B4B">
        <w:trPr>
          <w:trHeight w:val="300"/>
          <w:tblHeader/>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BEBEBE"/>
            <w:noWrap/>
            <w:hideMark/>
          </w:tcPr>
          <w:p w14:paraId="514CD0A5" w14:textId="77777777" w:rsidR="00A24B4B" w:rsidRPr="003E0E7D" w:rsidRDefault="00A24B4B">
            <w:pPr>
              <w:pStyle w:val="TableColumnHeading"/>
              <w:rPr>
                <w:lang w:eastAsia="en-AU"/>
              </w:rPr>
            </w:pPr>
            <w:r w:rsidRPr="003E0E7D">
              <w:rPr>
                <w:lang w:eastAsia="en-AU"/>
              </w:rPr>
              <w:t>QC sample</w:t>
            </w:r>
          </w:p>
        </w:tc>
        <w:tc>
          <w:tcPr>
            <w:tcW w:w="777" w:type="pct"/>
            <w:tcBorders>
              <w:top w:val="single" w:sz="4" w:space="0" w:color="4B4B4B"/>
              <w:left w:val="single" w:sz="4" w:space="0" w:color="FFFFFF"/>
              <w:bottom w:val="single" w:sz="4" w:space="0" w:color="4B4B4B"/>
              <w:right w:val="single" w:sz="4" w:space="0" w:color="FFFFFF"/>
            </w:tcBorders>
            <w:shd w:val="clear" w:color="auto" w:fill="BEBEBE"/>
            <w:noWrap/>
            <w:hideMark/>
          </w:tcPr>
          <w:p w14:paraId="0AED1DB7" w14:textId="77777777" w:rsidR="00A24B4B" w:rsidRPr="003E0E7D" w:rsidRDefault="00A24B4B" w:rsidP="003E0E7D">
            <w:pPr>
              <w:pStyle w:val="TableColumnHeading"/>
              <w:jc w:val="center"/>
              <w:rPr>
                <w:lang w:eastAsia="en-AU"/>
              </w:rPr>
            </w:pPr>
            <w:r w:rsidRPr="003E0E7D">
              <w:rPr>
                <w:lang w:eastAsia="en-AU"/>
              </w:rPr>
              <w:t>No. of laboratories (%)</w:t>
            </w:r>
          </w:p>
        </w:tc>
        <w:tc>
          <w:tcPr>
            <w:tcW w:w="777" w:type="pct"/>
            <w:tcBorders>
              <w:top w:val="single" w:sz="4" w:space="0" w:color="4B4B4B"/>
              <w:left w:val="single" w:sz="4" w:space="0" w:color="FFFFFF"/>
              <w:bottom w:val="single" w:sz="4" w:space="0" w:color="4B4B4B"/>
              <w:right w:val="single" w:sz="4" w:space="0" w:color="FFFFFF"/>
            </w:tcBorders>
            <w:shd w:val="clear" w:color="auto" w:fill="BEBEBE"/>
            <w:hideMark/>
          </w:tcPr>
          <w:p w14:paraId="4599ABCE" w14:textId="77777777" w:rsidR="00A24B4B" w:rsidRPr="003E0E7D" w:rsidRDefault="00A24B4B">
            <w:pPr>
              <w:pStyle w:val="TableColumnHeading"/>
              <w:rPr>
                <w:lang w:eastAsia="en-AU"/>
              </w:rPr>
            </w:pPr>
            <w:r w:rsidRPr="003E0E7D">
              <w:rPr>
                <w:lang w:eastAsia="en-AU"/>
              </w:rPr>
              <w:t>Median price per kit*</w:t>
            </w:r>
          </w:p>
        </w:tc>
        <w:tc>
          <w:tcPr>
            <w:tcW w:w="679" w:type="pct"/>
            <w:tcBorders>
              <w:top w:val="single" w:sz="4" w:space="0" w:color="4B4B4B"/>
              <w:left w:val="single" w:sz="4" w:space="0" w:color="FFFFFF"/>
              <w:bottom w:val="single" w:sz="4" w:space="0" w:color="4B4B4B"/>
              <w:right w:val="single" w:sz="4" w:space="0" w:color="FFFFFF"/>
            </w:tcBorders>
            <w:shd w:val="clear" w:color="auto" w:fill="BEBEBE"/>
            <w:hideMark/>
          </w:tcPr>
          <w:p w14:paraId="2375CE16" w14:textId="77777777" w:rsidR="00A24B4B" w:rsidRPr="003E0E7D" w:rsidRDefault="00A24B4B">
            <w:pPr>
              <w:pStyle w:val="TableColumnHeading"/>
              <w:rPr>
                <w:lang w:eastAsia="en-AU"/>
              </w:rPr>
            </w:pPr>
            <w:r w:rsidRPr="003E0E7D">
              <w:rPr>
                <w:lang w:eastAsia="en-AU"/>
              </w:rPr>
              <w:t xml:space="preserve">Other providers used </w:t>
            </w:r>
          </w:p>
        </w:tc>
        <w:tc>
          <w:tcPr>
            <w:tcW w:w="1554" w:type="pct"/>
            <w:tcBorders>
              <w:top w:val="single" w:sz="4" w:space="0" w:color="4B4B4B"/>
              <w:left w:val="single" w:sz="4" w:space="0" w:color="FFFFFF"/>
              <w:bottom w:val="single" w:sz="4" w:space="0" w:color="4B4B4B"/>
              <w:right w:val="single" w:sz="4" w:space="0" w:color="FFFFFF"/>
            </w:tcBorders>
            <w:shd w:val="clear" w:color="auto" w:fill="BEBEBE"/>
            <w:hideMark/>
          </w:tcPr>
          <w:p w14:paraId="796FD816" w14:textId="77777777" w:rsidR="00A24B4B" w:rsidRPr="003E0E7D" w:rsidRDefault="00A24B4B">
            <w:pPr>
              <w:pStyle w:val="TableColumnHeading"/>
              <w:rPr>
                <w:lang w:eastAsia="en-AU"/>
              </w:rPr>
            </w:pPr>
            <w:r w:rsidRPr="003E0E7D">
              <w:rPr>
                <w:lang w:eastAsia="en-AU"/>
              </w:rPr>
              <w:t>Comment</w:t>
            </w:r>
          </w:p>
        </w:tc>
      </w:tr>
      <w:tr w:rsidR="00A24B4B" w:rsidRPr="003E0E7D" w14:paraId="3559A78D"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6F653A57" w14:textId="77777777" w:rsidR="00A24B4B" w:rsidRPr="003E0E7D" w:rsidRDefault="00A24B4B">
            <w:pPr>
              <w:pStyle w:val="TableCopy"/>
              <w:rPr>
                <w:b/>
                <w:lang w:eastAsia="en-AU"/>
              </w:rPr>
            </w:pPr>
            <w:r w:rsidRPr="003E0E7D">
              <w:rPr>
                <w:b/>
                <w:lang w:eastAsia="en-AU"/>
              </w:rPr>
              <w:t xml:space="preserve">NRL Serology Multi-marker </w:t>
            </w:r>
          </w:p>
          <w:p w14:paraId="197BFDEA" w14:textId="77777777" w:rsidR="00A24B4B" w:rsidRPr="003E0E7D" w:rsidRDefault="00A24B4B" w:rsidP="003E0E7D">
            <w:pPr>
              <w:pStyle w:val="TableBullets2"/>
              <w:numPr>
                <w:ilvl w:val="1"/>
                <w:numId w:val="19"/>
              </w:numPr>
              <w:spacing w:before="60" w:after="60"/>
              <w:rPr>
                <w:b/>
              </w:rPr>
            </w:pPr>
            <w:r w:rsidRPr="003E0E7D">
              <w:t>Anti-HIV-1 IgG</w:t>
            </w:r>
          </w:p>
          <w:p w14:paraId="44C8B979" w14:textId="77777777" w:rsidR="00A24B4B" w:rsidRPr="003E0E7D" w:rsidRDefault="00A24B4B" w:rsidP="003E0E7D">
            <w:pPr>
              <w:pStyle w:val="TableBullets2"/>
              <w:numPr>
                <w:ilvl w:val="1"/>
                <w:numId w:val="19"/>
              </w:numPr>
              <w:spacing w:before="60" w:after="60"/>
            </w:pPr>
            <w:r w:rsidRPr="003E0E7D">
              <w:t>Anti-HCV IgG</w:t>
            </w:r>
          </w:p>
          <w:p w14:paraId="63802B06" w14:textId="77777777" w:rsidR="00A24B4B" w:rsidRPr="003E0E7D" w:rsidRDefault="00A24B4B" w:rsidP="003E0E7D">
            <w:pPr>
              <w:pStyle w:val="TableBullets2"/>
              <w:numPr>
                <w:ilvl w:val="1"/>
                <w:numId w:val="19"/>
              </w:numPr>
              <w:spacing w:before="60" w:after="60"/>
            </w:pPr>
            <w:r w:rsidRPr="003E0E7D">
              <w:t>Anti-HBc IgG</w:t>
            </w:r>
          </w:p>
          <w:p w14:paraId="46FF7DBD" w14:textId="77777777" w:rsidR="00A24B4B" w:rsidRPr="003E0E7D" w:rsidRDefault="00A24B4B" w:rsidP="003E0E7D">
            <w:pPr>
              <w:pStyle w:val="TableBullets2"/>
              <w:numPr>
                <w:ilvl w:val="1"/>
                <w:numId w:val="19"/>
              </w:numPr>
              <w:spacing w:before="60" w:after="60"/>
            </w:pPr>
            <w:r w:rsidRPr="003E0E7D">
              <w:t>Anti-HTLV-1 IgG</w:t>
            </w:r>
          </w:p>
          <w:p w14:paraId="52879F77" w14:textId="77777777" w:rsidR="00A24B4B" w:rsidRPr="003E0E7D" w:rsidRDefault="00A24B4B" w:rsidP="003E0E7D">
            <w:pPr>
              <w:pStyle w:val="TableBullets2"/>
              <w:numPr>
                <w:ilvl w:val="1"/>
                <w:numId w:val="19"/>
              </w:numPr>
              <w:spacing w:before="60" w:after="60"/>
            </w:pPr>
            <w:r w:rsidRPr="003E0E7D">
              <w:t>Anti-Treponema IgG</w:t>
            </w:r>
          </w:p>
          <w:p w14:paraId="37FD6FF9" w14:textId="77777777" w:rsidR="00A24B4B" w:rsidRPr="003E0E7D" w:rsidRDefault="00A24B4B" w:rsidP="003E0E7D">
            <w:pPr>
              <w:pStyle w:val="TableBullets2"/>
              <w:numPr>
                <w:ilvl w:val="1"/>
                <w:numId w:val="19"/>
              </w:numPr>
              <w:spacing w:before="60" w:after="60"/>
              <w:rPr>
                <w:lang w:eastAsia="en-AU"/>
              </w:rPr>
            </w:pPr>
            <w:r w:rsidRPr="003E0E7D">
              <w:t>HBsAg</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10BD71D6" w14:textId="77777777" w:rsidR="00A24B4B" w:rsidRPr="003E0E7D" w:rsidRDefault="00A24B4B" w:rsidP="003E0E7D">
            <w:pPr>
              <w:pStyle w:val="TableCopy"/>
              <w:jc w:val="center"/>
              <w:rPr>
                <w:lang w:eastAsia="en-AU"/>
              </w:rPr>
            </w:pPr>
            <w:r w:rsidRPr="003E0E7D">
              <w:rPr>
                <w:lang w:eastAsia="en-AU"/>
              </w:rPr>
              <w:t>28 (93%)</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4EC4D211" w14:textId="77777777" w:rsidR="00A24B4B" w:rsidRPr="003E0E7D" w:rsidRDefault="00A24B4B" w:rsidP="003E0E7D">
            <w:pPr>
              <w:pStyle w:val="TableCopy"/>
              <w:jc w:val="center"/>
              <w:rPr>
                <w:lang w:eastAsia="en-AU"/>
              </w:rPr>
            </w:pPr>
            <w:r w:rsidRPr="003E0E7D">
              <w:rPr>
                <w:rFonts w:ascii="Times New Roman" w:hAnsi="Times New Roman"/>
                <w:lang w:eastAsia="en-AU"/>
              </w:rPr>
              <w:t>$</w:t>
            </w:r>
            <w:r w:rsidRPr="003E0E7D">
              <w:rPr>
                <w:lang w:eastAsia="en-AU"/>
              </w:rPr>
              <w:t>275</w:t>
            </w:r>
          </w:p>
        </w:tc>
        <w:tc>
          <w:tcPr>
            <w:tcW w:w="679" w:type="pct"/>
            <w:tcBorders>
              <w:top w:val="single" w:sz="4" w:space="0" w:color="4B4B4B"/>
              <w:left w:val="single" w:sz="4" w:space="0" w:color="FFFFFF"/>
              <w:bottom w:val="single" w:sz="4" w:space="0" w:color="4B4B4B"/>
              <w:right w:val="single" w:sz="4" w:space="0" w:color="FFFFFF"/>
            </w:tcBorders>
            <w:shd w:val="clear" w:color="auto" w:fill="DCDCDC"/>
            <w:hideMark/>
          </w:tcPr>
          <w:p w14:paraId="10CC1F11" w14:textId="77777777" w:rsidR="00A24B4B" w:rsidRPr="003E0E7D" w:rsidRDefault="00A24B4B">
            <w:pPr>
              <w:pStyle w:val="TableCopy"/>
            </w:pPr>
            <w:r w:rsidRPr="003E0E7D">
              <w:t>Thermo Fisher</w:t>
            </w:r>
          </w:p>
        </w:tc>
        <w:tc>
          <w:tcPr>
            <w:tcW w:w="1554" w:type="pct"/>
            <w:tcBorders>
              <w:top w:val="single" w:sz="4" w:space="0" w:color="4B4B4B"/>
              <w:left w:val="single" w:sz="4" w:space="0" w:color="FFFFFF"/>
              <w:bottom w:val="single" w:sz="4" w:space="0" w:color="4B4B4B"/>
              <w:right w:val="single" w:sz="4" w:space="0" w:color="FFFFFF"/>
            </w:tcBorders>
            <w:shd w:val="clear" w:color="auto" w:fill="DCDCDC"/>
            <w:hideMark/>
          </w:tcPr>
          <w:p w14:paraId="01D0765E" w14:textId="77777777" w:rsidR="00A24B4B" w:rsidRPr="003E0E7D" w:rsidRDefault="00A24B4B">
            <w:pPr>
              <w:pStyle w:val="TableCopy"/>
            </w:pPr>
            <w:r w:rsidRPr="003E0E7D">
              <w:t xml:space="preserve">NRL </w:t>
            </w:r>
            <w:r>
              <w:t xml:space="preserve">transitioned from </w:t>
            </w:r>
            <w:r w:rsidRPr="003E0E7D">
              <w:t xml:space="preserve">Thermo Fisher as a supplier for QC products, </w:t>
            </w:r>
            <w:r>
              <w:t>to Diamex in 2018</w:t>
            </w:r>
            <w:r w:rsidRPr="003E0E7D">
              <w:t xml:space="preserve">. Thermo Fisher </w:t>
            </w:r>
            <w:r>
              <w:t xml:space="preserve">now supplies </w:t>
            </w:r>
            <w:r w:rsidRPr="003E0E7D">
              <w:t xml:space="preserve">product directly. </w:t>
            </w:r>
            <w:r w:rsidRPr="003E0E7D">
              <w:br/>
              <w:t>Several laboratories stated they w</w:t>
            </w:r>
            <w:r>
              <w:t>ould</w:t>
            </w:r>
            <w:r w:rsidRPr="003E0E7D">
              <w:t xml:space="preserve"> move to the new NRL products when available. </w:t>
            </w:r>
          </w:p>
        </w:tc>
      </w:tr>
      <w:tr w:rsidR="00A24B4B" w:rsidRPr="003E0E7D" w14:paraId="623CC0B7" w14:textId="77777777" w:rsidTr="00A24B4B">
        <w:trPr>
          <w:trHeight w:val="20"/>
        </w:trPr>
        <w:tc>
          <w:tcPr>
            <w:tcW w:w="1215" w:type="pct"/>
            <w:gridSpan w:val="2"/>
            <w:tcBorders>
              <w:top w:val="single" w:sz="4" w:space="0" w:color="4B4B4B"/>
              <w:left w:val="single" w:sz="4" w:space="0" w:color="FFFFFF"/>
              <w:bottom w:val="nil"/>
              <w:right w:val="single" w:sz="4" w:space="0" w:color="FFFFFF"/>
            </w:tcBorders>
            <w:shd w:val="clear" w:color="auto" w:fill="DCDCDC"/>
            <w:noWrap/>
            <w:hideMark/>
          </w:tcPr>
          <w:p w14:paraId="4B7D96EE" w14:textId="77777777" w:rsidR="00A24B4B" w:rsidRPr="003E0E7D" w:rsidRDefault="00A24B4B" w:rsidP="003E0E7D">
            <w:pPr>
              <w:pStyle w:val="TableCopy"/>
              <w:keepNext/>
              <w:rPr>
                <w:b/>
                <w:lang w:eastAsia="en-AU"/>
              </w:rPr>
            </w:pPr>
            <w:r w:rsidRPr="003E0E7D">
              <w:rPr>
                <w:b/>
                <w:lang w:eastAsia="en-AU"/>
              </w:rPr>
              <w:t xml:space="preserve">NRL hepatitis serology </w:t>
            </w:r>
          </w:p>
        </w:tc>
        <w:tc>
          <w:tcPr>
            <w:tcW w:w="777" w:type="pct"/>
            <w:vMerge w:val="restart"/>
            <w:tcBorders>
              <w:top w:val="single" w:sz="4" w:space="0" w:color="4B4B4B"/>
              <w:left w:val="single" w:sz="4" w:space="0" w:color="FFFFFF"/>
              <w:bottom w:val="single" w:sz="4" w:space="0" w:color="4B4B4B"/>
              <w:right w:val="single" w:sz="4" w:space="0" w:color="FFFFFF"/>
            </w:tcBorders>
            <w:shd w:val="clear" w:color="auto" w:fill="DCDCDC"/>
            <w:noWrap/>
            <w:hideMark/>
          </w:tcPr>
          <w:p w14:paraId="2C13F69D" w14:textId="77777777" w:rsidR="00A24B4B" w:rsidRPr="003E0E7D" w:rsidRDefault="00A24B4B" w:rsidP="003E0E7D">
            <w:pPr>
              <w:pStyle w:val="TableCopy"/>
              <w:keepNext/>
              <w:jc w:val="center"/>
              <w:rPr>
                <w:lang w:eastAsia="en-AU"/>
              </w:rPr>
            </w:pPr>
            <w:r w:rsidRPr="003E0E7D">
              <w:rPr>
                <w:lang w:eastAsia="en-AU"/>
              </w:rPr>
              <w:t>6 (20%)</w:t>
            </w:r>
          </w:p>
        </w:tc>
        <w:tc>
          <w:tcPr>
            <w:tcW w:w="777" w:type="pct"/>
            <w:vMerge w:val="restart"/>
            <w:tcBorders>
              <w:top w:val="single" w:sz="4" w:space="0" w:color="4B4B4B"/>
              <w:left w:val="single" w:sz="4" w:space="0" w:color="FFFFFF"/>
              <w:bottom w:val="single" w:sz="4" w:space="0" w:color="4B4B4B"/>
              <w:right w:val="single" w:sz="4" w:space="0" w:color="FFFFFF"/>
            </w:tcBorders>
            <w:shd w:val="clear" w:color="auto" w:fill="DCDCDC"/>
            <w:hideMark/>
          </w:tcPr>
          <w:p w14:paraId="14E8A9D3" w14:textId="77777777" w:rsidR="00A24B4B" w:rsidRPr="003E0E7D" w:rsidRDefault="00A24B4B" w:rsidP="003E0E7D">
            <w:pPr>
              <w:pStyle w:val="TableCopy"/>
              <w:keepNext/>
              <w:jc w:val="center"/>
              <w:rPr>
                <w:lang w:eastAsia="en-AU"/>
              </w:rPr>
            </w:pPr>
            <w:r w:rsidRPr="003E0E7D">
              <w:rPr>
                <w:lang w:eastAsia="en-AU"/>
              </w:rPr>
              <w:t xml:space="preserve">HEPA </w:t>
            </w:r>
            <w:r w:rsidRPr="003E0E7D">
              <w:rPr>
                <w:rFonts w:ascii="Times New Roman" w:hAnsi="Times New Roman"/>
                <w:lang w:eastAsia="en-AU"/>
              </w:rPr>
              <w:t>$</w:t>
            </w:r>
            <w:r w:rsidRPr="003E0E7D">
              <w:rPr>
                <w:lang w:eastAsia="en-AU"/>
              </w:rPr>
              <w:t>1,000</w:t>
            </w:r>
          </w:p>
          <w:p w14:paraId="3CC7AD63" w14:textId="77777777" w:rsidR="00A24B4B" w:rsidRPr="003E0E7D" w:rsidRDefault="00A24B4B" w:rsidP="003E0E7D">
            <w:pPr>
              <w:pStyle w:val="TableCopy"/>
              <w:keepNext/>
              <w:jc w:val="center"/>
              <w:rPr>
                <w:lang w:eastAsia="en-AU"/>
              </w:rPr>
            </w:pPr>
            <w:r w:rsidRPr="003E0E7D">
              <w:rPr>
                <w:lang w:eastAsia="en-AU"/>
              </w:rPr>
              <w:t xml:space="preserve">HEPR </w:t>
            </w:r>
            <w:r w:rsidRPr="003E0E7D">
              <w:rPr>
                <w:rFonts w:ascii="Times New Roman" w:hAnsi="Times New Roman"/>
                <w:lang w:eastAsia="en-AU"/>
              </w:rPr>
              <w:t>$</w:t>
            </w:r>
            <w:r w:rsidRPr="003E0E7D">
              <w:rPr>
                <w:lang w:eastAsia="en-AU"/>
              </w:rPr>
              <w:t>695</w:t>
            </w:r>
          </w:p>
        </w:tc>
        <w:tc>
          <w:tcPr>
            <w:tcW w:w="679" w:type="pct"/>
            <w:vMerge w:val="restart"/>
            <w:tcBorders>
              <w:top w:val="single" w:sz="4" w:space="0" w:color="4B4B4B"/>
              <w:left w:val="single" w:sz="4" w:space="0" w:color="FFFFFF"/>
              <w:bottom w:val="single" w:sz="4" w:space="0" w:color="4B4B4B"/>
              <w:right w:val="single" w:sz="4" w:space="0" w:color="FFFFFF"/>
            </w:tcBorders>
            <w:shd w:val="clear" w:color="auto" w:fill="DCDCDC"/>
            <w:hideMark/>
          </w:tcPr>
          <w:p w14:paraId="47B3ECFF" w14:textId="77777777" w:rsidR="00A24B4B" w:rsidRPr="003E0E7D" w:rsidRDefault="00A24B4B" w:rsidP="003E0E7D">
            <w:pPr>
              <w:pStyle w:val="TableCopy"/>
              <w:keepNext/>
              <w:rPr>
                <w:lang w:eastAsia="en-AU"/>
              </w:rPr>
            </w:pPr>
            <w:r w:rsidRPr="003E0E7D">
              <w:rPr>
                <w:lang w:eastAsia="en-AU"/>
              </w:rPr>
              <w:t xml:space="preserve">BioRad – </w:t>
            </w:r>
            <w:r w:rsidRPr="003E0E7D">
              <w:rPr>
                <w:lang w:eastAsia="en-AU"/>
              </w:rPr>
              <w:br/>
              <w:t xml:space="preserve">HBV only </w:t>
            </w:r>
          </w:p>
        </w:tc>
        <w:tc>
          <w:tcPr>
            <w:tcW w:w="1554" w:type="pct"/>
            <w:vMerge w:val="restart"/>
            <w:tcBorders>
              <w:top w:val="single" w:sz="4" w:space="0" w:color="4B4B4B"/>
              <w:left w:val="single" w:sz="4" w:space="0" w:color="FFFFFF"/>
              <w:bottom w:val="single" w:sz="4" w:space="0" w:color="4B4B4B"/>
              <w:right w:val="single" w:sz="4" w:space="0" w:color="FFFFFF"/>
            </w:tcBorders>
            <w:shd w:val="clear" w:color="auto" w:fill="DCDCDC"/>
            <w:hideMark/>
          </w:tcPr>
          <w:p w14:paraId="5C97DCE2" w14:textId="77777777" w:rsidR="00A24B4B" w:rsidRPr="003E0E7D" w:rsidRDefault="00A24B4B">
            <w:pPr>
              <w:pStyle w:val="TableCopy"/>
            </w:pPr>
            <w:r w:rsidRPr="003E0E7D">
              <w:t xml:space="preserve">BioRad HBV controls were listed by two laboratories (NRL and PathWest). </w:t>
            </w:r>
          </w:p>
          <w:p w14:paraId="4901B9AB" w14:textId="77777777" w:rsidR="00A24B4B" w:rsidRPr="003E0E7D" w:rsidRDefault="00A24B4B">
            <w:pPr>
              <w:pStyle w:val="TableCopy"/>
            </w:pPr>
            <w:r w:rsidRPr="003E0E7D">
              <w:t xml:space="preserve">Costs range from </w:t>
            </w:r>
            <w:r w:rsidRPr="003E0E7D">
              <w:rPr>
                <w:rFonts w:ascii="Times New Roman" w:hAnsi="Times New Roman"/>
              </w:rPr>
              <w:t>$330</w:t>
            </w:r>
            <w:r w:rsidRPr="003E0E7D">
              <w:t xml:space="preserve"> to </w:t>
            </w:r>
            <w:r w:rsidRPr="003E0E7D">
              <w:rPr>
                <w:rFonts w:ascii="Times New Roman" w:hAnsi="Times New Roman"/>
              </w:rPr>
              <w:t>$</w:t>
            </w:r>
            <w:r w:rsidRPr="003E0E7D">
              <w:t xml:space="preserve">600. </w:t>
            </w:r>
          </w:p>
        </w:tc>
      </w:tr>
      <w:tr w:rsidR="00A24B4B" w:rsidRPr="003E0E7D" w14:paraId="7C9119E6" w14:textId="77777777" w:rsidTr="00A24B4B">
        <w:trPr>
          <w:trHeight w:val="1080"/>
        </w:trPr>
        <w:tc>
          <w:tcPr>
            <w:tcW w:w="632" w:type="pct"/>
            <w:tcBorders>
              <w:top w:val="nil"/>
              <w:left w:val="single" w:sz="4" w:space="0" w:color="FFFFFF"/>
              <w:bottom w:val="single" w:sz="4" w:space="0" w:color="4B4B4B"/>
              <w:right w:val="single" w:sz="4" w:space="0" w:color="FFFFFF"/>
            </w:tcBorders>
            <w:shd w:val="clear" w:color="auto" w:fill="DCDCDC"/>
            <w:noWrap/>
            <w:hideMark/>
          </w:tcPr>
          <w:p w14:paraId="4FBA2663" w14:textId="77777777" w:rsidR="00A24B4B" w:rsidRPr="003E0E7D" w:rsidRDefault="00A24B4B" w:rsidP="003E0E7D">
            <w:pPr>
              <w:pStyle w:val="TableBullets1"/>
              <w:numPr>
                <w:ilvl w:val="0"/>
                <w:numId w:val="19"/>
              </w:numPr>
              <w:spacing w:before="60" w:after="60"/>
              <w:rPr>
                <w:b/>
              </w:rPr>
            </w:pPr>
            <w:r w:rsidRPr="003E0E7D">
              <w:t>HEPA</w:t>
            </w:r>
          </w:p>
          <w:p w14:paraId="335F921C" w14:textId="77777777" w:rsidR="00A24B4B" w:rsidRPr="003E0E7D" w:rsidRDefault="00A24B4B" w:rsidP="003E0E7D">
            <w:pPr>
              <w:pStyle w:val="TableBullets2"/>
              <w:numPr>
                <w:ilvl w:val="1"/>
                <w:numId w:val="19"/>
              </w:numPr>
              <w:spacing w:before="60" w:after="60"/>
            </w:pPr>
            <w:r w:rsidRPr="003E0E7D">
              <w:t>HBeAg</w:t>
            </w:r>
          </w:p>
          <w:p w14:paraId="74751675" w14:textId="77777777" w:rsidR="00A24B4B" w:rsidRPr="003E0E7D" w:rsidRDefault="00A24B4B" w:rsidP="003E0E7D">
            <w:pPr>
              <w:pStyle w:val="TableBullets2"/>
              <w:numPr>
                <w:ilvl w:val="1"/>
                <w:numId w:val="19"/>
              </w:numPr>
              <w:spacing w:before="60" w:after="60"/>
            </w:pPr>
            <w:r w:rsidRPr="003E0E7D">
              <w:t>Anti-HBc IgM</w:t>
            </w:r>
          </w:p>
          <w:p w14:paraId="4AEB81FC" w14:textId="77777777" w:rsidR="00A24B4B" w:rsidRPr="003E0E7D" w:rsidRDefault="00A24B4B" w:rsidP="003E0E7D">
            <w:pPr>
              <w:pStyle w:val="TableBullets2"/>
              <w:numPr>
                <w:ilvl w:val="1"/>
                <w:numId w:val="19"/>
              </w:numPr>
              <w:spacing w:before="60" w:after="60"/>
            </w:pPr>
            <w:r w:rsidRPr="003E0E7D">
              <w:t>Anti-HAV IgM</w:t>
            </w:r>
          </w:p>
          <w:p w14:paraId="47E68793" w14:textId="77777777" w:rsidR="00A24B4B" w:rsidRPr="003E0E7D" w:rsidRDefault="00A24B4B" w:rsidP="003E0E7D">
            <w:pPr>
              <w:pStyle w:val="TableBullets2"/>
              <w:numPr>
                <w:ilvl w:val="1"/>
                <w:numId w:val="19"/>
              </w:numPr>
              <w:spacing w:before="60" w:after="60"/>
              <w:rPr>
                <w:lang w:eastAsia="en-AU"/>
              </w:rPr>
            </w:pPr>
            <w:r w:rsidRPr="003E0E7D">
              <w:t>Anti-HEV IgM</w:t>
            </w:r>
          </w:p>
        </w:tc>
        <w:tc>
          <w:tcPr>
            <w:tcW w:w="582" w:type="pct"/>
            <w:tcBorders>
              <w:top w:val="nil"/>
              <w:left w:val="single" w:sz="4" w:space="0" w:color="FFFFFF"/>
              <w:bottom w:val="single" w:sz="4" w:space="0" w:color="4B4B4B"/>
              <w:right w:val="single" w:sz="4" w:space="0" w:color="FFFFFF"/>
            </w:tcBorders>
            <w:shd w:val="clear" w:color="auto" w:fill="DCDCDC"/>
            <w:hideMark/>
          </w:tcPr>
          <w:p w14:paraId="71EBE2DF" w14:textId="77777777" w:rsidR="00A24B4B" w:rsidRPr="003E0E7D" w:rsidRDefault="00A24B4B" w:rsidP="003E0E7D">
            <w:pPr>
              <w:pStyle w:val="TableBullets1"/>
              <w:numPr>
                <w:ilvl w:val="0"/>
                <w:numId w:val="19"/>
              </w:numPr>
              <w:spacing w:before="60" w:after="60"/>
            </w:pPr>
            <w:r w:rsidRPr="003E0E7D">
              <w:t>HEPR</w:t>
            </w:r>
          </w:p>
          <w:p w14:paraId="016B885D" w14:textId="77777777" w:rsidR="00A24B4B" w:rsidRPr="003E0E7D" w:rsidRDefault="00A24B4B" w:rsidP="003E0E7D">
            <w:pPr>
              <w:pStyle w:val="TableBullets2"/>
              <w:numPr>
                <w:ilvl w:val="1"/>
                <w:numId w:val="19"/>
              </w:numPr>
              <w:spacing w:before="60" w:after="60"/>
            </w:pPr>
            <w:r w:rsidRPr="003E0E7D">
              <w:t>Anti-HBs IgG</w:t>
            </w:r>
          </w:p>
          <w:p w14:paraId="155B1B4C" w14:textId="77777777" w:rsidR="00A24B4B" w:rsidRPr="003E0E7D" w:rsidRDefault="00A24B4B" w:rsidP="003E0E7D">
            <w:pPr>
              <w:pStyle w:val="TableBullets2"/>
              <w:numPr>
                <w:ilvl w:val="1"/>
                <w:numId w:val="19"/>
              </w:numPr>
              <w:spacing w:before="60" w:after="60"/>
            </w:pPr>
            <w:r w:rsidRPr="003E0E7D">
              <w:t>Anti-HBe IgG</w:t>
            </w:r>
          </w:p>
          <w:p w14:paraId="6332FF56" w14:textId="77777777" w:rsidR="00A24B4B" w:rsidRPr="003E0E7D" w:rsidRDefault="00A24B4B" w:rsidP="003E0E7D">
            <w:pPr>
              <w:pStyle w:val="TableBullets2"/>
              <w:numPr>
                <w:ilvl w:val="1"/>
                <w:numId w:val="19"/>
              </w:numPr>
              <w:spacing w:before="60" w:after="60"/>
            </w:pPr>
            <w:r w:rsidRPr="003E0E7D">
              <w:t>Anti-HBc IgG</w:t>
            </w:r>
          </w:p>
          <w:p w14:paraId="367A6B95" w14:textId="77777777" w:rsidR="00A24B4B" w:rsidRPr="003E0E7D" w:rsidRDefault="00A24B4B" w:rsidP="003E0E7D">
            <w:pPr>
              <w:pStyle w:val="TableBullets2"/>
              <w:numPr>
                <w:ilvl w:val="1"/>
                <w:numId w:val="19"/>
              </w:numPr>
              <w:spacing w:before="60" w:after="60"/>
            </w:pPr>
            <w:r w:rsidRPr="003E0E7D">
              <w:t>Anti-HAV IgG</w:t>
            </w:r>
          </w:p>
          <w:p w14:paraId="117E137D" w14:textId="77777777" w:rsidR="00A24B4B" w:rsidRPr="003E0E7D" w:rsidRDefault="00A24B4B" w:rsidP="003E0E7D">
            <w:pPr>
              <w:pStyle w:val="TableBullets2"/>
              <w:numPr>
                <w:ilvl w:val="1"/>
                <w:numId w:val="19"/>
              </w:numPr>
              <w:spacing w:before="60" w:after="60"/>
            </w:pPr>
            <w:r w:rsidRPr="003E0E7D">
              <w:t>Anti-HEV IgG</w:t>
            </w:r>
          </w:p>
        </w:tc>
        <w:tc>
          <w:tcPr>
            <w:tcW w:w="777" w:type="pct"/>
            <w:vMerge/>
            <w:tcBorders>
              <w:top w:val="single" w:sz="4" w:space="0" w:color="4B4B4B"/>
              <w:left w:val="single" w:sz="4" w:space="0" w:color="FFFFFF"/>
              <w:bottom w:val="single" w:sz="4" w:space="0" w:color="4B4B4B"/>
              <w:right w:val="single" w:sz="4" w:space="0" w:color="FFFFFF"/>
            </w:tcBorders>
            <w:shd w:val="clear" w:color="auto" w:fill="DCDCDC"/>
            <w:vAlign w:val="center"/>
            <w:hideMark/>
          </w:tcPr>
          <w:p w14:paraId="2CBE6C84" w14:textId="77777777" w:rsidR="00A24B4B" w:rsidRPr="003E0E7D" w:rsidRDefault="00A24B4B" w:rsidP="003E0E7D">
            <w:pPr>
              <w:spacing w:line="240" w:lineRule="auto"/>
              <w:rPr>
                <w:sz w:val="20"/>
                <w:lang w:eastAsia="en-AU"/>
              </w:rPr>
            </w:pPr>
          </w:p>
        </w:tc>
        <w:tc>
          <w:tcPr>
            <w:tcW w:w="777" w:type="pct"/>
            <w:vMerge/>
            <w:tcBorders>
              <w:top w:val="single" w:sz="4" w:space="0" w:color="4B4B4B"/>
              <w:left w:val="single" w:sz="4" w:space="0" w:color="FFFFFF"/>
              <w:bottom w:val="single" w:sz="4" w:space="0" w:color="4B4B4B"/>
              <w:right w:val="single" w:sz="4" w:space="0" w:color="FFFFFF"/>
            </w:tcBorders>
            <w:shd w:val="clear" w:color="auto" w:fill="DCDCDC"/>
            <w:vAlign w:val="center"/>
            <w:hideMark/>
          </w:tcPr>
          <w:p w14:paraId="2055D015" w14:textId="77777777" w:rsidR="00A24B4B" w:rsidRPr="003E0E7D" w:rsidRDefault="00A24B4B" w:rsidP="003E0E7D">
            <w:pPr>
              <w:spacing w:line="240" w:lineRule="auto"/>
              <w:rPr>
                <w:sz w:val="20"/>
                <w:lang w:eastAsia="en-AU"/>
              </w:rPr>
            </w:pPr>
          </w:p>
        </w:tc>
        <w:tc>
          <w:tcPr>
            <w:tcW w:w="679" w:type="pct"/>
            <w:vMerge/>
            <w:tcBorders>
              <w:top w:val="single" w:sz="4" w:space="0" w:color="4B4B4B"/>
              <w:left w:val="single" w:sz="4" w:space="0" w:color="FFFFFF"/>
              <w:bottom w:val="single" w:sz="4" w:space="0" w:color="4B4B4B"/>
              <w:right w:val="single" w:sz="4" w:space="0" w:color="FFFFFF"/>
            </w:tcBorders>
            <w:shd w:val="clear" w:color="auto" w:fill="DCDCDC"/>
            <w:vAlign w:val="center"/>
            <w:hideMark/>
          </w:tcPr>
          <w:p w14:paraId="3B1DDE45" w14:textId="77777777" w:rsidR="00A24B4B" w:rsidRPr="003E0E7D" w:rsidRDefault="00A24B4B" w:rsidP="003E0E7D">
            <w:pPr>
              <w:spacing w:line="240" w:lineRule="auto"/>
              <w:rPr>
                <w:sz w:val="20"/>
                <w:lang w:eastAsia="en-AU"/>
              </w:rPr>
            </w:pPr>
          </w:p>
        </w:tc>
        <w:tc>
          <w:tcPr>
            <w:tcW w:w="1554" w:type="pct"/>
            <w:vMerge/>
            <w:tcBorders>
              <w:top w:val="single" w:sz="4" w:space="0" w:color="4B4B4B"/>
              <w:left w:val="single" w:sz="4" w:space="0" w:color="FFFFFF"/>
              <w:bottom w:val="single" w:sz="4" w:space="0" w:color="4B4B4B"/>
              <w:right w:val="single" w:sz="4" w:space="0" w:color="FFFFFF"/>
            </w:tcBorders>
            <w:shd w:val="clear" w:color="auto" w:fill="DCDCDC"/>
            <w:vAlign w:val="center"/>
            <w:hideMark/>
          </w:tcPr>
          <w:p w14:paraId="03E4D376" w14:textId="77777777" w:rsidR="00A24B4B" w:rsidRPr="003E0E7D" w:rsidRDefault="00A24B4B" w:rsidP="003E0E7D">
            <w:pPr>
              <w:spacing w:line="240" w:lineRule="auto"/>
              <w:rPr>
                <w:sz w:val="20"/>
              </w:rPr>
            </w:pPr>
          </w:p>
        </w:tc>
      </w:tr>
      <w:tr w:rsidR="00A24B4B" w:rsidRPr="003E0E7D" w14:paraId="2CA6A48A"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659B8A0F" w14:textId="77777777" w:rsidR="00A24B4B" w:rsidRPr="003E0E7D" w:rsidRDefault="00A24B4B">
            <w:pPr>
              <w:pStyle w:val="TableCopy"/>
              <w:rPr>
                <w:b/>
                <w:lang w:eastAsia="en-AU"/>
              </w:rPr>
            </w:pPr>
            <w:r w:rsidRPr="003E0E7D">
              <w:rPr>
                <w:b/>
                <w:lang w:eastAsia="en-AU"/>
              </w:rPr>
              <w:t xml:space="preserve">NRL NAT </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1B0C44E2" w14:textId="77777777" w:rsidR="00A24B4B" w:rsidRPr="003E0E7D" w:rsidRDefault="00A24B4B" w:rsidP="003E0E7D">
            <w:pPr>
              <w:pStyle w:val="TableCopy"/>
              <w:jc w:val="center"/>
              <w:rPr>
                <w:lang w:eastAsia="en-AU"/>
              </w:rPr>
            </w:pPr>
            <w:r w:rsidRPr="003E0E7D">
              <w:rPr>
                <w:lang w:eastAsia="en-AU"/>
              </w:rPr>
              <w:t>12 (40%)</w:t>
            </w:r>
          </w:p>
        </w:tc>
        <w:tc>
          <w:tcPr>
            <w:tcW w:w="777" w:type="pct"/>
            <w:tcBorders>
              <w:top w:val="single" w:sz="4" w:space="0" w:color="4B4B4B"/>
              <w:left w:val="single" w:sz="4" w:space="0" w:color="FFFFFF"/>
              <w:bottom w:val="single" w:sz="4" w:space="0" w:color="4B4B4B"/>
              <w:right w:val="single" w:sz="4" w:space="0" w:color="FFFFFF"/>
            </w:tcBorders>
            <w:shd w:val="clear" w:color="auto" w:fill="DCDCDC"/>
          </w:tcPr>
          <w:p w14:paraId="40BB4700" w14:textId="77777777" w:rsidR="00A24B4B" w:rsidRPr="003E0E7D" w:rsidRDefault="00A24B4B" w:rsidP="003E0E7D">
            <w:pPr>
              <w:pStyle w:val="TableCopy"/>
              <w:jc w:val="center"/>
              <w:rPr>
                <w:lang w:eastAsia="en-AU"/>
              </w:rPr>
            </w:pP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67E24DFF"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6FD72B57" w14:textId="77777777" w:rsidR="00A24B4B" w:rsidRPr="003E0E7D" w:rsidRDefault="00A24B4B">
            <w:pPr>
              <w:pStyle w:val="TableCopy"/>
              <w:rPr>
                <w:lang w:eastAsia="en-AU"/>
              </w:rPr>
            </w:pPr>
          </w:p>
        </w:tc>
      </w:tr>
      <w:tr w:rsidR="00A24B4B" w:rsidRPr="003E0E7D" w14:paraId="3FDFE714"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10030665" w14:textId="77777777" w:rsidR="00A24B4B" w:rsidRPr="003E0E7D" w:rsidRDefault="00A24B4B" w:rsidP="003E0E7D">
            <w:pPr>
              <w:pStyle w:val="TableBullets2"/>
              <w:numPr>
                <w:ilvl w:val="1"/>
                <w:numId w:val="19"/>
              </w:numPr>
              <w:spacing w:before="60" w:after="60"/>
              <w:rPr>
                <w:b/>
                <w:lang w:eastAsia="en-AU"/>
              </w:rPr>
            </w:pPr>
            <w:r w:rsidRPr="003E0E7D">
              <w:rPr>
                <w:lang w:eastAsia="en-AU"/>
              </w:rPr>
              <w:t>HIV NAT</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5F191660" w14:textId="77777777" w:rsidR="00A24B4B" w:rsidRPr="003E0E7D" w:rsidRDefault="00A24B4B" w:rsidP="003E0E7D">
            <w:pPr>
              <w:pStyle w:val="TableCopy"/>
              <w:jc w:val="center"/>
              <w:rPr>
                <w:lang w:eastAsia="en-AU"/>
              </w:rPr>
            </w:pPr>
            <w:r w:rsidRPr="003E0E7D">
              <w:rPr>
                <w:lang w:eastAsia="en-AU"/>
              </w:rPr>
              <w:t>10 (33%)</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607C37DD" w14:textId="77777777" w:rsidR="00A24B4B" w:rsidRPr="003E0E7D" w:rsidRDefault="00A24B4B" w:rsidP="003E0E7D">
            <w:pPr>
              <w:pStyle w:val="TableCopy"/>
              <w:jc w:val="center"/>
              <w:rPr>
                <w:lang w:eastAsia="en-AU"/>
              </w:rPr>
            </w:pPr>
            <w:r w:rsidRPr="003E0E7D">
              <w:rPr>
                <w:lang w:eastAsia="en-AU"/>
              </w:rPr>
              <w:t>Free of charge</w:t>
            </w: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51CD09B6"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41FA7178" w14:textId="77777777" w:rsidR="00A24B4B" w:rsidRPr="003E0E7D" w:rsidRDefault="00A24B4B">
            <w:pPr>
              <w:pStyle w:val="TableCopy"/>
              <w:rPr>
                <w:lang w:eastAsia="en-AU"/>
              </w:rPr>
            </w:pPr>
          </w:p>
        </w:tc>
      </w:tr>
      <w:tr w:rsidR="00A24B4B" w:rsidRPr="003E0E7D" w14:paraId="5A79E2BE"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0BB0C5FB" w14:textId="77777777" w:rsidR="00A24B4B" w:rsidRPr="003E0E7D" w:rsidRDefault="00A24B4B" w:rsidP="003E0E7D">
            <w:pPr>
              <w:pStyle w:val="TableBullets2"/>
              <w:numPr>
                <w:ilvl w:val="1"/>
                <w:numId w:val="19"/>
              </w:numPr>
              <w:spacing w:before="60" w:after="60"/>
              <w:rPr>
                <w:b/>
                <w:lang w:eastAsia="en-AU"/>
              </w:rPr>
            </w:pPr>
            <w:r w:rsidRPr="003E0E7D">
              <w:rPr>
                <w:lang w:eastAsia="en-AU"/>
              </w:rPr>
              <w:t>HCV NAT</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17A7EE40" w14:textId="77777777" w:rsidR="00A24B4B" w:rsidRPr="003E0E7D" w:rsidRDefault="00A24B4B" w:rsidP="003E0E7D">
            <w:pPr>
              <w:pStyle w:val="TableCopy"/>
              <w:jc w:val="center"/>
              <w:rPr>
                <w:lang w:eastAsia="en-AU"/>
              </w:rPr>
            </w:pPr>
            <w:r w:rsidRPr="003E0E7D">
              <w:rPr>
                <w:lang w:eastAsia="en-AU"/>
              </w:rPr>
              <w:t>10 (33%)</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206BCC58" w14:textId="77777777" w:rsidR="00A24B4B" w:rsidRPr="003E0E7D" w:rsidRDefault="00A24B4B" w:rsidP="003E0E7D">
            <w:pPr>
              <w:pStyle w:val="TableCopy"/>
              <w:jc w:val="center"/>
              <w:rPr>
                <w:lang w:eastAsia="en-AU"/>
              </w:rPr>
            </w:pPr>
            <w:r w:rsidRPr="003E0E7D">
              <w:rPr>
                <w:lang w:eastAsia="en-AU"/>
              </w:rPr>
              <w:t>Free of charge</w:t>
            </w: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09204DF8"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375BDEAA" w14:textId="77777777" w:rsidR="00A24B4B" w:rsidRPr="003E0E7D" w:rsidRDefault="00A24B4B">
            <w:pPr>
              <w:pStyle w:val="TableCopy"/>
              <w:rPr>
                <w:lang w:eastAsia="en-AU"/>
              </w:rPr>
            </w:pPr>
          </w:p>
        </w:tc>
      </w:tr>
      <w:tr w:rsidR="00A24B4B" w:rsidRPr="003E0E7D" w14:paraId="49CAEF7D" w14:textId="77777777" w:rsidTr="00A24B4B">
        <w:trPr>
          <w:trHeight w:val="271"/>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10FC7BB4" w14:textId="77777777" w:rsidR="00A24B4B" w:rsidRPr="003E0E7D" w:rsidRDefault="00A24B4B" w:rsidP="003E0E7D">
            <w:pPr>
              <w:pStyle w:val="TableBullets2"/>
              <w:numPr>
                <w:ilvl w:val="1"/>
                <w:numId w:val="19"/>
              </w:numPr>
              <w:spacing w:before="60" w:after="60"/>
              <w:rPr>
                <w:b/>
                <w:lang w:eastAsia="en-AU"/>
              </w:rPr>
            </w:pPr>
            <w:r w:rsidRPr="003E0E7D">
              <w:rPr>
                <w:lang w:eastAsia="en-AU"/>
              </w:rPr>
              <w:t>HBV NAT</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4122525A" w14:textId="77777777" w:rsidR="00A24B4B" w:rsidRPr="003E0E7D" w:rsidRDefault="00A24B4B" w:rsidP="003E0E7D">
            <w:pPr>
              <w:pStyle w:val="TableCopy"/>
              <w:jc w:val="center"/>
              <w:rPr>
                <w:lang w:eastAsia="en-AU"/>
              </w:rPr>
            </w:pPr>
            <w:r w:rsidRPr="003E0E7D">
              <w:rPr>
                <w:lang w:eastAsia="en-AU"/>
              </w:rPr>
              <w:t>10 (33%)</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5CBE15BE" w14:textId="77777777" w:rsidR="00A24B4B" w:rsidRPr="003E0E7D" w:rsidRDefault="00A24B4B" w:rsidP="003E0E7D">
            <w:pPr>
              <w:pStyle w:val="TableCopy"/>
              <w:jc w:val="center"/>
              <w:rPr>
                <w:lang w:eastAsia="en-AU"/>
              </w:rPr>
            </w:pPr>
            <w:r w:rsidRPr="003E0E7D">
              <w:rPr>
                <w:rFonts w:ascii="Times New Roman" w:hAnsi="Times New Roman"/>
                <w:lang w:eastAsia="en-AU"/>
              </w:rPr>
              <w:t>$</w:t>
            </w:r>
            <w:r w:rsidRPr="003E0E7D">
              <w:rPr>
                <w:lang w:eastAsia="en-AU"/>
              </w:rPr>
              <w:t>350</w:t>
            </w: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70BCAD2F"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114CC915" w14:textId="77777777" w:rsidR="00A24B4B" w:rsidRPr="003E0E7D" w:rsidRDefault="00A24B4B">
            <w:pPr>
              <w:pStyle w:val="TableCopy"/>
              <w:rPr>
                <w:lang w:eastAsia="en-AU"/>
              </w:rPr>
            </w:pPr>
          </w:p>
        </w:tc>
      </w:tr>
      <w:tr w:rsidR="00A24B4B" w:rsidRPr="003E0E7D" w14:paraId="653CAE55"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58F3AD59" w14:textId="2533BA73" w:rsidR="00A24B4B" w:rsidRPr="00A24B4B" w:rsidRDefault="00A24B4B" w:rsidP="00A24B4B">
            <w:pPr>
              <w:pStyle w:val="TableBullets2"/>
              <w:numPr>
                <w:ilvl w:val="1"/>
                <w:numId w:val="19"/>
              </w:numPr>
              <w:spacing w:before="60" w:after="60"/>
              <w:rPr>
                <w:b/>
                <w:lang w:eastAsia="en-AU"/>
              </w:rPr>
            </w:pPr>
            <w:r w:rsidRPr="003E0E7D">
              <w:rPr>
                <w:lang w:eastAsia="en-AU"/>
              </w:rPr>
              <w:t>Tri screen NAT</w:t>
            </w:r>
            <w:r>
              <w:rPr>
                <w:lang w:eastAsia="en-AU"/>
              </w:rPr>
              <w:t xml:space="preserve">: </w:t>
            </w:r>
            <w:r w:rsidRPr="003E0E7D">
              <w:t>HIV RNA</w:t>
            </w:r>
            <w:r>
              <w:t xml:space="preserve">, </w:t>
            </w:r>
            <w:r w:rsidRPr="003E0E7D">
              <w:t>HCV</w:t>
            </w:r>
            <w:r>
              <w:t> </w:t>
            </w:r>
            <w:r w:rsidRPr="003E0E7D">
              <w:t>RNA</w:t>
            </w:r>
            <w:r>
              <w:t xml:space="preserve">, </w:t>
            </w:r>
            <w:r w:rsidRPr="003E0E7D">
              <w:t>HBV DNA</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174E0A4C" w14:textId="77777777" w:rsidR="00A24B4B" w:rsidRPr="003E0E7D" w:rsidRDefault="00A24B4B" w:rsidP="003E0E7D">
            <w:pPr>
              <w:pStyle w:val="TableCopy"/>
              <w:jc w:val="center"/>
              <w:rPr>
                <w:lang w:eastAsia="en-AU"/>
              </w:rPr>
            </w:pPr>
            <w:r w:rsidRPr="003E0E7D">
              <w:rPr>
                <w:lang w:eastAsia="en-AU"/>
              </w:rPr>
              <w:t>2 (7%)</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27EDCCB8" w14:textId="77777777" w:rsidR="00A24B4B" w:rsidRPr="003E0E7D" w:rsidRDefault="00A24B4B" w:rsidP="003E0E7D">
            <w:pPr>
              <w:pStyle w:val="TableCopy"/>
              <w:jc w:val="center"/>
              <w:rPr>
                <w:lang w:eastAsia="en-AU"/>
              </w:rPr>
            </w:pPr>
            <w:r w:rsidRPr="003E0E7D">
              <w:rPr>
                <w:rFonts w:ascii="Times New Roman" w:hAnsi="Times New Roman"/>
                <w:lang w:eastAsia="en-AU"/>
              </w:rPr>
              <w:t>$</w:t>
            </w:r>
            <w:r w:rsidRPr="003E0E7D">
              <w:rPr>
                <w:lang w:eastAsia="en-AU"/>
              </w:rPr>
              <w:t>750</w:t>
            </w: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129A7C81"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4BA71E27" w14:textId="77777777" w:rsidR="00A24B4B" w:rsidRPr="003E0E7D" w:rsidRDefault="00A24B4B">
            <w:pPr>
              <w:pStyle w:val="TableCopy"/>
              <w:rPr>
                <w:lang w:eastAsia="en-AU"/>
              </w:rPr>
            </w:pPr>
          </w:p>
        </w:tc>
      </w:tr>
      <w:tr w:rsidR="00A24B4B" w:rsidRPr="003E0E7D" w14:paraId="0E108EA8" w14:textId="77777777" w:rsidTr="00A24B4B">
        <w:trPr>
          <w:trHeight w:val="300"/>
        </w:trPr>
        <w:tc>
          <w:tcPr>
            <w:tcW w:w="1215" w:type="pct"/>
            <w:gridSpan w:val="2"/>
            <w:tcBorders>
              <w:top w:val="single" w:sz="4" w:space="0" w:color="4B4B4B"/>
              <w:left w:val="single" w:sz="4" w:space="0" w:color="FFFFFF"/>
              <w:bottom w:val="single" w:sz="4" w:space="0" w:color="4B4B4B"/>
              <w:right w:val="single" w:sz="4" w:space="0" w:color="FFFFFF"/>
            </w:tcBorders>
            <w:shd w:val="clear" w:color="auto" w:fill="DCDCDC"/>
            <w:noWrap/>
            <w:hideMark/>
          </w:tcPr>
          <w:p w14:paraId="63F8EFDC" w14:textId="77777777" w:rsidR="00A24B4B" w:rsidRPr="003E0E7D" w:rsidRDefault="00A24B4B" w:rsidP="003E0E7D">
            <w:pPr>
              <w:pStyle w:val="TableBullets2"/>
              <w:numPr>
                <w:ilvl w:val="1"/>
                <w:numId w:val="19"/>
              </w:numPr>
              <w:spacing w:before="60" w:after="60"/>
              <w:rPr>
                <w:b/>
                <w:lang w:eastAsia="en-AU"/>
              </w:rPr>
            </w:pPr>
            <w:r w:rsidRPr="003E0E7D">
              <w:rPr>
                <w:lang w:eastAsia="en-AU"/>
              </w:rPr>
              <w:t>Negative NAT</w:t>
            </w:r>
          </w:p>
        </w:tc>
        <w:tc>
          <w:tcPr>
            <w:tcW w:w="777" w:type="pct"/>
            <w:tcBorders>
              <w:top w:val="single" w:sz="4" w:space="0" w:color="4B4B4B"/>
              <w:left w:val="single" w:sz="4" w:space="0" w:color="FFFFFF"/>
              <w:bottom w:val="single" w:sz="4" w:space="0" w:color="4B4B4B"/>
              <w:right w:val="single" w:sz="4" w:space="0" w:color="FFFFFF"/>
            </w:tcBorders>
            <w:shd w:val="clear" w:color="auto" w:fill="DCDCDC"/>
            <w:noWrap/>
            <w:hideMark/>
          </w:tcPr>
          <w:p w14:paraId="6016A3DC" w14:textId="77777777" w:rsidR="00A24B4B" w:rsidRPr="003E0E7D" w:rsidRDefault="00A24B4B" w:rsidP="003E0E7D">
            <w:pPr>
              <w:pStyle w:val="TableCopy"/>
              <w:jc w:val="center"/>
              <w:rPr>
                <w:lang w:eastAsia="en-AU"/>
              </w:rPr>
            </w:pPr>
            <w:r w:rsidRPr="003E0E7D">
              <w:rPr>
                <w:lang w:eastAsia="en-AU"/>
              </w:rPr>
              <w:t>1 (3%)</w:t>
            </w:r>
          </w:p>
        </w:tc>
        <w:tc>
          <w:tcPr>
            <w:tcW w:w="777" w:type="pct"/>
            <w:tcBorders>
              <w:top w:val="single" w:sz="4" w:space="0" w:color="4B4B4B"/>
              <w:left w:val="single" w:sz="4" w:space="0" w:color="FFFFFF"/>
              <w:bottom w:val="single" w:sz="4" w:space="0" w:color="4B4B4B"/>
              <w:right w:val="single" w:sz="4" w:space="0" w:color="FFFFFF"/>
            </w:tcBorders>
            <w:shd w:val="clear" w:color="auto" w:fill="DCDCDC"/>
            <w:hideMark/>
          </w:tcPr>
          <w:p w14:paraId="5F992010" w14:textId="77777777" w:rsidR="00A24B4B" w:rsidRPr="003E0E7D" w:rsidRDefault="00A24B4B" w:rsidP="003E0E7D">
            <w:pPr>
              <w:pStyle w:val="TableCopy"/>
              <w:jc w:val="center"/>
              <w:rPr>
                <w:lang w:eastAsia="en-AU"/>
              </w:rPr>
            </w:pPr>
            <w:r w:rsidRPr="003E0E7D">
              <w:rPr>
                <w:lang w:eastAsia="en-AU"/>
              </w:rPr>
              <w:t>Unsure</w:t>
            </w:r>
          </w:p>
        </w:tc>
        <w:tc>
          <w:tcPr>
            <w:tcW w:w="679" w:type="pct"/>
            <w:tcBorders>
              <w:top w:val="single" w:sz="4" w:space="0" w:color="4B4B4B"/>
              <w:left w:val="single" w:sz="4" w:space="0" w:color="FFFFFF"/>
              <w:bottom w:val="single" w:sz="4" w:space="0" w:color="4B4B4B"/>
              <w:right w:val="single" w:sz="4" w:space="0" w:color="FFFFFF"/>
            </w:tcBorders>
            <w:shd w:val="clear" w:color="auto" w:fill="DCDCDC"/>
          </w:tcPr>
          <w:p w14:paraId="307C08FA" w14:textId="77777777" w:rsidR="00A24B4B" w:rsidRPr="003E0E7D" w:rsidRDefault="00A24B4B">
            <w:pPr>
              <w:pStyle w:val="TableCopy"/>
              <w:rPr>
                <w:lang w:eastAsia="en-AU"/>
              </w:rPr>
            </w:pPr>
          </w:p>
        </w:tc>
        <w:tc>
          <w:tcPr>
            <w:tcW w:w="1554" w:type="pct"/>
            <w:tcBorders>
              <w:top w:val="single" w:sz="4" w:space="0" w:color="4B4B4B"/>
              <w:left w:val="single" w:sz="4" w:space="0" w:color="FFFFFF"/>
              <w:bottom w:val="single" w:sz="4" w:space="0" w:color="4B4B4B"/>
              <w:right w:val="single" w:sz="4" w:space="0" w:color="FFFFFF"/>
            </w:tcBorders>
            <w:shd w:val="clear" w:color="auto" w:fill="DCDCDC"/>
          </w:tcPr>
          <w:p w14:paraId="21712E79" w14:textId="77777777" w:rsidR="00A24B4B" w:rsidRPr="003E0E7D" w:rsidRDefault="00A24B4B">
            <w:pPr>
              <w:pStyle w:val="TableCopy"/>
              <w:rPr>
                <w:lang w:eastAsia="en-AU"/>
              </w:rPr>
            </w:pPr>
          </w:p>
        </w:tc>
      </w:tr>
    </w:tbl>
    <w:p w14:paraId="2C3D8D70" w14:textId="77777777" w:rsidR="00862A8C" w:rsidRPr="003E0E7D" w:rsidRDefault="00862A8C" w:rsidP="00862A8C">
      <w:pPr>
        <w:pStyle w:val="TableNotes"/>
        <w:rPr>
          <w:lang w:eastAsia="en-AU"/>
        </w:rPr>
      </w:pPr>
      <w:r w:rsidRPr="003E0E7D">
        <w:rPr>
          <w:lang w:eastAsia="en-AU"/>
        </w:rPr>
        <w:t>N</w:t>
      </w:r>
      <w:r>
        <w:rPr>
          <w:lang w:eastAsia="en-AU"/>
        </w:rPr>
        <w:t>ote 1</w:t>
      </w:r>
      <w:r w:rsidRPr="003E0E7D">
        <w:rPr>
          <w:lang w:eastAsia="en-AU"/>
        </w:rPr>
        <w:t xml:space="preserve">: Siemens, Roche and Abbott were listed as internal (manufacturer supplied) controls for HIV, HCV and HBV. These are not considered external QC for the purposes of accreditation.  Laboratories using these controls also use relevant NRL products. </w:t>
      </w:r>
    </w:p>
    <w:p w14:paraId="37BD257D" w14:textId="3292F4DC" w:rsidR="00884BAE" w:rsidRDefault="00652898" w:rsidP="00A24B4B">
      <w:pPr>
        <w:pStyle w:val="TableNotes"/>
        <w:rPr>
          <w:shd w:val="clear" w:color="auto" w:fill="FFFFFF"/>
        </w:rPr>
        <w:sectPr w:rsidR="00884BAE" w:rsidSect="00884BAE">
          <w:footnotePr>
            <w:numFmt w:val="lowerLetter"/>
          </w:footnotePr>
          <w:pgSz w:w="16839" w:h="11907" w:orient="landscape" w:code="9"/>
          <w:pgMar w:top="2268" w:right="1304" w:bottom="851" w:left="737" w:header="567" w:footer="284" w:gutter="0"/>
          <w:cols w:space="709"/>
          <w:docGrid w:linePitch="360"/>
        </w:sectPr>
      </w:pPr>
      <w:r>
        <w:t>Note</w:t>
      </w:r>
      <w:r w:rsidR="00862A8C">
        <w:t xml:space="preserve"> 2: N</w:t>
      </w:r>
      <w:r>
        <w:t xml:space="preserve">ot all laboratories provided amounts for cost per kit. Where information was available, it has been extrapolated. </w:t>
      </w:r>
      <w:r w:rsidR="00496AC5">
        <w:t>Amounts may vary due to: under/over reporting and the use of different products in a multi-marker kit</w:t>
      </w:r>
      <w:r w:rsidR="00A24B4B">
        <w:br/>
      </w:r>
      <w:r w:rsidR="00A24B4B">
        <w:rPr>
          <w:shd w:val="clear" w:color="auto" w:fill="FFFFFF"/>
        </w:rPr>
        <w:t xml:space="preserve">Note 3: Free of charge refers to the price laboratories pay. These services are funded by the Australian Government through the funding arrangements under review. </w:t>
      </w:r>
      <w:r w:rsidR="00A24B4B">
        <w:rPr>
          <w:shd w:val="clear" w:color="auto" w:fill="FFFFFF"/>
        </w:rPr>
        <w:br/>
      </w:r>
    </w:p>
    <w:p w14:paraId="6E53FA2F" w14:textId="77777777" w:rsidR="00EB00F9" w:rsidRDefault="00EB00F9" w:rsidP="00EB00F9">
      <w:pPr>
        <w:pStyle w:val="Heading3"/>
      </w:pPr>
      <w:bookmarkStart w:id="55" w:name="_Toc18664646"/>
      <w:r>
        <w:lastRenderedPageBreak/>
        <w:t>Australian Red Cross Blood Service</w:t>
      </w:r>
      <w:bookmarkEnd w:id="55"/>
      <w:r>
        <w:t xml:space="preserve"> </w:t>
      </w:r>
    </w:p>
    <w:p w14:paraId="26B1CBBF" w14:textId="77777777" w:rsidR="00EB00F9" w:rsidRPr="000415F7" w:rsidRDefault="00EB00F9" w:rsidP="00EB00F9">
      <w:pPr>
        <w:pStyle w:val="BodyCopy"/>
      </w:pPr>
      <w:r>
        <w:t>The four</w:t>
      </w:r>
      <w:r w:rsidRPr="000415F7">
        <w:t xml:space="preserve"> ARCBS laboratories – Victoria, New South Wales, Queensland and Western Australia</w:t>
      </w:r>
      <w:r>
        <w:t xml:space="preserve"> – were assessed as in-scope for the survey</w:t>
      </w:r>
      <w:r w:rsidRPr="000415F7">
        <w:t>. One collective response for all four laboratories was completed by the key ARCBS contact provided by the Department of Health</w:t>
      </w:r>
      <w:r>
        <w:t>. Follow-up consultations occurred to expand on issues raised in the survey, and to clarify responses.</w:t>
      </w:r>
    </w:p>
    <w:p w14:paraId="0DE21CCE" w14:textId="77777777" w:rsidR="00EB00F9" w:rsidRDefault="00EB00F9" w:rsidP="00EB00F9">
      <w:pPr>
        <w:pStyle w:val="BodyCopy"/>
      </w:pPr>
      <w:r>
        <w:t xml:space="preserve">All four ARCBS laboratories used the following NRL QC products: </w:t>
      </w:r>
    </w:p>
    <w:p w14:paraId="3677CA14" w14:textId="77777777" w:rsidR="00EB00F9" w:rsidRDefault="00EB00F9" w:rsidP="00C70E61">
      <w:pPr>
        <w:pStyle w:val="Bullets1"/>
      </w:pPr>
      <w:r>
        <w:t>serology multi-</w:t>
      </w:r>
      <w:r w:rsidRPr="000B3DBE">
        <w:t>marker</w:t>
      </w:r>
      <w:r>
        <w:t xml:space="preserve"> controls, at a cost of </w:t>
      </w:r>
      <w:r>
        <w:rPr>
          <w:rFonts w:ascii="Times New Roman" w:hAnsi="Times New Roman"/>
        </w:rPr>
        <w:t>$</w:t>
      </w:r>
      <w:r>
        <w:t xml:space="preserve">275 per kit. </w:t>
      </w:r>
    </w:p>
    <w:p w14:paraId="2C90206F" w14:textId="77777777" w:rsidR="00EB00F9" w:rsidRPr="000B3DBE" w:rsidRDefault="00EB00F9" w:rsidP="00C70E61">
      <w:pPr>
        <w:pStyle w:val="Bullets1"/>
      </w:pPr>
      <w:r>
        <w:t xml:space="preserve">serology HIV p24 antigen control, at a cost of </w:t>
      </w:r>
      <w:r>
        <w:rPr>
          <w:rFonts w:ascii="Times New Roman" w:hAnsi="Times New Roman"/>
        </w:rPr>
        <w:t>$</w:t>
      </w:r>
      <w:r w:rsidRPr="00C70E61">
        <w:rPr>
          <w:rStyle w:val="BodyCopyChar"/>
        </w:rPr>
        <w:t>370</w:t>
      </w:r>
      <w:r>
        <w:t xml:space="preserve"> per kit. </w:t>
      </w:r>
    </w:p>
    <w:p w14:paraId="3038FA86" w14:textId="77777777" w:rsidR="00EB00F9" w:rsidRPr="00883283" w:rsidRDefault="00EB00F9" w:rsidP="00C70E61">
      <w:pPr>
        <w:pStyle w:val="Bullets1"/>
      </w:pPr>
      <w:r w:rsidRPr="00883283">
        <w:t>NAT controls for HIV, HCV and HBV provided free of charge.</w:t>
      </w:r>
    </w:p>
    <w:p w14:paraId="14EFA300" w14:textId="77777777" w:rsidR="00EB00F9" w:rsidRDefault="00EB00F9" w:rsidP="00EB00F9">
      <w:pPr>
        <w:pStyle w:val="BodyCopy"/>
      </w:pPr>
      <w:r>
        <w:t xml:space="preserve">Other products used by the ARCBS laboratories for contingency only were SeraCare HIV p24 and multi-marker controls. The ARCBS New South Wales laboratory performs additional testing compared with the other three ARCBS laboratories, and uses a selection of products from SeraCare and BioRad. </w:t>
      </w:r>
    </w:p>
    <w:p w14:paraId="484CF2F1" w14:textId="77777777" w:rsidR="00EB00F9" w:rsidRDefault="00EB00F9" w:rsidP="00EB00F9">
      <w:pPr>
        <w:pStyle w:val="BodyCopy"/>
      </w:pPr>
      <w:r>
        <w:t>The top three factors influencing the ARCBS choice of QC service provider were:</w:t>
      </w:r>
    </w:p>
    <w:p w14:paraId="4B10ED61" w14:textId="77777777" w:rsidR="00EB00F9" w:rsidRDefault="00EB00F9" w:rsidP="00EB00F9">
      <w:pPr>
        <w:pStyle w:val="Numbers1"/>
        <w:numPr>
          <w:ilvl w:val="0"/>
          <w:numId w:val="20"/>
        </w:numPr>
      </w:pPr>
      <w:r>
        <w:t>meeting minimum regulation requirements</w:t>
      </w:r>
    </w:p>
    <w:p w14:paraId="636F764E" w14:textId="77777777" w:rsidR="00EB00F9" w:rsidRDefault="00EB00F9" w:rsidP="00EB00F9">
      <w:pPr>
        <w:pStyle w:val="Numbers1"/>
        <w:numPr>
          <w:ilvl w:val="0"/>
          <w:numId w:val="3"/>
        </w:numPr>
      </w:pPr>
      <w:r>
        <w:t xml:space="preserve">available testing platforms, and </w:t>
      </w:r>
    </w:p>
    <w:p w14:paraId="461A86E5" w14:textId="77777777" w:rsidR="00EB00F9" w:rsidRDefault="00EB00F9" w:rsidP="00EB00F9">
      <w:pPr>
        <w:pStyle w:val="Numbers1"/>
        <w:numPr>
          <w:ilvl w:val="0"/>
          <w:numId w:val="3"/>
        </w:numPr>
      </w:pPr>
      <w:r>
        <w:t>a comprehensive service (i.e. all products from one provider).</w:t>
      </w:r>
    </w:p>
    <w:p w14:paraId="02B5E300" w14:textId="77777777" w:rsidR="00EB00F9" w:rsidRDefault="00EB00F9" w:rsidP="00EB00F9">
      <w:pPr>
        <w:pStyle w:val="Heading4"/>
      </w:pPr>
      <w:r>
        <w:t>ARCBS QC Summary</w:t>
      </w:r>
    </w:p>
    <w:p w14:paraId="16D22861" w14:textId="66EEFF42" w:rsidR="00EB00F9" w:rsidRDefault="00EB00F9" w:rsidP="003E0E7D">
      <w:pPr>
        <w:pStyle w:val="Bullets1"/>
        <w:shd w:val="clear" w:color="auto" w:fill="FFFCCC"/>
      </w:pPr>
      <w:r>
        <w:t xml:space="preserve">ARCBS use one other provider (SeraCare) of QC materials for HIV and HCV as a contingency, or for IVDs used in the </w:t>
      </w:r>
      <w:r w:rsidR="00400FE3">
        <w:t xml:space="preserve">New South Wales </w:t>
      </w:r>
      <w:r>
        <w:t xml:space="preserve">laboratory for confirmatory testing. </w:t>
      </w:r>
    </w:p>
    <w:p w14:paraId="1763DF9E" w14:textId="7F8D67F6" w:rsidR="00EB00F9" w:rsidRDefault="00EB00F9" w:rsidP="003E0E7D">
      <w:pPr>
        <w:pStyle w:val="Bullets1"/>
        <w:shd w:val="clear" w:color="auto" w:fill="FFFCCC"/>
      </w:pPr>
      <w:r>
        <w:t>The ability of other providers to provide specificity monitoring was not established.</w:t>
      </w:r>
      <w:r w:rsidR="00402D98" w:rsidRPr="00402D98">
        <w:t xml:space="preserve"> </w:t>
      </w:r>
      <w:r w:rsidR="00402D98">
        <w:t xml:space="preserve">The estimated cost to the Department for ARCBS specificity monitoring is </w:t>
      </w:r>
      <w:r w:rsidR="00402D98">
        <w:rPr>
          <w:rFonts w:ascii="Times New Roman" w:hAnsi="Times New Roman"/>
        </w:rPr>
        <w:t>$</w:t>
      </w:r>
      <w:r w:rsidR="00402D98">
        <w:t>1</w:t>
      </w:r>
      <w:r w:rsidR="008E699E">
        <w:t>5</w:t>
      </w:r>
      <w:r w:rsidR="00402D98">
        <w:t>0,000 per annum. This includes o</w:t>
      </w:r>
      <w:r w:rsidR="00402D98" w:rsidRPr="00402D98">
        <w:t xml:space="preserve">ngoing monitoring of the specificity of HIV and HCV serology assays for the ARCBS </w:t>
      </w:r>
      <w:r w:rsidR="00402D98">
        <w:t xml:space="preserve">and </w:t>
      </w:r>
      <w:r w:rsidR="00402D98" w:rsidRPr="00402D98">
        <w:t>monthly reports</w:t>
      </w:r>
      <w:r w:rsidR="00402D98">
        <w:t xml:space="preserve">. </w:t>
      </w:r>
    </w:p>
    <w:p w14:paraId="6D867ABA" w14:textId="2DCBE8AD" w:rsidR="00EB00F9" w:rsidRDefault="00EB00F9" w:rsidP="003E0E7D">
      <w:pPr>
        <w:pStyle w:val="Bullets1"/>
        <w:shd w:val="clear" w:color="auto" w:fill="FFFCCC"/>
      </w:pPr>
      <w:r>
        <w:t xml:space="preserve">The estimated cost to </w:t>
      </w:r>
      <w:r w:rsidR="00AC3C64">
        <w:t xml:space="preserve">the Department </w:t>
      </w:r>
      <w:r>
        <w:t xml:space="preserve">for ARCBS QC programs is </w:t>
      </w:r>
      <w:r>
        <w:rPr>
          <w:rFonts w:ascii="Times New Roman" w:hAnsi="Times New Roman"/>
        </w:rPr>
        <w:t>$</w:t>
      </w:r>
      <w:r w:rsidR="00424F05">
        <w:rPr>
          <w:rFonts w:ascii="Times New Roman" w:hAnsi="Times New Roman"/>
        </w:rPr>
        <w:t>3.5</w:t>
      </w:r>
      <w:r w:rsidR="008E699E">
        <w:rPr>
          <w:rFonts w:ascii="Times New Roman" w:hAnsi="Times New Roman"/>
        </w:rPr>
        <w:t> </w:t>
      </w:r>
      <w:r w:rsidRPr="00C8781C">
        <w:t>million per annum</w:t>
      </w:r>
      <w:r>
        <w:t>.</w:t>
      </w:r>
    </w:p>
    <w:p w14:paraId="5219807A" w14:textId="434C4523" w:rsidR="00EB00F9" w:rsidRDefault="00EB00F9" w:rsidP="00336F93">
      <w:pPr>
        <w:pStyle w:val="Bullets1"/>
        <w:shd w:val="clear" w:color="auto" w:fill="FFFCCC"/>
      </w:pPr>
      <w:r>
        <w:t>Factors influencing the ARCBS choice of QC provider were meeting regulatory requirements, testing platforms available and providing a comprehensive service.</w:t>
      </w:r>
    </w:p>
    <w:p w14:paraId="37629CB1" w14:textId="77777777" w:rsidR="00EB00F9" w:rsidRDefault="00EB00F9" w:rsidP="00EB00F9">
      <w:pPr>
        <w:pStyle w:val="Heading3"/>
        <w:rPr>
          <w:shd w:val="clear" w:color="auto" w:fill="FFFFFF"/>
        </w:rPr>
      </w:pPr>
      <w:bookmarkStart w:id="56" w:name="_Toc18664647"/>
      <w:r>
        <w:rPr>
          <w:shd w:val="clear" w:color="auto" w:fill="FFFFFF"/>
        </w:rPr>
        <w:t>Other QC providers</w:t>
      </w:r>
      <w:bookmarkEnd w:id="56"/>
    </w:p>
    <w:p w14:paraId="5D21FA01" w14:textId="77777777" w:rsidR="00EB00F9" w:rsidRDefault="00EB00F9" w:rsidP="00EB00F9">
      <w:pPr>
        <w:pStyle w:val="BodyCopy"/>
        <w:rPr>
          <w:shd w:val="clear" w:color="auto" w:fill="FFFFFF"/>
        </w:rPr>
      </w:pPr>
      <w:r>
        <w:rPr>
          <w:shd w:val="clear" w:color="auto" w:fill="FFFFFF"/>
        </w:rPr>
        <w:t xml:space="preserve">A general online search, review of NATA accreditation data, and survey of participating laboratories provided information on alternative QC service providers. Three companies offer QC products for HIV, HCV and HBV. These companies are SeraCare, BioRad, and Thermo Fisher. </w:t>
      </w:r>
    </w:p>
    <w:p w14:paraId="7B80F20B" w14:textId="287529F5" w:rsidR="00EB00F9" w:rsidRDefault="00EB00F9" w:rsidP="00EB00F9">
      <w:pPr>
        <w:pStyle w:val="BodyCopy"/>
      </w:pPr>
      <w:r>
        <w:t xml:space="preserve">Other service providers listed by participating laboratories included serology multi-marker and HIV QC by Thermo Fisher, and HBV QC by BioRad, see </w:t>
      </w:r>
      <w:r>
        <w:fldChar w:fldCharType="begin"/>
      </w:r>
      <w:r>
        <w:instrText xml:space="preserve"> REF _Ref494877839 \h </w:instrText>
      </w:r>
      <w:r>
        <w:fldChar w:fldCharType="separate"/>
      </w:r>
      <w:r w:rsidR="0078683A">
        <w:t xml:space="preserve">Table </w:t>
      </w:r>
      <w:r w:rsidR="0078683A">
        <w:rPr>
          <w:noProof/>
        </w:rPr>
        <w:t>5</w:t>
      </w:r>
      <w:r w:rsidR="0078683A">
        <w:t>.</w:t>
      </w:r>
      <w:r w:rsidR="0078683A">
        <w:rPr>
          <w:noProof/>
        </w:rPr>
        <w:t>1</w:t>
      </w:r>
      <w:r>
        <w:fldChar w:fldCharType="end"/>
      </w:r>
      <w:r>
        <w:t xml:space="preserve">. </w:t>
      </w:r>
    </w:p>
    <w:p w14:paraId="1CD28F9A" w14:textId="77777777" w:rsidR="00EB00F9" w:rsidRDefault="00EB00F9" w:rsidP="00EB00F9">
      <w:pPr>
        <w:pStyle w:val="BodyCopy"/>
        <w:rPr>
          <w:shd w:val="clear" w:color="auto" w:fill="FFFFFF"/>
        </w:rPr>
      </w:pPr>
      <w:r>
        <w:t xml:space="preserve">Other products used by the ARCBS laboratories for contingency only were SeraCare HIV p24 and multi-marker controls. The ARCBS New South Wales laboratory performs additional testing compared with the other three ARCBS laboratories, and uses a selection of products from SeraCare and BioRad. </w:t>
      </w:r>
    </w:p>
    <w:p w14:paraId="54DBC74F" w14:textId="50D2D564" w:rsidR="00EB00F9" w:rsidRDefault="00275960" w:rsidP="00EB00F9">
      <w:pPr>
        <w:pStyle w:val="KeyFinding"/>
      </w:pPr>
      <w:r>
        <w:t>Participating l</w:t>
      </w:r>
      <w:r w:rsidR="00EB00F9">
        <w:t xml:space="preserve">aboratories paid </w:t>
      </w:r>
      <w:r>
        <w:t xml:space="preserve">a fee </w:t>
      </w:r>
      <w:r w:rsidR="00EB00F9">
        <w:t xml:space="preserve">for QC </w:t>
      </w:r>
      <w:r w:rsidR="00164B84">
        <w:t>services</w:t>
      </w:r>
      <w:r w:rsidR="00EB00F9">
        <w:t xml:space="preserve">, above what was subsidised by the Australian Government. This is due to </w:t>
      </w:r>
      <w:r>
        <w:t>t</w:t>
      </w:r>
      <w:r w:rsidR="00EB00F9">
        <w:t>he multi-marker assays contain</w:t>
      </w:r>
      <w:r>
        <w:t>ing</w:t>
      </w:r>
      <w:r w:rsidR="00EB00F9">
        <w:t xml:space="preserve"> </w:t>
      </w:r>
      <w:r w:rsidR="00164B84">
        <w:t>several</w:t>
      </w:r>
      <w:r w:rsidR="00EB00F9">
        <w:t xml:space="preserve"> diseases not funded by the </w:t>
      </w:r>
      <w:r w:rsidR="00CC636C">
        <w:t>government</w:t>
      </w:r>
      <w:r w:rsidR="00EB00F9">
        <w:t>, necessitating an additional payment from laboratories. This</w:t>
      </w:r>
      <w:r w:rsidR="00164B84">
        <w:t xml:space="preserve"> funding arrangement is ambiguous for laboratories and funders alike. </w:t>
      </w:r>
    </w:p>
    <w:p w14:paraId="0E79FCAA" w14:textId="4351488D" w:rsidR="00EB00F9" w:rsidRDefault="0006152E" w:rsidP="0006152E">
      <w:pPr>
        <w:pStyle w:val="BodyCopy"/>
      </w:pPr>
      <w:r>
        <w:t>Although there are multiple companies providin</w:t>
      </w:r>
      <w:r w:rsidR="002606E5">
        <w:t>g QC programs, there will be some differences between providers</w:t>
      </w:r>
      <w:r w:rsidR="007F79CC">
        <w:t>,</w:t>
      </w:r>
      <w:r w:rsidR="002606E5">
        <w:t xml:space="preserve"> e.g. </w:t>
      </w:r>
      <w:r>
        <w:t xml:space="preserve">in the type of control provided and the level of service offered. For example, </w:t>
      </w:r>
      <w:r w:rsidR="006B7DCC">
        <w:t xml:space="preserve">whether </w:t>
      </w:r>
      <w:r w:rsidR="000B3DBE">
        <w:t xml:space="preserve">the </w:t>
      </w:r>
      <w:r>
        <w:t xml:space="preserve">QC products </w:t>
      </w:r>
      <w:r w:rsidR="006B7DCC">
        <w:t xml:space="preserve">are </w:t>
      </w:r>
      <w:r>
        <w:t xml:space="preserve">generic </w:t>
      </w:r>
      <w:r w:rsidR="00EB00F9">
        <w:t xml:space="preserve">or </w:t>
      </w:r>
      <w:r>
        <w:t>optimised for specific equipment</w:t>
      </w:r>
      <w:r w:rsidR="00EB00F9">
        <w:t xml:space="preserve">, </w:t>
      </w:r>
      <w:r w:rsidR="006B7DCC">
        <w:t xml:space="preserve">whether </w:t>
      </w:r>
      <w:r w:rsidR="00EB00F9">
        <w:t xml:space="preserve">the provider </w:t>
      </w:r>
      <w:r w:rsidR="006B7DCC">
        <w:t xml:space="preserve">has </w:t>
      </w:r>
      <w:r w:rsidR="00EB00F9">
        <w:t xml:space="preserve">an online tool for recording QC results, </w:t>
      </w:r>
      <w:r w:rsidR="006B7DCC">
        <w:t xml:space="preserve">whether </w:t>
      </w:r>
      <w:r w:rsidR="00EB00F9">
        <w:t xml:space="preserve">there </w:t>
      </w:r>
      <w:r w:rsidR="006B7DCC">
        <w:t xml:space="preserve">is </w:t>
      </w:r>
      <w:r w:rsidR="00EB00F9">
        <w:t xml:space="preserve">a mechanism to compare between laboratories, </w:t>
      </w:r>
      <w:r w:rsidR="006B7DCC">
        <w:t xml:space="preserve">whether </w:t>
      </w:r>
      <w:r w:rsidR="00EB00F9">
        <w:t>the provider offer</w:t>
      </w:r>
      <w:r w:rsidR="006B7DCC">
        <w:t>s</w:t>
      </w:r>
      <w:r w:rsidR="00EB00F9">
        <w:t xml:space="preserve"> troubleshooting support for laboratories where results are sub-optimal</w:t>
      </w:r>
      <w:r w:rsidR="006B7DCC">
        <w:t xml:space="preserve">.  </w:t>
      </w:r>
    </w:p>
    <w:p w14:paraId="78DECCDD" w14:textId="77777777" w:rsidR="00EB00F9" w:rsidRDefault="00EB00F9" w:rsidP="0006152E">
      <w:pPr>
        <w:pStyle w:val="BodyCopy"/>
      </w:pPr>
      <w:r>
        <w:t xml:space="preserve">The level of service provided will need to be transparent in any future funding arrangements or unit costs for equitable comparison across companies. </w:t>
      </w:r>
    </w:p>
    <w:p w14:paraId="16662297" w14:textId="77777777" w:rsidR="0042491D" w:rsidRPr="009D6F49" w:rsidRDefault="009D6F49" w:rsidP="0042491D">
      <w:pPr>
        <w:pStyle w:val="Heading3"/>
        <w:rPr>
          <w:shd w:val="clear" w:color="auto" w:fill="FFFFFF"/>
        </w:rPr>
      </w:pPr>
      <w:bookmarkStart w:id="57" w:name="_Toc18664648"/>
      <w:r w:rsidRPr="009D6F49">
        <w:rPr>
          <w:shd w:val="clear" w:color="auto" w:fill="FFFFFF"/>
        </w:rPr>
        <w:lastRenderedPageBreak/>
        <w:t>Comparison of QC costs</w:t>
      </w:r>
      <w:bookmarkEnd w:id="57"/>
      <w:r w:rsidRPr="009D6F49">
        <w:rPr>
          <w:shd w:val="clear" w:color="auto" w:fill="FFFFFF"/>
        </w:rPr>
        <w:t xml:space="preserve"> </w:t>
      </w:r>
    </w:p>
    <w:p w14:paraId="6749A856" w14:textId="77777777" w:rsidR="0042491D" w:rsidRPr="009D6F49" w:rsidRDefault="004F4F68" w:rsidP="0042491D">
      <w:pPr>
        <w:pStyle w:val="BodyCopy"/>
      </w:pPr>
      <w:r w:rsidRPr="009D6F49">
        <w:t>It is difficult to directly compare the cost of NRL QC products to other service providers for several reasons, including:</w:t>
      </w:r>
    </w:p>
    <w:p w14:paraId="0FCBCEE6" w14:textId="77777777" w:rsidR="009D6F49" w:rsidRPr="009D6F49" w:rsidRDefault="009D6F49" w:rsidP="009D6F49">
      <w:pPr>
        <w:pStyle w:val="Bullets1"/>
      </w:pPr>
      <w:r w:rsidRPr="009D6F49">
        <w:t>the value of NRL QC product unit costs as per Schedule 2 or Schedule 3 of the funding agreement do not account for administrative or other semi-fixed costs (e.g. salaries) that are budgeted for under Schedule 1</w:t>
      </w:r>
    </w:p>
    <w:p w14:paraId="18CD175D" w14:textId="1376967C" w:rsidR="009D6F49" w:rsidRPr="009D6F49" w:rsidRDefault="009D6F49" w:rsidP="009D6F49">
      <w:pPr>
        <w:pStyle w:val="Bullets1"/>
      </w:pPr>
      <w:r w:rsidRPr="009D6F49">
        <w:t xml:space="preserve">QC products </w:t>
      </w:r>
      <w:r w:rsidR="003561CF">
        <w:t xml:space="preserve">are not always comparable </w:t>
      </w:r>
      <w:r w:rsidRPr="009D6F49">
        <w:t xml:space="preserve">and </w:t>
      </w:r>
    </w:p>
    <w:p w14:paraId="0F05FB0B" w14:textId="4777D369" w:rsidR="009D6F49" w:rsidRPr="009D6F49" w:rsidRDefault="009D6F49" w:rsidP="009D6F49">
      <w:pPr>
        <w:pStyle w:val="Bullets1"/>
      </w:pPr>
      <w:r w:rsidRPr="009D6F49">
        <w:t>additional services such as specificity monitoring are unlikely to be included in the costs of QC products from other service providers</w:t>
      </w:r>
      <w:r>
        <w:t xml:space="preserve"> (although the extent to which this does or does not occur was not explored in the survey process)</w:t>
      </w:r>
      <w:r w:rsidRPr="009D6F49">
        <w:t xml:space="preserve">. </w:t>
      </w:r>
    </w:p>
    <w:p w14:paraId="737C8792" w14:textId="77777777" w:rsidR="009D6F49" w:rsidRDefault="00757942" w:rsidP="009D6F49">
      <w:pPr>
        <w:pStyle w:val="BodyCopy"/>
      </w:pPr>
      <w:r>
        <w:t xml:space="preserve">An estimated unit cost of NRL products that include the </w:t>
      </w:r>
      <w:r w:rsidR="00611650">
        <w:t>Schedule 1 components was prepared by allocating a proportion of Schedule 1 costs to</w:t>
      </w:r>
      <w:r w:rsidR="002A53B6">
        <w:t xml:space="preserve"> the NRL product and service usage</w:t>
      </w:r>
      <w:r w:rsidR="00611650">
        <w:t xml:space="preserve"> of Schedule 2 and 3 items, relative to the estimated value of each item (i.e. items with a higher estimated cost received a higher proportion of Schedule 1 funding distribution). </w:t>
      </w:r>
    </w:p>
    <w:p w14:paraId="0B69DD2F" w14:textId="7A3BC3FF" w:rsidR="00EB00F9" w:rsidRDefault="00611650" w:rsidP="00C67A44">
      <w:pPr>
        <w:pStyle w:val="BodyCopy"/>
      </w:pPr>
      <w:r>
        <w:t>Based on the</w:t>
      </w:r>
      <w:r w:rsidR="002A53B6">
        <w:t xml:space="preserve"> calculated costs (see</w:t>
      </w:r>
      <w:r w:rsidR="000C2536">
        <w:t xml:space="preserve"> </w:t>
      </w:r>
      <w:r w:rsidR="000C2536">
        <w:fldChar w:fldCharType="begin"/>
      </w:r>
      <w:r w:rsidR="000C2536">
        <w:instrText xml:space="preserve"> REF _Ref18407512 \r \h </w:instrText>
      </w:r>
      <w:r w:rsidR="000C2536">
        <w:fldChar w:fldCharType="separate"/>
      </w:r>
      <w:r w:rsidR="0078683A">
        <w:t>Appendix F</w:t>
      </w:r>
      <w:r w:rsidR="000C2536">
        <w:fldChar w:fldCharType="end"/>
      </w:r>
      <w:r w:rsidR="000C2536">
        <w:t xml:space="preserve">, </w:t>
      </w:r>
      <w:r w:rsidR="00C67A44">
        <w:fldChar w:fldCharType="begin"/>
      </w:r>
      <w:r w:rsidR="00C67A44">
        <w:instrText xml:space="preserve"> REF _Ref495309568 \h </w:instrText>
      </w:r>
      <w:r w:rsidR="00C67A44">
        <w:fldChar w:fldCharType="separate"/>
      </w:r>
      <w:r w:rsidR="0078683A">
        <w:t xml:space="preserve">Table </w:t>
      </w:r>
      <w:r w:rsidR="0078683A">
        <w:rPr>
          <w:noProof/>
        </w:rPr>
        <w:t>9</w:t>
      </w:r>
      <w:r w:rsidR="0078683A">
        <w:t>.</w:t>
      </w:r>
      <w:r w:rsidR="0078683A">
        <w:rPr>
          <w:noProof/>
        </w:rPr>
        <w:t>1</w:t>
      </w:r>
      <w:r w:rsidR="00C67A44">
        <w:fldChar w:fldCharType="end"/>
      </w:r>
      <w:r w:rsidR="002A53B6">
        <w:t>), HMA estimate</w:t>
      </w:r>
      <w:r w:rsidR="006B7DCC">
        <w:t>d</w:t>
      </w:r>
      <w:r w:rsidR="002A53B6">
        <w:t xml:space="preserve"> that total unit cost for NRL QC products range from </w:t>
      </w:r>
      <w:r w:rsidR="002A53B6">
        <w:rPr>
          <w:rFonts w:ascii="Times New Roman" w:hAnsi="Times New Roman"/>
        </w:rPr>
        <w:t>$</w:t>
      </w:r>
      <w:r w:rsidR="00424F05">
        <w:rPr>
          <w:rFonts w:ascii="Times New Roman" w:hAnsi="Times New Roman"/>
        </w:rPr>
        <w:t>45</w:t>
      </w:r>
      <w:r w:rsidR="008144EE">
        <w:rPr>
          <w:rFonts w:ascii="Times New Roman" w:hAnsi="Times New Roman"/>
        </w:rPr>
        <w:t xml:space="preserve"> to $60</w:t>
      </w:r>
      <w:r w:rsidR="00424F05">
        <w:rPr>
          <w:rFonts w:ascii="Times New Roman" w:hAnsi="Times New Roman"/>
        </w:rPr>
        <w:t xml:space="preserve"> </w:t>
      </w:r>
      <w:r w:rsidR="00424F05" w:rsidRPr="00424F05">
        <w:t>per unit</w:t>
      </w:r>
      <w:r w:rsidR="002A53B6">
        <w:t xml:space="preserve">. </w:t>
      </w:r>
    </w:p>
    <w:p w14:paraId="77571256" w14:textId="77777777" w:rsidR="00611650" w:rsidRDefault="002A53B6" w:rsidP="00C67A44">
      <w:pPr>
        <w:pStyle w:val="BodyCopy"/>
      </w:pPr>
      <w:r>
        <w:t xml:space="preserve">However, specificity monitoring reports prepared </w:t>
      </w:r>
      <w:r w:rsidR="00CC636C">
        <w:t xml:space="preserve">monthly </w:t>
      </w:r>
      <w:r>
        <w:t xml:space="preserve">for the ARCBS have an estimated total unit cost of </w:t>
      </w:r>
      <w:r w:rsidR="000B7125">
        <w:rPr>
          <w:rFonts w:ascii="Times New Roman" w:hAnsi="Times New Roman"/>
        </w:rPr>
        <w:t>$</w:t>
      </w:r>
      <w:r w:rsidR="008144EE">
        <w:rPr>
          <w:rFonts w:ascii="Times New Roman" w:hAnsi="Times New Roman"/>
        </w:rPr>
        <w:t>13</w:t>
      </w:r>
      <w:r w:rsidR="000B7125">
        <w:t xml:space="preserve">,000 per report. HMA is not aware of a comparative service for this item. Therefore, the appropriateness of the estimated total unit cost cannot be assessed. </w:t>
      </w:r>
    </w:p>
    <w:p w14:paraId="62676B45" w14:textId="77777777" w:rsidR="00BE1531" w:rsidRDefault="00BE1531" w:rsidP="00C67A44">
      <w:pPr>
        <w:pStyle w:val="BodyCopy"/>
      </w:pPr>
      <w:r>
        <w:t>It should be noted that the above unit cost estimates are based on HMA’s assessment of costs, not an average of what laboratories pay now for the services. It is difficult to compare the unit costs estimated in this manner, and more investigation is required by the Department to determine if NRL-provided QC services represent good value for money.</w:t>
      </w:r>
    </w:p>
    <w:p w14:paraId="348B23FD" w14:textId="57225B6A" w:rsidR="00D173D5" w:rsidRDefault="003D47D9" w:rsidP="00D173D5">
      <w:pPr>
        <w:pStyle w:val="KeyFinding"/>
      </w:pPr>
      <w:r>
        <w:t>Cost structures make it difficult to compare service costs with other providers</w:t>
      </w:r>
      <w:r w:rsidR="009953B0">
        <w:t xml:space="preserve">. </w:t>
      </w:r>
    </w:p>
    <w:p w14:paraId="58F0664B" w14:textId="77777777" w:rsidR="000B7125" w:rsidRDefault="00D173D5" w:rsidP="00D173D5">
      <w:pPr>
        <w:pStyle w:val="KeyFinding"/>
      </w:pPr>
      <w:r>
        <w:t xml:space="preserve">A comparison of ARCBS specificity monitoring reports was not possible as no comparable/alternative programs were reported. </w:t>
      </w:r>
      <w:r w:rsidR="000B7125">
        <w:t xml:space="preserve"> </w:t>
      </w:r>
    </w:p>
    <w:p w14:paraId="195915AD" w14:textId="3A928410" w:rsidR="003F409A" w:rsidRDefault="008F1F65" w:rsidP="00D11286">
      <w:pPr>
        <w:pStyle w:val="Heading3"/>
      </w:pPr>
      <w:bookmarkStart w:id="58" w:name="_Toc18664649"/>
      <w:r>
        <w:t>QA use by p</w:t>
      </w:r>
      <w:r w:rsidR="00A27E4E">
        <w:t>articipating laboratories</w:t>
      </w:r>
      <w:bookmarkEnd w:id="58"/>
    </w:p>
    <w:p w14:paraId="09A158B4" w14:textId="392F159B" w:rsidR="00060780" w:rsidRPr="00E33CA1" w:rsidRDefault="00060780" w:rsidP="00060780">
      <w:pPr>
        <w:pStyle w:val="BodyCopy"/>
      </w:pPr>
      <w:r>
        <w:rPr>
          <w:shd w:val="clear" w:color="auto" w:fill="FFFFFF"/>
        </w:rPr>
        <w:t>Based on survey responses from 30 laboratories using NRL products (38% response rate), a</w:t>
      </w:r>
      <w:r w:rsidRPr="00E33CA1">
        <w:t xml:space="preserve"> summary of the QA products used by responding laboratories is provided in </w:t>
      </w:r>
      <w:r w:rsidRPr="00E33CA1">
        <w:fldChar w:fldCharType="begin"/>
      </w:r>
      <w:r w:rsidRPr="00E33CA1">
        <w:instrText xml:space="preserve"> REF _Ref494285656 \h  \* MERGEFORMAT </w:instrText>
      </w:r>
      <w:r w:rsidRPr="00E33CA1">
        <w:fldChar w:fldCharType="separate"/>
      </w:r>
      <w:r w:rsidR="0078683A">
        <w:t>Table 5.2</w:t>
      </w:r>
      <w:r w:rsidRPr="00E33CA1">
        <w:fldChar w:fldCharType="end"/>
      </w:r>
      <w:r w:rsidRPr="00E33CA1">
        <w:t xml:space="preserve">. </w:t>
      </w:r>
    </w:p>
    <w:p w14:paraId="0DD4B67A" w14:textId="252DAC23" w:rsidR="00060780" w:rsidRDefault="00060780" w:rsidP="00060780">
      <w:pPr>
        <w:pStyle w:val="BodyCopy"/>
      </w:pPr>
      <w:r>
        <w:rPr>
          <w:shd w:val="clear" w:color="auto" w:fill="FFFFFF"/>
        </w:rPr>
        <w:t xml:space="preserve">The majority of laboratories used NRL </w:t>
      </w:r>
      <w:r>
        <w:t xml:space="preserve">HIV serology EQAS, which is </w:t>
      </w:r>
      <w:r w:rsidR="00B472DB">
        <w:t xml:space="preserve">provided </w:t>
      </w:r>
      <w:r>
        <w:t>free</w:t>
      </w:r>
      <w:r w:rsidR="00CF6F90">
        <w:t>-</w:t>
      </w:r>
      <w:r>
        <w:t>of</w:t>
      </w:r>
      <w:r w:rsidR="00CF6F90">
        <w:t>-</w:t>
      </w:r>
      <w:r>
        <w:t xml:space="preserve">charge </w:t>
      </w:r>
      <w:r w:rsidR="00B472DB">
        <w:t xml:space="preserve">to participating laboratories </w:t>
      </w:r>
      <w:r>
        <w:t xml:space="preserve">(n=27, 90%) and half the responding laboratories used NRL HCV serology EQAS (n=15, 50%), provided </w:t>
      </w:r>
      <w:r w:rsidR="00B472DB">
        <w:t xml:space="preserve">to the laboratories </w:t>
      </w:r>
      <w:r>
        <w:t>free of charge. Approximately one third of responding laboratories used</w:t>
      </w:r>
      <w:r w:rsidR="0006152E">
        <w:t xml:space="preserve"> a hepatitis serology (</w:t>
      </w:r>
      <w:r w:rsidR="00337E79">
        <w:t xml:space="preserve">hepatitis A virus (HAV), </w:t>
      </w:r>
      <w:r w:rsidR="0006152E">
        <w:t xml:space="preserve">HBV or HCV) program at a cost </w:t>
      </w:r>
      <w:r w:rsidR="005E52D9">
        <w:t xml:space="preserve">of </w:t>
      </w:r>
      <w:r w:rsidR="0006152E">
        <w:rPr>
          <w:rFonts w:ascii="Times New Roman" w:hAnsi="Times New Roman"/>
        </w:rPr>
        <w:t>$</w:t>
      </w:r>
      <w:r w:rsidR="0006152E">
        <w:t xml:space="preserve">560 per year (n=9, 30%) or </w:t>
      </w:r>
      <w:r>
        <w:t>HTLV serology EQAS (n=9, 30%), provided free of charge</w:t>
      </w:r>
      <w:r w:rsidR="0006152E">
        <w:t xml:space="preserve">, see </w:t>
      </w:r>
      <w:r w:rsidR="0006152E" w:rsidRPr="00E33CA1">
        <w:fldChar w:fldCharType="begin"/>
      </w:r>
      <w:r w:rsidR="0006152E" w:rsidRPr="00E33CA1">
        <w:instrText xml:space="preserve"> REF _Ref494285656 \h  \* MERGEFORMAT </w:instrText>
      </w:r>
      <w:r w:rsidR="0006152E" w:rsidRPr="00E33CA1">
        <w:fldChar w:fldCharType="separate"/>
      </w:r>
      <w:r w:rsidR="0078683A">
        <w:t>Table 5.2</w:t>
      </w:r>
      <w:r w:rsidR="0006152E" w:rsidRPr="00E33CA1">
        <w:fldChar w:fldCharType="end"/>
      </w:r>
      <w:r w:rsidR="0006152E">
        <w:t xml:space="preserve">. </w:t>
      </w:r>
    </w:p>
    <w:p w14:paraId="34692BEE" w14:textId="0512960F" w:rsidR="00060780" w:rsidRDefault="0006152E" w:rsidP="00060780">
      <w:pPr>
        <w:pStyle w:val="BodyCopy"/>
      </w:pPr>
      <w:r>
        <w:t>Viral load EQAS for HIV and HCV were used by approximately one third of survey respondents (HIV</w:t>
      </w:r>
      <w:r w:rsidR="00D0297A">
        <w:t>:</w:t>
      </w:r>
      <w:r>
        <w:t xml:space="preserve"> n=10, 33%; HCV</w:t>
      </w:r>
      <w:r w:rsidR="00D0297A">
        <w:t>:</w:t>
      </w:r>
      <w:r>
        <w:t xml:space="preserve"> n=9, 30%). HBV viral load EQAS was used by almost one quarter of responding laboratories (7 laboratories, 23%) at a cost of </w:t>
      </w:r>
      <w:r>
        <w:rPr>
          <w:rFonts w:ascii="Times New Roman" w:hAnsi="Times New Roman"/>
        </w:rPr>
        <w:t>$</w:t>
      </w:r>
      <w:r>
        <w:t xml:space="preserve">975 per year. See </w:t>
      </w:r>
      <w:r w:rsidRPr="00E33CA1">
        <w:fldChar w:fldCharType="begin"/>
      </w:r>
      <w:r w:rsidRPr="00E33CA1">
        <w:instrText xml:space="preserve"> REF _Ref494285656 \h  \* MERGEFORMAT </w:instrText>
      </w:r>
      <w:r w:rsidRPr="00E33CA1">
        <w:fldChar w:fldCharType="separate"/>
      </w:r>
      <w:r w:rsidR="0078683A">
        <w:t>Table 5.2</w:t>
      </w:r>
      <w:r w:rsidRPr="00E33CA1">
        <w:fldChar w:fldCharType="end"/>
      </w:r>
      <w:r>
        <w:t xml:space="preserve">. </w:t>
      </w:r>
    </w:p>
    <w:p w14:paraId="41C7197C" w14:textId="0F311B27" w:rsidR="000C7CF3" w:rsidRPr="000C7CF3" w:rsidRDefault="000C7CF3" w:rsidP="000C7CF3">
      <w:pPr>
        <w:pStyle w:val="BodyCopy"/>
      </w:pPr>
      <w:r>
        <w:t xml:space="preserve">The majority of responding laboratories provided rankings on what </w:t>
      </w:r>
      <w:r>
        <w:rPr>
          <w:i/>
        </w:rPr>
        <w:t xml:space="preserve">factors most influence their choice of service provider for QA </w:t>
      </w:r>
      <w:r w:rsidRPr="00CC636C">
        <w:rPr>
          <w:i/>
        </w:rPr>
        <w:t>programs</w:t>
      </w:r>
      <w:r>
        <w:t xml:space="preserve"> (n=26, 87%). </w:t>
      </w:r>
      <w:r w:rsidRPr="000C7CF3">
        <w:t>Using</w:t>
      </w:r>
      <w:r>
        <w:t xml:space="preserve"> the ranking points methodology, laboratories assigned a total of 168 ranking points to factors influencing </w:t>
      </w:r>
      <w:r w:rsidRPr="000C7CF3">
        <w:t xml:space="preserve">their choice of </w:t>
      </w:r>
      <w:r>
        <w:t>Q</w:t>
      </w:r>
      <w:r w:rsidRPr="000C7CF3">
        <w:t xml:space="preserve">A </w:t>
      </w:r>
      <w:r w:rsidR="00187B3B">
        <w:t xml:space="preserve">service </w:t>
      </w:r>
      <w:r w:rsidRPr="000C7CF3">
        <w:t xml:space="preserve">provider. </w:t>
      </w:r>
      <w:r w:rsidR="00DD21A1">
        <w:t xml:space="preserve">As shown in </w:t>
      </w:r>
      <w:r w:rsidR="00DD21A1" w:rsidRPr="000C7CF3">
        <w:fldChar w:fldCharType="begin"/>
      </w:r>
      <w:r w:rsidR="00DD21A1" w:rsidRPr="000C7CF3">
        <w:instrText xml:space="preserve"> REF _Ref494892625 \h </w:instrText>
      </w:r>
      <w:r w:rsidR="00DD21A1">
        <w:instrText xml:space="preserve"> \* MERGEFORMAT </w:instrText>
      </w:r>
      <w:r w:rsidR="00DD21A1" w:rsidRPr="000C7CF3">
        <w:fldChar w:fldCharType="separate"/>
      </w:r>
      <w:r w:rsidR="0078683A">
        <w:t xml:space="preserve">Figure </w:t>
      </w:r>
      <w:r w:rsidR="0078683A">
        <w:rPr>
          <w:noProof/>
        </w:rPr>
        <w:t>5.2</w:t>
      </w:r>
      <w:r w:rsidR="00DD21A1" w:rsidRPr="000C7CF3">
        <w:fldChar w:fldCharType="end"/>
      </w:r>
      <w:r w:rsidR="00DD21A1">
        <w:t>, t</w:t>
      </w:r>
      <w:r w:rsidRPr="000C7CF3">
        <w:t xml:space="preserve">he analysis </w:t>
      </w:r>
      <w:r w:rsidR="00CF6F90">
        <w:t>revealed</w:t>
      </w:r>
      <w:r w:rsidR="00CF6F90" w:rsidRPr="000C7CF3">
        <w:t xml:space="preserve"> </w:t>
      </w:r>
      <w:r w:rsidRPr="000C7CF3">
        <w:t>that the top three factors influenci</w:t>
      </w:r>
      <w:r w:rsidR="00DD21A1">
        <w:t xml:space="preserve">ng choice of QA </w:t>
      </w:r>
      <w:r w:rsidR="00187B3B">
        <w:t xml:space="preserve">service </w:t>
      </w:r>
      <w:r w:rsidR="00DD21A1">
        <w:t>provider were</w:t>
      </w:r>
      <w:r w:rsidR="005E52D9">
        <w:t>:</w:t>
      </w:r>
    </w:p>
    <w:p w14:paraId="0E298397" w14:textId="77777777" w:rsidR="000C7CF3" w:rsidRPr="000C7CF3" w:rsidRDefault="000C7CF3" w:rsidP="00CB3CCF">
      <w:pPr>
        <w:pStyle w:val="Numbers1"/>
        <w:numPr>
          <w:ilvl w:val="0"/>
          <w:numId w:val="35"/>
        </w:numPr>
      </w:pPr>
      <w:r w:rsidRPr="000C7CF3">
        <w:t>meeting minimum regulation requir</w:t>
      </w:r>
      <w:r w:rsidR="00D0297A">
        <w:t>ements</w:t>
      </w:r>
    </w:p>
    <w:p w14:paraId="69A9EDA7" w14:textId="77777777" w:rsidR="000C7CF3" w:rsidRPr="000C7CF3" w:rsidRDefault="000C7CF3" w:rsidP="00CB3CCF">
      <w:pPr>
        <w:pStyle w:val="Numbers1"/>
        <w:numPr>
          <w:ilvl w:val="0"/>
          <w:numId w:val="35"/>
        </w:numPr>
      </w:pPr>
      <w:r w:rsidRPr="000C7CF3">
        <w:t xml:space="preserve">cost, and </w:t>
      </w:r>
    </w:p>
    <w:p w14:paraId="370F098B" w14:textId="77777777" w:rsidR="000C7CF3" w:rsidRDefault="000C7CF3" w:rsidP="00CB3CCF">
      <w:pPr>
        <w:pStyle w:val="Numbers1"/>
        <w:numPr>
          <w:ilvl w:val="0"/>
          <w:numId w:val="35"/>
        </w:numPr>
      </w:pPr>
      <w:r w:rsidRPr="000C7CF3">
        <w:t xml:space="preserve">reliability. </w:t>
      </w:r>
    </w:p>
    <w:p w14:paraId="56EDE639" w14:textId="77777777" w:rsidR="00EB00F9" w:rsidRDefault="00EB00F9" w:rsidP="00EB00F9">
      <w:pPr>
        <w:pStyle w:val="Heading4"/>
      </w:pPr>
      <w:r>
        <w:t>Participating laboratory QA summary</w:t>
      </w:r>
    </w:p>
    <w:p w14:paraId="7FA5F28B" w14:textId="77777777" w:rsidR="00EB00F9" w:rsidRDefault="00EB00F9" w:rsidP="003E0E7D">
      <w:pPr>
        <w:pStyle w:val="Bullets1"/>
        <w:shd w:val="clear" w:color="auto" w:fill="FFFCCC"/>
      </w:pPr>
      <w:r>
        <w:t>RCPA also provide QA</w:t>
      </w:r>
      <w:r w:rsidR="00187B3B">
        <w:t xml:space="preserve"> services </w:t>
      </w:r>
      <w:r>
        <w:t>for HIV, HCV and HTLV, and viral load QA</w:t>
      </w:r>
      <w:r w:rsidR="00883283">
        <w:t xml:space="preserve"> services</w:t>
      </w:r>
      <w:r>
        <w:t xml:space="preserve"> for HIV and HCV in the Australian market. </w:t>
      </w:r>
    </w:p>
    <w:p w14:paraId="1C56B689" w14:textId="428CD89C" w:rsidR="00EB00F9" w:rsidRDefault="00EB00F9" w:rsidP="003E0E7D">
      <w:pPr>
        <w:pStyle w:val="Bullets1"/>
        <w:shd w:val="clear" w:color="auto" w:fill="FFFCCC"/>
      </w:pPr>
      <w:r>
        <w:lastRenderedPageBreak/>
        <w:t xml:space="preserve">The estimated cost to </w:t>
      </w:r>
      <w:r w:rsidR="00AC3C64">
        <w:t xml:space="preserve">the Department </w:t>
      </w:r>
      <w:r>
        <w:t>for p</w:t>
      </w:r>
      <w:r w:rsidR="00B472DB">
        <w:t xml:space="preserve">articipating </w:t>
      </w:r>
      <w:r>
        <w:t xml:space="preserve">laboratory QA programs is </w:t>
      </w:r>
      <w:r w:rsidR="00B472DB">
        <w:t xml:space="preserve">approximately </w:t>
      </w:r>
      <w:r>
        <w:rPr>
          <w:rFonts w:ascii="Times New Roman" w:hAnsi="Times New Roman"/>
        </w:rPr>
        <w:t>$</w:t>
      </w:r>
      <w:r w:rsidR="00B472DB">
        <w:rPr>
          <w:rFonts w:ascii="Times New Roman" w:hAnsi="Times New Roman"/>
        </w:rPr>
        <w:t>370</w:t>
      </w:r>
      <w:r>
        <w:t>,000</w:t>
      </w:r>
      <w:r w:rsidRPr="00C8781C">
        <w:t xml:space="preserve"> per annum</w:t>
      </w:r>
      <w:r>
        <w:t>.</w:t>
      </w:r>
    </w:p>
    <w:p w14:paraId="45A558F2" w14:textId="77777777" w:rsidR="00EB00F9" w:rsidRDefault="00EB00F9" w:rsidP="003E0E7D">
      <w:pPr>
        <w:pStyle w:val="Bullets1"/>
        <w:shd w:val="clear" w:color="auto" w:fill="FFFCCC"/>
      </w:pPr>
      <w:r>
        <w:t xml:space="preserve">Factors influencing the pathology laboratory choice of QA provider were meeting regulatory requirements, cost and reliability. Many laboratories indicated </w:t>
      </w:r>
      <w:r w:rsidR="00CF6F90">
        <w:t xml:space="preserve">they </w:t>
      </w:r>
      <w:r>
        <w:t xml:space="preserve">used both NRL and RCPA QA products. </w:t>
      </w:r>
    </w:p>
    <w:p w14:paraId="73521813" w14:textId="17568956" w:rsidR="000C7CF3" w:rsidRDefault="000C7CF3" w:rsidP="000C7CF3">
      <w:pPr>
        <w:pStyle w:val="Caption"/>
        <w:rPr>
          <w:rStyle w:val="Captionnotbold"/>
          <w:bCs w:val="0"/>
        </w:rPr>
      </w:pPr>
      <w:bookmarkStart w:id="59" w:name="_Ref494892625"/>
      <w:r>
        <w:t xml:space="preserve">Figure </w:t>
      </w:r>
      <w:r w:rsidR="007F2202">
        <w:rPr>
          <w:noProof/>
        </w:rPr>
        <w:fldChar w:fldCharType="begin"/>
      </w:r>
      <w:r w:rsidR="007F2202">
        <w:rPr>
          <w:noProof/>
        </w:rPr>
        <w:instrText xml:space="preserve"> STYLEREF 1 \s </w:instrText>
      </w:r>
      <w:r w:rsidR="007F2202">
        <w:rPr>
          <w:noProof/>
        </w:rPr>
        <w:fldChar w:fldCharType="separate"/>
      </w:r>
      <w:r w:rsidR="0078683A">
        <w:rPr>
          <w:noProof/>
        </w:rPr>
        <w:t>5</w:t>
      </w:r>
      <w:r w:rsidR="007F2202">
        <w:rPr>
          <w:noProof/>
        </w:rPr>
        <w:fldChar w:fldCharType="end"/>
      </w:r>
      <w:r w:rsidR="00421D57">
        <w:t>.</w:t>
      </w:r>
      <w:r w:rsidR="0083660F">
        <w:rPr>
          <w:noProof/>
        </w:rPr>
        <w:fldChar w:fldCharType="begin"/>
      </w:r>
      <w:r w:rsidR="0083660F">
        <w:rPr>
          <w:noProof/>
        </w:rPr>
        <w:instrText xml:space="preserve"> SEQ Figure \* ARABIC \s 1 </w:instrText>
      </w:r>
      <w:r w:rsidR="0083660F">
        <w:rPr>
          <w:noProof/>
        </w:rPr>
        <w:fldChar w:fldCharType="separate"/>
      </w:r>
      <w:r w:rsidR="0078683A">
        <w:rPr>
          <w:noProof/>
        </w:rPr>
        <w:t>2</w:t>
      </w:r>
      <w:r w:rsidR="0083660F">
        <w:rPr>
          <w:noProof/>
        </w:rPr>
        <w:fldChar w:fldCharType="end"/>
      </w:r>
      <w:bookmarkEnd w:id="59"/>
      <w:r>
        <w:t xml:space="preserve">: </w:t>
      </w:r>
      <w:r>
        <w:rPr>
          <w:rStyle w:val="Captionnotbold"/>
          <w:bCs w:val="0"/>
        </w:rPr>
        <w:t>Important factors in choice of QA provider, ranking points method, (surveyed laboratories, percentage of total points)</w:t>
      </w:r>
    </w:p>
    <w:p w14:paraId="2F727AC7" w14:textId="77777777" w:rsidR="0006152E" w:rsidRDefault="00D66D4D" w:rsidP="00060780">
      <w:pPr>
        <w:pStyle w:val="BodyCopy"/>
      </w:pPr>
      <w:r>
        <w:rPr>
          <w:noProof/>
          <w:lang w:eastAsia="en-AU"/>
        </w:rPr>
        <w:drawing>
          <wp:inline distT="0" distB="0" distL="0" distR="0" wp14:anchorId="06B7914C" wp14:editId="1687EB25">
            <wp:extent cx="4572000" cy="4105275"/>
            <wp:effectExtent l="0" t="0" r="0" b="9525"/>
            <wp:docPr id="8" name="Picture 65"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105275"/>
                    </a:xfrm>
                    <a:prstGeom prst="rect">
                      <a:avLst/>
                    </a:prstGeom>
                    <a:noFill/>
                    <a:ln>
                      <a:noFill/>
                    </a:ln>
                  </pic:spPr>
                </pic:pic>
              </a:graphicData>
            </a:graphic>
          </wp:inline>
        </w:drawing>
      </w:r>
    </w:p>
    <w:p w14:paraId="55DCF118" w14:textId="77777777" w:rsidR="00BF0546" w:rsidRDefault="008F1F65" w:rsidP="00BF0546">
      <w:pPr>
        <w:pStyle w:val="Heading3"/>
      </w:pPr>
      <w:bookmarkStart w:id="60" w:name="_Toc18664650"/>
      <w:r>
        <w:t xml:space="preserve">QA use by </w:t>
      </w:r>
      <w:r w:rsidR="00BF0546">
        <w:t>Australian Red Cross Blood Service</w:t>
      </w:r>
      <w:bookmarkEnd w:id="60"/>
      <w:r w:rsidR="00BF0546">
        <w:t xml:space="preserve"> </w:t>
      </w:r>
    </w:p>
    <w:p w14:paraId="181A0687" w14:textId="500FDF4E" w:rsidR="00BF0546" w:rsidRDefault="00BF0546" w:rsidP="007536F1">
      <w:pPr>
        <w:pStyle w:val="BodyCopy"/>
        <w:keepNext/>
        <w:keepLines/>
      </w:pPr>
      <w:r>
        <w:t xml:space="preserve">All four ARCBS laboratories used NRL multi-marker EQAS (serology at a cost </w:t>
      </w:r>
      <w:r w:rsidR="00D73E89">
        <w:t xml:space="preserve">to the ARCBS </w:t>
      </w:r>
      <w:r>
        <w:t xml:space="preserve">of </w:t>
      </w:r>
      <w:r>
        <w:rPr>
          <w:rFonts w:ascii="Times New Roman" w:hAnsi="Times New Roman"/>
        </w:rPr>
        <w:t>$</w:t>
      </w:r>
      <w:r>
        <w:t xml:space="preserve">560 per year (hepatitis) and </w:t>
      </w:r>
      <w:r>
        <w:rPr>
          <w:rFonts w:ascii="Times New Roman" w:hAnsi="Times New Roman"/>
        </w:rPr>
        <w:t>$</w:t>
      </w:r>
      <w:r>
        <w:t>1,000 per year (blood screening), NAT (free of charge</w:t>
      </w:r>
      <w:r w:rsidR="00B472DB">
        <w:t xml:space="preserve"> to the </w:t>
      </w:r>
      <w:r w:rsidR="00D73E89">
        <w:t>ARCBS</w:t>
      </w:r>
      <w:r>
        <w:t>) and HTLV EQAS (free of charge</w:t>
      </w:r>
      <w:r w:rsidR="00B472DB">
        <w:t xml:space="preserve"> to the </w:t>
      </w:r>
      <w:r w:rsidR="00D73E89">
        <w:t>ARCBS</w:t>
      </w:r>
      <w:r>
        <w:t>)</w:t>
      </w:r>
      <w:r w:rsidR="00CC636C">
        <w:t>)</w:t>
      </w:r>
      <w:r>
        <w:t>. All four ARCBS laboratories also used the RCPA anten</w:t>
      </w:r>
      <w:r w:rsidR="006E7C7A">
        <w:t>at</w:t>
      </w:r>
      <w:r>
        <w:t xml:space="preserve">al EQAS program for syphilis and rubella serology at a cost of </w:t>
      </w:r>
      <w:r>
        <w:rPr>
          <w:rFonts w:ascii="Times New Roman" w:hAnsi="Times New Roman"/>
        </w:rPr>
        <w:t>$</w:t>
      </w:r>
      <w:r>
        <w:t xml:space="preserve">473 per year. </w:t>
      </w:r>
    </w:p>
    <w:p w14:paraId="39793698" w14:textId="77777777" w:rsidR="00BF0546" w:rsidRDefault="00BF0546" w:rsidP="007536F1">
      <w:pPr>
        <w:pStyle w:val="BodyCopy"/>
        <w:keepNext/>
        <w:keepLines/>
      </w:pPr>
      <w:r>
        <w:t>The top three factors influencing the ARCBS choice of QA service provider were:</w:t>
      </w:r>
    </w:p>
    <w:p w14:paraId="7A303EFB" w14:textId="77777777" w:rsidR="00BF0546" w:rsidRDefault="00BF0546" w:rsidP="007536F1">
      <w:pPr>
        <w:pStyle w:val="Numbers1"/>
        <w:keepNext/>
        <w:keepLines/>
        <w:numPr>
          <w:ilvl w:val="0"/>
          <w:numId w:val="5"/>
        </w:numPr>
      </w:pPr>
      <w:r>
        <w:t>meeting minimum regulation requirements</w:t>
      </w:r>
    </w:p>
    <w:p w14:paraId="27ED1441" w14:textId="77777777" w:rsidR="00BF0546" w:rsidRDefault="00BF0546" w:rsidP="007536F1">
      <w:pPr>
        <w:pStyle w:val="Numbers1"/>
        <w:keepNext/>
        <w:keepLines/>
        <w:numPr>
          <w:ilvl w:val="0"/>
          <w:numId w:val="3"/>
        </w:numPr>
      </w:pPr>
      <w:r>
        <w:t xml:space="preserve">available testing platforms, and </w:t>
      </w:r>
    </w:p>
    <w:p w14:paraId="4D2EB8D6" w14:textId="77777777" w:rsidR="00BF0546" w:rsidRDefault="00BF0546" w:rsidP="007536F1">
      <w:pPr>
        <w:pStyle w:val="Numbers1"/>
        <w:keepNext/>
        <w:keepLines/>
        <w:numPr>
          <w:ilvl w:val="0"/>
          <w:numId w:val="3"/>
        </w:numPr>
      </w:pPr>
      <w:r>
        <w:t>a comprehensive service (i.e. all products from one provider).</w:t>
      </w:r>
    </w:p>
    <w:p w14:paraId="1475BE90" w14:textId="77777777" w:rsidR="0006152E" w:rsidRDefault="00241409" w:rsidP="00241409">
      <w:pPr>
        <w:pStyle w:val="Heading4"/>
        <w:rPr>
          <w:shd w:val="clear" w:color="auto" w:fill="FFFFFF"/>
        </w:rPr>
      </w:pPr>
      <w:r>
        <w:rPr>
          <w:shd w:val="clear" w:color="auto" w:fill="FFFFFF"/>
        </w:rPr>
        <w:t xml:space="preserve">ARCBS QA </w:t>
      </w:r>
      <w:r w:rsidR="00CC636C">
        <w:rPr>
          <w:shd w:val="clear" w:color="auto" w:fill="FFFFFF"/>
        </w:rPr>
        <w:t>summary</w:t>
      </w:r>
    </w:p>
    <w:p w14:paraId="041C6578" w14:textId="2DEEE426" w:rsidR="00241409" w:rsidRDefault="00241409" w:rsidP="003E0E7D">
      <w:pPr>
        <w:pStyle w:val="Bullets1"/>
        <w:shd w:val="clear" w:color="auto" w:fill="FFFCCC"/>
      </w:pPr>
      <w:bookmarkStart w:id="61" w:name="_Hlk514684074"/>
      <w:r>
        <w:t xml:space="preserve">The ARCBS only use NRL </w:t>
      </w:r>
      <w:r w:rsidR="00A253BC">
        <w:t xml:space="preserve">QA services </w:t>
      </w:r>
      <w:r>
        <w:t xml:space="preserve">for HIV, HCV and HTLV serology, and for HIV, HCV and HBV NAT. </w:t>
      </w:r>
    </w:p>
    <w:p w14:paraId="506D6730" w14:textId="3A2352A1" w:rsidR="00241409" w:rsidRDefault="00241409" w:rsidP="003E0E7D">
      <w:pPr>
        <w:pStyle w:val="Bullets1"/>
        <w:shd w:val="clear" w:color="auto" w:fill="FFFCCC"/>
      </w:pPr>
      <w:r>
        <w:t xml:space="preserve">The estimated cost to </w:t>
      </w:r>
      <w:r w:rsidR="00A253BC">
        <w:t xml:space="preserve">the Department </w:t>
      </w:r>
      <w:r>
        <w:t xml:space="preserve">for ARCBS QA programs is </w:t>
      </w:r>
      <w:r w:rsidR="00B472DB">
        <w:t xml:space="preserve">approximately </w:t>
      </w:r>
      <w:r>
        <w:rPr>
          <w:rFonts w:ascii="Times New Roman" w:hAnsi="Times New Roman"/>
        </w:rPr>
        <w:t>$</w:t>
      </w:r>
      <w:r w:rsidR="00DE3346">
        <w:rPr>
          <w:rFonts w:ascii="Times New Roman" w:hAnsi="Times New Roman"/>
        </w:rPr>
        <w:t>45,500</w:t>
      </w:r>
      <w:r w:rsidR="00DE3346" w:rsidRPr="00C8781C">
        <w:t xml:space="preserve"> </w:t>
      </w:r>
      <w:r w:rsidRPr="00C8781C">
        <w:t>per annum</w:t>
      </w:r>
      <w:r>
        <w:t>.</w:t>
      </w:r>
    </w:p>
    <w:p w14:paraId="101C77EE" w14:textId="77777777" w:rsidR="00241409" w:rsidRDefault="00241409" w:rsidP="003E0E7D">
      <w:pPr>
        <w:pStyle w:val="Bullets1"/>
        <w:shd w:val="clear" w:color="auto" w:fill="FFFCCC"/>
      </w:pPr>
      <w:r>
        <w:t xml:space="preserve">Factors influencing the ARCBS choice </w:t>
      </w:r>
      <w:r w:rsidR="00EB00F9">
        <w:t>of QA</w:t>
      </w:r>
      <w:r>
        <w:t xml:space="preserve"> </w:t>
      </w:r>
      <w:r w:rsidR="00883283">
        <w:t xml:space="preserve">service </w:t>
      </w:r>
      <w:r>
        <w:t>provider were meeting regulatory requirements, testing platforms available and providing a comprehensive service.</w:t>
      </w:r>
    </w:p>
    <w:bookmarkEnd w:id="61"/>
    <w:p w14:paraId="2F31909F" w14:textId="77777777" w:rsidR="00EA0B00" w:rsidRDefault="00EA0B00" w:rsidP="00B31706">
      <w:pPr>
        <w:pStyle w:val="BodyCopy"/>
        <w:rPr>
          <w:shd w:val="clear" w:color="auto" w:fill="FFFFFF"/>
        </w:rPr>
      </w:pPr>
    </w:p>
    <w:p w14:paraId="1B85EF38" w14:textId="77777777" w:rsidR="00EA0B00" w:rsidRDefault="00EA0B00" w:rsidP="00B31706">
      <w:pPr>
        <w:pStyle w:val="BodyCopy"/>
        <w:rPr>
          <w:shd w:val="clear" w:color="auto" w:fill="FFFFFF"/>
        </w:rPr>
        <w:sectPr w:rsidR="00EA0B00" w:rsidSect="00EA0B00">
          <w:footnotePr>
            <w:numFmt w:val="lowerLetter"/>
          </w:footnotePr>
          <w:type w:val="continuous"/>
          <w:pgSz w:w="16839" w:h="11907" w:orient="landscape" w:code="9"/>
          <w:pgMar w:top="2268" w:right="1304" w:bottom="851" w:left="737" w:header="567" w:footer="284" w:gutter="0"/>
          <w:cols w:num="2" w:space="709"/>
          <w:docGrid w:linePitch="360"/>
        </w:sectPr>
      </w:pPr>
    </w:p>
    <w:p w14:paraId="7C36E772" w14:textId="31D328E0" w:rsidR="00A27E4E" w:rsidRDefault="00A27E4E" w:rsidP="00A27E4E">
      <w:pPr>
        <w:pStyle w:val="Caption"/>
      </w:pPr>
      <w:bookmarkStart w:id="62" w:name="_Ref494285656"/>
      <w:r>
        <w:lastRenderedPageBreak/>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5</w:t>
      </w:r>
      <w:r w:rsidR="007F2202">
        <w:rPr>
          <w:noProof/>
        </w:rPr>
        <w:fldChar w:fldCharType="end"/>
      </w:r>
      <w:r w:rsidR="00C916B2">
        <w:t>.</w:t>
      </w:r>
      <w:r w:rsidR="0083660F">
        <w:rPr>
          <w:noProof/>
        </w:rPr>
        <w:fldChar w:fldCharType="begin"/>
      </w:r>
      <w:r w:rsidR="0083660F">
        <w:rPr>
          <w:noProof/>
        </w:rPr>
        <w:instrText xml:space="preserve"> SEQ Table \* ARABIC \s 1 </w:instrText>
      </w:r>
      <w:r w:rsidR="0083660F">
        <w:rPr>
          <w:noProof/>
        </w:rPr>
        <w:fldChar w:fldCharType="separate"/>
      </w:r>
      <w:r w:rsidR="0078683A">
        <w:rPr>
          <w:noProof/>
        </w:rPr>
        <w:t>2</w:t>
      </w:r>
      <w:r w:rsidR="0083660F">
        <w:rPr>
          <w:noProof/>
        </w:rPr>
        <w:fldChar w:fldCharType="end"/>
      </w:r>
      <w:bookmarkEnd w:id="62"/>
      <w:r>
        <w:t xml:space="preserve">: </w:t>
      </w:r>
      <w:r w:rsidRPr="00532065">
        <w:rPr>
          <w:rStyle w:val="Captionnotbold"/>
        </w:rPr>
        <w:t xml:space="preserve">Summary of </w:t>
      </w:r>
      <w:r w:rsidR="00C03683">
        <w:rPr>
          <w:rStyle w:val="Captionnotbold"/>
        </w:rPr>
        <w:t xml:space="preserve">NRL </w:t>
      </w:r>
      <w:r w:rsidRPr="00532065">
        <w:rPr>
          <w:rStyle w:val="Captionnotbold"/>
        </w:rPr>
        <w:t>QA use</w:t>
      </w:r>
      <w:r w:rsidR="007536F1">
        <w:rPr>
          <w:rStyle w:val="Captionnotbold"/>
        </w:rPr>
        <w:t xml:space="preserve"> by participating laboratories</w:t>
      </w:r>
      <w:r w:rsidRPr="00532065">
        <w:rPr>
          <w:rStyle w:val="Captionnotbold"/>
        </w:rPr>
        <w:t xml:space="preserve"> </w:t>
      </w:r>
    </w:p>
    <w:tbl>
      <w:tblPr>
        <w:tblW w:w="5000"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4458"/>
        <w:gridCol w:w="2135"/>
        <w:gridCol w:w="2143"/>
        <w:gridCol w:w="3030"/>
        <w:gridCol w:w="3022"/>
      </w:tblGrid>
      <w:tr w:rsidR="00276C1B" w:rsidRPr="003E0E7D" w14:paraId="0CD385E5" w14:textId="77777777" w:rsidTr="003E0E7D">
        <w:trPr>
          <w:trHeight w:val="300"/>
          <w:tblHeader/>
        </w:trPr>
        <w:tc>
          <w:tcPr>
            <w:tcW w:w="1503" w:type="pct"/>
            <w:tcBorders>
              <w:bottom w:val="single" w:sz="4" w:space="0" w:color="4B4B4B"/>
            </w:tcBorders>
            <w:shd w:val="clear" w:color="auto" w:fill="BEBEBE"/>
            <w:noWrap/>
            <w:hideMark/>
          </w:tcPr>
          <w:p w14:paraId="6159F1C7" w14:textId="77777777" w:rsidR="00A27E4E" w:rsidRPr="003E0E7D" w:rsidRDefault="0088281E" w:rsidP="00A27E4E">
            <w:pPr>
              <w:pStyle w:val="TableColumnHeading"/>
              <w:rPr>
                <w:lang w:eastAsia="en-AU"/>
              </w:rPr>
            </w:pPr>
            <w:bookmarkStart w:id="63" w:name="_Hlk494881345"/>
            <w:r w:rsidRPr="003E0E7D">
              <w:rPr>
                <w:lang w:eastAsia="en-AU"/>
              </w:rPr>
              <w:t xml:space="preserve">NRL </w:t>
            </w:r>
            <w:r w:rsidR="00A27E4E" w:rsidRPr="003E0E7D">
              <w:rPr>
                <w:lang w:eastAsia="en-AU"/>
              </w:rPr>
              <w:t xml:space="preserve">EQAS </w:t>
            </w:r>
            <w:r w:rsidR="009A0531" w:rsidRPr="003E0E7D">
              <w:rPr>
                <w:lang w:eastAsia="en-AU"/>
              </w:rPr>
              <w:t>service</w:t>
            </w:r>
          </w:p>
        </w:tc>
        <w:tc>
          <w:tcPr>
            <w:tcW w:w="722" w:type="pct"/>
            <w:tcBorders>
              <w:bottom w:val="single" w:sz="4" w:space="0" w:color="4B4B4B"/>
            </w:tcBorders>
            <w:shd w:val="clear" w:color="auto" w:fill="BEBEBE"/>
            <w:noWrap/>
            <w:hideMark/>
          </w:tcPr>
          <w:p w14:paraId="529D58C0" w14:textId="77777777" w:rsidR="00C47E09" w:rsidRPr="003E0E7D" w:rsidRDefault="00A27E4E" w:rsidP="00A27E4E">
            <w:pPr>
              <w:pStyle w:val="TableColumnHeading"/>
              <w:rPr>
                <w:lang w:eastAsia="en-AU"/>
              </w:rPr>
            </w:pPr>
            <w:r w:rsidRPr="003E0E7D">
              <w:rPr>
                <w:lang w:eastAsia="en-AU"/>
              </w:rPr>
              <w:t>No. of laboratories (%)</w:t>
            </w:r>
          </w:p>
          <w:p w14:paraId="7962A872" w14:textId="77777777" w:rsidR="00A27E4E" w:rsidRPr="003E0E7D" w:rsidRDefault="00C47E09" w:rsidP="00A27E4E">
            <w:pPr>
              <w:pStyle w:val="TableColumnHeading"/>
              <w:rPr>
                <w:lang w:eastAsia="en-AU"/>
              </w:rPr>
            </w:pPr>
            <w:r w:rsidRPr="003E0E7D">
              <w:rPr>
                <w:lang w:eastAsia="en-AU"/>
              </w:rPr>
              <w:t>(total n=30)</w:t>
            </w:r>
          </w:p>
        </w:tc>
        <w:tc>
          <w:tcPr>
            <w:tcW w:w="726" w:type="pct"/>
            <w:tcBorders>
              <w:bottom w:val="single" w:sz="4" w:space="0" w:color="4B4B4B"/>
            </w:tcBorders>
            <w:shd w:val="clear" w:color="auto" w:fill="BEBEBE"/>
          </w:tcPr>
          <w:p w14:paraId="58E5106E" w14:textId="77777777" w:rsidR="00A27E4E" w:rsidRPr="003E0E7D" w:rsidRDefault="00A27E4E" w:rsidP="00A27E4E">
            <w:pPr>
              <w:pStyle w:val="TableColumnHeading"/>
              <w:rPr>
                <w:lang w:eastAsia="en-AU"/>
              </w:rPr>
            </w:pPr>
            <w:r w:rsidRPr="003E0E7D">
              <w:rPr>
                <w:lang w:eastAsia="en-AU"/>
              </w:rPr>
              <w:t>Price per kit</w:t>
            </w:r>
          </w:p>
        </w:tc>
        <w:tc>
          <w:tcPr>
            <w:tcW w:w="1026" w:type="pct"/>
            <w:tcBorders>
              <w:bottom w:val="single" w:sz="4" w:space="0" w:color="4B4B4B"/>
            </w:tcBorders>
            <w:shd w:val="clear" w:color="auto" w:fill="BEBEBE"/>
          </w:tcPr>
          <w:p w14:paraId="66B41EE8" w14:textId="77777777" w:rsidR="00A27E4E" w:rsidRPr="003E0E7D" w:rsidRDefault="00A27E4E" w:rsidP="00A27E4E">
            <w:pPr>
              <w:pStyle w:val="TableColumnHeading"/>
              <w:rPr>
                <w:lang w:eastAsia="en-AU"/>
              </w:rPr>
            </w:pPr>
            <w:r w:rsidRPr="003E0E7D">
              <w:rPr>
                <w:lang w:eastAsia="en-AU"/>
              </w:rPr>
              <w:t xml:space="preserve">Other providers used </w:t>
            </w:r>
          </w:p>
        </w:tc>
        <w:tc>
          <w:tcPr>
            <w:tcW w:w="1023" w:type="pct"/>
            <w:tcBorders>
              <w:bottom w:val="single" w:sz="4" w:space="0" w:color="4B4B4B"/>
            </w:tcBorders>
            <w:shd w:val="clear" w:color="auto" w:fill="BEBEBE"/>
          </w:tcPr>
          <w:p w14:paraId="2712870B" w14:textId="77777777" w:rsidR="00A27E4E" w:rsidRPr="003E0E7D" w:rsidRDefault="00A27E4E" w:rsidP="00A27E4E">
            <w:pPr>
              <w:pStyle w:val="TableColumnHeading"/>
              <w:rPr>
                <w:lang w:eastAsia="en-AU"/>
              </w:rPr>
            </w:pPr>
            <w:r w:rsidRPr="003E0E7D">
              <w:rPr>
                <w:lang w:eastAsia="en-AU"/>
              </w:rPr>
              <w:t xml:space="preserve">Comments </w:t>
            </w:r>
          </w:p>
        </w:tc>
      </w:tr>
      <w:tr w:rsidR="00276C1B" w:rsidRPr="003E0E7D" w14:paraId="4191E936" w14:textId="77777777" w:rsidTr="003E0E7D">
        <w:trPr>
          <w:trHeight w:val="300"/>
        </w:trPr>
        <w:tc>
          <w:tcPr>
            <w:tcW w:w="1503" w:type="pct"/>
            <w:tcBorders>
              <w:bottom w:val="nil"/>
            </w:tcBorders>
            <w:shd w:val="clear" w:color="auto" w:fill="DCDCDC"/>
            <w:noWrap/>
            <w:hideMark/>
          </w:tcPr>
          <w:p w14:paraId="29C44DF4" w14:textId="77777777" w:rsidR="00A27E4E" w:rsidRPr="003E0E7D" w:rsidRDefault="00C03683" w:rsidP="00A27E4E">
            <w:pPr>
              <w:pStyle w:val="TableCopy"/>
              <w:rPr>
                <w:b/>
                <w:lang w:eastAsia="en-AU"/>
              </w:rPr>
            </w:pPr>
            <w:r w:rsidRPr="003E0E7D">
              <w:rPr>
                <w:b/>
                <w:lang w:eastAsia="en-AU"/>
              </w:rPr>
              <w:t xml:space="preserve">NRL </w:t>
            </w:r>
            <w:r w:rsidR="00A27E4E" w:rsidRPr="003E0E7D">
              <w:rPr>
                <w:b/>
                <w:lang w:eastAsia="en-AU"/>
              </w:rPr>
              <w:t>Multi-marker</w:t>
            </w:r>
          </w:p>
        </w:tc>
        <w:tc>
          <w:tcPr>
            <w:tcW w:w="722" w:type="pct"/>
            <w:tcBorders>
              <w:bottom w:val="nil"/>
            </w:tcBorders>
            <w:shd w:val="clear" w:color="auto" w:fill="DCDCDC"/>
            <w:noWrap/>
            <w:hideMark/>
          </w:tcPr>
          <w:p w14:paraId="6AEF401C" w14:textId="77777777" w:rsidR="00A27E4E" w:rsidRPr="003E0E7D" w:rsidRDefault="00A27E4E" w:rsidP="003E0E7D">
            <w:pPr>
              <w:pStyle w:val="TableCopy"/>
              <w:jc w:val="center"/>
              <w:rPr>
                <w:b/>
                <w:lang w:eastAsia="en-AU"/>
              </w:rPr>
            </w:pPr>
            <w:r w:rsidRPr="003E0E7D">
              <w:rPr>
                <w:b/>
                <w:lang w:eastAsia="en-AU"/>
              </w:rPr>
              <w:t>12 (40%)</w:t>
            </w:r>
          </w:p>
        </w:tc>
        <w:tc>
          <w:tcPr>
            <w:tcW w:w="726" w:type="pct"/>
            <w:tcBorders>
              <w:bottom w:val="nil"/>
            </w:tcBorders>
            <w:shd w:val="clear" w:color="auto" w:fill="DCDCDC"/>
          </w:tcPr>
          <w:p w14:paraId="777B7465" w14:textId="77777777" w:rsidR="00A27E4E" w:rsidRPr="003E0E7D" w:rsidRDefault="00A27E4E" w:rsidP="00A27E4E">
            <w:pPr>
              <w:pStyle w:val="TableCopy"/>
              <w:rPr>
                <w:lang w:eastAsia="en-AU"/>
              </w:rPr>
            </w:pPr>
          </w:p>
        </w:tc>
        <w:tc>
          <w:tcPr>
            <w:tcW w:w="1026" w:type="pct"/>
            <w:vMerge w:val="restart"/>
            <w:shd w:val="clear" w:color="auto" w:fill="DCDCDC"/>
          </w:tcPr>
          <w:p w14:paraId="562D3B34" w14:textId="77777777" w:rsidR="00A27E4E" w:rsidRPr="003E0E7D" w:rsidRDefault="00A27E4E" w:rsidP="00A27E4E">
            <w:pPr>
              <w:pStyle w:val="TableCopy"/>
            </w:pPr>
            <w:r w:rsidRPr="003E0E7D">
              <w:t xml:space="preserve">Randox RIQAS multi-marker HIV/Hep serology: </w:t>
            </w:r>
          </w:p>
          <w:p w14:paraId="2045251E" w14:textId="77777777" w:rsidR="00A27E4E" w:rsidRPr="003E0E7D" w:rsidRDefault="00A27E4E" w:rsidP="003E0E7D">
            <w:pPr>
              <w:pStyle w:val="TableBullets2"/>
              <w:numPr>
                <w:ilvl w:val="1"/>
                <w:numId w:val="6"/>
              </w:numPr>
              <w:spacing w:before="60" w:after="60"/>
            </w:pPr>
            <w:r w:rsidRPr="003E0E7D">
              <w:t>Anti-HIV-1, Anti-HCV, Anti-HTLV-II, HBsAg, Anti-HIV-2, Anti-HBc, Anti-HTLV-1&amp;2 (combined), Anti-HIV-1&amp;2 (combined), Anti-HTLV-I, Anti-CMV</w:t>
            </w:r>
          </w:p>
        </w:tc>
        <w:tc>
          <w:tcPr>
            <w:tcW w:w="1023" w:type="pct"/>
            <w:vMerge w:val="restart"/>
            <w:shd w:val="clear" w:color="auto" w:fill="DCDCDC"/>
          </w:tcPr>
          <w:p w14:paraId="17ADA09B" w14:textId="77777777" w:rsidR="00A27E4E" w:rsidRPr="003E0E7D" w:rsidRDefault="00A27E4E" w:rsidP="00A27E4E">
            <w:pPr>
              <w:pStyle w:val="TableCopy"/>
            </w:pPr>
            <w:r w:rsidRPr="003E0E7D">
              <w:t>Randox is a UK company.</w:t>
            </w:r>
          </w:p>
          <w:p w14:paraId="7AF71054" w14:textId="77777777" w:rsidR="00A27E4E" w:rsidRPr="003E0E7D" w:rsidRDefault="00A27E4E" w:rsidP="00A27E4E">
            <w:pPr>
              <w:pStyle w:val="TableCopy"/>
            </w:pPr>
            <w:r w:rsidRPr="003E0E7D">
              <w:t xml:space="preserve">The RIQAS for 1x4 surveys per year. </w:t>
            </w:r>
          </w:p>
          <w:p w14:paraId="733A654B" w14:textId="77777777" w:rsidR="00A27E4E" w:rsidRPr="003E0E7D" w:rsidRDefault="00A27E4E" w:rsidP="00A27E4E">
            <w:pPr>
              <w:pStyle w:val="TableCopy"/>
            </w:pPr>
            <w:r w:rsidRPr="003E0E7D">
              <w:rPr>
                <w:rFonts w:ascii="Times New Roman" w:hAnsi="Times New Roman"/>
              </w:rPr>
              <w:t>$</w:t>
            </w:r>
            <w:r w:rsidRPr="003E0E7D">
              <w:t>933 per year (EQAS).</w:t>
            </w:r>
          </w:p>
          <w:p w14:paraId="224CD4FA" w14:textId="77777777" w:rsidR="00A27E4E" w:rsidRPr="003E0E7D" w:rsidRDefault="00A27E4E" w:rsidP="00A27E4E">
            <w:pPr>
              <w:pStyle w:val="TableCopy"/>
            </w:pPr>
          </w:p>
          <w:p w14:paraId="78932F7E" w14:textId="77777777" w:rsidR="00A27E4E" w:rsidRPr="003E0E7D" w:rsidRDefault="00A27E4E" w:rsidP="00A27E4E">
            <w:pPr>
              <w:pStyle w:val="TableCopy"/>
            </w:pPr>
            <w:r w:rsidRPr="003E0E7D">
              <w:t xml:space="preserve">One laboratory used Randox RIQAS for HIV, HCV and HBV serology. This laboratory (Pivet IVF </w:t>
            </w:r>
            <w:r w:rsidR="00A50FBE" w:rsidRPr="003E0E7D">
              <w:t xml:space="preserve">Laboratory </w:t>
            </w:r>
            <w:r w:rsidRPr="003E0E7D">
              <w:t>in Western Australia) used NRL EQAS for HCV only (</w:t>
            </w:r>
            <w:r w:rsidR="00A50FBE" w:rsidRPr="003E0E7D">
              <w:t xml:space="preserve">free of </w:t>
            </w:r>
            <w:r w:rsidR="00400FE3" w:rsidRPr="003E0E7D">
              <w:t>charge</w:t>
            </w:r>
            <w:r w:rsidRPr="003E0E7D">
              <w:t xml:space="preserve">). </w:t>
            </w:r>
          </w:p>
        </w:tc>
      </w:tr>
      <w:tr w:rsidR="00276C1B" w:rsidRPr="003E0E7D" w14:paraId="3D13C239" w14:textId="77777777" w:rsidTr="003E0E7D">
        <w:trPr>
          <w:trHeight w:val="432"/>
        </w:trPr>
        <w:tc>
          <w:tcPr>
            <w:tcW w:w="1503" w:type="pct"/>
            <w:tcBorders>
              <w:top w:val="nil"/>
              <w:bottom w:val="nil"/>
            </w:tcBorders>
            <w:shd w:val="clear" w:color="auto" w:fill="DCDCDC"/>
            <w:noWrap/>
          </w:tcPr>
          <w:p w14:paraId="15ACA0F3" w14:textId="77777777" w:rsidR="00A27E4E" w:rsidRPr="003E0E7D" w:rsidRDefault="00A27E4E" w:rsidP="003E0E7D">
            <w:pPr>
              <w:pStyle w:val="TableBullets2"/>
              <w:numPr>
                <w:ilvl w:val="1"/>
                <w:numId w:val="6"/>
              </w:numPr>
              <w:spacing w:before="60" w:after="60"/>
            </w:pPr>
            <w:r w:rsidRPr="003E0E7D">
              <w:t xml:space="preserve">Multi-marker </w:t>
            </w:r>
            <w:r w:rsidR="003F6092" w:rsidRPr="003E0E7D">
              <w:t>blood screening serology</w:t>
            </w:r>
          </w:p>
        </w:tc>
        <w:tc>
          <w:tcPr>
            <w:tcW w:w="722" w:type="pct"/>
            <w:tcBorders>
              <w:top w:val="nil"/>
              <w:bottom w:val="nil"/>
            </w:tcBorders>
            <w:shd w:val="clear" w:color="auto" w:fill="DCDCDC"/>
            <w:noWrap/>
          </w:tcPr>
          <w:p w14:paraId="1AA74613" w14:textId="77777777" w:rsidR="00A27E4E" w:rsidRPr="003E0E7D" w:rsidRDefault="00A27E4E" w:rsidP="003E0E7D">
            <w:pPr>
              <w:pStyle w:val="TableCopy"/>
              <w:jc w:val="center"/>
              <w:rPr>
                <w:lang w:eastAsia="en-AU"/>
              </w:rPr>
            </w:pPr>
            <w:r w:rsidRPr="003E0E7D">
              <w:rPr>
                <w:lang w:eastAsia="en-AU"/>
              </w:rPr>
              <w:t>1 (3%)</w:t>
            </w:r>
          </w:p>
        </w:tc>
        <w:tc>
          <w:tcPr>
            <w:tcW w:w="726" w:type="pct"/>
            <w:tcBorders>
              <w:top w:val="nil"/>
              <w:bottom w:val="nil"/>
            </w:tcBorders>
            <w:shd w:val="clear" w:color="auto" w:fill="DCDCDC"/>
          </w:tcPr>
          <w:p w14:paraId="1E37F86F"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2,250* (or </w:t>
            </w:r>
            <w:r w:rsidRPr="003E0E7D">
              <w:rPr>
                <w:rFonts w:ascii="Times New Roman" w:hAnsi="Times New Roman"/>
                <w:lang w:eastAsia="en-AU"/>
              </w:rPr>
              <w:t>$</w:t>
            </w:r>
            <w:r w:rsidRPr="003E0E7D">
              <w:rPr>
                <w:lang w:eastAsia="en-AU"/>
              </w:rPr>
              <w:t>750 per survey)</w:t>
            </w:r>
          </w:p>
        </w:tc>
        <w:tc>
          <w:tcPr>
            <w:tcW w:w="1026" w:type="pct"/>
            <w:vMerge/>
            <w:shd w:val="clear" w:color="auto" w:fill="DCDCDC"/>
          </w:tcPr>
          <w:p w14:paraId="64427045" w14:textId="77777777" w:rsidR="00A27E4E" w:rsidRPr="003E0E7D" w:rsidRDefault="00A27E4E" w:rsidP="00A27E4E">
            <w:pPr>
              <w:pStyle w:val="TableCopy"/>
            </w:pPr>
          </w:p>
        </w:tc>
        <w:tc>
          <w:tcPr>
            <w:tcW w:w="1023" w:type="pct"/>
            <w:vMerge/>
            <w:shd w:val="clear" w:color="auto" w:fill="DCDCDC"/>
          </w:tcPr>
          <w:p w14:paraId="63D9FEE0" w14:textId="77777777" w:rsidR="00A27E4E" w:rsidRPr="003E0E7D" w:rsidRDefault="00A27E4E" w:rsidP="00A27E4E">
            <w:pPr>
              <w:pStyle w:val="TableCopy"/>
            </w:pPr>
          </w:p>
        </w:tc>
      </w:tr>
      <w:tr w:rsidR="00276C1B" w:rsidRPr="003E0E7D" w14:paraId="2BBB296C" w14:textId="77777777" w:rsidTr="003E0E7D">
        <w:trPr>
          <w:trHeight w:val="300"/>
        </w:trPr>
        <w:tc>
          <w:tcPr>
            <w:tcW w:w="1503" w:type="pct"/>
            <w:tcBorders>
              <w:top w:val="nil"/>
              <w:bottom w:val="nil"/>
            </w:tcBorders>
            <w:shd w:val="clear" w:color="auto" w:fill="DCDCDC"/>
            <w:noWrap/>
          </w:tcPr>
          <w:p w14:paraId="3A0EDF4C" w14:textId="77777777" w:rsidR="00A27E4E" w:rsidRPr="003E0E7D" w:rsidRDefault="00A27E4E" w:rsidP="003E0E7D">
            <w:pPr>
              <w:pStyle w:val="TableBullets2"/>
              <w:numPr>
                <w:ilvl w:val="1"/>
                <w:numId w:val="6"/>
              </w:numPr>
              <w:spacing w:before="60" w:after="60"/>
            </w:pPr>
            <w:r w:rsidRPr="003E0E7D">
              <w:t xml:space="preserve">Multi-marker </w:t>
            </w:r>
            <w:r w:rsidR="003F6092" w:rsidRPr="003E0E7D">
              <w:t xml:space="preserve">blood screening </w:t>
            </w:r>
            <w:r w:rsidRPr="003E0E7D">
              <w:t>NAT</w:t>
            </w:r>
          </w:p>
        </w:tc>
        <w:tc>
          <w:tcPr>
            <w:tcW w:w="722" w:type="pct"/>
            <w:tcBorders>
              <w:top w:val="nil"/>
              <w:bottom w:val="nil"/>
            </w:tcBorders>
            <w:shd w:val="clear" w:color="auto" w:fill="DCDCDC"/>
            <w:noWrap/>
          </w:tcPr>
          <w:p w14:paraId="6799313C" w14:textId="77777777" w:rsidR="00A27E4E" w:rsidRPr="003E0E7D" w:rsidRDefault="00A27E4E" w:rsidP="003E0E7D">
            <w:pPr>
              <w:pStyle w:val="TableCopy"/>
              <w:jc w:val="center"/>
              <w:rPr>
                <w:lang w:eastAsia="en-AU"/>
              </w:rPr>
            </w:pPr>
            <w:r w:rsidRPr="003E0E7D">
              <w:rPr>
                <w:lang w:eastAsia="en-AU"/>
              </w:rPr>
              <w:t>2 (7%)</w:t>
            </w:r>
          </w:p>
        </w:tc>
        <w:tc>
          <w:tcPr>
            <w:tcW w:w="726" w:type="pct"/>
            <w:tcBorders>
              <w:top w:val="nil"/>
              <w:bottom w:val="nil"/>
            </w:tcBorders>
            <w:shd w:val="clear" w:color="auto" w:fill="DCDCDC"/>
          </w:tcPr>
          <w:p w14:paraId="7B02C7B3"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2,400 (or </w:t>
            </w:r>
            <w:r w:rsidRPr="003E0E7D">
              <w:rPr>
                <w:rFonts w:ascii="Times New Roman" w:hAnsi="Times New Roman"/>
                <w:lang w:eastAsia="en-AU"/>
              </w:rPr>
              <w:t>$</w:t>
            </w:r>
            <w:r w:rsidRPr="003E0E7D">
              <w:rPr>
                <w:lang w:eastAsia="en-AU"/>
              </w:rPr>
              <w:t xml:space="preserve">800 per survey) </w:t>
            </w:r>
          </w:p>
        </w:tc>
        <w:tc>
          <w:tcPr>
            <w:tcW w:w="1026" w:type="pct"/>
            <w:vMerge/>
            <w:shd w:val="clear" w:color="auto" w:fill="DCDCDC"/>
          </w:tcPr>
          <w:p w14:paraId="34B4165D" w14:textId="77777777" w:rsidR="00A27E4E" w:rsidRPr="003E0E7D" w:rsidRDefault="00A27E4E" w:rsidP="00A27E4E">
            <w:pPr>
              <w:pStyle w:val="TableCopy"/>
            </w:pPr>
          </w:p>
        </w:tc>
        <w:tc>
          <w:tcPr>
            <w:tcW w:w="1023" w:type="pct"/>
            <w:vMerge/>
            <w:shd w:val="clear" w:color="auto" w:fill="DCDCDC"/>
          </w:tcPr>
          <w:p w14:paraId="7BCABCD5" w14:textId="77777777" w:rsidR="00A27E4E" w:rsidRPr="003E0E7D" w:rsidRDefault="00A27E4E" w:rsidP="00A27E4E">
            <w:pPr>
              <w:pStyle w:val="TableCopy"/>
            </w:pPr>
          </w:p>
        </w:tc>
      </w:tr>
      <w:tr w:rsidR="00276C1B" w:rsidRPr="003E0E7D" w14:paraId="5D282E7E" w14:textId="77777777" w:rsidTr="003E0E7D">
        <w:trPr>
          <w:trHeight w:val="300"/>
        </w:trPr>
        <w:tc>
          <w:tcPr>
            <w:tcW w:w="1503" w:type="pct"/>
            <w:tcBorders>
              <w:top w:val="nil"/>
              <w:bottom w:val="single" w:sz="4" w:space="0" w:color="4B4B4B"/>
            </w:tcBorders>
            <w:shd w:val="clear" w:color="auto" w:fill="DCDCDC"/>
            <w:noWrap/>
          </w:tcPr>
          <w:p w14:paraId="4630D965" w14:textId="77777777" w:rsidR="00A27E4E" w:rsidRPr="003E0E7D" w:rsidRDefault="00A27E4E" w:rsidP="003E0E7D">
            <w:pPr>
              <w:pStyle w:val="TableBullets2"/>
              <w:numPr>
                <w:ilvl w:val="1"/>
                <w:numId w:val="6"/>
              </w:numPr>
              <w:spacing w:before="60" w:after="60"/>
            </w:pPr>
            <w:r w:rsidRPr="003E0E7D">
              <w:t xml:space="preserve">Hepatitis </w:t>
            </w:r>
            <w:r w:rsidR="003F6092" w:rsidRPr="003E0E7D">
              <w:t xml:space="preserve">serology </w:t>
            </w:r>
            <w:r w:rsidR="00296915" w:rsidRPr="003E0E7D">
              <w:t>–</w:t>
            </w:r>
            <w:r w:rsidRPr="003E0E7D">
              <w:t xml:space="preserve"> Hepatitis A, B and/or C option</w:t>
            </w:r>
          </w:p>
        </w:tc>
        <w:tc>
          <w:tcPr>
            <w:tcW w:w="722" w:type="pct"/>
            <w:tcBorders>
              <w:top w:val="nil"/>
              <w:bottom w:val="single" w:sz="4" w:space="0" w:color="4B4B4B"/>
            </w:tcBorders>
            <w:shd w:val="clear" w:color="auto" w:fill="DCDCDC"/>
            <w:noWrap/>
          </w:tcPr>
          <w:p w14:paraId="5B10C444" w14:textId="77777777" w:rsidR="00A27E4E" w:rsidRPr="003E0E7D" w:rsidRDefault="00A27E4E" w:rsidP="003E0E7D">
            <w:pPr>
              <w:pStyle w:val="TableCopy"/>
              <w:jc w:val="center"/>
              <w:rPr>
                <w:lang w:eastAsia="en-AU"/>
              </w:rPr>
            </w:pPr>
            <w:r w:rsidRPr="003E0E7D">
              <w:rPr>
                <w:lang w:eastAsia="en-AU"/>
              </w:rPr>
              <w:t>9 (30%)</w:t>
            </w:r>
          </w:p>
        </w:tc>
        <w:tc>
          <w:tcPr>
            <w:tcW w:w="726" w:type="pct"/>
            <w:tcBorders>
              <w:top w:val="nil"/>
              <w:bottom w:val="single" w:sz="4" w:space="0" w:color="4B4B4B"/>
            </w:tcBorders>
            <w:shd w:val="clear" w:color="auto" w:fill="DCDCDC"/>
          </w:tcPr>
          <w:p w14:paraId="2D4656F8"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560 (or </w:t>
            </w:r>
            <w:r w:rsidRPr="003E0E7D">
              <w:rPr>
                <w:rFonts w:ascii="Times New Roman" w:hAnsi="Times New Roman"/>
                <w:lang w:eastAsia="en-AU"/>
              </w:rPr>
              <w:t>$</w:t>
            </w:r>
            <w:r w:rsidRPr="003E0E7D">
              <w:rPr>
                <w:lang w:eastAsia="en-AU"/>
              </w:rPr>
              <w:t>187 per survey)</w:t>
            </w:r>
          </w:p>
        </w:tc>
        <w:tc>
          <w:tcPr>
            <w:tcW w:w="1026" w:type="pct"/>
            <w:vMerge/>
            <w:tcBorders>
              <w:bottom w:val="single" w:sz="4" w:space="0" w:color="4B4B4B"/>
            </w:tcBorders>
            <w:shd w:val="clear" w:color="auto" w:fill="DCDCDC"/>
          </w:tcPr>
          <w:p w14:paraId="7E834201" w14:textId="77777777" w:rsidR="00A27E4E" w:rsidRPr="003E0E7D" w:rsidRDefault="00A27E4E" w:rsidP="00A27E4E">
            <w:pPr>
              <w:pStyle w:val="TableCopy"/>
            </w:pPr>
          </w:p>
        </w:tc>
        <w:tc>
          <w:tcPr>
            <w:tcW w:w="1023" w:type="pct"/>
            <w:vMerge/>
            <w:tcBorders>
              <w:bottom w:val="single" w:sz="4" w:space="0" w:color="4B4B4B"/>
            </w:tcBorders>
            <w:shd w:val="clear" w:color="auto" w:fill="DCDCDC"/>
          </w:tcPr>
          <w:p w14:paraId="0C881F5F" w14:textId="77777777" w:rsidR="00A27E4E" w:rsidRPr="003E0E7D" w:rsidRDefault="00A27E4E" w:rsidP="00A27E4E">
            <w:pPr>
              <w:pStyle w:val="TableCopy"/>
            </w:pPr>
          </w:p>
        </w:tc>
      </w:tr>
      <w:tr w:rsidR="00276C1B" w:rsidRPr="003E0E7D" w14:paraId="2EC189B0" w14:textId="77777777" w:rsidTr="003E0E7D">
        <w:trPr>
          <w:trHeight w:val="300"/>
        </w:trPr>
        <w:tc>
          <w:tcPr>
            <w:tcW w:w="1503" w:type="pct"/>
            <w:tcBorders>
              <w:left w:val="nil"/>
              <w:bottom w:val="nil"/>
            </w:tcBorders>
            <w:shd w:val="clear" w:color="auto" w:fill="DCDCDC"/>
            <w:noWrap/>
            <w:hideMark/>
          </w:tcPr>
          <w:p w14:paraId="698C6D57" w14:textId="77777777" w:rsidR="00A27E4E" w:rsidRPr="003E0E7D" w:rsidRDefault="00C03683" w:rsidP="00A27E4E">
            <w:pPr>
              <w:pStyle w:val="TableCopy"/>
              <w:rPr>
                <w:b/>
                <w:lang w:eastAsia="en-AU"/>
              </w:rPr>
            </w:pPr>
            <w:r w:rsidRPr="003E0E7D">
              <w:rPr>
                <w:b/>
                <w:lang w:eastAsia="en-AU"/>
              </w:rPr>
              <w:t xml:space="preserve">NRL </w:t>
            </w:r>
            <w:r w:rsidR="00A27E4E" w:rsidRPr="003E0E7D">
              <w:rPr>
                <w:b/>
                <w:lang w:eastAsia="en-AU"/>
              </w:rPr>
              <w:t>HIV</w:t>
            </w:r>
          </w:p>
        </w:tc>
        <w:tc>
          <w:tcPr>
            <w:tcW w:w="722" w:type="pct"/>
            <w:tcBorders>
              <w:bottom w:val="nil"/>
            </w:tcBorders>
            <w:shd w:val="clear" w:color="auto" w:fill="DCDCDC"/>
            <w:noWrap/>
            <w:hideMark/>
          </w:tcPr>
          <w:p w14:paraId="4B4B8D14" w14:textId="77777777" w:rsidR="00A27E4E" w:rsidRPr="003E0E7D" w:rsidRDefault="00A27E4E" w:rsidP="003E0E7D">
            <w:pPr>
              <w:pStyle w:val="TableCopy"/>
              <w:jc w:val="center"/>
              <w:rPr>
                <w:b/>
                <w:lang w:eastAsia="en-AU"/>
              </w:rPr>
            </w:pPr>
            <w:r w:rsidRPr="003E0E7D">
              <w:rPr>
                <w:b/>
                <w:lang w:eastAsia="en-AU"/>
              </w:rPr>
              <w:t>27 (90%)</w:t>
            </w:r>
          </w:p>
        </w:tc>
        <w:tc>
          <w:tcPr>
            <w:tcW w:w="726" w:type="pct"/>
            <w:tcBorders>
              <w:bottom w:val="nil"/>
            </w:tcBorders>
            <w:shd w:val="clear" w:color="auto" w:fill="DCDCDC"/>
          </w:tcPr>
          <w:p w14:paraId="2C701661" w14:textId="77777777" w:rsidR="00A27E4E" w:rsidRPr="003E0E7D" w:rsidRDefault="00A27E4E" w:rsidP="00A27E4E">
            <w:pPr>
              <w:pStyle w:val="TableCopy"/>
              <w:rPr>
                <w:lang w:eastAsia="en-AU"/>
              </w:rPr>
            </w:pPr>
          </w:p>
        </w:tc>
        <w:tc>
          <w:tcPr>
            <w:tcW w:w="1026" w:type="pct"/>
            <w:tcBorders>
              <w:bottom w:val="nil"/>
            </w:tcBorders>
            <w:shd w:val="clear" w:color="auto" w:fill="DCDCDC"/>
          </w:tcPr>
          <w:p w14:paraId="6317401B" w14:textId="77777777" w:rsidR="00A27E4E" w:rsidRPr="003E0E7D" w:rsidRDefault="00A27E4E" w:rsidP="00A27E4E">
            <w:pPr>
              <w:pStyle w:val="TableCopy"/>
            </w:pPr>
          </w:p>
        </w:tc>
        <w:tc>
          <w:tcPr>
            <w:tcW w:w="1023" w:type="pct"/>
            <w:tcBorders>
              <w:bottom w:val="nil"/>
            </w:tcBorders>
            <w:shd w:val="clear" w:color="auto" w:fill="DCDCDC"/>
          </w:tcPr>
          <w:p w14:paraId="0E0346D8" w14:textId="77777777" w:rsidR="00A27E4E" w:rsidRPr="003E0E7D" w:rsidRDefault="00A27E4E" w:rsidP="00A27E4E">
            <w:pPr>
              <w:pStyle w:val="TableCopy"/>
            </w:pPr>
          </w:p>
        </w:tc>
      </w:tr>
      <w:tr w:rsidR="00276C1B" w:rsidRPr="003E0E7D" w14:paraId="45F0BAF5" w14:textId="77777777" w:rsidTr="003E0E7D">
        <w:trPr>
          <w:trHeight w:val="300"/>
        </w:trPr>
        <w:tc>
          <w:tcPr>
            <w:tcW w:w="1503" w:type="pct"/>
            <w:tcBorders>
              <w:top w:val="nil"/>
              <w:left w:val="nil"/>
              <w:bottom w:val="nil"/>
            </w:tcBorders>
            <w:shd w:val="clear" w:color="auto" w:fill="DCDCDC"/>
            <w:noWrap/>
          </w:tcPr>
          <w:p w14:paraId="51CBE7C6" w14:textId="77777777" w:rsidR="00A27E4E" w:rsidRPr="003E0E7D" w:rsidRDefault="00A27E4E" w:rsidP="003E0E7D">
            <w:pPr>
              <w:pStyle w:val="TableBullets2"/>
              <w:numPr>
                <w:ilvl w:val="1"/>
                <w:numId w:val="6"/>
              </w:numPr>
              <w:spacing w:before="60" w:after="60"/>
              <w:rPr>
                <w:lang w:eastAsia="en-AU"/>
              </w:rPr>
            </w:pPr>
            <w:r w:rsidRPr="003E0E7D">
              <w:rPr>
                <w:lang w:eastAsia="en-AU"/>
              </w:rPr>
              <w:t xml:space="preserve">Serology </w:t>
            </w:r>
          </w:p>
        </w:tc>
        <w:tc>
          <w:tcPr>
            <w:tcW w:w="722" w:type="pct"/>
            <w:tcBorders>
              <w:top w:val="nil"/>
              <w:bottom w:val="nil"/>
            </w:tcBorders>
            <w:shd w:val="clear" w:color="auto" w:fill="DCDCDC"/>
            <w:noWrap/>
          </w:tcPr>
          <w:p w14:paraId="168771AC" w14:textId="77777777" w:rsidR="00A27E4E" w:rsidRPr="003E0E7D" w:rsidRDefault="00A27E4E" w:rsidP="003E0E7D">
            <w:pPr>
              <w:pStyle w:val="TableCopy"/>
              <w:jc w:val="center"/>
              <w:rPr>
                <w:lang w:eastAsia="en-AU"/>
              </w:rPr>
            </w:pPr>
            <w:r w:rsidRPr="003E0E7D">
              <w:rPr>
                <w:lang w:eastAsia="en-AU"/>
              </w:rPr>
              <w:t>27 (90%)</w:t>
            </w:r>
          </w:p>
        </w:tc>
        <w:tc>
          <w:tcPr>
            <w:tcW w:w="726" w:type="pct"/>
            <w:tcBorders>
              <w:top w:val="nil"/>
              <w:bottom w:val="nil"/>
            </w:tcBorders>
            <w:shd w:val="clear" w:color="auto" w:fill="DCDCDC"/>
          </w:tcPr>
          <w:p w14:paraId="652085AF" w14:textId="77777777" w:rsidR="00A27E4E" w:rsidRPr="003E0E7D" w:rsidRDefault="00A27E4E" w:rsidP="00A27E4E">
            <w:pPr>
              <w:pStyle w:val="TableCopy"/>
              <w:rPr>
                <w:lang w:eastAsia="en-AU"/>
              </w:rPr>
            </w:pPr>
            <w:r w:rsidRPr="003E0E7D">
              <w:rPr>
                <w:lang w:eastAsia="en-AU"/>
              </w:rPr>
              <w:t xml:space="preserve">Free of charge </w:t>
            </w:r>
          </w:p>
        </w:tc>
        <w:tc>
          <w:tcPr>
            <w:tcW w:w="1026" w:type="pct"/>
            <w:tcBorders>
              <w:top w:val="nil"/>
              <w:bottom w:val="nil"/>
            </w:tcBorders>
            <w:shd w:val="clear" w:color="auto" w:fill="DCDCDC"/>
          </w:tcPr>
          <w:p w14:paraId="2BB57F3D" w14:textId="77777777" w:rsidR="00A27E4E" w:rsidRPr="003E0E7D" w:rsidRDefault="00A27E4E" w:rsidP="00A27E4E">
            <w:pPr>
              <w:pStyle w:val="TableCopy"/>
            </w:pPr>
            <w:r w:rsidRPr="003E0E7D">
              <w:t>RCPA – 7 labs (most labs also use NRL for this service)</w:t>
            </w:r>
            <w:r w:rsidR="00B34846" w:rsidRPr="003E0E7D">
              <w:t>^</w:t>
            </w:r>
            <w:r w:rsidRPr="003E0E7D">
              <w:t xml:space="preserve"> </w:t>
            </w:r>
          </w:p>
        </w:tc>
        <w:tc>
          <w:tcPr>
            <w:tcW w:w="1023" w:type="pct"/>
            <w:tcBorders>
              <w:top w:val="nil"/>
              <w:bottom w:val="nil"/>
            </w:tcBorders>
            <w:shd w:val="clear" w:color="auto" w:fill="DCDCDC"/>
          </w:tcPr>
          <w:p w14:paraId="6CDF19E1" w14:textId="77777777" w:rsidR="00A27E4E" w:rsidRPr="003E0E7D" w:rsidRDefault="00A27E4E" w:rsidP="00A27E4E">
            <w:pPr>
              <w:pStyle w:val="TableCopy"/>
            </w:pPr>
            <w:r w:rsidRPr="003E0E7D">
              <w:rPr>
                <w:rFonts w:ascii="Times New Roman" w:hAnsi="Times New Roman"/>
              </w:rPr>
              <w:t>$</w:t>
            </w:r>
            <w:r w:rsidRPr="003E0E7D">
              <w:t>650 per survey, 2 samples x 6 survey</w:t>
            </w:r>
            <w:r w:rsidR="003F7652" w:rsidRPr="003E0E7D">
              <w:t>s</w:t>
            </w:r>
            <w:r w:rsidRPr="003E0E7D">
              <w:t xml:space="preserve"> per year</w:t>
            </w:r>
          </w:p>
        </w:tc>
      </w:tr>
      <w:tr w:rsidR="00276C1B" w:rsidRPr="003E0E7D" w14:paraId="1101F99F" w14:textId="77777777" w:rsidTr="003E0E7D">
        <w:trPr>
          <w:trHeight w:val="300"/>
        </w:trPr>
        <w:tc>
          <w:tcPr>
            <w:tcW w:w="1503" w:type="pct"/>
            <w:tcBorders>
              <w:top w:val="nil"/>
              <w:bottom w:val="nil"/>
            </w:tcBorders>
            <w:shd w:val="clear" w:color="auto" w:fill="DCDCDC"/>
            <w:noWrap/>
          </w:tcPr>
          <w:p w14:paraId="3F412A56" w14:textId="77777777" w:rsidR="00A27E4E" w:rsidRPr="003E0E7D" w:rsidRDefault="00A27E4E" w:rsidP="003E0E7D">
            <w:pPr>
              <w:pStyle w:val="TableBullets2"/>
              <w:numPr>
                <w:ilvl w:val="1"/>
                <w:numId w:val="6"/>
              </w:numPr>
              <w:spacing w:before="60" w:after="60"/>
              <w:rPr>
                <w:lang w:eastAsia="en-AU"/>
              </w:rPr>
            </w:pPr>
            <w:r w:rsidRPr="003E0E7D">
              <w:rPr>
                <w:lang w:eastAsia="en-AU"/>
              </w:rPr>
              <w:t xml:space="preserve">Viral load </w:t>
            </w:r>
          </w:p>
        </w:tc>
        <w:tc>
          <w:tcPr>
            <w:tcW w:w="722" w:type="pct"/>
            <w:tcBorders>
              <w:top w:val="nil"/>
              <w:bottom w:val="nil"/>
            </w:tcBorders>
            <w:shd w:val="clear" w:color="auto" w:fill="DCDCDC"/>
            <w:noWrap/>
          </w:tcPr>
          <w:p w14:paraId="4201FD35" w14:textId="77777777" w:rsidR="00A27E4E" w:rsidRPr="003E0E7D" w:rsidRDefault="00A27E4E" w:rsidP="003E0E7D">
            <w:pPr>
              <w:pStyle w:val="TableCopy"/>
              <w:jc w:val="center"/>
              <w:rPr>
                <w:lang w:eastAsia="en-AU"/>
              </w:rPr>
            </w:pPr>
            <w:r w:rsidRPr="003E0E7D">
              <w:rPr>
                <w:lang w:eastAsia="en-AU"/>
              </w:rPr>
              <w:t>10 (33%)</w:t>
            </w:r>
          </w:p>
        </w:tc>
        <w:tc>
          <w:tcPr>
            <w:tcW w:w="726" w:type="pct"/>
            <w:tcBorders>
              <w:top w:val="nil"/>
              <w:bottom w:val="nil"/>
            </w:tcBorders>
            <w:shd w:val="clear" w:color="auto" w:fill="DCDCDC"/>
          </w:tcPr>
          <w:p w14:paraId="615BBD88" w14:textId="77777777" w:rsidR="00A27E4E" w:rsidRPr="003E0E7D" w:rsidRDefault="00A27E4E" w:rsidP="00A27E4E">
            <w:pPr>
              <w:pStyle w:val="TableCopy"/>
              <w:rPr>
                <w:lang w:eastAsia="en-AU"/>
              </w:rPr>
            </w:pPr>
            <w:r w:rsidRPr="003E0E7D">
              <w:rPr>
                <w:lang w:eastAsia="en-AU"/>
              </w:rPr>
              <w:t xml:space="preserve">Free of charge </w:t>
            </w:r>
          </w:p>
        </w:tc>
        <w:tc>
          <w:tcPr>
            <w:tcW w:w="1026" w:type="pct"/>
            <w:tcBorders>
              <w:top w:val="nil"/>
              <w:bottom w:val="nil"/>
            </w:tcBorders>
            <w:shd w:val="clear" w:color="auto" w:fill="DCDCDC"/>
          </w:tcPr>
          <w:p w14:paraId="1782FE19" w14:textId="77777777" w:rsidR="00A27E4E" w:rsidRPr="003E0E7D" w:rsidRDefault="00A27E4E" w:rsidP="00A27E4E">
            <w:pPr>
              <w:pStyle w:val="TableCopy"/>
            </w:pPr>
            <w:r w:rsidRPr="003E0E7D">
              <w:t>RC</w:t>
            </w:r>
            <w:r w:rsidR="00667284" w:rsidRPr="003E0E7D">
              <w:t>PA</w:t>
            </w:r>
            <w:r w:rsidRPr="003E0E7D">
              <w:t xml:space="preserve"> quantification – 1 lab (lab also uses NRL for this service)</w:t>
            </w:r>
          </w:p>
        </w:tc>
        <w:tc>
          <w:tcPr>
            <w:tcW w:w="1023" w:type="pct"/>
            <w:tcBorders>
              <w:top w:val="nil"/>
              <w:bottom w:val="nil"/>
            </w:tcBorders>
            <w:shd w:val="clear" w:color="auto" w:fill="DCDCDC"/>
          </w:tcPr>
          <w:p w14:paraId="175AC9F2" w14:textId="77777777" w:rsidR="00A27E4E" w:rsidRPr="003E0E7D" w:rsidRDefault="00A27E4E" w:rsidP="00A27E4E">
            <w:pPr>
              <w:pStyle w:val="TableCopy"/>
            </w:pPr>
            <w:r w:rsidRPr="003E0E7D">
              <w:rPr>
                <w:rFonts w:ascii="Times New Roman" w:hAnsi="Times New Roman"/>
              </w:rPr>
              <w:t>$</w:t>
            </w:r>
            <w:r w:rsidRPr="003E0E7D">
              <w:t xml:space="preserve">800 per survey, </w:t>
            </w:r>
            <w:r w:rsidR="003F7652" w:rsidRPr="003E0E7D">
              <w:t>6 samples x 2 surveys per year</w:t>
            </w:r>
          </w:p>
        </w:tc>
      </w:tr>
      <w:tr w:rsidR="00276C1B" w:rsidRPr="003E0E7D" w14:paraId="66537221" w14:textId="77777777" w:rsidTr="003E0E7D">
        <w:trPr>
          <w:trHeight w:val="300"/>
        </w:trPr>
        <w:tc>
          <w:tcPr>
            <w:tcW w:w="1503" w:type="pct"/>
            <w:tcBorders>
              <w:top w:val="nil"/>
              <w:bottom w:val="single" w:sz="4" w:space="0" w:color="4B4B4B"/>
            </w:tcBorders>
            <w:shd w:val="clear" w:color="auto" w:fill="DCDCDC"/>
            <w:noWrap/>
          </w:tcPr>
          <w:p w14:paraId="13D1FECA" w14:textId="77777777" w:rsidR="00A27E4E" w:rsidRPr="003E0E7D" w:rsidRDefault="00A27E4E" w:rsidP="003E0E7D">
            <w:pPr>
              <w:pStyle w:val="TableBullets2"/>
              <w:numPr>
                <w:ilvl w:val="1"/>
                <w:numId w:val="6"/>
              </w:numPr>
              <w:spacing w:before="60" w:after="60"/>
              <w:rPr>
                <w:lang w:eastAsia="en-AU"/>
              </w:rPr>
            </w:pPr>
            <w:r w:rsidRPr="003E0E7D">
              <w:rPr>
                <w:lang w:eastAsia="en-AU"/>
              </w:rPr>
              <w:t xml:space="preserve">HIV-1 </w:t>
            </w:r>
            <w:r w:rsidR="003F6092" w:rsidRPr="003E0E7D">
              <w:rPr>
                <w:lang w:eastAsia="en-AU"/>
              </w:rPr>
              <w:t>genotypic drug resistance</w:t>
            </w:r>
          </w:p>
        </w:tc>
        <w:tc>
          <w:tcPr>
            <w:tcW w:w="722" w:type="pct"/>
            <w:tcBorders>
              <w:top w:val="nil"/>
              <w:bottom w:val="single" w:sz="4" w:space="0" w:color="4B4B4B"/>
            </w:tcBorders>
            <w:shd w:val="clear" w:color="auto" w:fill="DCDCDC"/>
            <w:noWrap/>
          </w:tcPr>
          <w:p w14:paraId="7A283D6F" w14:textId="77777777" w:rsidR="00A27E4E" w:rsidRPr="003E0E7D" w:rsidRDefault="00A27E4E" w:rsidP="003E0E7D">
            <w:pPr>
              <w:pStyle w:val="TableCopy"/>
              <w:jc w:val="center"/>
              <w:rPr>
                <w:lang w:eastAsia="en-AU"/>
              </w:rPr>
            </w:pPr>
            <w:r w:rsidRPr="003E0E7D">
              <w:rPr>
                <w:lang w:eastAsia="en-AU"/>
              </w:rPr>
              <w:t>3 (10%)</w:t>
            </w:r>
          </w:p>
        </w:tc>
        <w:tc>
          <w:tcPr>
            <w:tcW w:w="726" w:type="pct"/>
            <w:tcBorders>
              <w:top w:val="nil"/>
              <w:bottom w:val="single" w:sz="4" w:space="0" w:color="4B4B4B"/>
            </w:tcBorders>
            <w:shd w:val="clear" w:color="auto" w:fill="DCDCDC"/>
          </w:tcPr>
          <w:p w14:paraId="74C9B20C"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1,800 (or </w:t>
            </w:r>
            <w:r w:rsidRPr="003E0E7D">
              <w:rPr>
                <w:rFonts w:ascii="Times New Roman" w:hAnsi="Times New Roman"/>
                <w:lang w:eastAsia="en-AU"/>
              </w:rPr>
              <w:t>$</w:t>
            </w:r>
            <w:r w:rsidRPr="003E0E7D">
              <w:rPr>
                <w:lang w:eastAsia="en-AU"/>
              </w:rPr>
              <w:t>600 per survey)</w:t>
            </w:r>
          </w:p>
        </w:tc>
        <w:tc>
          <w:tcPr>
            <w:tcW w:w="1026" w:type="pct"/>
            <w:tcBorders>
              <w:top w:val="nil"/>
              <w:bottom w:val="single" w:sz="4" w:space="0" w:color="4B4B4B"/>
            </w:tcBorders>
            <w:shd w:val="clear" w:color="auto" w:fill="DCDCDC"/>
          </w:tcPr>
          <w:p w14:paraId="78C077C2" w14:textId="77777777" w:rsidR="00A27E4E" w:rsidRPr="003E0E7D" w:rsidRDefault="00A27E4E" w:rsidP="00A27E4E">
            <w:pPr>
              <w:pStyle w:val="TableCopy"/>
            </w:pPr>
          </w:p>
        </w:tc>
        <w:tc>
          <w:tcPr>
            <w:tcW w:w="1023" w:type="pct"/>
            <w:tcBorders>
              <w:top w:val="nil"/>
              <w:bottom w:val="single" w:sz="4" w:space="0" w:color="4B4B4B"/>
            </w:tcBorders>
            <w:shd w:val="clear" w:color="auto" w:fill="DCDCDC"/>
          </w:tcPr>
          <w:p w14:paraId="0ABF41FE" w14:textId="77777777" w:rsidR="00A27E4E" w:rsidRPr="003E0E7D" w:rsidRDefault="00A27E4E" w:rsidP="00A27E4E">
            <w:pPr>
              <w:pStyle w:val="TableCopy"/>
            </w:pPr>
          </w:p>
        </w:tc>
      </w:tr>
      <w:tr w:rsidR="00276C1B" w:rsidRPr="003E0E7D" w14:paraId="37219ED5" w14:textId="77777777" w:rsidTr="003E0E7D">
        <w:trPr>
          <w:trHeight w:val="300"/>
        </w:trPr>
        <w:tc>
          <w:tcPr>
            <w:tcW w:w="1503" w:type="pct"/>
            <w:tcBorders>
              <w:bottom w:val="nil"/>
            </w:tcBorders>
            <w:shd w:val="clear" w:color="auto" w:fill="DCDCDC"/>
            <w:noWrap/>
            <w:hideMark/>
          </w:tcPr>
          <w:p w14:paraId="2A4E596B" w14:textId="77777777" w:rsidR="00A27E4E" w:rsidRPr="003E0E7D" w:rsidRDefault="00C03683" w:rsidP="00A27E4E">
            <w:pPr>
              <w:pStyle w:val="TableCopy"/>
              <w:rPr>
                <w:b/>
                <w:lang w:eastAsia="en-AU"/>
              </w:rPr>
            </w:pPr>
            <w:r w:rsidRPr="003E0E7D">
              <w:rPr>
                <w:b/>
                <w:lang w:eastAsia="en-AU"/>
              </w:rPr>
              <w:t xml:space="preserve">NRL </w:t>
            </w:r>
            <w:r w:rsidR="00A27E4E" w:rsidRPr="003E0E7D">
              <w:rPr>
                <w:b/>
                <w:lang w:eastAsia="en-AU"/>
              </w:rPr>
              <w:t>HCV</w:t>
            </w:r>
          </w:p>
        </w:tc>
        <w:tc>
          <w:tcPr>
            <w:tcW w:w="722" w:type="pct"/>
            <w:tcBorders>
              <w:bottom w:val="nil"/>
            </w:tcBorders>
            <w:shd w:val="clear" w:color="auto" w:fill="DCDCDC"/>
            <w:noWrap/>
            <w:hideMark/>
          </w:tcPr>
          <w:p w14:paraId="1AC93A43" w14:textId="77777777" w:rsidR="00A27E4E" w:rsidRPr="003E0E7D" w:rsidRDefault="00A27E4E" w:rsidP="003E0E7D">
            <w:pPr>
              <w:pStyle w:val="TableCopy"/>
              <w:jc w:val="center"/>
              <w:rPr>
                <w:b/>
                <w:lang w:eastAsia="en-AU"/>
              </w:rPr>
            </w:pPr>
            <w:r w:rsidRPr="003E0E7D">
              <w:rPr>
                <w:b/>
                <w:lang w:eastAsia="en-AU"/>
              </w:rPr>
              <w:t>18 (60%)</w:t>
            </w:r>
          </w:p>
        </w:tc>
        <w:tc>
          <w:tcPr>
            <w:tcW w:w="726" w:type="pct"/>
            <w:tcBorders>
              <w:bottom w:val="nil"/>
            </w:tcBorders>
            <w:shd w:val="clear" w:color="auto" w:fill="DCDCDC"/>
          </w:tcPr>
          <w:p w14:paraId="34CCCE65" w14:textId="77777777" w:rsidR="00A27E4E" w:rsidRPr="003E0E7D" w:rsidRDefault="00A27E4E" w:rsidP="00A27E4E">
            <w:pPr>
              <w:pStyle w:val="TableCopy"/>
              <w:rPr>
                <w:lang w:eastAsia="en-AU"/>
              </w:rPr>
            </w:pPr>
          </w:p>
        </w:tc>
        <w:tc>
          <w:tcPr>
            <w:tcW w:w="1026" w:type="pct"/>
            <w:tcBorders>
              <w:bottom w:val="nil"/>
            </w:tcBorders>
            <w:shd w:val="clear" w:color="auto" w:fill="DCDCDC"/>
          </w:tcPr>
          <w:p w14:paraId="3016B90E" w14:textId="77777777" w:rsidR="00A27E4E" w:rsidRPr="003E0E7D" w:rsidRDefault="00A27E4E" w:rsidP="00A27E4E">
            <w:pPr>
              <w:pStyle w:val="TableCopy"/>
            </w:pPr>
          </w:p>
        </w:tc>
        <w:tc>
          <w:tcPr>
            <w:tcW w:w="1023" w:type="pct"/>
            <w:tcBorders>
              <w:bottom w:val="nil"/>
            </w:tcBorders>
            <w:shd w:val="clear" w:color="auto" w:fill="DCDCDC"/>
          </w:tcPr>
          <w:p w14:paraId="72C6290C" w14:textId="77777777" w:rsidR="00A27E4E" w:rsidRPr="003E0E7D" w:rsidRDefault="00A27E4E" w:rsidP="00A27E4E">
            <w:pPr>
              <w:pStyle w:val="TableCopy"/>
            </w:pPr>
          </w:p>
        </w:tc>
      </w:tr>
      <w:tr w:rsidR="00276C1B" w:rsidRPr="003E0E7D" w14:paraId="0454FB9B" w14:textId="77777777" w:rsidTr="003E0E7D">
        <w:trPr>
          <w:trHeight w:val="435"/>
        </w:trPr>
        <w:tc>
          <w:tcPr>
            <w:tcW w:w="1503" w:type="pct"/>
            <w:tcBorders>
              <w:top w:val="nil"/>
              <w:left w:val="nil"/>
              <w:bottom w:val="nil"/>
            </w:tcBorders>
            <w:shd w:val="clear" w:color="auto" w:fill="DCDCDC"/>
            <w:noWrap/>
          </w:tcPr>
          <w:p w14:paraId="1FD71365" w14:textId="77777777" w:rsidR="00A27E4E" w:rsidRPr="003E0E7D" w:rsidRDefault="00A27E4E" w:rsidP="003E0E7D">
            <w:pPr>
              <w:pStyle w:val="TableBullets2"/>
              <w:numPr>
                <w:ilvl w:val="1"/>
                <w:numId w:val="6"/>
              </w:numPr>
              <w:spacing w:before="60" w:after="60"/>
              <w:rPr>
                <w:lang w:eastAsia="en-AU"/>
              </w:rPr>
            </w:pPr>
            <w:r w:rsidRPr="003E0E7D">
              <w:t xml:space="preserve">Hepatitis </w:t>
            </w:r>
            <w:r w:rsidR="003F6092" w:rsidRPr="003E0E7D">
              <w:t xml:space="preserve">serology </w:t>
            </w:r>
            <w:r w:rsidR="00296915" w:rsidRPr="003E0E7D">
              <w:t>–</w:t>
            </w:r>
            <w:r w:rsidRPr="003E0E7D">
              <w:t xml:space="preserve"> Hepatitis C only </w:t>
            </w:r>
          </w:p>
        </w:tc>
        <w:tc>
          <w:tcPr>
            <w:tcW w:w="722" w:type="pct"/>
            <w:tcBorders>
              <w:top w:val="nil"/>
              <w:bottom w:val="nil"/>
            </w:tcBorders>
            <w:shd w:val="clear" w:color="auto" w:fill="DCDCDC"/>
            <w:noWrap/>
          </w:tcPr>
          <w:p w14:paraId="190FBE25" w14:textId="77777777" w:rsidR="00A27E4E" w:rsidRPr="003E0E7D" w:rsidRDefault="00A27E4E" w:rsidP="003E0E7D">
            <w:pPr>
              <w:pStyle w:val="TableCopy"/>
              <w:jc w:val="center"/>
              <w:rPr>
                <w:lang w:eastAsia="en-AU"/>
              </w:rPr>
            </w:pPr>
            <w:r w:rsidRPr="003E0E7D">
              <w:rPr>
                <w:lang w:eastAsia="en-AU"/>
              </w:rPr>
              <w:t>15 (50%)</w:t>
            </w:r>
          </w:p>
        </w:tc>
        <w:tc>
          <w:tcPr>
            <w:tcW w:w="726" w:type="pct"/>
            <w:tcBorders>
              <w:top w:val="nil"/>
              <w:bottom w:val="nil"/>
            </w:tcBorders>
            <w:shd w:val="clear" w:color="auto" w:fill="DCDCDC"/>
          </w:tcPr>
          <w:p w14:paraId="0BFE4A9D" w14:textId="77777777" w:rsidR="00A27E4E" w:rsidRPr="003E0E7D" w:rsidRDefault="00A27E4E" w:rsidP="00A27E4E">
            <w:pPr>
              <w:pStyle w:val="TableCopy"/>
              <w:rPr>
                <w:lang w:eastAsia="en-AU"/>
              </w:rPr>
            </w:pPr>
            <w:r w:rsidRPr="003E0E7D">
              <w:rPr>
                <w:lang w:eastAsia="en-AU"/>
              </w:rPr>
              <w:t xml:space="preserve">Free of charge </w:t>
            </w:r>
          </w:p>
        </w:tc>
        <w:tc>
          <w:tcPr>
            <w:tcW w:w="1026" w:type="pct"/>
            <w:tcBorders>
              <w:top w:val="nil"/>
              <w:bottom w:val="nil"/>
            </w:tcBorders>
            <w:shd w:val="clear" w:color="auto" w:fill="DCDCDC"/>
          </w:tcPr>
          <w:p w14:paraId="35813337" w14:textId="77777777" w:rsidR="00A27E4E" w:rsidRPr="003E0E7D" w:rsidRDefault="00A27E4E" w:rsidP="00A27E4E">
            <w:pPr>
              <w:pStyle w:val="TableCopy"/>
            </w:pPr>
            <w:r w:rsidRPr="003E0E7D">
              <w:t xml:space="preserve">RCPA </w:t>
            </w:r>
            <w:r w:rsidR="00450F0E" w:rsidRPr="003E0E7D">
              <w:t>–</w:t>
            </w:r>
            <w:r w:rsidRPr="003E0E7D">
              <w:t xml:space="preserve"> 16 lab</w:t>
            </w:r>
            <w:r w:rsidR="00450F0E" w:rsidRPr="003E0E7D">
              <w:t>s</w:t>
            </w:r>
            <w:r w:rsidRPr="003E0E7D">
              <w:t xml:space="preserve"> (labs also</w:t>
            </w:r>
            <w:r w:rsidR="00BA6BCD" w:rsidRPr="003E0E7D">
              <w:t xml:space="preserve"> use</w:t>
            </w:r>
            <w:r w:rsidRPr="003E0E7D">
              <w:t xml:space="preserve"> NRL for this service)</w:t>
            </w:r>
          </w:p>
        </w:tc>
        <w:tc>
          <w:tcPr>
            <w:tcW w:w="1023" w:type="pct"/>
            <w:tcBorders>
              <w:top w:val="nil"/>
              <w:bottom w:val="nil"/>
            </w:tcBorders>
            <w:shd w:val="clear" w:color="auto" w:fill="DCDCDC"/>
          </w:tcPr>
          <w:p w14:paraId="38969814" w14:textId="77777777" w:rsidR="00A27E4E" w:rsidRPr="003E0E7D" w:rsidRDefault="00A27E4E" w:rsidP="00A27E4E">
            <w:pPr>
              <w:pStyle w:val="TableCopy"/>
            </w:pPr>
            <w:r w:rsidRPr="003E0E7D">
              <w:rPr>
                <w:rFonts w:ascii="Times New Roman" w:hAnsi="Times New Roman"/>
              </w:rPr>
              <w:t>$</w:t>
            </w:r>
            <w:r w:rsidRPr="003E0E7D">
              <w:t>650 per survey, 2 samples x 6 survey</w:t>
            </w:r>
            <w:r w:rsidR="003F7652" w:rsidRPr="003E0E7D">
              <w:t>s</w:t>
            </w:r>
            <w:r w:rsidRPr="003E0E7D">
              <w:t xml:space="preserve"> per year </w:t>
            </w:r>
          </w:p>
        </w:tc>
      </w:tr>
      <w:tr w:rsidR="00276C1B" w:rsidRPr="003E0E7D" w14:paraId="20CB378E" w14:textId="77777777" w:rsidTr="003E0E7D">
        <w:trPr>
          <w:trHeight w:val="300"/>
        </w:trPr>
        <w:tc>
          <w:tcPr>
            <w:tcW w:w="1503" w:type="pct"/>
            <w:tcBorders>
              <w:top w:val="nil"/>
              <w:left w:val="nil"/>
              <w:bottom w:val="nil"/>
            </w:tcBorders>
            <w:shd w:val="clear" w:color="auto" w:fill="DCDCDC"/>
            <w:noWrap/>
          </w:tcPr>
          <w:p w14:paraId="4B450F99" w14:textId="77777777" w:rsidR="00A27E4E" w:rsidRPr="003E0E7D" w:rsidRDefault="00A27E4E" w:rsidP="003E0E7D">
            <w:pPr>
              <w:pStyle w:val="TableBullets2"/>
              <w:numPr>
                <w:ilvl w:val="1"/>
                <w:numId w:val="6"/>
              </w:numPr>
              <w:spacing w:before="60" w:after="60"/>
            </w:pPr>
            <w:r w:rsidRPr="003E0E7D">
              <w:t>HCV RNA viral load</w:t>
            </w:r>
          </w:p>
        </w:tc>
        <w:tc>
          <w:tcPr>
            <w:tcW w:w="722" w:type="pct"/>
            <w:tcBorders>
              <w:top w:val="nil"/>
              <w:bottom w:val="nil"/>
            </w:tcBorders>
            <w:shd w:val="clear" w:color="auto" w:fill="DCDCDC"/>
            <w:noWrap/>
          </w:tcPr>
          <w:p w14:paraId="33743374" w14:textId="77777777" w:rsidR="00A27E4E" w:rsidRPr="003E0E7D" w:rsidRDefault="00A27E4E" w:rsidP="003E0E7D">
            <w:pPr>
              <w:pStyle w:val="TableCopy"/>
              <w:jc w:val="center"/>
              <w:rPr>
                <w:lang w:eastAsia="en-AU"/>
              </w:rPr>
            </w:pPr>
            <w:r w:rsidRPr="003E0E7D">
              <w:rPr>
                <w:lang w:eastAsia="en-AU"/>
              </w:rPr>
              <w:t>9 (30%)</w:t>
            </w:r>
          </w:p>
        </w:tc>
        <w:tc>
          <w:tcPr>
            <w:tcW w:w="726" w:type="pct"/>
            <w:tcBorders>
              <w:top w:val="nil"/>
              <w:bottom w:val="nil"/>
            </w:tcBorders>
            <w:shd w:val="clear" w:color="auto" w:fill="DCDCDC"/>
          </w:tcPr>
          <w:p w14:paraId="0BE6BEF0" w14:textId="77777777" w:rsidR="00A27E4E" w:rsidRPr="003E0E7D" w:rsidRDefault="00A27E4E" w:rsidP="00A27E4E">
            <w:pPr>
              <w:pStyle w:val="TableCopy"/>
              <w:rPr>
                <w:lang w:eastAsia="en-AU"/>
              </w:rPr>
            </w:pPr>
            <w:r w:rsidRPr="003E0E7D">
              <w:rPr>
                <w:lang w:eastAsia="en-AU"/>
              </w:rPr>
              <w:t xml:space="preserve">Free of charge </w:t>
            </w:r>
          </w:p>
        </w:tc>
        <w:tc>
          <w:tcPr>
            <w:tcW w:w="1026" w:type="pct"/>
            <w:tcBorders>
              <w:top w:val="nil"/>
              <w:bottom w:val="nil"/>
            </w:tcBorders>
            <w:shd w:val="clear" w:color="auto" w:fill="DCDCDC"/>
          </w:tcPr>
          <w:p w14:paraId="2E37AFD7" w14:textId="77777777" w:rsidR="00A27E4E" w:rsidRPr="003E0E7D" w:rsidRDefault="00A27E4E" w:rsidP="00A27E4E">
            <w:pPr>
              <w:pStyle w:val="TableCopy"/>
            </w:pPr>
            <w:r w:rsidRPr="003E0E7D">
              <w:t xml:space="preserve">RCPA </w:t>
            </w:r>
            <w:r w:rsidR="00450F0E" w:rsidRPr="003E0E7D">
              <w:t>–</w:t>
            </w:r>
            <w:r w:rsidRPr="003E0E7D">
              <w:t xml:space="preserve"> 3 labs (labs also use NRL for this service)</w:t>
            </w:r>
          </w:p>
        </w:tc>
        <w:tc>
          <w:tcPr>
            <w:tcW w:w="1023" w:type="pct"/>
            <w:tcBorders>
              <w:top w:val="nil"/>
              <w:bottom w:val="nil"/>
            </w:tcBorders>
            <w:shd w:val="clear" w:color="auto" w:fill="DCDCDC"/>
          </w:tcPr>
          <w:p w14:paraId="29619CDB" w14:textId="77777777" w:rsidR="00A27E4E" w:rsidRPr="003E0E7D" w:rsidRDefault="00A27E4E" w:rsidP="00A27E4E">
            <w:pPr>
              <w:pStyle w:val="TableCopy"/>
            </w:pPr>
            <w:r w:rsidRPr="003E0E7D">
              <w:rPr>
                <w:rFonts w:ascii="Times New Roman" w:hAnsi="Times New Roman"/>
              </w:rPr>
              <w:t>$</w:t>
            </w:r>
            <w:r w:rsidRPr="003E0E7D">
              <w:t>800 per survey,</w:t>
            </w:r>
            <w:r w:rsidR="003F7652" w:rsidRPr="003E0E7D">
              <w:t xml:space="preserve"> 6</w:t>
            </w:r>
            <w:r w:rsidRPr="003E0E7D">
              <w:t xml:space="preserve"> samples x </w:t>
            </w:r>
            <w:r w:rsidR="003F7652" w:rsidRPr="003E0E7D">
              <w:t>2</w:t>
            </w:r>
            <w:r w:rsidRPr="003E0E7D">
              <w:t xml:space="preserve"> survey</w:t>
            </w:r>
            <w:r w:rsidR="003F7652" w:rsidRPr="003E0E7D">
              <w:t>s</w:t>
            </w:r>
            <w:r w:rsidRPr="003E0E7D">
              <w:t xml:space="preserve"> per year</w:t>
            </w:r>
          </w:p>
        </w:tc>
      </w:tr>
      <w:tr w:rsidR="00276C1B" w:rsidRPr="003E0E7D" w14:paraId="713C6F8F" w14:textId="77777777" w:rsidTr="003E0E7D">
        <w:trPr>
          <w:trHeight w:val="300"/>
        </w:trPr>
        <w:tc>
          <w:tcPr>
            <w:tcW w:w="1503" w:type="pct"/>
            <w:tcBorders>
              <w:top w:val="nil"/>
              <w:left w:val="nil"/>
              <w:bottom w:val="nil"/>
            </w:tcBorders>
            <w:shd w:val="clear" w:color="auto" w:fill="DCDCDC"/>
            <w:noWrap/>
          </w:tcPr>
          <w:p w14:paraId="2F1F0CB1" w14:textId="77777777" w:rsidR="00A27E4E" w:rsidRPr="003E0E7D" w:rsidRDefault="00A27E4E" w:rsidP="003E0E7D">
            <w:pPr>
              <w:pStyle w:val="TableBullets2"/>
              <w:numPr>
                <w:ilvl w:val="1"/>
                <w:numId w:val="6"/>
              </w:numPr>
              <w:spacing w:before="60" w:after="60"/>
            </w:pPr>
            <w:r w:rsidRPr="003E0E7D">
              <w:t xml:space="preserve">HCV RNA qualitative </w:t>
            </w:r>
          </w:p>
        </w:tc>
        <w:tc>
          <w:tcPr>
            <w:tcW w:w="722" w:type="pct"/>
            <w:tcBorders>
              <w:top w:val="nil"/>
              <w:bottom w:val="nil"/>
            </w:tcBorders>
            <w:shd w:val="clear" w:color="auto" w:fill="DCDCDC"/>
            <w:noWrap/>
          </w:tcPr>
          <w:p w14:paraId="5536AE6D" w14:textId="77777777" w:rsidR="00A27E4E" w:rsidRPr="003E0E7D" w:rsidRDefault="00A27E4E" w:rsidP="003E0E7D">
            <w:pPr>
              <w:pStyle w:val="TableCopy"/>
              <w:jc w:val="center"/>
              <w:rPr>
                <w:lang w:eastAsia="en-AU"/>
              </w:rPr>
            </w:pPr>
            <w:r w:rsidRPr="003E0E7D">
              <w:rPr>
                <w:lang w:eastAsia="en-AU"/>
              </w:rPr>
              <w:t>6 (20%)</w:t>
            </w:r>
          </w:p>
        </w:tc>
        <w:tc>
          <w:tcPr>
            <w:tcW w:w="726" w:type="pct"/>
            <w:tcBorders>
              <w:top w:val="nil"/>
              <w:bottom w:val="nil"/>
            </w:tcBorders>
            <w:shd w:val="clear" w:color="auto" w:fill="DCDCDC"/>
          </w:tcPr>
          <w:p w14:paraId="2DCE7A6B" w14:textId="77777777" w:rsidR="00A27E4E" w:rsidRPr="003E0E7D" w:rsidRDefault="00A27E4E" w:rsidP="00A27E4E">
            <w:pPr>
              <w:pStyle w:val="TableCopy"/>
              <w:rPr>
                <w:lang w:eastAsia="en-AU"/>
              </w:rPr>
            </w:pPr>
            <w:r w:rsidRPr="003E0E7D">
              <w:rPr>
                <w:lang w:eastAsia="en-AU"/>
              </w:rPr>
              <w:t xml:space="preserve">Free of charge </w:t>
            </w:r>
          </w:p>
        </w:tc>
        <w:tc>
          <w:tcPr>
            <w:tcW w:w="1026" w:type="pct"/>
            <w:tcBorders>
              <w:top w:val="nil"/>
              <w:bottom w:val="nil"/>
            </w:tcBorders>
            <w:shd w:val="clear" w:color="auto" w:fill="DCDCDC"/>
          </w:tcPr>
          <w:p w14:paraId="653B2725" w14:textId="77777777" w:rsidR="00A27E4E" w:rsidRPr="003E0E7D" w:rsidRDefault="00A27E4E" w:rsidP="00A27E4E">
            <w:pPr>
              <w:pStyle w:val="TableCopy"/>
            </w:pPr>
          </w:p>
        </w:tc>
        <w:tc>
          <w:tcPr>
            <w:tcW w:w="1023" w:type="pct"/>
            <w:tcBorders>
              <w:top w:val="nil"/>
              <w:bottom w:val="single" w:sz="4" w:space="0" w:color="DCDCDC"/>
            </w:tcBorders>
            <w:shd w:val="clear" w:color="auto" w:fill="DCDCDC"/>
          </w:tcPr>
          <w:p w14:paraId="2959B333" w14:textId="77777777" w:rsidR="00A27E4E" w:rsidRPr="003E0E7D" w:rsidRDefault="00A27E4E" w:rsidP="00A27E4E">
            <w:pPr>
              <w:pStyle w:val="TableCopy"/>
            </w:pPr>
          </w:p>
        </w:tc>
      </w:tr>
      <w:tr w:rsidR="00276C1B" w:rsidRPr="003E0E7D" w14:paraId="36F8D8D9" w14:textId="77777777" w:rsidTr="003E0E7D">
        <w:trPr>
          <w:trHeight w:val="300"/>
        </w:trPr>
        <w:tc>
          <w:tcPr>
            <w:tcW w:w="1503" w:type="pct"/>
            <w:tcBorders>
              <w:top w:val="nil"/>
            </w:tcBorders>
            <w:shd w:val="clear" w:color="auto" w:fill="DCDCDC"/>
            <w:noWrap/>
          </w:tcPr>
          <w:p w14:paraId="3690BE74" w14:textId="77777777" w:rsidR="00A27E4E" w:rsidRPr="003E0E7D" w:rsidRDefault="00A27E4E" w:rsidP="003E0E7D">
            <w:pPr>
              <w:pStyle w:val="TableBullets2"/>
              <w:numPr>
                <w:ilvl w:val="1"/>
                <w:numId w:val="6"/>
              </w:numPr>
              <w:spacing w:before="60" w:after="60"/>
            </w:pPr>
            <w:r w:rsidRPr="003E0E7D">
              <w:t xml:space="preserve">HCV </w:t>
            </w:r>
            <w:r w:rsidR="003F6092" w:rsidRPr="003E0E7D">
              <w:t xml:space="preserve">genotyping </w:t>
            </w:r>
          </w:p>
        </w:tc>
        <w:tc>
          <w:tcPr>
            <w:tcW w:w="722" w:type="pct"/>
            <w:tcBorders>
              <w:top w:val="nil"/>
            </w:tcBorders>
            <w:shd w:val="clear" w:color="auto" w:fill="DCDCDC"/>
            <w:noWrap/>
          </w:tcPr>
          <w:p w14:paraId="69E74B91" w14:textId="77777777" w:rsidR="00A27E4E" w:rsidRPr="003E0E7D" w:rsidRDefault="00A27E4E" w:rsidP="003E0E7D">
            <w:pPr>
              <w:pStyle w:val="TableCopy"/>
              <w:jc w:val="center"/>
              <w:rPr>
                <w:lang w:eastAsia="en-AU"/>
              </w:rPr>
            </w:pPr>
            <w:r w:rsidRPr="003E0E7D">
              <w:rPr>
                <w:lang w:eastAsia="en-AU"/>
              </w:rPr>
              <w:t>4 (13%)</w:t>
            </w:r>
          </w:p>
        </w:tc>
        <w:tc>
          <w:tcPr>
            <w:tcW w:w="726" w:type="pct"/>
            <w:tcBorders>
              <w:top w:val="nil"/>
            </w:tcBorders>
            <w:shd w:val="clear" w:color="auto" w:fill="DCDCDC"/>
          </w:tcPr>
          <w:p w14:paraId="694AFB4D"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975 (or </w:t>
            </w:r>
            <w:r w:rsidRPr="003E0E7D">
              <w:rPr>
                <w:rFonts w:ascii="Times New Roman" w:hAnsi="Times New Roman"/>
                <w:lang w:eastAsia="en-AU"/>
              </w:rPr>
              <w:t>$</w:t>
            </w:r>
            <w:r w:rsidRPr="003E0E7D">
              <w:rPr>
                <w:lang w:eastAsia="en-AU"/>
              </w:rPr>
              <w:t>325 per survey)</w:t>
            </w:r>
          </w:p>
        </w:tc>
        <w:tc>
          <w:tcPr>
            <w:tcW w:w="1026" w:type="pct"/>
            <w:tcBorders>
              <w:top w:val="nil"/>
            </w:tcBorders>
            <w:shd w:val="clear" w:color="auto" w:fill="DCDCDC"/>
          </w:tcPr>
          <w:p w14:paraId="7C979BF3" w14:textId="77777777" w:rsidR="00A27E4E" w:rsidRPr="003E0E7D" w:rsidRDefault="00A27E4E" w:rsidP="00A27E4E">
            <w:pPr>
              <w:pStyle w:val="TableCopy"/>
            </w:pPr>
            <w:r w:rsidRPr="003E0E7D">
              <w:t>RCPA – 1 lab (does not use NRL for this service)</w:t>
            </w:r>
          </w:p>
        </w:tc>
        <w:tc>
          <w:tcPr>
            <w:tcW w:w="1023" w:type="pct"/>
            <w:tcBorders>
              <w:top w:val="single" w:sz="4" w:space="0" w:color="DCDCDC"/>
            </w:tcBorders>
            <w:shd w:val="clear" w:color="auto" w:fill="DCDCDC"/>
          </w:tcPr>
          <w:p w14:paraId="5F46B774" w14:textId="77777777" w:rsidR="00A27E4E" w:rsidRPr="003E0E7D" w:rsidRDefault="00A27E4E" w:rsidP="00A27E4E">
            <w:pPr>
              <w:pStyle w:val="TableCopy"/>
            </w:pPr>
            <w:r w:rsidRPr="003E0E7D">
              <w:rPr>
                <w:rFonts w:ascii="Times New Roman" w:hAnsi="Times New Roman"/>
              </w:rPr>
              <w:t>$</w:t>
            </w:r>
            <w:r w:rsidRPr="003E0E7D">
              <w:t xml:space="preserve">800 per survey, </w:t>
            </w:r>
            <w:r w:rsidR="003F7652" w:rsidRPr="003E0E7D">
              <w:t>6</w:t>
            </w:r>
            <w:r w:rsidRPr="003E0E7D">
              <w:t xml:space="preserve"> samples x </w:t>
            </w:r>
            <w:r w:rsidR="003F7652" w:rsidRPr="003E0E7D">
              <w:t>2</w:t>
            </w:r>
            <w:r w:rsidRPr="003E0E7D">
              <w:t xml:space="preserve"> survey</w:t>
            </w:r>
            <w:r w:rsidR="003F7652" w:rsidRPr="003E0E7D">
              <w:t>s</w:t>
            </w:r>
            <w:r w:rsidRPr="003E0E7D">
              <w:t xml:space="preserve"> per year</w:t>
            </w:r>
          </w:p>
        </w:tc>
      </w:tr>
      <w:tr w:rsidR="00276C1B" w:rsidRPr="003E0E7D" w14:paraId="2733564E" w14:textId="77777777" w:rsidTr="003E0E7D">
        <w:trPr>
          <w:trHeight w:val="300"/>
        </w:trPr>
        <w:tc>
          <w:tcPr>
            <w:tcW w:w="1503" w:type="pct"/>
            <w:shd w:val="clear" w:color="auto" w:fill="DCDCDC"/>
            <w:noWrap/>
            <w:hideMark/>
          </w:tcPr>
          <w:p w14:paraId="03A3D267" w14:textId="77777777" w:rsidR="00A27E4E" w:rsidRPr="003E0E7D" w:rsidRDefault="00C03683" w:rsidP="003E0E7D">
            <w:pPr>
              <w:pStyle w:val="TableCopy"/>
              <w:keepNext/>
              <w:rPr>
                <w:b/>
                <w:lang w:eastAsia="en-AU"/>
              </w:rPr>
            </w:pPr>
            <w:r w:rsidRPr="003E0E7D">
              <w:rPr>
                <w:b/>
                <w:lang w:eastAsia="en-AU"/>
              </w:rPr>
              <w:lastRenderedPageBreak/>
              <w:t xml:space="preserve">NRL </w:t>
            </w:r>
            <w:r w:rsidR="00A27E4E" w:rsidRPr="003E0E7D">
              <w:rPr>
                <w:b/>
                <w:lang w:eastAsia="en-AU"/>
              </w:rPr>
              <w:t>HBV</w:t>
            </w:r>
          </w:p>
          <w:p w14:paraId="3ECB7D87" w14:textId="77777777" w:rsidR="00A27E4E" w:rsidRPr="003E0E7D" w:rsidRDefault="00A27E4E" w:rsidP="003E0E7D">
            <w:pPr>
              <w:pStyle w:val="TableBullets2"/>
              <w:numPr>
                <w:ilvl w:val="1"/>
                <w:numId w:val="6"/>
              </w:numPr>
              <w:spacing w:before="60" w:after="60"/>
              <w:rPr>
                <w:lang w:eastAsia="en-AU"/>
              </w:rPr>
            </w:pPr>
            <w:r w:rsidRPr="003E0E7D">
              <w:t>HBV DNA viral load</w:t>
            </w:r>
          </w:p>
        </w:tc>
        <w:tc>
          <w:tcPr>
            <w:tcW w:w="722" w:type="pct"/>
            <w:shd w:val="clear" w:color="auto" w:fill="DCDCDC"/>
            <w:noWrap/>
            <w:hideMark/>
          </w:tcPr>
          <w:p w14:paraId="1F9B8228" w14:textId="77777777" w:rsidR="00A27E4E" w:rsidRPr="003E0E7D" w:rsidRDefault="00A27E4E" w:rsidP="003E0E7D">
            <w:pPr>
              <w:pStyle w:val="TableCopy"/>
              <w:jc w:val="center"/>
              <w:rPr>
                <w:lang w:eastAsia="en-AU"/>
              </w:rPr>
            </w:pPr>
          </w:p>
          <w:p w14:paraId="2BDCF167" w14:textId="77777777" w:rsidR="00A27E4E" w:rsidRPr="003E0E7D" w:rsidRDefault="00A27E4E" w:rsidP="003E0E7D">
            <w:pPr>
              <w:pStyle w:val="TableCopy"/>
              <w:jc w:val="center"/>
              <w:rPr>
                <w:lang w:eastAsia="en-AU"/>
              </w:rPr>
            </w:pPr>
            <w:r w:rsidRPr="003E0E7D">
              <w:rPr>
                <w:lang w:eastAsia="en-AU"/>
              </w:rPr>
              <w:t>7 (23%)</w:t>
            </w:r>
          </w:p>
        </w:tc>
        <w:tc>
          <w:tcPr>
            <w:tcW w:w="726" w:type="pct"/>
            <w:shd w:val="clear" w:color="auto" w:fill="DCDCDC"/>
          </w:tcPr>
          <w:p w14:paraId="5625D116" w14:textId="77777777" w:rsidR="00A27E4E" w:rsidRPr="003E0E7D" w:rsidRDefault="00A27E4E" w:rsidP="00A27E4E">
            <w:pPr>
              <w:pStyle w:val="TableCopy"/>
              <w:rPr>
                <w:rFonts w:ascii="Times New Roman" w:hAnsi="Times New Roman"/>
                <w:lang w:eastAsia="en-AU"/>
              </w:rPr>
            </w:pPr>
          </w:p>
          <w:p w14:paraId="03D31C93" w14:textId="77777777" w:rsidR="00A27E4E" w:rsidRPr="003E0E7D" w:rsidRDefault="00A27E4E" w:rsidP="00A27E4E">
            <w:pPr>
              <w:pStyle w:val="TableCopy"/>
              <w:rPr>
                <w:lang w:eastAsia="en-AU"/>
              </w:rPr>
            </w:pPr>
            <w:r w:rsidRPr="003E0E7D">
              <w:rPr>
                <w:rFonts w:ascii="Times New Roman" w:hAnsi="Times New Roman"/>
                <w:lang w:eastAsia="en-AU"/>
              </w:rPr>
              <w:t>$</w:t>
            </w:r>
            <w:r w:rsidRPr="003E0E7D">
              <w:rPr>
                <w:lang w:eastAsia="en-AU"/>
              </w:rPr>
              <w:t xml:space="preserve">975 (or </w:t>
            </w:r>
            <w:r w:rsidRPr="003E0E7D">
              <w:rPr>
                <w:rFonts w:ascii="Times New Roman" w:hAnsi="Times New Roman"/>
                <w:lang w:eastAsia="en-AU"/>
              </w:rPr>
              <w:t>$</w:t>
            </w:r>
            <w:r w:rsidRPr="003E0E7D">
              <w:rPr>
                <w:lang w:eastAsia="en-AU"/>
              </w:rPr>
              <w:t>325 per survey)</w:t>
            </w:r>
          </w:p>
        </w:tc>
        <w:tc>
          <w:tcPr>
            <w:tcW w:w="1026" w:type="pct"/>
            <w:shd w:val="clear" w:color="auto" w:fill="DCDCDC"/>
          </w:tcPr>
          <w:p w14:paraId="54FBF63D" w14:textId="77777777" w:rsidR="00A27E4E" w:rsidRPr="003E0E7D" w:rsidRDefault="00A27E4E" w:rsidP="00A27E4E">
            <w:pPr>
              <w:pStyle w:val="TableCopy"/>
            </w:pPr>
            <w:r w:rsidRPr="003E0E7D">
              <w:t>QCMD for HBV genotyping (not offered by NRL)</w:t>
            </w:r>
          </w:p>
          <w:p w14:paraId="61225CE6" w14:textId="77777777" w:rsidR="00A27E4E" w:rsidRPr="003E0E7D" w:rsidRDefault="00A27E4E" w:rsidP="00A27E4E">
            <w:pPr>
              <w:pStyle w:val="TableCopy"/>
            </w:pPr>
            <w:r w:rsidRPr="003E0E7D">
              <w:t xml:space="preserve">RCPA </w:t>
            </w:r>
            <w:r w:rsidR="003F6092" w:rsidRPr="003E0E7D">
              <w:t xml:space="preserve">serology </w:t>
            </w:r>
            <w:r w:rsidRPr="003E0E7D">
              <w:t>for HBV – 19 labs</w:t>
            </w:r>
          </w:p>
          <w:p w14:paraId="7E52BC1E" w14:textId="77777777" w:rsidR="00A27E4E" w:rsidRPr="003E0E7D" w:rsidRDefault="00A27E4E" w:rsidP="00A27E4E">
            <w:pPr>
              <w:pStyle w:val="TableCopy"/>
            </w:pPr>
            <w:r w:rsidRPr="003E0E7D">
              <w:t>RCPA NAT for HBV – 3 labs (2 labs also use NRL services)</w:t>
            </w:r>
          </w:p>
        </w:tc>
        <w:tc>
          <w:tcPr>
            <w:tcW w:w="1023" w:type="pct"/>
            <w:shd w:val="clear" w:color="auto" w:fill="DCDCDC"/>
          </w:tcPr>
          <w:p w14:paraId="4707BF90" w14:textId="77777777" w:rsidR="00A27E4E" w:rsidRPr="003E0E7D" w:rsidRDefault="00A27E4E" w:rsidP="00A27E4E">
            <w:pPr>
              <w:pStyle w:val="TableCopy"/>
            </w:pPr>
            <w:r w:rsidRPr="003E0E7D">
              <w:t>QCMD is a UK based company.</w:t>
            </w:r>
            <w:r w:rsidRPr="003E0E7D">
              <w:br/>
            </w:r>
          </w:p>
          <w:p w14:paraId="0F4CCA1D" w14:textId="77777777" w:rsidR="00A27E4E" w:rsidRPr="003E0E7D" w:rsidRDefault="00A27E4E" w:rsidP="00A27E4E">
            <w:pPr>
              <w:pStyle w:val="TableCopy"/>
            </w:pPr>
            <w:r w:rsidRPr="003E0E7D">
              <w:t xml:space="preserve">RCPA </w:t>
            </w:r>
            <w:r w:rsidRPr="003E0E7D">
              <w:rPr>
                <w:rFonts w:ascii="Times New Roman" w:hAnsi="Times New Roman"/>
              </w:rPr>
              <w:t>$</w:t>
            </w:r>
            <w:r w:rsidR="003F7652" w:rsidRPr="003E0E7D">
              <w:t xml:space="preserve">650 per survey (serology), 2 samples per survey, 6 surveys per year </w:t>
            </w:r>
            <w:r w:rsidRPr="003E0E7D">
              <w:t xml:space="preserve">or </w:t>
            </w:r>
            <w:r w:rsidRPr="003E0E7D">
              <w:rPr>
                <w:rFonts w:ascii="Times New Roman" w:hAnsi="Times New Roman"/>
              </w:rPr>
              <w:t>$</w:t>
            </w:r>
            <w:r w:rsidRPr="003E0E7D">
              <w:t xml:space="preserve">800 per survey (NAT), </w:t>
            </w:r>
            <w:r w:rsidR="003F7652" w:rsidRPr="003E0E7D">
              <w:t>6</w:t>
            </w:r>
            <w:r w:rsidRPr="003E0E7D">
              <w:t xml:space="preserve"> samples x </w:t>
            </w:r>
            <w:r w:rsidR="003F7652" w:rsidRPr="003E0E7D">
              <w:t>2</w:t>
            </w:r>
            <w:r w:rsidRPr="003E0E7D">
              <w:t xml:space="preserve"> survey per year</w:t>
            </w:r>
          </w:p>
          <w:p w14:paraId="0FF26300" w14:textId="77777777" w:rsidR="003F7652" w:rsidRPr="003E0E7D" w:rsidRDefault="003F7652" w:rsidP="00A27E4E">
            <w:pPr>
              <w:pStyle w:val="TableCopy"/>
            </w:pPr>
          </w:p>
          <w:p w14:paraId="60CCADC5" w14:textId="77777777" w:rsidR="00A27E4E" w:rsidRPr="003E0E7D" w:rsidRDefault="00A27E4E" w:rsidP="00A27E4E">
            <w:pPr>
              <w:pStyle w:val="TableCopy"/>
            </w:pPr>
            <w:r w:rsidRPr="003E0E7D">
              <w:t>EQAS for HBV serology and general NAT or genotyping is not offered by NRL</w:t>
            </w:r>
          </w:p>
        </w:tc>
      </w:tr>
      <w:tr w:rsidR="00276C1B" w:rsidRPr="003E0E7D" w14:paraId="7440685B" w14:textId="77777777" w:rsidTr="003E0E7D">
        <w:trPr>
          <w:trHeight w:val="300"/>
        </w:trPr>
        <w:tc>
          <w:tcPr>
            <w:tcW w:w="1503" w:type="pct"/>
            <w:shd w:val="clear" w:color="auto" w:fill="DCDCDC"/>
            <w:noWrap/>
            <w:hideMark/>
          </w:tcPr>
          <w:p w14:paraId="7782ABD9" w14:textId="77777777" w:rsidR="00A27E4E" w:rsidRPr="003E0E7D" w:rsidRDefault="00C03683" w:rsidP="00A27E4E">
            <w:pPr>
              <w:pStyle w:val="TableCopy"/>
              <w:rPr>
                <w:b/>
                <w:lang w:eastAsia="en-AU"/>
              </w:rPr>
            </w:pPr>
            <w:r w:rsidRPr="003E0E7D">
              <w:rPr>
                <w:b/>
                <w:lang w:eastAsia="en-AU"/>
              </w:rPr>
              <w:t xml:space="preserve">NRL </w:t>
            </w:r>
            <w:r w:rsidR="00A27E4E" w:rsidRPr="003E0E7D">
              <w:rPr>
                <w:b/>
                <w:lang w:eastAsia="en-AU"/>
              </w:rPr>
              <w:t>HTLV</w:t>
            </w:r>
          </w:p>
          <w:p w14:paraId="6B07A8E7" w14:textId="77777777" w:rsidR="00A27E4E" w:rsidRPr="003E0E7D" w:rsidRDefault="00A27E4E" w:rsidP="003E0E7D">
            <w:pPr>
              <w:pStyle w:val="TableBullets2"/>
              <w:numPr>
                <w:ilvl w:val="1"/>
                <w:numId w:val="6"/>
              </w:numPr>
              <w:spacing w:before="60" w:after="60"/>
              <w:rPr>
                <w:lang w:eastAsia="en-AU"/>
              </w:rPr>
            </w:pPr>
            <w:r w:rsidRPr="003E0E7D">
              <w:rPr>
                <w:lang w:eastAsia="en-AU"/>
              </w:rPr>
              <w:t xml:space="preserve">HTLV </w:t>
            </w:r>
            <w:r w:rsidR="003F6092" w:rsidRPr="003E0E7D">
              <w:rPr>
                <w:lang w:eastAsia="en-AU"/>
              </w:rPr>
              <w:t xml:space="preserve">serology </w:t>
            </w:r>
          </w:p>
        </w:tc>
        <w:tc>
          <w:tcPr>
            <w:tcW w:w="722" w:type="pct"/>
            <w:shd w:val="clear" w:color="auto" w:fill="DCDCDC"/>
            <w:noWrap/>
            <w:hideMark/>
          </w:tcPr>
          <w:p w14:paraId="1FE7968A" w14:textId="77777777" w:rsidR="00A27E4E" w:rsidRPr="003E0E7D" w:rsidRDefault="00A27E4E" w:rsidP="003E0E7D">
            <w:pPr>
              <w:pStyle w:val="TableCopy"/>
              <w:jc w:val="center"/>
              <w:rPr>
                <w:lang w:eastAsia="en-AU"/>
              </w:rPr>
            </w:pPr>
          </w:p>
          <w:p w14:paraId="1286DFE9" w14:textId="77777777" w:rsidR="00A27E4E" w:rsidRPr="003E0E7D" w:rsidRDefault="00A27E4E" w:rsidP="003E0E7D">
            <w:pPr>
              <w:pStyle w:val="TableCopy"/>
              <w:jc w:val="center"/>
              <w:rPr>
                <w:lang w:eastAsia="en-AU"/>
              </w:rPr>
            </w:pPr>
            <w:r w:rsidRPr="003E0E7D">
              <w:rPr>
                <w:lang w:eastAsia="en-AU"/>
              </w:rPr>
              <w:t>9 (30%)</w:t>
            </w:r>
          </w:p>
        </w:tc>
        <w:tc>
          <w:tcPr>
            <w:tcW w:w="726" w:type="pct"/>
            <w:shd w:val="clear" w:color="auto" w:fill="DCDCDC"/>
          </w:tcPr>
          <w:p w14:paraId="5B48B4D3" w14:textId="77777777" w:rsidR="00A27E4E" w:rsidRPr="003E0E7D" w:rsidRDefault="00A27E4E" w:rsidP="00A27E4E">
            <w:pPr>
              <w:pStyle w:val="TableCopy"/>
              <w:rPr>
                <w:lang w:eastAsia="en-AU"/>
              </w:rPr>
            </w:pPr>
          </w:p>
          <w:p w14:paraId="0F4DF1ED" w14:textId="77777777" w:rsidR="00A27E4E" w:rsidRPr="003E0E7D" w:rsidRDefault="00A27E4E" w:rsidP="00A27E4E">
            <w:pPr>
              <w:pStyle w:val="TableCopy"/>
              <w:rPr>
                <w:lang w:eastAsia="en-AU"/>
              </w:rPr>
            </w:pPr>
            <w:r w:rsidRPr="003E0E7D">
              <w:rPr>
                <w:lang w:eastAsia="en-AU"/>
              </w:rPr>
              <w:t xml:space="preserve">Free of charge </w:t>
            </w:r>
          </w:p>
        </w:tc>
        <w:tc>
          <w:tcPr>
            <w:tcW w:w="1026" w:type="pct"/>
            <w:shd w:val="clear" w:color="auto" w:fill="DCDCDC"/>
          </w:tcPr>
          <w:p w14:paraId="3C46BA75" w14:textId="77777777" w:rsidR="00A27E4E" w:rsidRPr="003E0E7D" w:rsidRDefault="00A27E4E" w:rsidP="00A27E4E">
            <w:pPr>
              <w:pStyle w:val="TableCopy"/>
            </w:pPr>
          </w:p>
          <w:p w14:paraId="006BFE8A" w14:textId="77777777" w:rsidR="00A27E4E" w:rsidRPr="003E0E7D" w:rsidRDefault="00A27E4E" w:rsidP="00A27E4E">
            <w:pPr>
              <w:pStyle w:val="TableCopy"/>
            </w:pPr>
            <w:r w:rsidRPr="003E0E7D">
              <w:t>RCPA serology – 5 labs (3 labs also use NRL services)</w:t>
            </w:r>
          </w:p>
        </w:tc>
        <w:tc>
          <w:tcPr>
            <w:tcW w:w="1023" w:type="pct"/>
            <w:shd w:val="clear" w:color="auto" w:fill="DCDCDC"/>
          </w:tcPr>
          <w:p w14:paraId="4A10940D" w14:textId="77777777" w:rsidR="00A27E4E" w:rsidRPr="003E0E7D" w:rsidRDefault="00A27E4E" w:rsidP="00A27E4E">
            <w:pPr>
              <w:pStyle w:val="TableCopy"/>
              <w:rPr>
                <w:rFonts w:ascii="Times New Roman" w:hAnsi="Times New Roman"/>
              </w:rPr>
            </w:pPr>
          </w:p>
          <w:p w14:paraId="790C9F19" w14:textId="77777777" w:rsidR="00A27E4E" w:rsidRPr="003E0E7D" w:rsidRDefault="00A27E4E" w:rsidP="00A27E4E">
            <w:pPr>
              <w:pStyle w:val="TableCopy"/>
            </w:pPr>
            <w:r w:rsidRPr="003E0E7D">
              <w:rPr>
                <w:rFonts w:ascii="Times New Roman" w:hAnsi="Times New Roman"/>
              </w:rPr>
              <w:t>$</w:t>
            </w:r>
            <w:r w:rsidRPr="003E0E7D">
              <w:t>325 per survey per year, 2</w:t>
            </w:r>
            <w:r w:rsidR="003F7652" w:rsidRPr="003E0E7D">
              <w:t xml:space="preserve"> samples per survey x 6 surveys per year.</w:t>
            </w:r>
          </w:p>
        </w:tc>
      </w:tr>
    </w:tbl>
    <w:bookmarkEnd w:id="63"/>
    <w:p w14:paraId="65F06903" w14:textId="77777777" w:rsidR="00A27E4E" w:rsidRDefault="00A27E4E" w:rsidP="00A27E4E">
      <w:pPr>
        <w:pStyle w:val="TableNotes"/>
      </w:pPr>
      <w:r>
        <w:t xml:space="preserve">Note, not all laboratories provided amounts for cost per kit. Where information was available, it has been extrapolated. </w:t>
      </w:r>
    </w:p>
    <w:p w14:paraId="52F97EF7" w14:textId="77777777" w:rsidR="00A27E4E" w:rsidRDefault="00A27E4E" w:rsidP="00A27E4E">
      <w:pPr>
        <w:pStyle w:val="TableNotes"/>
      </w:pPr>
      <w:r>
        <w:t>*based on NRL EQAS order form</w:t>
      </w:r>
    </w:p>
    <w:p w14:paraId="4888B2A1" w14:textId="2716E9A0" w:rsidR="00B34846" w:rsidRDefault="00B34846" w:rsidP="00A27E4E">
      <w:pPr>
        <w:pStyle w:val="TableNotes"/>
      </w:pPr>
      <w:r>
        <w:t xml:space="preserve">^Reasons laboratories would use two QA programs </w:t>
      </w:r>
      <w:r w:rsidR="00BA6BCD">
        <w:t>from</w:t>
      </w:r>
      <w:r>
        <w:t xml:space="preserve"> difference suppliers was not explored in the survey process.</w:t>
      </w:r>
    </w:p>
    <w:p w14:paraId="3F39AFB7" w14:textId="6970E4D8" w:rsidR="00686B4D" w:rsidRDefault="00B57DB9" w:rsidP="00740E01">
      <w:pPr>
        <w:pStyle w:val="TableNotes"/>
        <w:rPr>
          <w:shd w:val="clear" w:color="auto" w:fill="FFFFFF"/>
        </w:rPr>
      </w:pPr>
      <w:r>
        <w:rPr>
          <w:shd w:val="clear" w:color="auto" w:fill="FFFFFF"/>
        </w:rPr>
        <w:t xml:space="preserve">Note 3: Free of charge refers to the price laboratories pay. These services are funded by the Australian Government through the funding arrangements under review. </w:t>
      </w:r>
      <w:r>
        <w:rPr>
          <w:shd w:val="clear" w:color="auto" w:fill="FFFFFF"/>
        </w:rPr>
        <w:br/>
      </w:r>
    </w:p>
    <w:p w14:paraId="2316E888" w14:textId="77777777" w:rsidR="00686B4D" w:rsidRDefault="00686B4D" w:rsidP="00B31706">
      <w:pPr>
        <w:pStyle w:val="BodyCopy"/>
        <w:rPr>
          <w:shd w:val="clear" w:color="auto" w:fill="FFFFFF"/>
        </w:rPr>
        <w:sectPr w:rsidR="00686B4D" w:rsidSect="00686B4D">
          <w:footnotePr>
            <w:numFmt w:val="lowerLetter"/>
          </w:footnotePr>
          <w:pgSz w:w="16839" w:h="11907" w:orient="landscape" w:code="9"/>
          <w:pgMar w:top="2268" w:right="1304" w:bottom="851" w:left="737" w:header="567" w:footer="284" w:gutter="0"/>
          <w:cols w:space="709"/>
          <w:docGrid w:linePitch="360"/>
        </w:sectPr>
      </w:pPr>
    </w:p>
    <w:p w14:paraId="40E37635" w14:textId="77777777" w:rsidR="0006152E" w:rsidRPr="003F409A" w:rsidRDefault="0006152E" w:rsidP="00BF0546">
      <w:pPr>
        <w:pStyle w:val="Heading3"/>
        <w:spacing w:before="0"/>
      </w:pPr>
      <w:bookmarkStart w:id="64" w:name="_Toc18664651"/>
      <w:r w:rsidRPr="00EA4A5C">
        <w:t>Oth</w:t>
      </w:r>
      <w:r>
        <w:t>er</w:t>
      </w:r>
      <w:r w:rsidR="007536F1">
        <w:t xml:space="preserve"> QA </w:t>
      </w:r>
      <w:r>
        <w:t>providers</w:t>
      </w:r>
      <w:bookmarkEnd w:id="64"/>
      <w:r>
        <w:t xml:space="preserve"> </w:t>
      </w:r>
    </w:p>
    <w:p w14:paraId="713AB00F" w14:textId="2F29B881" w:rsidR="0006152E" w:rsidRDefault="008F1F65" w:rsidP="0006152E">
      <w:pPr>
        <w:pStyle w:val="BodyCopy"/>
      </w:pPr>
      <w:r>
        <w:t>A summary of NRL QA services is provided in</w:t>
      </w:r>
      <w:r w:rsidR="009A0531">
        <w:t xml:space="preserve"> </w:t>
      </w:r>
      <w:r w:rsidR="009A0531">
        <w:fldChar w:fldCharType="begin"/>
      </w:r>
      <w:r w:rsidR="009A0531">
        <w:instrText xml:space="preserve"> REF _Ref494285656 \h </w:instrText>
      </w:r>
      <w:r w:rsidR="009A0531">
        <w:fldChar w:fldCharType="separate"/>
      </w:r>
      <w:r w:rsidR="0078683A">
        <w:t xml:space="preserve">Table </w:t>
      </w:r>
      <w:r w:rsidR="0078683A">
        <w:rPr>
          <w:noProof/>
        </w:rPr>
        <w:t>5</w:t>
      </w:r>
      <w:r w:rsidR="0078683A">
        <w:t>.</w:t>
      </w:r>
      <w:r w:rsidR="0078683A">
        <w:rPr>
          <w:noProof/>
        </w:rPr>
        <w:t>2</w:t>
      </w:r>
      <w:r w:rsidR="009A0531">
        <w:fldChar w:fldCharType="end"/>
      </w:r>
      <w:r>
        <w:t xml:space="preserve">. </w:t>
      </w:r>
      <w:r w:rsidR="0006152E">
        <w:rPr>
          <w:shd w:val="clear" w:color="auto" w:fill="FFFFFF"/>
        </w:rPr>
        <w:t>There is one other QA service provider in Australia</w:t>
      </w:r>
      <w:r w:rsidR="00EA0B00">
        <w:rPr>
          <w:shd w:val="clear" w:color="auto" w:fill="FFFFFF"/>
        </w:rPr>
        <w:t xml:space="preserve">, </w:t>
      </w:r>
      <w:r w:rsidR="0006152E">
        <w:rPr>
          <w:shd w:val="clear" w:color="auto" w:fill="FFFFFF"/>
        </w:rPr>
        <w:t>RCPA.</w:t>
      </w:r>
      <w:r w:rsidR="0006152E" w:rsidRPr="0006152E">
        <w:t xml:space="preserve"> </w:t>
      </w:r>
      <w:r w:rsidR="0006152E">
        <w:t xml:space="preserve">Based on survey responses, many </w:t>
      </w:r>
      <w:r w:rsidR="00A253BC">
        <w:t xml:space="preserve">participating </w:t>
      </w:r>
      <w:r w:rsidR="0006152E">
        <w:t xml:space="preserve">laboratories used RCPA </w:t>
      </w:r>
      <w:r w:rsidR="0097773C">
        <w:t>QA</w:t>
      </w:r>
      <w:r w:rsidR="00D0297A">
        <w:t xml:space="preserve"> programs </w:t>
      </w:r>
      <w:r w:rsidR="0006152E">
        <w:t>for hepatitis serology</w:t>
      </w:r>
      <w:r w:rsidR="00BA6BCD">
        <w:t>,</w:t>
      </w:r>
      <w:r w:rsidR="0006152E">
        <w:t xml:space="preserve"> including HCV, HBV and HAV. A few </w:t>
      </w:r>
      <w:r w:rsidR="00A253BC">
        <w:t xml:space="preserve">participating </w:t>
      </w:r>
      <w:r w:rsidR="0006152E">
        <w:t>laboratories also used RCPA QA</w:t>
      </w:r>
      <w:r w:rsidR="00747F7E">
        <w:t xml:space="preserve"> programs</w:t>
      </w:r>
      <w:r w:rsidR="0006152E">
        <w:t xml:space="preserve"> for HIV or HTLV serology</w:t>
      </w:r>
      <w:r w:rsidR="001C1790">
        <w:t xml:space="preserve">, </w:t>
      </w:r>
      <w:r w:rsidR="0006152E">
        <w:t>and for HIV, HCV and HBV</w:t>
      </w:r>
      <w:r w:rsidR="001C1790">
        <w:t xml:space="preserve"> NAT</w:t>
      </w:r>
      <w:r w:rsidR="0006152E">
        <w:t xml:space="preserve">. See </w:t>
      </w:r>
      <w:r w:rsidR="0006152E">
        <w:fldChar w:fldCharType="begin"/>
      </w:r>
      <w:r w:rsidR="0006152E">
        <w:instrText xml:space="preserve"> REF _Ref494285656 \h </w:instrText>
      </w:r>
      <w:r w:rsidR="0006152E">
        <w:fldChar w:fldCharType="separate"/>
      </w:r>
      <w:r w:rsidR="0078683A">
        <w:t xml:space="preserve">Table </w:t>
      </w:r>
      <w:r w:rsidR="0078683A">
        <w:rPr>
          <w:noProof/>
        </w:rPr>
        <w:t>5</w:t>
      </w:r>
      <w:r w:rsidR="0078683A">
        <w:t>.</w:t>
      </w:r>
      <w:r w:rsidR="0078683A">
        <w:rPr>
          <w:noProof/>
        </w:rPr>
        <w:t>2</w:t>
      </w:r>
      <w:r w:rsidR="0006152E">
        <w:fldChar w:fldCharType="end"/>
      </w:r>
      <w:r w:rsidR="0006152E">
        <w:t>.</w:t>
      </w:r>
    </w:p>
    <w:p w14:paraId="7381235C" w14:textId="5B852534" w:rsidR="0006152E" w:rsidRDefault="0006152E" w:rsidP="0006152E">
      <w:pPr>
        <w:pStyle w:val="BodyCopy"/>
      </w:pPr>
      <w:bookmarkStart w:id="65" w:name="_Hlk494881327"/>
      <w:r>
        <w:t xml:space="preserve">RCPA QA programs cost </w:t>
      </w:r>
      <w:r>
        <w:rPr>
          <w:rFonts w:ascii="Times New Roman" w:hAnsi="Times New Roman"/>
        </w:rPr>
        <w:t>$</w:t>
      </w:r>
      <w:r>
        <w:t xml:space="preserve">650 per survey for serology programs and </w:t>
      </w:r>
      <w:r>
        <w:rPr>
          <w:rFonts w:ascii="Times New Roman" w:hAnsi="Times New Roman"/>
        </w:rPr>
        <w:t>$</w:t>
      </w:r>
      <w:r>
        <w:t xml:space="preserve">800 per survey for NAT programs. RCPA </w:t>
      </w:r>
      <w:r w:rsidR="003F7652">
        <w:t xml:space="preserve">serology EQAS </w:t>
      </w:r>
      <w:r>
        <w:t>include two samples per survey, six</w:t>
      </w:r>
      <w:r w:rsidR="003F7652">
        <w:t xml:space="preserve"> surveys per year. RCPA NAT EQAS include six sample</w:t>
      </w:r>
      <w:r w:rsidR="00AC7EF8">
        <w:t>s</w:t>
      </w:r>
      <w:r w:rsidR="003F7652">
        <w:t xml:space="preserve"> per survey, two surveys per year. </w:t>
      </w:r>
      <w:bookmarkEnd w:id="65"/>
      <w:r>
        <w:t xml:space="preserve">See </w:t>
      </w:r>
      <w:r>
        <w:fldChar w:fldCharType="begin"/>
      </w:r>
      <w:r>
        <w:instrText xml:space="preserve"> REF _Ref494285656 \h </w:instrText>
      </w:r>
      <w:r>
        <w:fldChar w:fldCharType="separate"/>
      </w:r>
      <w:r w:rsidR="0078683A">
        <w:t xml:space="preserve">Table </w:t>
      </w:r>
      <w:r w:rsidR="0078683A">
        <w:rPr>
          <w:noProof/>
        </w:rPr>
        <w:t>5</w:t>
      </w:r>
      <w:r w:rsidR="0078683A">
        <w:t>.</w:t>
      </w:r>
      <w:r w:rsidR="0078683A">
        <w:rPr>
          <w:noProof/>
        </w:rPr>
        <w:t>2</w:t>
      </w:r>
      <w:r>
        <w:fldChar w:fldCharType="end"/>
      </w:r>
      <w:r w:rsidR="00AC7EF8">
        <w:t>.</w:t>
      </w:r>
    </w:p>
    <w:p w14:paraId="3C3680A0" w14:textId="77777777" w:rsidR="0006152E" w:rsidRDefault="0006152E" w:rsidP="00BF0546">
      <w:pPr>
        <w:pStyle w:val="BodyCopy"/>
        <w:keepNext/>
      </w:pPr>
      <w:r>
        <w:rPr>
          <w:shd w:val="clear" w:color="auto" w:fill="FFFFFF"/>
        </w:rPr>
        <w:t>Two other UK</w:t>
      </w:r>
      <w:r w:rsidR="00AC7EF8">
        <w:rPr>
          <w:shd w:val="clear" w:color="auto" w:fill="FFFFFF"/>
        </w:rPr>
        <w:t>-</w:t>
      </w:r>
      <w:r>
        <w:rPr>
          <w:shd w:val="clear" w:color="auto" w:fill="FFFFFF"/>
        </w:rPr>
        <w:t>based companies were listed by survey respondents</w:t>
      </w:r>
      <w:r w:rsidR="00747F7E">
        <w:rPr>
          <w:shd w:val="clear" w:color="auto" w:fill="FFFFFF"/>
        </w:rPr>
        <w:t xml:space="preserve"> as providing QA services</w:t>
      </w:r>
      <w:r>
        <w:rPr>
          <w:shd w:val="clear" w:color="auto" w:fill="FFFFFF"/>
        </w:rPr>
        <w:t xml:space="preserve">: </w:t>
      </w:r>
    </w:p>
    <w:p w14:paraId="11F14BE0" w14:textId="77777777" w:rsidR="0006152E" w:rsidRDefault="0006152E" w:rsidP="00BF0546">
      <w:pPr>
        <w:pStyle w:val="Bullets1"/>
        <w:keepNext/>
        <w:numPr>
          <w:ilvl w:val="0"/>
          <w:numId w:val="2"/>
        </w:numPr>
      </w:pPr>
      <w:r w:rsidRPr="00D5471B">
        <w:rPr>
          <w:b/>
        </w:rPr>
        <w:t>Randox RIQAS</w:t>
      </w:r>
      <w:r>
        <w:t xml:space="preserve"> –</w:t>
      </w:r>
      <w:r w:rsidR="00EA0064">
        <w:t xml:space="preserve"> One laboratory used</w:t>
      </w:r>
      <w:r>
        <w:t xml:space="preserve"> HIV/Hepatitis serology multi-maker EQAS at a cost of </w:t>
      </w:r>
      <w:r>
        <w:rPr>
          <w:rFonts w:ascii="Times New Roman" w:hAnsi="Times New Roman"/>
        </w:rPr>
        <w:t>$</w:t>
      </w:r>
      <w:r>
        <w:t>933 per year.</w:t>
      </w:r>
    </w:p>
    <w:p w14:paraId="70F88A5E" w14:textId="77777777" w:rsidR="0006152E" w:rsidRDefault="0006152E" w:rsidP="000C7CF3">
      <w:pPr>
        <w:pStyle w:val="Bullets1"/>
        <w:numPr>
          <w:ilvl w:val="0"/>
          <w:numId w:val="2"/>
        </w:numPr>
      </w:pPr>
      <w:r w:rsidRPr="00D5471B">
        <w:rPr>
          <w:b/>
        </w:rPr>
        <w:t>QCMD</w:t>
      </w:r>
      <w:r>
        <w:t xml:space="preserve"> –</w:t>
      </w:r>
      <w:r w:rsidR="00EA0064">
        <w:t xml:space="preserve"> </w:t>
      </w:r>
      <w:r>
        <w:t xml:space="preserve">One laboratory used </w:t>
      </w:r>
      <w:r w:rsidRPr="00BA167E">
        <w:t xml:space="preserve">HBV genotyping </w:t>
      </w:r>
      <w:r>
        <w:t xml:space="preserve">EQAS, a service not offered by NRL. The cost was not specified. </w:t>
      </w:r>
    </w:p>
    <w:p w14:paraId="09E1289F" w14:textId="77777777" w:rsidR="0006152E" w:rsidRDefault="003F7652" w:rsidP="00D11286">
      <w:pPr>
        <w:pStyle w:val="Heading3"/>
      </w:pPr>
      <w:bookmarkStart w:id="66" w:name="_Toc18664652"/>
      <w:r>
        <w:t xml:space="preserve">Comparability of </w:t>
      </w:r>
      <w:r w:rsidR="001C1790">
        <w:t>available QA services</w:t>
      </w:r>
      <w:bookmarkEnd w:id="66"/>
    </w:p>
    <w:p w14:paraId="1DE0019A" w14:textId="77777777" w:rsidR="003F7652" w:rsidRDefault="001C1790" w:rsidP="003F7652">
      <w:pPr>
        <w:pStyle w:val="BodyCopy"/>
      </w:pPr>
      <w:r>
        <w:t>It is difficult to compare services between providers based on the available information. There are differences between the frequency of EQAS surveys, both in number of samples sent and number of surveys per year. There may also be differences in other factors such as the level of reporting back to laboratories and the similar</w:t>
      </w:r>
      <w:r w:rsidR="00D65955">
        <w:t>ity of QA samples to blood</w:t>
      </w:r>
      <w:r>
        <w:t xml:space="preserve"> samples. </w:t>
      </w:r>
      <w:r w:rsidR="00D65955">
        <w:t xml:space="preserve">For example, </w:t>
      </w:r>
      <w:r w:rsidR="00C15EFC">
        <w:t xml:space="preserve">whole plasma samples </w:t>
      </w:r>
      <w:r w:rsidR="00C15EFC">
        <w:lastRenderedPageBreak/>
        <w:t xml:space="preserve">can be used </w:t>
      </w:r>
      <w:r w:rsidR="00C126E9">
        <w:t xml:space="preserve">to mimic testing of blood samples as closely as possible, </w:t>
      </w:r>
      <w:r w:rsidR="009A0531">
        <w:t xml:space="preserve">or samples can be diluted to known dilution factors. </w:t>
      </w:r>
    </w:p>
    <w:p w14:paraId="35AA405F" w14:textId="77777777" w:rsidR="00C126E9" w:rsidRDefault="00C126E9" w:rsidP="00BF0546">
      <w:pPr>
        <w:pStyle w:val="BodyCopy"/>
        <w:keepNext/>
      </w:pPr>
      <w:r>
        <w:t>RCPA QA pro</w:t>
      </w:r>
      <w:r w:rsidR="006B38B1">
        <w:t xml:space="preserve">ducts </w:t>
      </w:r>
      <w:r>
        <w:t>use predominately serum and plasma</w:t>
      </w:r>
      <w:r w:rsidR="00D65955">
        <w:t>. Information on</w:t>
      </w:r>
      <w:r>
        <w:t xml:space="preserve"> dilution factors (if any) </w:t>
      </w:r>
      <w:r w:rsidR="00D65955">
        <w:t xml:space="preserve">and sample preparation </w:t>
      </w:r>
      <w:r>
        <w:t>are not specified</w:t>
      </w:r>
      <w:r w:rsidR="00D65955">
        <w:t xml:space="preserve"> and therefore cannot be </w:t>
      </w:r>
      <w:r w:rsidR="006B38B1">
        <w:t xml:space="preserve">directly </w:t>
      </w:r>
      <w:r w:rsidR="00D65955">
        <w:t>compared</w:t>
      </w:r>
      <w:r w:rsidR="009A0531">
        <w:t xml:space="preserve"> to NRL</w:t>
      </w:r>
      <w:r w:rsidR="006B38B1">
        <w:t xml:space="preserve"> QA </w:t>
      </w:r>
      <w:r w:rsidR="009A0531">
        <w:t xml:space="preserve">products (known to be whole </w:t>
      </w:r>
      <w:r w:rsidR="006B38B1">
        <w:t>plasma)</w:t>
      </w:r>
      <w:r w:rsidR="00D65955">
        <w:t>. Available RCPA EQAS programs are</w:t>
      </w:r>
      <w:r>
        <w:t xml:space="preserve"> as follows:</w:t>
      </w:r>
    </w:p>
    <w:p w14:paraId="5F7444AB" w14:textId="77777777" w:rsidR="00C126E9" w:rsidRDefault="00C126E9" w:rsidP="00BF0546">
      <w:pPr>
        <w:pStyle w:val="Bullets1"/>
        <w:keepNext/>
      </w:pPr>
      <w:r>
        <w:t>hepatitis and HTLV serology EQAS programs use serum/plasma</w:t>
      </w:r>
    </w:p>
    <w:p w14:paraId="0A7B2AE4" w14:textId="77777777" w:rsidR="00C126E9" w:rsidRDefault="00C126E9" w:rsidP="00BF0546">
      <w:pPr>
        <w:pStyle w:val="Bullets1"/>
        <w:keepNext/>
      </w:pPr>
      <w:r>
        <w:t>HIV serology EQAS use serum/plasma/inactivated viral culture lysate</w:t>
      </w:r>
    </w:p>
    <w:p w14:paraId="32292D58" w14:textId="143F8C6F" w:rsidR="00C126E9" w:rsidRDefault="00C126E9" w:rsidP="00C126E9">
      <w:pPr>
        <w:pStyle w:val="Bullets1"/>
      </w:pPr>
      <w:r>
        <w:t>NAT for HIV, HCV and HBV EQAS use plasma</w:t>
      </w:r>
      <w:sdt>
        <w:sdtPr>
          <w:id w:val="1626969328"/>
          <w:citation/>
        </w:sdtPr>
        <w:sdtEndPr/>
        <w:sdtContent>
          <w:r w:rsidR="002E4619">
            <w:fldChar w:fldCharType="begin"/>
          </w:r>
          <w:r w:rsidR="002E4619">
            <w:instrText xml:space="preserve"> CITATION RCP17A \l 3081 </w:instrText>
          </w:r>
          <w:r w:rsidR="002E4619">
            <w:fldChar w:fldCharType="separate"/>
          </w:r>
          <w:r w:rsidR="002E4619">
            <w:rPr>
              <w:noProof/>
            </w:rPr>
            <w:t xml:space="preserve"> </w:t>
          </w:r>
          <w:r w:rsidR="002E4619" w:rsidRPr="002E4619">
            <w:rPr>
              <w:noProof/>
            </w:rPr>
            <w:t>[29]</w:t>
          </w:r>
          <w:r w:rsidR="002E4619">
            <w:fldChar w:fldCharType="end"/>
          </w:r>
        </w:sdtContent>
      </w:sdt>
      <w:r>
        <w:t xml:space="preserve">. </w:t>
      </w:r>
    </w:p>
    <w:p w14:paraId="70BD4B81" w14:textId="77777777" w:rsidR="00D173D5" w:rsidRPr="00D173D5" w:rsidRDefault="00D173D5" w:rsidP="00D173D5">
      <w:pPr>
        <w:pStyle w:val="KeyFinding"/>
        <w:rPr>
          <w:shd w:val="clear" w:color="auto" w:fill="FFFFFF"/>
        </w:rPr>
      </w:pPr>
      <w:r w:rsidRPr="00D173D5">
        <w:t>Direct comparability of QA produ</w:t>
      </w:r>
      <w:r w:rsidR="000676F6">
        <w:t>cts from NRL and RCPA is not possible</w:t>
      </w:r>
      <w:r w:rsidRPr="00D173D5">
        <w:t>.</w:t>
      </w:r>
      <w:r w:rsidR="000676F6">
        <w:t xml:space="preserve"> </w:t>
      </w:r>
      <w:r w:rsidR="000D39D7">
        <w:t>A more detailed comparison of services offered by different organisations should be a key part of any future funding considerations and related tenders.</w:t>
      </w:r>
    </w:p>
    <w:p w14:paraId="29067918" w14:textId="77777777" w:rsidR="00D173D5" w:rsidRPr="009D6F49" w:rsidRDefault="00D173D5" w:rsidP="00D173D5">
      <w:pPr>
        <w:pStyle w:val="Heading3"/>
        <w:rPr>
          <w:shd w:val="clear" w:color="auto" w:fill="FFFFFF"/>
        </w:rPr>
      </w:pPr>
      <w:bookmarkStart w:id="67" w:name="_Toc18664653"/>
      <w:r w:rsidRPr="009D6F49">
        <w:rPr>
          <w:shd w:val="clear" w:color="auto" w:fill="FFFFFF"/>
        </w:rPr>
        <w:t xml:space="preserve">Comparison of </w:t>
      </w:r>
      <w:r>
        <w:rPr>
          <w:shd w:val="clear" w:color="auto" w:fill="FFFFFF"/>
        </w:rPr>
        <w:t>QA</w:t>
      </w:r>
      <w:r w:rsidRPr="009D6F49">
        <w:rPr>
          <w:shd w:val="clear" w:color="auto" w:fill="FFFFFF"/>
        </w:rPr>
        <w:t xml:space="preserve"> costs</w:t>
      </w:r>
      <w:bookmarkEnd w:id="67"/>
    </w:p>
    <w:p w14:paraId="7860507A" w14:textId="77777777" w:rsidR="00D173D5" w:rsidRPr="009D6F49" w:rsidRDefault="00D173D5" w:rsidP="00D173D5">
      <w:pPr>
        <w:pStyle w:val="BodyCopy"/>
      </w:pPr>
      <w:r w:rsidRPr="009D6F49">
        <w:t>It is difficult to directly compare the cost of NRL Q</w:t>
      </w:r>
      <w:r w:rsidR="00747F7E">
        <w:t>A</w:t>
      </w:r>
      <w:r w:rsidRPr="009D6F49">
        <w:t xml:space="preserve"> products to other service providers for several reasons, including:</w:t>
      </w:r>
    </w:p>
    <w:p w14:paraId="21FC5275" w14:textId="77777777" w:rsidR="00D173D5" w:rsidRPr="009D6F49" w:rsidRDefault="00D173D5" w:rsidP="00D173D5">
      <w:pPr>
        <w:pStyle w:val="Bullets1"/>
      </w:pPr>
      <w:r w:rsidRPr="009D6F49">
        <w:t xml:space="preserve">the value of NRL </w:t>
      </w:r>
      <w:r>
        <w:t xml:space="preserve">QA </w:t>
      </w:r>
      <w:r w:rsidRPr="009D6F49">
        <w:t xml:space="preserve">product unit costs as per Schedule 2 or Schedule 3 of the funding agreement do not </w:t>
      </w:r>
      <w:r w:rsidR="00E144B3">
        <w:t xml:space="preserve">include </w:t>
      </w:r>
      <w:r w:rsidRPr="009D6F49">
        <w:t>administrative costs (e.g. salaries) budgeted for under Schedule 1</w:t>
      </w:r>
      <w:r w:rsidR="00E144B3">
        <w:t>.</w:t>
      </w:r>
      <w:r w:rsidR="00A11248">
        <w:t xml:space="preserve"> It is unconfirmed but assumed that</w:t>
      </w:r>
      <w:r w:rsidR="00191532">
        <w:t xml:space="preserve"> administrative fees are included in the reported total unit costs from alternative providers.</w:t>
      </w:r>
    </w:p>
    <w:p w14:paraId="67F408FA" w14:textId="07EA1957" w:rsidR="00D173D5" w:rsidRDefault="00D173D5" w:rsidP="00220613">
      <w:pPr>
        <w:pStyle w:val="Bullets1"/>
      </w:pPr>
      <w:r>
        <w:t>QA</w:t>
      </w:r>
      <w:r w:rsidRPr="009D6F49">
        <w:t xml:space="preserve"> products </w:t>
      </w:r>
      <w:r w:rsidR="00C91562">
        <w:t>have different compositions and are not directly comparable</w:t>
      </w:r>
      <w:r w:rsidR="00747F7E">
        <w:t xml:space="preserve">, </w:t>
      </w:r>
      <w:r>
        <w:t xml:space="preserve">and </w:t>
      </w:r>
    </w:p>
    <w:p w14:paraId="18093AAF" w14:textId="77777777" w:rsidR="00D173D5" w:rsidRPr="009D6F49" w:rsidRDefault="00D173D5" w:rsidP="00D173D5">
      <w:pPr>
        <w:pStyle w:val="Bullets1"/>
      </w:pPr>
      <w:r>
        <w:t xml:space="preserve">other service providers may have additional costs or fees not associated with the unit cost of QA services, e.g. membership fees, that may subsidise EQAS </w:t>
      </w:r>
      <w:r w:rsidR="006B38B1">
        <w:t xml:space="preserve">program </w:t>
      </w:r>
      <w:r>
        <w:t xml:space="preserve">fees (this was not explored in the survey </w:t>
      </w:r>
      <w:r w:rsidR="00CD22BD">
        <w:t>or</w:t>
      </w:r>
      <w:r>
        <w:t xml:space="preserve"> consultation process). </w:t>
      </w:r>
    </w:p>
    <w:p w14:paraId="351D1993" w14:textId="77777777" w:rsidR="00D173D5" w:rsidRDefault="00D173D5" w:rsidP="00D173D5">
      <w:pPr>
        <w:pStyle w:val="BodyCopy"/>
      </w:pPr>
      <w:r>
        <w:t xml:space="preserve">An estimated unit cost of NRL products that include the Schedule 1 components was prepared by allocating a proportion of Schedule 1 costs to the NRL product and service usage of Schedule 2 and 3 items, relative to the estimated value of each </w:t>
      </w:r>
      <w:r>
        <w:t xml:space="preserve">item (i.e. items with a higher estimated cost received a higher proportion of Schedule 1 funding distribution). </w:t>
      </w:r>
    </w:p>
    <w:p w14:paraId="386AF99D" w14:textId="3E0F76A6" w:rsidR="008672DB" w:rsidRDefault="00D173D5" w:rsidP="00D173D5">
      <w:pPr>
        <w:pStyle w:val="BodyCopy"/>
      </w:pPr>
      <w:r>
        <w:t xml:space="preserve">Based on the calculated costs (see </w:t>
      </w:r>
      <w:r w:rsidR="000C2536">
        <w:fldChar w:fldCharType="begin"/>
      </w:r>
      <w:r w:rsidR="000C2536">
        <w:instrText xml:space="preserve"> REF _Ref18407512 \r \h </w:instrText>
      </w:r>
      <w:r w:rsidR="000C2536">
        <w:fldChar w:fldCharType="separate"/>
      </w:r>
      <w:r w:rsidR="0078683A">
        <w:t>Appendix F</w:t>
      </w:r>
      <w:r w:rsidR="000C2536">
        <w:fldChar w:fldCharType="end"/>
      </w:r>
      <w:r w:rsidR="000C2536">
        <w:t xml:space="preserve">, </w:t>
      </w:r>
      <w:r w:rsidR="008672DB">
        <w:fldChar w:fldCharType="begin"/>
      </w:r>
      <w:r w:rsidR="008672DB">
        <w:instrText xml:space="preserve"> REF _Ref495063130 \h </w:instrText>
      </w:r>
      <w:r w:rsidR="008672DB">
        <w:fldChar w:fldCharType="separate"/>
      </w:r>
      <w:r w:rsidR="0078683A">
        <w:t xml:space="preserve">Table </w:t>
      </w:r>
      <w:r w:rsidR="0078683A">
        <w:rPr>
          <w:noProof/>
        </w:rPr>
        <w:t>9</w:t>
      </w:r>
      <w:r w:rsidR="0078683A">
        <w:t>.</w:t>
      </w:r>
      <w:r w:rsidR="0078683A">
        <w:rPr>
          <w:noProof/>
        </w:rPr>
        <w:t>2</w:t>
      </w:r>
      <w:r w:rsidR="008672DB">
        <w:fldChar w:fldCharType="end"/>
      </w:r>
      <w:r>
        <w:t>), HMA estimate</w:t>
      </w:r>
      <w:r w:rsidR="00BC3C67">
        <w:t>d</w:t>
      </w:r>
      <w:r>
        <w:t xml:space="preserve"> that total unit cost for NRL</w:t>
      </w:r>
      <w:r w:rsidR="008672DB">
        <w:t xml:space="preserve"> EQAS </w:t>
      </w:r>
      <w:r w:rsidR="006B38B1">
        <w:t xml:space="preserve">programs </w:t>
      </w:r>
      <w:r w:rsidR="008672DB">
        <w:t>is as follows:</w:t>
      </w:r>
    </w:p>
    <w:p w14:paraId="7AF6D45F" w14:textId="77777777" w:rsidR="008672DB" w:rsidRDefault="008672DB" w:rsidP="008672DB">
      <w:pPr>
        <w:pStyle w:val="Bullets1"/>
      </w:pPr>
      <w:r>
        <w:t xml:space="preserve">serology EQAS is approximately </w:t>
      </w:r>
      <w:r>
        <w:rPr>
          <w:rFonts w:ascii="Times New Roman" w:hAnsi="Times New Roman"/>
        </w:rPr>
        <w:t>$</w:t>
      </w:r>
      <w:r w:rsidR="008144EE" w:rsidRPr="00C70E61">
        <w:rPr>
          <w:rStyle w:val="BodyCopyChar"/>
        </w:rPr>
        <w:t>600</w:t>
      </w:r>
      <w:r>
        <w:t xml:space="preserve"> per survey</w:t>
      </w:r>
    </w:p>
    <w:p w14:paraId="6A3E46A2" w14:textId="77777777" w:rsidR="008672DB" w:rsidRDefault="008672DB" w:rsidP="008672DB">
      <w:pPr>
        <w:pStyle w:val="Bullets1"/>
      </w:pPr>
      <w:r>
        <w:t xml:space="preserve">viral load EQAS is approximately </w:t>
      </w:r>
      <w:r>
        <w:rPr>
          <w:rFonts w:ascii="Times New Roman" w:hAnsi="Times New Roman"/>
        </w:rPr>
        <w:t>$</w:t>
      </w:r>
      <w:r w:rsidR="008144EE">
        <w:t>700</w:t>
      </w:r>
      <w:r>
        <w:t xml:space="preserve"> per survey, and </w:t>
      </w:r>
    </w:p>
    <w:p w14:paraId="72289415" w14:textId="3ADAD59A" w:rsidR="008672DB" w:rsidRDefault="008672DB" w:rsidP="008672DB">
      <w:pPr>
        <w:pStyle w:val="Bullets1"/>
      </w:pPr>
      <w:r>
        <w:t xml:space="preserve">NAT blood screening EQAS is approximately </w:t>
      </w:r>
      <w:r>
        <w:rPr>
          <w:rFonts w:ascii="Times New Roman" w:hAnsi="Times New Roman"/>
        </w:rPr>
        <w:t>$</w:t>
      </w:r>
      <w:r w:rsidR="008144EE" w:rsidRPr="00C70E61">
        <w:rPr>
          <w:rStyle w:val="BodyCopyChar"/>
        </w:rPr>
        <w:t>2</w:t>
      </w:r>
      <w:r w:rsidRPr="00C70E61">
        <w:rPr>
          <w:rStyle w:val="BodyCopyChar"/>
        </w:rPr>
        <w:t>,</w:t>
      </w:r>
      <w:r w:rsidR="00B15F82">
        <w:t>7</w:t>
      </w:r>
      <w:r w:rsidR="008144EE">
        <w:t>0</w:t>
      </w:r>
      <w:r>
        <w:t>0 per survey.</w:t>
      </w:r>
    </w:p>
    <w:p w14:paraId="19C5E4AA" w14:textId="77777777" w:rsidR="00751C4D" w:rsidRDefault="00D173D5" w:rsidP="00D173D5">
      <w:pPr>
        <w:pStyle w:val="BodyCopy"/>
      </w:pPr>
      <w:r>
        <w:t>T</w:t>
      </w:r>
      <w:r w:rsidR="008144EE">
        <w:t>he</w:t>
      </w:r>
      <w:r>
        <w:t xml:space="preserve"> </w:t>
      </w:r>
      <w:r w:rsidR="008672DB">
        <w:t xml:space="preserve">estimates for NRL EQAS </w:t>
      </w:r>
      <w:r w:rsidR="006B38B1">
        <w:t xml:space="preserve">program </w:t>
      </w:r>
      <w:r w:rsidR="008672DB">
        <w:t>unit costs</w:t>
      </w:r>
      <w:r w:rsidR="008144EE">
        <w:t xml:space="preserve"> for serology and viral load </w:t>
      </w:r>
      <w:r w:rsidR="008672DB">
        <w:t xml:space="preserve">are </w:t>
      </w:r>
      <w:r w:rsidR="008144EE">
        <w:t xml:space="preserve">comparable to the </w:t>
      </w:r>
      <w:r w:rsidR="008672DB">
        <w:t xml:space="preserve">RCPA EQAS programs at </w:t>
      </w:r>
      <w:r w:rsidR="008672DB">
        <w:rPr>
          <w:rFonts w:ascii="Times New Roman" w:hAnsi="Times New Roman"/>
        </w:rPr>
        <w:t>$</w:t>
      </w:r>
      <w:r w:rsidR="008672DB">
        <w:t>600 per survey for serology</w:t>
      </w:r>
      <w:r w:rsidR="008144EE">
        <w:t xml:space="preserve">. NRL NAT blood screening EQAS </w:t>
      </w:r>
      <w:r w:rsidR="006B38B1">
        <w:t xml:space="preserve">program </w:t>
      </w:r>
      <w:r w:rsidR="008144EE">
        <w:t xml:space="preserve">designed for the ARCBS is also comparable to the RCPA NAT </w:t>
      </w:r>
      <w:r w:rsidR="00751C4D">
        <w:t xml:space="preserve">EQAS when the three in-scope pathogens for </w:t>
      </w:r>
      <w:r w:rsidR="005E2B0E">
        <w:t xml:space="preserve">which </w:t>
      </w:r>
      <w:r w:rsidR="00751C4D">
        <w:t>NAT is relevant (HIV, HCV and HBV) are considered (3*</w:t>
      </w:r>
      <w:r w:rsidR="00751C4D">
        <w:rPr>
          <w:rFonts w:ascii="Times New Roman" w:hAnsi="Times New Roman"/>
        </w:rPr>
        <w:t>$</w:t>
      </w:r>
      <w:r w:rsidR="00751C4D">
        <w:t xml:space="preserve">800 = </w:t>
      </w:r>
      <w:r w:rsidR="00751C4D">
        <w:rPr>
          <w:rFonts w:ascii="Times New Roman" w:hAnsi="Times New Roman"/>
        </w:rPr>
        <w:t>$</w:t>
      </w:r>
      <w:r w:rsidR="00751C4D">
        <w:t>2</w:t>
      </w:r>
      <w:r w:rsidR="00C15EFC">
        <w:t>,</w:t>
      </w:r>
      <w:r w:rsidR="00751C4D">
        <w:t xml:space="preserve">400). </w:t>
      </w:r>
    </w:p>
    <w:p w14:paraId="57E20B1F" w14:textId="77777777" w:rsidR="008672DB" w:rsidRDefault="00A11248" w:rsidP="008672DB">
      <w:pPr>
        <w:pStyle w:val="KeyFinding"/>
      </w:pPr>
      <w:r>
        <w:t xml:space="preserve">Direct </w:t>
      </w:r>
      <w:r w:rsidR="00C15EFC">
        <w:t>comparability</w:t>
      </w:r>
      <w:r>
        <w:t xml:space="preserve"> of QA</w:t>
      </w:r>
      <w:r w:rsidR="00747F7E">
        <w:t xml:space="preserve"> service</w:t>
      </w:r>
      <w:r>
        <w:t xml:space="preserve"> costs is difficult</w:t>
      </w:r>
      <w:r w:rsidR="00747F7E">
        <w:t>. H</w:t>
      </w:r>
      <w:r>
        <w:t>owever</w:t>
      </w:r>
      <w:r w:rsidR="00747F7E">
        <w:t>,</w:t>
      </w:r>
      <w:r>
        <w:t xml:space="preserve"> </w:t>
      </w:r>
      <w:r w:rsidR="00932EFA">
        <w:t xml:space="preserve">HMA </w:t>
      </w:r>
      <w:r>
        <w:t>e</w:t>
      </w:r>
      <w:r w:rsidR="008672DB">
        <w:t xml:space="preserve">stimates of total unit costs for NRL EQAS programs </w:t>
      </w:r>
      <w:r>
        <w:t>show they are</w:t>
      </w:r>
      <w:r w:rsidR="008672DB">
        <w:t xml:space="preserve"> </w:t>
      </w:r>
      <w:r w:rsidR="00751C4D">
        <w:t xml:space="preserve">comparable to </w:t>
      </w:r>
      <w:r w:rsidR="00747F7E">
        <w:t xml:space="preserve">reported costs for RCPA </w:t>
      </w:r>
      <w:r w:rsidR="006B38B1">
        <w:t xml:space="preserve">EQAS </w:t>
      </w:r>
      <w:r w:rsidR="00747F7E">
        <w:t>programs</w:t>
      </w:r>
      <w:r w:rsidR="00BF0546">
        <w:t xml:space="preserve">. </w:t>
      </w:r>
    </w:p>
    <w:p w14:paraId="72879A8E" w14:textId="77777777" w:rsidR="0042491D" w:rsidRPr="00DF7ED8" w:rsidRDefault="0042491D" w:rsidP="00C17886">
      <w:pPr>
        <w:pStyle w:val="BodyCopy"/>
        <w:rPr>
          <w:shd w:val="clear" w:color="auto" w:fill="FFFFFF"/>
        </w:rPr>
      </w:pP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A514F1" w:rsidRPr="003E0E7D" w14:paraId="79BDA9DF" w14:textId="77777777" w:rsidTr="003E0E7D">
        <w:trPr>
          <w:cantSplit/>
          <w:trHeight w:hRule="exact" w:val="1871"/>
        </w:trPr>
        <w:tc>
          <w:tcPr>
            <w:tcW w:w="5000" w:type="pct"/>
            <w:shd w:val="solid" w:color="FFFFFF" w:fill="FFFFFF"/>
            <w:vAlign w:val="bottom"/>
          </w:tcPr>
          <w:p w14:paraId="5741288E" w14:textId="77777777" w:rsidR="00A514F1" w:rsidRPr="003E0E7D" w:rsidRDefault="00A514F1" w:rsidP="003E0E7D">
            <w:pPr>
              <w:pStyle w:val="Heading1"/>
              <w:numPr>
                <w:ilvl w:val="0"/>
                <w:numId w:val="1"/>
              </w:numPr>
            </w:pPr>
            <w:bookmarkStart w:id="68" w:name="_Toc18664654"/>
            <w:r w:rsidRPr="003E0E7D">
              <w:lastRenderedPageBreak/>
              <w:t>Confirmatory and REFERENCE testing</w:t>
            </w:r>
            <w:bookmarkEnd w:id="68"/>
            <w:r w:rsidRPr="003E0E7D">
              <w:t xml:space="preserve"> </w:t>
            </w:r>
          </w:p>
        </w:tc>
      </w:tr>
    </w:tbl>
    <w:p w14:paraId="7C2ACB7D" w14:textId="77777777" w:rsidR="00D11286" w:rsidRDefault="00D11286" w:rsidP="00D11286">
      <w:pPr>
        <w:pStyle w:val="Heading2"/>
        <w:spacing w:before="0"/>
        <w:rPr>
          <w:shd w:val="clear" w:color="auto" w:fill="FFFFFF"/>
        </w:rPr>
      </w:pPr>
      <w:bookmarkStart w:id="69" w:name="_Toc18664655"/>
      <w:r>
        <w:rPr>
          <w:shd w:val="clear" w:color="auto" w:fill="FFFFFF"/>
        </w:rPr>
        <w:t>Summary of services</w:t>
      </w:r>
      <w:bookmarkEnd w:id="69"/>
      <w:r>
        <w:rPr>
          <w:shd w:val="clear" w:color="auto" w:fill="FFFFFF"/>
        </w:rPr>
        <w:t xml:space="preserve"> </w:t>
      </w:r>
    </w:p>
    <w:p w14:paraId="10CD87CE" w14:textId="06D4A285" w:rsidR="00D11286" w:rsidRDefault="00D11286" w:rsidP="00D11286">
      <w:pPr>
        <w:pStyle w:val="BodyCopy"/>
        <w:rPr>
          <w:shd w:val="clear" w:color="auto" w:fill="FFFFFF"/>
        </w:rPr>
      </w:pPr>
      <w:r>
        <w:rPr>
          <w:shd w:val="clear" w:color="auto" w:fill="FFFFFF"/>
        </w:rPr>
        <w:t>As specified in the schedule of services, the Department of Health provides funding to the NRL to provide specified confirmatory testing for the ARCBS</w:t>
      </w:r>
      <w:r w:rsidR="00C51ADB">
        <w:rPr>
          <w:shd w:val="clear" w:color="auto" w:fill="FFFFFF"/>
        </w:rPr>
        <w:t>,</w:t>
      </w:r>
      <w:r>
        <w:rPr>
          <w:shd w:val="clear" w:color="auto" w:fill="FFFFFF"/>
        </w:rPr>
        <w:t xml:space="preserve"> and reference testing for indeterminate HIV and HTLV test results </w:t>
      </w:r>
      <w:r w:rsidR="00E95FDD">
        <w:rPr>
          <w:shd w:val="clear" w:color="auto" w:fill="FFFFFF"/>
        </w:rPr>
        <w:t xml:space="preserve">to </w:t>
      </w:r>
      <w:r w:rsidR="00B57DB9">
        <w:rPr>
          <w:shd w:val="clear" w:color="auto" w:fill="FFFFFF"/>
        </w:rPr>
        <w:t xml:space="preserve">the ARCBS and </w:t>
      </w:r>
      <w:r w:rsidR="00F332C3">
        <w:rPr>
          <w:shd w:val="clear" w:color="auto" w:fill="FFFFFF"/>
        </w:rPr>
        <w:t>participating laboratories</w:t>
      </w:r>
      <w:r>
        <w:rPr>
          <w:shd w:val="clear" w:color="auto" w:fill="FFFFFF"/>
        </w:rPr>
        <w:t xml:space="preserve">. </w:t>
      </w:r>
      <w:r w:rsidR="00F332C3">
        <w:rPr>
          <w:shd w:val="clear" w:color="auto" w:fill="FFFFFF"/>
        </w:rPr>
        <w:t>The following sections provide a snapshot of market use of the funded NRL confirmatory and reference testing services, and other providers in the market.</w:t>
      </w:r>
    </w:p>
    <w:p w14:paraId="501FD63E" w14:textId="77777777" w:rsidR="00B008B0" w:rsidRPr="00740E01" w:rsidRDefault="00B008B0" w:rsidP="00740E01">
      <w:pPr>
        <w:pStyle w:val="ESHeading2"/>
        <w:rPr>
          <w:rFonts w:asciiTheme="majorHAnsi" w:hAnsiTheme="majorHAnsi"/>
          <w:iCs/>
          <w:spacing w:val="-6"/>
          <w:sz w:val="28"/>
          <w:szCs w:val="28"/>
        </w:rPr>
      </w:pPr>
      <w:r w:rsidRPr="00740E01">
        <w:rPr>
          <w:rFonts w:asciiTheme="majorHAnsi" w:hAnsiTheme="majorHAnsi"/>
          <w:iCs/>
          <w:spacing w:val="-6"/>
          <w:sz w:val="28"/>
          <w:szCs w:val="28"/>
        </w:rPr>
        <w:t xml:space="preserve">Summary of confirmatory/reference </w:t>
      </w:r>
      <w:r w:rsidRPr="00740E01">
        <w:rPr>
          <w:rFonts w:asciiTheme="majorHAnsi" w:hAnsiTheme="majorHAnsi"/>
          <w:sz w:val="28"/>
          <w:szCs w:val="28"/>
        </w:rPr>
        <w:t>testing</w:t>
      </w:r>
    </w:p>
    <w:p w14:paraId="52469B41" w14:textId="3DD349D3" w:rsidR="00B008B0" w:rsidRDefault="00B008B0" w:rsidP="003E0E7D">
      <w:pPr>
        <w:pStyle w:val="Bullets1"/>
        <w:shd w:val="clear" w:color="auto" w:fill="FFFCCC"/>
      </w:pPr>
      <w:r>
        <w:t xml:space="preserve">The estimated cost to </w:t>
      </w:r>
      <w:r w:rsidR="00AC3C64">
        <w:t xml:space="preserve">the Department </w:t>
      </w:r>
      <w:r>
        <w:t>for confirmatory</w:t>
      </w:r>
      <w:r w:rsidR="00801065">
        <w:t xml:space="preserve"> testing was </w:t>
      </w:r>
      <w:r w:rsidR="00801065">
        <w:rPr>
          <w:rFonts w:ascii="Times New Roman" w:hAnsi="Times New Roman"/>
        </w:rPr>
        <w:t>$</w:t>
      </w:r>
      <w:r w:rsidR="00801065">
        <w:t xml:space="preserve">26,000 per </w:t>
      </w:r>
      <w:r w:rsidRPr="00C8781C">
        <w:t>annum</w:t>
      </w:r>
      <w:r w:rsidR="002A5BB9">
        <w:t xml:space="preserve"> (including administrative costs from Schedule 1)</w:t>
      </w:r>
      <w:r>
        <w:t>.</w:t>
      </w:r>
    </w:p>
    <w:p w14:paraId="411D0D03" w14:textId="27DF6D28" w:rsidR="00801065" w:rsidRPr="00032ECB" w:rsidRDefault="00801065" w:rsidP="006E4BF4">
      <w:pPr>
        <w:pStyle w:val="Bullets1"/>
        <w:shd w:val="clear" w:color="auto" w:fill="FFFCCC"/>
      </w:pPr>
      <w:r>
        <w:t xml:space="preserve">The estimated cost to the Department for reference testing was </w:t>
      </w:r>
      <w:r w:rsidRPr="006E4BF4">
        <w:rPr>
          <w:rFonts w:ascii="Times New Roman" w:hAnsi="Times New Roman"/>
        </w:rPr>
        <w:t>$</w:t>
      </w:r>
      <w:r w:rsidR="006E4BF4" w:rsidRPr="006E4BF4">
        <w:rPr>
          <w:rFonts w:ascii="Times New Roman" w:hAnsi="Times New Roman"/>
        </w:rPr>
        <w:t>106,</w:t>
      </w:r>
      <w:r>
        <w:t>000 per annum (including administrative costs from Schedule 1).</w:t>
      </w:r>
    </w:p>
    <w:p w14:paraId="79BEEFBD" w14:textId="77777777" w:rsidR="00F332C3" w:rsidRPr="0063438C" w:rsidRDefault="0063438C">
      <w:pPr>
        <w:pStyle w:val="Heading2"/>
      </w:pPr>
      <w:bookmarkStart w:id="70" w:name="_Toc18664656"/>
      <w:r w:rsidRPr="00CD22BD">
        <w:t>Confirmatory and reference testing – use of services and other providers</w:t>
      </w:r>
      <w:bookmarkEnd w:id="70"/>
    </w:p>
    <w:p w14:paraId="2D0031C7" w14:textId="436B0C6B" w:rsidR="009625D2" w:rsidRDefault="009625D2" w:rsidP="006A46D9">
      <w:pPr>
        <w:pStyle w:val="Heading3"/>
      </w:pPr>
      <w:bookmarkStart w:id="71" w:name="_Ref18587938"/>
      <w:bookmarkStart w:id="72" w:name="_Toc18664657"/>
      <w:r>
        <w:t>Participating laboratories</w:t>
      </w:r>
      <w:bookmarkEnd w:id="71"/>
      <w:bookmarkEnd w:id="72"/>
      <w:r>
        <w:t xml:space="preserve">  </w:t>
      </w:r>
    </w:p>
    <w:p w14:paraId="7B826C8A" w14:textId="290404C2" w:rsidR="009625D2" w:rsidRDefault="00E95FDD" w:rsidP="009625D2">
      <w:pPr>
        <w:pStyle w:val="BodyCopy"/>
      </w:pPr>
      <w:r>
        <w:rPr>
          <w:shd w:val="clear" w:color="auto" w:fill="FFFFFF"/>
        </w:rPr>
        <w:t>The NRL</w:t>
      </w:r>
      <w:r w:rsidR="00C51ADB">
        <w:rPr>
          <w:shd w:val="clear" w:color="auto" w:fill="FFFFFF"/>
        </w:rPr>
        <w:t xml:space="preserve"> are not</w:t>
      </w:r>
      <w:r>
        <w:rPr>
          <w:shd w:val="clear" w:color="auto" w:fill="FFFFFF"/>
        </w:rPr>
        <w:t xml:space="preserve"> </w:t>
      </w:r>
      <w:r w:rsidR="00C51ADB">
        <w:rPr>
          <w:shd w:val="clear" w:color="auto" w:fill="FFFFFF"/>
        </w:rPr>
        <w:t xml:space="preserve">funded to provide </w:t>
      </w:r>
      <w:r>
        <w:rPr>
          <w:shd w:val="clear" w:color="auto" w:fill="FFFFFF"/>
        </w:rPr>
        <w:t xml:space="preserve">confirmatory </w:t>
      </w:r>
      <w:r w:rsidR="00C51ADB">
        <w:rPr>
          <w:shd w:val="clear" w:color="auto" w:fill="FFFFFF"/>
        </w:rPr>
        <w:t>testing for</w:t>
      </w:r>
      <w:r>
        <w:rPr>
          <w:shd w:val="clear" w:color="auto" w:fill="FFFFFF"/>
        </w:rPr>
        <w:t xml:space="preserve"> participating laboratories</w:t>
      </w:r>
      <w:r w:rsidR="00C51ADB">
        <w:rPr>
          <w:shd w:val="clear" w:color="auto" w:fill="FFFFFF"/>
        </w:rPr>
        <w:t>.</w:t>
      </w:r>
      <w:r w:rsidR="00801065">
        <w:rPr>
          <w:shd w:val="clear" w:color="auto" w:fill="FFFFFF"/>
        </w:rPr>
        <w:t xml:space="preserve"> </w:t>
      </w:r>
      <w:r w:rsidR="00C51ADB">
        <w:rPr>
          <w:shd w:val="clear" w:color="auto" w:fill="FFFFFF"/>
        </w:rPr>
        <w:t>These laboratories</w:t>
      </w:r>
      <w:r w:rsidR="00801065">
        <w:rPr>
          <w:shd w:val="clear" w:color="auto" w:fill="FFFFFF"/>
        </w:rPr>
        <w:t xml:space="preserve"> perform the tests in-house,</w:t>
      </w:r>
      <w:r w:rsidR="0092194F">
        <w:rPr>
          <w:shd w:val="clear" w:color="auto" w:fill="FFFFFF"/>
        </w:rPr>
        <w:t xml:space="preserve"> </w:t>
      </w:r>
      <w:r w:rsidR="009625D2">
        <w:t xml:space="preserve">refer samples to a larger laboratory in their network, or to the state reference laboratory where available. </w:t>
      </w:r>
    </w:p>
    <w:p w14:paraId="2AF0E7D0" w14:textId="44FE87B1" w:rsidR="009625D2" w:rsidRPr="007641B1" w:rsidRDefault="00801065" w:rsidP="009625D2">
      <w:pPr>
        <w:pStyle w:val="BodyCopy"/>
      </w:pPr>
      <w:r>
        <w:t>Reference testing for HIV adjudication was performed via NAT at two</w:t>
      </w:r>
      <w:r w:rsidR="009625D2">
        <w:t xml:space="preserve"> </w:t>
      </w:r>
      <w:r>
        <w:t xml:space="preserve">reference </w:t>
      </w:r>
      <w:r w:rsidR="009625D2">
        <w:t>laboratories</w:t>
      </w:r>
      <w:r w:rsidR="005B5C03">
        <w:t xml:space="preserve">: </w:t>
      </w:r>
      <w:r w:rsidR="009625D2">
        <w:t xml:space="preserve">VIDRL in </w:t>
      </w:r>
      <w:r w:rsidR="005B25F3">
        <w:t>Victoria</w:t>
      </w:r>
      <w:r w:rsidR="005B5C03">
        <w:t>,</w:t>
      </w:r>
      <w:r w:rsidR="009625D2">
        <w:t xml:space="preserve"> and SydPath at St Vincent’s Hospital Darlinghurst. </w:t>
      </w:r>
      <w:r>
        <w:t xml:space="preserve">NRL </w:t>
      </w:r>
      <w:r w:rsidR="0092194F">
        <w:t>performs</w:t>
      </w:r>
      <w:r>
        <w:t xml:space="preserve"> refence </w:t>
      </w:r>
      <w:r w:rsidR="0092194F">
        <w:t>testing</w:t>
      </w:r>
      <w:r>
        <w:t xml:space="preserve"> for HIV adjudication when testing elsewhere has</w:t>
      </w:r>
      <w:r w:rsidR="0092194F">
        <w:t xml:space="preserve"> </w:t>
      </w:r>
      <w:r>
        <w:t xml:space="preserve">not </w:t>
      </w:r>
      <w:r w:rsidRPr="0092194F">
        <w:t xml:space="preserve">resolved the </w:t>
      </w:r>
      <w:r w:rsidR="0092194F" w:rsidRPr="00336F93">
        <w:t>viral type</w:t>
      </w:r>
      <w:r w:rsidRPr="0092194F">
        <w:t xml:space="preserve">. NRL use Western </w:t>
      </w:r>
      <w:r w:rsidR="0092194F" w:rsidRPr="00336F93">
        <w:t>b</w:t>
      </w:r>
      <w:r w:rsidRPr="0092194F">
        <w:t xml:space="preserve">lot </w:t>
      </w:r>
      <w:r w:rsidR="0092194F">
        <w:t xml:space="preserve">techniques </w:t>
      </w:r>
      <w:r w:rsidR="0092194F" w:rsidRPr="00336F93">
        <w:t>for this analysis</w:t>
      </w:r>
      <w:r w:rsidRPr="0092194F">
        <w:t xml:space="preserve"> and is the only</w:t>
      </w:r>
      <w:r>
        <w:t xml:space="preserve"> laboratory </w:t>
      </w:r>
      <w:r w:rsidR="0092194F">
        <w:t>in Australia able to do this type of analysis</w:t>
      </w:r>
      <w:r>
        <w:t xml:space="preserve">. </w:t>
      </w:r>
    </w:p>
    <w:p w14:paraId="76F9D367" w14:textId="533CFFB3" w:rsidR="009625D2" w:rsidRDefault="009625D2" w:rsidP="009625D2">
      <w:pPr>
        <w:pStyle w:val="BodyCopy"/>
      </w:pPr>
      <w:r>
        <w:t>Samples for serological confirmatory or reference testing for HTLV were sent to NRL</w:t>
      </w:r>
      <w:r w:rsidR="00F32884">
        <w:t xml:space="preserve"> by participating laboratories and the ARCBS</w:t>
      </w:r>
      <w:r>
        <w:t xml:space="preserve">. NRL indicated they performed </w:t>
      </w:r>
      <w:r w:rsidR="00F32884">
        <w:t xml:space="preserve">serological </w:t>
      </w:r>
      <w:r>
        <w:t xml:space="preserve">confirmatory and reference testing for HTLV </w:t>
      </w:r>
      <w:r w:rsidR="006D7BBF">
        <w:t>in-</w:t>
      </w:r>
      <w:r>
        <w:t>house</w:t>
      </w:r>
      <w:r w:rsidR="00F32884">
        <w:t xml:space="preserve"> (NAT testing was not applicable for HTLV)</w:t>
      </w:r>
      <w:r>
        <w:t xml:space="preserve">. </w:t>
      </w:r>
      <w:r w:rsidR="009B5347">
        <w:t xml:space="preserve">NRL </w:t>
      </w:r>
      <w:r w:rsidR="0067308A">
        <w:t xml:space="preserve">was </w:t>
      </w:r>
      <w:r w:rsidR="009B5347">
        <w:t>the only Australian laboratory to provide serological confirmatory or reference testing for HTLV.</w:t>
      </w:r>
    </w:p>
    <w:p w14:paraId="0B2AB9FE" w14:textId="533C5E50" w:rsidR="00F32884" w:rsidRDefault="00F32884" w:rsidP="00B40E07">
      <w:pPr>
        <w:pStyle w:val="BodyCopy"/>
      </w:pPr>
      <w:r>
        <w:t xml:space="preserve">It is estimated that through the funding arrangements under review, the Australian Government, paid a unit-cost of approximately </w:t>
      </w:r>
      <w:r>
        <w:rPr>
          <w:rFonts w:ascii="Times New Roman" w:hAnsi="Times New Roman"/>
        </w:rPr>
        <w:t>$340</w:t>
      </w:r>
      <w:r>
        <w:t xml:space="preserve"> (including service costs from Schedule 2 and administrative costs from Schedule 1) for references testing of HIV for participating laboratories and of HTLV for participating laboratories and the ARCBS. </w:t>
      </w:r>
    </w:p>
    <w:p w14:paraId="37E64FF7" w14:textId="1A00F8A3" w:rsidR="00B40E07" w:rsidRDefault="00B40E07" w:rsidP="00B40E07">
      <w:pPr>
        <w:pStyle w:val="BodyCopy"/>
      </w:pPr>
      <w:r>
        <w:t xml:space="preserve">The top three factors influencing the </w:t>
      </w:r>
      <w:r w:rsidR="00F32884">
        <w:t xml:space="preserve">participating </w:t>
      </w:r>
      <w:r>
        <w:t>laboratory choice of reference testing service provider were:</w:t>
      </w:r>
    </w:p>
    <w:p w14:paraId="199697FD" w14:textId="77777777" w:rsidR="00B40E07" w:rsidRDefault="00B40E07" w:rsidP="00B40E07">
      <w:pPr>
        <w:pStyle w:val="Numbers1"/>
        <w:numPr>
          <w:ilvl w:val="0"/>
          <w:numId w:val="44"/>
        </w:numPr>
      </w:pPr>
      <w:r>
        <w:t>Reliability</w:t>
      </w:r>
    </w:p>
    <w:p w14:paraId="415195E8" w14:textId="77777777" w:rsidR="00B40E07" w:rsidRDefault="00B40E07" w:rsidP="00B40E07">
      <w:pPr>
        <w:pStyle w:val="Numbers1"/>
        <w:numPr>
          <w:ilvl w:val="0"/>
          <w:numId w:val="3"/>
        </w:numPr>
      </w:pPr>
      <w:r>
        <w:t xml:space="preserve">Meeting minimum regulation requirements, and </w:t>
      </w:r>
    </w:p>
    <w:p w14:paraId="71F0CCAE" w14:textId="77777777" w:rsidR="00B40E07" w:rsidRDefault="00B40E07" w:rsidP="00B40E07">
      <w:pPr>
        <w:pStyle w:val="Numbers1"/>
        <w:numPr>
          <w:ilvl w:val="0"/>
          <w:numId w:val="3"/>
        </w:numPr>
      </w:pPr>
      <w:r>
        <w:t xml:space="preserve">Speed of service/turn around. </w:t>
      </w:r>
    </w:p>
    <w:p w14:paraId="3DE92287" w14:textId="77777777" w:rsidR="00B40E07" w:rsidRPr="000F5FA8" w:rsidRDefault="00B40E07" w:rsidP="00B40E07">
      <w:pPr>
        <w:pStyle w:val="BodyCopy"/>
      </w:pPr>
      <w:r>
        <w:t xml:space="preserve">Of note, no participating laboratories said that </w:t>
      </w:r>
      <w:r>
        <w:rPr>
          <w:i/>
        </w:rPr>
        <w:t>cost</w:t>
      </w:r>
      <w:r>
        <w:t xml:space="preserve"> was the most important requirement.</w:t>
      </w:r>
    </w:p>
    <w:p w14:paraId="69300323" w14:textId="77777777" w:rsidR="009625D2" w:rsidRPr="0040731C" w:rsidRDefault="009625D2" w:rsidP="00421D57">
      <w:pPr>
        <w:pStyle w:val="Heading3"/>
      </w:pPr>
      <w:bookmarkStart w:id="73" w:name="_Toc18664658"/>
      <w:r w:rsidRPr="0040731C">
        <w:lastRenderedPageBreak/>
        <w:t>Australian Red Cross Blood Service</w:t>
      </w:r>
      <w:bookmarkEnd w:id="73"/>
      <w:r w:rsidRPr="0040731C">
        <w:t xml:space="preserve"> </w:t>
      </w:r>
    </w:p>
    <w:p w14:paraId="71F54521" w14:textId="4F7C66B1" w:rsidR="009625D2" w:rsidRDefault="001B5E6D" w:rsidP="00421D57">
      <w:pPr>
        <w:pStyle w:val="BodyCopy"/>
        <w:keepNext/>
        <w:keepLines/>
      </w:pPr>
      <w:r w:rsidRPr="0040731C">
        <w:t>Although not necessary under the regulatory requirements for tes</w:t>
      </w:r>
      <w:r w:rsidR="00A465FE" w:rsidRPr="0040731C">
        <w:t xml:space="preserve">ting of blood donations, the </w:t>
      </w:r>
      <w:r w:rsidR="009625D2" w:rsidRPr="0040731C">
        <w:t xml:space="preserve">ARCBS laboratories typically perform confirmatory testing </w:t>
      </w:r>
      <w:r w:rsidR="006D7BBF" w:rsidRPr="0040731C">
        <w:t>in-</w:t>
      </w:r>
      <w:r w:rsidR="009625D2" w:rsidRPr="0040731C">
        <w:t xml:space="preserve">house by serology and NAT for HIV, HCV, HBV and by serology for HTLV. Syphilis does not undergo confirmatory testing. </w:t>
      </w:r>
      <w:r w:rsidR="00A465FE" w:rsidRPr="0040731C">
        <w:t>If e</w:t>
      </w:r>
      <w:r w:rsidR="009625D2" w:rsidRPr="0040731C">
        <w:t xml:space="preserve">xternal providers </w:t>
      </w:r>
      <w:r w:rsidR="00A465FE" w:rsidRPr="0040731C">
        <w:t>are required for confirmatory testing</w:t>
      </w:r>
      <w:r w:rsidR="00B40E07" w:rsidRPr="0040731C">
        <w:t xml:space="preserve"> of samples with equivocal</w:t>
      </w:r>
      <w:r w:rsidR="00B40E07">
        <w:t xml:space="preserve"> or indeterminate results</w:t>
      </w:r>
      <w:r w:rsidR="00A465FE">
        <w:t xml:space="preserve">, </w:t>
      </w:r>
      <w:r w:rsidR="009625D2">
        <w:t>the ARCBS send</w:t>
      </w:r>
      <w:r w:rsidR="00F733A3">
        <w:t>s</w:t>
      </w:r>
      <w:r w:rsidR="009625D2">
        <w:t xml:space="preserve"> reactive samples to:</w:t>
      </w:r>
    </w:p>
    <w:p w14:paraId="696A0702" w14:textId="77777777" w:rsidR="009625D2" w:rsidRDefault="007176BF" w:rsidP="000C7CF3">
      <w:pPr>
        <w:pStyle w:val="Bullets1"/>
        <w:numPr>
          <w:ilvl w:val="0"/>
          <w:numId w:val="2"/>
        </w:numPr>
      </w:pPr>
      <w:r>
        <w:t>South Eastern Area Laboratory Service (</w:t>
      </w:r>
      <w:r w:rsidR="009625D2">
        <w:t>SEALS</w:t>
      </w:r>
      <w:r>
        <w:t xml:space="preserve">; </w:t>
      </w:r>
      <w:r w:rsidR="009625D2">
        <w:t xml:space="preserve">located at Prince of Wales Hospital in </w:t>
      </w:r>
      <w:r w:rsidR="00281658">
        <w:t>New South Wales</w:t>
      </w:r>
      <w:r w:rsidR="009625D2">
        <w:t xml:space="preserve">) for serology testing of HIV, HCV, HBV, and Syphilis, or </w:t>
      </w:r>
    </w:p>
    <w:p w14:paraId="239BDA07" w14:textId="77777777" w:rsidR="009625D2" w:rsidRDefault="009625D2" w:rsidP="000C7CF3">
      <w:pPr>
        <w:pStyle w:val="Bullets1"/>
        <w:numPr>
          <w:ilvl w:val="0"/>
          <w:numId w:val="2"/>
        </w:numPr>
      </w:pPr>
      <w:r>
        <w:t xml:space="preserve">NRL for NAT testing of HIV, HCV, HBV and serological testing of HTLV. </w:t>
      </w:r>
    </w:p>
    <w:p w14:paraId="2D081383" w14:textId="4117646E" w:rsidR="009625D2" w:rsidRDefault="009625D2" w:rsidP="009625D2">
      <w:pPr>
        <w:pStyle w:val="BodyCopy"/>
      </w:pPr>
      <w:r>
        <w:t xml:space="preserve">NRL </w:t>
      </w:r>
      <w:r w:rsidR="0092194F">
        <w:t xml:space="preserve">confirmatory testing of HIV, HCV and HBV and reference testing of HTLV are </w:t>
      </w:r>
      <w:r>
        <w:t>provide</w:t>
      </w:r>
      <w:r w:rsidR="005E2B0E">
        <w:t>d</w:t>
      </w:r>
      <w:r>
        <w:t xml:space="preserve"> </w:t>
      </w:r>
      <w:r w:rsidR="002C419D">
        <w:t xml:space="preserve">to the ARCBS </w:t>
      </w:r>
      <w:r>
        <w:t>free of charge</w:t>
      </w:r>
      <w:r w:rsidR="002C419D">
        <w:t xml:space="preserve"> (under Schedule 3 of the current funding agreement)</w:t>
      </w:r>
      <w:r>
        <w:t xml:space="preserve">. </w:t>
      </w:r>
      <w:r w:rsidR="006E4BF4">
        <w:t xml:space="preserve">It is estimated that through the funding arrangements under review, the </w:t>
      </w:r>
      <w:r w:rsidR="00901134">
        <w:t xml:space="preserve">Australian Government, paid </w:t>
      </w:r>
      <w:r w:rsidR="006E4BF4">
        <w:t xml:space="preserve">a unit-cost of </w:t>
      </w:r>
      <w:r w:rsidR="00F32884">
        <w:t xml:space="preserve">approximately </w:t>
      </w:r>
      <w:r w:rsidR="00421D57">
        <w:rPr>
          <w:rFonts w:ascii="Times New Roman" w:hAnsi="Times New Roman"/>
        </w:rPr>
        <w:t>$</w:t>
      </w:r>
      <w:r w:rsidR="006E4BF4" w:rsidRPr="00336F93">
        <w:t>180</w:t>
      </w:r>
      <w:r w:rsidR="00901134" w:rsidRPr="00F32884">
        <w:t xml:space="preserve"> </w:t>
      </w:r>
      <w:r w:rsidR="006E4BF4" w:rsidRPr="00F32884">
        <w:t xml:space="preserve">(including service costs from Schedule 3 and </w:t>
      </w:r>
      <w:r w:rsidR="00B40E07" w:rsidRPr="00F32884">
        <w:t>administrative costs from Schedule 1</w:t>
      </w:r>
      <w:r w:rsidR="006E4BF4" w:rsidRPr="00F32884">
        <w:t xml:space="preserve">) </w:t>
      </w:r>
      <w:r w:rsidR="0092194F" w:rsidRPr="00F32884">
        <w:t>for</w:t>
      </w:r>
      <w:r w:rsidR="0092194F">
        <w:t xml:space="preserve"> confirmatory testing provided to the ARCBS</w:t>
      </w:r>
      <w:r w:rsidR="00F32884">
        <w:t>. (Reference test unit costs for AR</w:t>
      </w:r>
      <w:r w:rsidR="00D0429B">
        <w:t>CB</w:t>
      </w:r>
      <w:r w:rsidR="00F32884">
        <w:t xml:space="preserve">S are include in the reference testing for participating laboratories estimated in section </w:t>
      </w:r>
      <w:r w:rsidR="00F32884">
        <w:fldChar w:fldCharType="begin"/>
      </w:r>
      <w:r w:rsidR="00F32884">
        <w:instrText xml:space="preserve"> REF _Ref18587938 \r \h </w:instrText>
      </w:r>
      <w:r w:rsidR="00F32884">
        <w:fldChar w:fldCharType="separate"/>
      </w:r>
      <w:r w:rsidR="0078683A">
        <w:t>6.2.1</w:t>
      </w:r>
      <w:r w:rsidR="00F32884">
        <w:fldChar w:fldCharType="end"/>
      </w:r>
      <w:r w:rsidR="00F32884">
        <w:t xml:space="preserve">). </w:t>
      </w:r>
    </w:p>
    <w:p w14:paraId="466D28ED" w14:textId="6455BB84" w:rsidR="0042491D" w:rsidRDefault="0042491D" w:rsidP="0042491D">
      <w:pPr>
        <w:pStyle w:val="BodyCopy"/>
        <w:keepNext/>
      </w:pPr>
      <w:r>
        <w:t xml:space="preserve">The top three factors influencing the ARCBS choice of </w:t>
      </w:r>
      <w:r w:rsidR="007176BF">
        <w:t>confirmatory and reference testing</w:t>
      </w:r>
      <w:r w:rsidR="000F5FA8">
        <w:t xml:space="preserve"> </w:t>
      </w:r>
      <w:r>
        <w:t>service provider were:</w:t>
      </w:r>
    </w:p>
    <w:p w14:paraId="64C7E855" w14:textId="77777777" w:rsidR="0042491D" w:rsidRDefault="0042491D" w:rsidP="00CB3CCF">
      <w:pPr>
        <w:pStyle w:val="Numbers1"/>
        <w:keepNext/>
        <w:numPr>
          <w:ilvl w:val="0"/>
          <w:numId w:val="21"/>
        </w:numPr>
      </w:pPr>
      <w:r>
        <w:t>Meeting minimum regulation requirements</w:t>
      </w:r>
    </w:p>
    <w:p w14:paraId="6428F5B8" w14:textId="77777777" w:rsidR="0042491D" w:rsidRDefault="0042491D" w:rsidP="0042491D">
      <w:pPr>
        <w:pStyle w:val="Numbers1"/>
        <w:numPr>
          <w:ilvl w:val="0"/>
          <w:numId w:val="3"/>
        </w:numPr>
      </w:pPr>
      <w:r>
        <w:t xml:space="preserve">Available testing platforms, and </w:t>
      </w:r>
    </w:p>
    <w:p w14:paraId="126782D1" w14:textId="77777777" w:rsidR="0042491D" w:rsidRDefault="0042491D" w:rsidP="0042491D">
      <w:pPr>
        <w:pStyle w:val="Numbers1"/>
        <w:numPr>
          <w:ilvl w:val="0"/>
          <w:numId w:val="3"/>
        </w:numPr>
      </w:pPr>
      <w:r>
        <w:t>Cost.</w:t>
      </w:r>
    </w:p>
    <w:p w14:paraId="4A0A1AAA" w14:textId="77777777" w:rsidR="00B40E07" w:rsidRDefault="00B40E07" w:rsidP="00336F93">
      <w:pPr>
        <w:pStyle w:val="Heading2"/>
      </w:pPr>
      <w:bookmarkStart w:id="74" w:name="_Toc18664659"/>
      <w:r>
        <w:t>Unit costs of confirmatory and reference testing</w:t>
      </w:r>
      <w:bookmarkEnd w:id="74"/>
      <w:r>
        <w:t xml:space="preserve"> </w:t>
      </w:r>
    </w:p>
    <w:p w14:paraId="584E8F85" w14:textId="1B39E806" w:rsidR="00B40E07" w:rsidRDefault="00B40E07" w:rsidP="00B40E07">
      <w:pPr>
        <w:pStyle w:val="BodyCopy"/>
      </w:pPr>
      <w:r>
        <w:t xml:space="preserve">A summary of the estimated unit costs for in-scope confirmatory and reference testing services provided by NRL is provided in </w:t>
      </w:r>
      <w:r w:rsidR="00D73E89">
        <w:fldChar w:fldCharType="begin"/>
      </w:r>
      <w:r w:rsidR="00D73E89">
        <w:instrText xml:space="preserve"> REF _Ref18407512 \r \h </w:instrText>
      </w:r>
      <w:r w:rsidR="00D73E89">
        <w:fldChar w:fldCharType="separate"/>
      </w:r>
      <w:r w:rsidR="0078683A">
        <w:t>Appendix F</w:t>
      </w:r>
      <w:r w:rsidR="00D73E89">
        <w:fldChar w:fldCharType="end"/>
      </w:r>
      <w:r w:rsidR="00D73E89">
        <w:t xml:space="preserve">, </w:t>
      </w:r>
      <w:r>
        <w:fldChar w:fldCharType="begin"/>
      </w:r>
      <w:r>
        <w:instrText xml:space="preserve"> REF _Ref495069011 \h </w:instrText>
      </w:r>
      <w:r>
        <w:fldChar w:fldCharType="separate"/>
      </w:r>
      <w:r w:rsidR="0078683A">
        <w:t xml:space="preserve">Table </w:t>
      </w:r>
      <w:r w:rsidR="0078683A">
        <w:rPr>
          <w:noProof/>
        </w:rPr>
        <w:t>9</w:t>
      </w:r>
      <w:r w:rsidR="0078683A">
        <w:t>.</w:t>
      </w:r>
      <w:r w:rsidR="0078683A">
        <w:rPr>
          <w:noProof/>
        </w:rPr>
        <w:t>3</w:t>
      </w:r>
      <w:r>
        <w:fldChar w:fldCharType="end"/>
      </w:r>
      <w:r>
        <w:t>.</w:t>
      </w:r>
    </w:p>
    <w:p w14:paraId="5F26752C" w14:textId="557EA2C6" w:rsidR="00846CDD" w:rsidRDefault="00846CDD" w:rsidP="00336F93">
      <w:pPr>
        <w:pStyle w:val="BodyCopy"/>
        <w:rPr>
          <w:shd w:val="clear" w:color="auto" w:fill="FFFFFF"/>
        </w:rPr>
      </w:pPr>
      <w:r>
        <w:t xml:space="preserve"> </w:t>
      </w: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C623DC" w:rsidRPr="003E0E7D" w14:paraId="3AE57FAF" w14:textId="77777777" w:rsidTr="003E0E7D">
        <w:trPr>
          <w:cantSplit/>
          <w:trHeight w:hRule="exact" w:val="1871"/>
        </w:trPr>
        <w:tc>
          <w:tcPr>
            <w:tcW w:w="5000" w:type="pct"/>
            <w:shd w:val="solid" w:color="FFFFFF" w:fill="FFFFFF"/>
            <w:vAlign w:val="bottom"/>
          </w:tcPr>
          <w:p w14:paraId="616A0242" w14:textId="77777777" w:rsidR="00C623DC" w:rsidRPr="003E0E7D" w:rsidRDefault="004E0375" w:rsidP="003E0E7D">
            <w:pPr>
              <w:pStyle w:val="Heading1"/>
              <w:numPr>
                <w:ilvl w:val="0"/>
                <w:numId w:val="1"/>
              </w:numPr>
            </w:pPr>
            <w:bookmarkStart w:id="75" w:name="_Toc18664660"/>
            <w:r w:rsidRPr="003E0E7D">
              <w:lastRenderedPageBreak/>
              <w:t>DISCUSSION</w:t>
            </w:r>
            <w:r w:rsidR="00C623DC" w:rsidRPr="003E0E7D">
              <w:t>: currency, effectiveness and appropriateness</w:t>
            </w:r>
            <w:bookmarkEnd w:id="75"/>
          </w:p>
        </w:tc>
      </w:tr>
    </w:tbl>
    <w:p w14:paraId="11603106" w14:textId="77777777" w:rsidR="00D54D3A" w:rsidRDefault="00C623DC" w:rsidP="00C623DC">
      <w:pPr>
        <w:pStyle w:val="BodyCopy"/>
      </w:pPr>
      <w:r>
        <w:t>This section provides a discussion around the currency, effective</w:t>
      </w:r>
      <w:r w:rsidR="006C2E86">
        <w:t>nes</w:t>
      </w:r>
      <w:r>
        <w:t xml:space="preserve">s and appropriateness of current funding models, as identified in the objectives of the project. This analysis is used to inform the funding options identified in Chapter </w:t>
      </w:r>
      <w:r w:rsidR="00CF671A">
        <w:t>8</w:t>
      </w:r>
      <w:r>
        <w:t>.</w:t>
      </w:r>
    </w:p>
    <w:p w14:paraId="32455B7E" w14:textId="77777777" w:rsidR="00C623DC" w:rsidRDefault="00C623DC" w:rsidP="00C623DC">
      <w:pPr>
        <w:pStyle w:val="Heading2"/>
      </w:pPr>
      <w:bookmarkStart w:id="76" w:name="_Toc18664661"/>
      <w:r>
        <w:t>Currency of the Australian Government funding of NRL services</w:t>
      </w:r>
      <w:bookmarkEnd w:id="76"/>
    </w:p>
    <w:p w14:paraId="29D3BFF9" w14:textId="77777777" w:rsidR="00C623DC" w:rsidRDefault="001623F0" w:rsidP="00C623DC">
      <w:pPr>
        <w:pStyle w:val="Heading3"/>
      </w:pPr>
      <w:bookmarkStart w:id="77" w:name="_Toc18664662"/>
      <w:r>
        <w:t>Regulatory considerations</w:t>
      </w:r>
      <w:bookmarkEnd w:id="77"/>
    </w:p>
    <w:p w14:paraId="3B788D12" w14:textId="77777777" w:rsidR="001623F0" w:rsidRPr="001623F0" w:rsidRDefault="001623F0" w:rsidP="001623F0">
      <w:pPr>
        <w:pStyle w:val="BodyCopy"/>
      </w:pPr>
      <w:r>
        <w:t xml:space="preserve">The primary consideration regarding currency of the funding of NRL services is whether the services and funding align with regulatory requirements and standards. </w:t>
      </w:r>
    </w:p>
    <w:p w14:paraId="1AC8CEAC" w14:textId="77777777" w:rsidR="003C12C5" w:rsidRDefault="00C623DC" w:rsidP="00C623DC">
      <w:pPr>
        <w:pStyle w:val="BodyCopy"/>
      </w:pPr>
      <w:r>
        <w:t xml:space="preserve">QA and QC are critical components of current TGA and NATA regulatory and accreditation requirements for laboratories using Class 4 IVDs to test for BBVs. This includes the ARCBS laboratories. </w:t>
      </w:r>
    </w:p>
    <w:p w14:paraId="24AD5BE0" w14:textId="77777777" w:rsidR="000038E1" w:rsidRDefault="00C623DC" w:rsidP="00C623DC">
      <w:pPr>
        <w:pStyle w:val="BodyCopy"/>
      </w:pPr>
      <w:r>
        <w:t>The TGA’s new IVD framework, introduced in 2010, included substantial changes to the pre</w:t>
      </w:r>
      <w:r w:rsidR="003C12C5">
        <w:t>-</w:t>
      </w:r>
      <w:r>
        <w:t xml:space="preserve"> and post</w:t>
      </w:r>
      <w:r w:rsidR="003C12C5">
        <w:t>-</w:t>
      </w:r>
      <w:r>
        <w:t>market regulatory role of the NRL in the ARTG listing process. The most significant of these changes, in relation to the current funding arrangement, is the removal of the requirement for laboratories using Class 4 IVDs to participate in NRL QA and QC programs. This regulatory change has not been reflected in the funding of NRL services that are no longer legislat</w:t>
      </w:r>
      <w:r w:rsidR="006C2E86">
        <w:t xml:space="preserve">ed or </w:t>
      </w:r>
      <w:r>
        <w:t xml:space="preserve">regulatory requirements. </w:t>
      </w:r>
    </w:p>
    <w:p w14:paraId="29AA6D7A" w14:textId="77777777" w:rsidR="00667284" w:rsidRDefault="006C2E86" w:rsidP="00C623DC">
      <w:pPr>
        <w:pStyle w:val="BodyCopy"/>
      </w:pPr>
      <w:r>
        <w:t xml:space="preserve">The </w:t>
      </w:r>
      <w:r w:rsidR="000B0740">
        <w:t xml:space="preserve">Department </w:t>
      </w:r>
      <w:r>
        <w:t>fund</w:t>
      </w:r>
      <w:r w:rsidR="00A07E80">
        <w:t>s</w:t>
      </w:r>
      <w:r>
        <w:t xml:space="preserve"> t</w:t>
      </w:r>
      <w:r w:rsidR="00667284">
        <w:t>he regulatory costs incurred by NRL to include HIV and HCV QC material as an IVD on the ARTG. When NRL commenced in 1985 there was no other service provider in Australia to provide QC material for HIV and HCV testing. At the time of this review, there was at least one other company supplying the relevant QC materials in Australia, SeraCare. In addition, Thermo</w:t>
      </w:r>
      <w:r w:rsidR="00283537">
        <w:t xml:space="preserve"> </w:t>
      </w:r>
      <w:r w:rsidR="00667284">
        <w:t xml:space="preserve">Fisher (previous supplier to NRL until 2018) may distribute directly in the Australian market as of 2019. Both SeraCare and </w:t>
      </w:r>
      <w:r w:rsidR="00A14633">
        <w:t>Thermo Fisher</w:t>
      </w:r>
      <w:r w:rsidR="00667284">
        <w:t xml:space="preserve"> are large multi-national companies and do not receive Australian Government funding to register their products on the ARTG.  </w:t>
      </w:r>
    </w:p>
    <w:p w14:paraId="0A36B7A4" w14:textId="77777777" w:rsidR="00522EDE" w:rsidRDefault="00667284" w:rsidP="00C623DC">
      <w:pPr>
        <w:pStyle w:val="BodyCopy"/>
      </w:pPr>
      <w:r>
        <w:t xml:space="preserve">The change in regulatory requirements for pathology testing, plus availability of </w:t>
      </w:r>
      <w:r w:rsidR="00C623DC">
        <w:t>alternative provider</w:t>
      </w:r>
      <w:r>
        <w:t>s</w:t>
      </w:r>
      <w:r w:rsidR="00CF671A">
        <w:t xml:space="preserve"> in Australia </w:t>
      </w:r>
      <w:r w:rsidR="00C623DC">
        <w:t xml:space="preserve">for the funded </w:t>
      </w:r>
      <w:r w:rsidR="000038E1">
        <w:t>QA</w:t>
      </w:r>
      <w:r>
        <w:t xml:space="preserve"> (RCPA)</w:t>
      </w:r>
      <w:r w:rsidR="000038E1">
        <w:t xml:space="preserve"> and QC </w:t>
      </w:r>
      <w:r>
        <w:t>(Se</w:t>
      </w:r>
      <w:r w:rsidR="00607E90">
        <w:t>ra</w:t>
      </w:r>
      <w:r>
        <w:t xml:space="preserve">Care and </w:t>
      </w:r>
      <w:r w:rsidR="00A14633">
        <w:t>Thermo Fisher</w:t>
      </w:r>
      <w:r>
        <w:t xml:space="preserve">) </w:t>
      </w:r>
      <w:r w:rsidR="00C623DC">
        <w:t>services, highlights the need for a fair and competitive tender process</w:t>
      </w:r>
      <w:r w:rsidR="00CF671A">
        <w:t xml:space="preserve"> (</w:t>
      </w:r>
      <w:r w:rsidR="00C623DC">
        <w:t xml:space="preserve">should </w:t>
      </w:r>
      <w:r w:rsidR="003E7555">
        <w:t xml:space="preserve">the </w:t>
      </w:r>
      <w:r w:rsidR="00CF671A">
        <w:t xml:space="preserve">Australian Government </w:t>
      </w:r>
      <w:r w:rsidR="00C623DC">
        <w:t>funding of the services continue</w:t>
      </w:r>
      <w:r w:rsidR="00CF671A">
        <w:t>)</w:t>
      </w:r>
      <w:r w:rsidR="00C623DC">
        <w:t xml:space="preserve">. These factors should be considered when </w:t>
      </w:r>
      <w:r w:rsidR="00CD22BD">
        <w:t xml:space="preserve">assessing </w:t>
      </w:r>
      <w:r w:rsidR="00C623DC">
        <w:t>future funding options regarding QA and QC services</w:t>
      </w:r>
      <w:r w:rsidR="00CF671A">
        <w:t>.</w:t>
      </w:r>
    </w:p>
    <w:p w14:paraId="702FCBA4" w14:textId="0EF551B6" w:rsidR="00C623DC" w:rsidRDefault="00522EDE" w:rsidP="00CD22BD">
      <w:pPr>
        <w:pStyle w:val="KeyFinding"/>
      </w:pPr>
      <w:r w:rsidRPr="001623F0">
        <w:t xml:space="preserve">The funded NRL QA/QC services </w:t>
      </w:r>
      <w:r w:rsidR="001F26B7">
        <w:t xml:space="preserve">allow laboratories to </w:t>
      </w:r>
      <w:r w:rsidRPr="001623F0">
        <w:t xml:space="preserve">meet current regulatory and accreditation requirements but the </w:t>
      </w:r>
      <w:r w:rsidR="006C2E86">
        <w:t xml:space="preserve">NRL </w:t>
      </w:r>
      <w:r w:rsidRPr="001623F0">
        <w:t xml:space="preserve">funding </w:t>
      </w:r>
      <w:r w:rsidR="001F26B7">
        <w:t>arrangements</w:t>
      </w:r>
      <w:r w:rsidR="001F26B7" w:rsidRPr="001623F0">
        <w:t xml:space="preserve"> </w:t>
      </w:r>
      <w:r w:rsidRPr="001623F0">
        <w:t>does not reflect regulatory changes introduced</w:t>
      </w:r>
      <w:r w:rsidR="00BD6769">
        <w:t xml:space="preserve"> from 2010 to 2017 </w:t>
      </w:r>
      <w:r>
        <w:t xml:space="preserve">or current market availability of alternative service providers. </w:t>
      </w:r>
    </w:p>
    <w:p w14:paraId="74A45434" w14:textId="77777777" w:rsidR="001623F0" w:rsidRDefault="001623F0" w:rsidP="001623F0">
      <w:pPr>
        <w:pStyle w:val="Heading3"/>
      </w:pPr>
      <w:bookmarkStart w:id="78" w:name="_Toc18664663"/>
      <w:r>
        <w:t>ARCBS funding arrangements</w:t>
      </w:r>
      <w:bookmarkEnd w:id="78"/>
    </w:p>
    <w:p w14:paraId="5F3F3205" w14:textId="77777777" w:rsidR="00F86687" w:rsidRDefault="003E7555" w:rsidP="00C623DC">
      <w:pPr>
        <w:pStyle w:val="BodyCopy"/>
      </w:pPr>
      <w:r>
        <w:t xml:space="preserve">All Australian </w:t>
      </w:r>
      <w:r w:rsidR="00CC636C">
        <w:t>g</w:t>
      </w:r>
      <w:r>
        <w:t xml:space="preserve">overnments have a </w:t>
      </w:r>
      <w:r w:rsidR="00C623DC">
        <w:t xml:space="preserve">responsibility </w:t>
      </w:r>
      <w:r>
        <w:t xml:space="preserve">to protect the safety and quality of the Australian blood supply managed by </w:t>
      </w:r>
      <w:r w:rsidR="00C623DC">
        <w:t xml:space="preserve">the ARCBS. </w:t>
      </w:r>
      <w:r>
        <w:t>As such, s</w:t>
      </w:r>
      <w:r w:rsidR="00C623DC">
        <w:t xml:space="preserve">afety and quality of the Australian blood supply is a core part of the </w:t>
      </w:r>
      <w:r w:rsidR="006E333D">
        <w:t>national blood arrangement</w:t>
      </w:r>
      <w:r w:rsidR="00235CC3">
        <w:t>s</w:t>
      </w:r>
      <w:r>
        <w:t>, managed by the NBA</w:t>
      </w:r>
      <w:r w:rsidR="00C623DC">
        <w:t>.</w:t>
      </w:r>
      <w:r>
        <w:t xml:space="preserve"> </w:t>
      </w:r>
      <w:r w:rsidR="00BC4C48">
        <w:t xml:space="preserve">When </w:t>
      </w:r>
      <w:r w:rsidR="00F86687">
        <w:t xml:space="preserve">the ARCBS was established in 1996, NRL was </w:t>
      </w:r>
      <w:r w:rsidR="00BC4C48">
        <w:t xml:space="preserve">the sole provider of </w:t>
      </w:r>
      <w:r w:rsidR="00F86687">
        <w:t>QA/QC service</w:t>
      </w:r>
      <w:r w:rsidR="00BC4C48">
        <w:t>s</w:t>
      </w:r>
      <w:r w:rsidR="00F86687">
        <w:t xml:space="preserve"> for HIV and HCV to pathology laboratories across Australia. At this time, and when the NBA was established in 2003, it was a regulatory requirement for laboratories to use NRL QA/QC services for HIV and HCV</w:t>
      </w:r>
      <w:r w:rsidR="006C2E86">
        <w:t xml:space="preserve"> testing</w:t>
      </w:r>
      <w:r w:rsidR="00F86687">
        <w:t xml:space="preserve">. </w:t>
      </w:r>
    </w:p>
    <w:p w14:paraId="166ECFA6" w14:textId="2853BB66" w:rsidR="007042D3" w:rsidRDefault="00F86687" w:rsidP="00C623DC">
      <w:pPr>
        <w:pStyle w:val="BodyCopy"/>
      </w:pPr>
      <w:r>
        <w:lastRenderedPageBreak/>
        <w:t>The 2010 TGA regulatory changes removed the requirement for laboratories (including the ARCBS) to use NRL as a service provider.</w:t>
      </w:r>
      <w:r w:rsidR="007042D3">
        <w:t xml:space="preserve"> </w:t>
      </w:r>
      <w:r>
        <w:t xml:space="preserve">The scope of the </w:t>
      </w:r>
      <w:r w:rsidR="006E333D">
        <w:t xml:space="preserve">national blood </w:t>
      </w:r>
      <w:r w:rsidR="00235CC3">
        <w:t xml:space="preserve">agreement </w:t>
      </w:r>
      <w:r w:rsidR="007042D3">
        <w:t>between</w:t>
      </w:r>
      <w:r>
        <w:t xml:space="preserve"> NBA and ARCBS has n</w:t>
      </w:r>
      <w:r w:rsidR="007042D3">
        <w:t>ot</w:t>
      </w:r>
      <w:r>
        <w:t xml:space="preserve"> been reviewed in light of these reforms. </w:t>
      </w:r>
      <w:r w:rsidR="007042D3">
        <w:t xml:space="preserve">The services provided to ARCBS by NRL that are currently funded by </w:t>
      </w:r>
      <w:r w:rsidR="000B0740">
        <w:t>the Department</w:t>
      </w:r>
      <w:r w:rsidR="007042D3">
        <w:t xml:space="preserve">, align with the objectives of the </w:t>
      </w:r>
      <w:r w:rsidR="00331082">
        <w:t xml:space="preserve">national blood agreement </w:t>
      </w:r>
      <w:r w:rsidR="007042D3">
        <w:t xml:space="preserve">to protect the Australian blood supply. </w:t>
      </w:r>
      <w:r w:rsidR="00CD22BD">
        <w:t>Furthermore</w:t>
      </w:r>
      <w:r w:rsidR="007042D3">
        <w:t xml:space="preserve">, QA and QC for other BBVs (e.g. HTLV and syphilis) are currently funded via </w:t>
      </w:r>
      <w:r w:rsidR="00BC4C48">
        <w:t xml:space="preserve">the NBA funding arrangements. </w:t>
      </w:r>
      <w:r w:rsidR="007042D3">
        <w:t xml:space="preserve"> </w:t>
      </w:r>
    </w:p>
    <w:p w14:paraId="3420C103" w14:textId="7F1D7D35" w:rsidR="00C623DC" w:rsidRDefault="006C2E86" w:rsidP="00AC690F">
      <w:pPr>
        <w:pStyle w:val="BodyCopy"/>
      </w:pPr>
      <w:r>
        <w:t xml:space="preserve">Integration of services pertinent to the ARCBS into the national blood </w:t>
      </w:r>
      <w:r w:rsidR="00235CC3">
        <w:t xml:space="preserve">agreement </w:t>
      </w:r>
      <w:r>
        <w:t xml:space="preserve">is </w:t>
      </w:r>
      <w:r w:rsidR="00CD22BD">
        <w:t xml:space="preserve">a </w:t>
      </w:r>
      <w:r w:rsidR="00331082">
        <w:t xml:space="preserve">sensible </w:t>
      </w:r>
      <w:r w:rsidR="007042D3">
        <w:t>funding option</w:t>
      </w:r>
      <w:r w:rsidR="00C623DC">
        <w:t xml:space="preserve">. </w:t>
      </w:r>
      <w:r w:rsidR="00331082">
        <w:t xml:space="preserve">This </w:t>
      </w:r>
      <w:r w:rsidR="00C623DC">
        <w:t xml:space="preserve">would increase </w:t>
      </w:r>
      <w:r w:rsidR="00331082">
        <w:t xml:space="preserve">funding </w:t>
      </w:r>
      <w:r w:rsidR="00C623DC">
        <w:t xml:space="preserve">transparency and </w:t>
      </w:r>
      <w:r w:rsidR="00331082">
        <w:t xml:space="preserve">streamline </w:t>
      </w:r>
      <w:r w:rsidR="00C623DC">
        <w:t>administrat</w:t>
      </w:r>
      <w:r w:rsidR="00331082">
        <w:t xml:space="preserve">ion, but would require a </w:t>
      </w:r>
      <w:r w:rsidR="00C623DC">
        <w:t>consistent costing mechanism</w:t>
      </w:r>
      <w:r w:rsidR="00331082">
        <w:t xml:space="preserve">, such as unit costs, to </w:t>
      </w:r>
      <w:r w:rsidR="00746FC4">
        <w:t>be</w:t>
      </w:r>
      <w:r w:rsidR="00331082">
        <w:t xml:space="preserve"> </w:t>
      </w:r>
      <w:r w:rsidR="00C623DC">
        <w:t xml:space="preserve">applied </w:t>
      </w:r>
      <w:r w:rsidR="00746FC4">
        <w:t>to the in-scope</w:t>
      </w:r>
      <w:r w:rsidR="00C623DC">
        <w:t xml:space="preserve"> services.</w:t>
      </w:r>
    </w:p>
    <w:p w14:paraId="67996249" w14:textId="77777777" w:rsidR="001623F0" w:rsidRPr="001623F0" w:rsidRDefault="00331082" w:rsidP="008D645A">
      <w:pPr>
        <w:pStyle w:val="KeyFinding"/>
      </w:pPr>
      <w:r>
        <w:t>S</w:t>
      </w:r>
      <w:r w:rsidR="001623F0" w:rsidRPr="001623F0">
        <w:t xml:space="preserve">ervices </w:t>
      </w:r>
      <w:r w:rsidR="006C2E86">
        <w:t xml:space="preserve">used </w:t>
      </w:r>
      <w:r w:rsidR="001623F0" w:rsidRPr="001623F0">
        <w:t xml:space="preserve">by the ARCBS </w:t>
      </w:r>
      <w:r>
        <w:t xml:space="preserve">align with the objectives of the NBA. Funding the in-scope services under the NBA arrangements would increase transparency. </w:t>
      </w:r>
    </w:p>
    <w:p w14:paraId="025C6E54" w14:textId="77777777" w:rsidR="001623F0" w:rsidRDefault="001623F0" w:rsidP="001623F0">
      <w:pPr>
        <w:pStyle w:val="Heading2"/>
      </w:pPr>
      <w:bookmarkStart w:id="79" w:name="_Toc18664664"/>
      <w:r>
        <w:t xml:space="preserve">Effectiveness of the funding in meeting </w:t>
      </w:r>
      <w:r w:rsidR="0063438C">
        <w:t>funder</w:t>
      </w:r>
      <w:r>
        <w:t xml:space="preserve"> objectives</w:t>
      </w:r>
      <w:bookmarkEnd w:id="79"/>
    </w:p>
    <w:p w14:paraId="2F013DE5" w14:textId="10E1C809" w:rsidR="00F301F8" w:rsidRDefault="00F301F8" w:rsidP="00F301F8">
      <w:pPr>
        <w:pStyle w:val="BodyCopy"/>
      </w:pPr>
      <w:r>
        <w:t xml:space="preserve">The objective of the </w:t>
      </w:r>
      <w:r w:rsidR="00CA75DB">
        <w:t xml:space="preserve">Government </w:t>
      </w:r>
      <w:r w:rsidR="00284E4E">
        <w:t xml:space="preserve">funding </w:t>
      </w:r>
      <w:r w:rsidR="004E4A0F">
        <w:t xml:space="preserve">in scope of this review </w:t>
      </w:r>
      <w:r>
        <w:t xml:space="preserve">is to </w:t>
      </w:r>
      <w:r w:rsidR="00BC4C48">
        <w:t>support the quality of the Australian blood supply</w:t>
      </w:r>
      <w:r>
        <w:t xml:space="preserve">. </w:t>
      </w:r>
      <w:r w:rsidR="004E4A0F">
        <w:t>A</w:t>
      </w:r>
      <w:r>
        <w:t xml:space="preserve">ccurate and reliable testing </w:t>
      </w:r>
      <w:r w:rsidR="001F26B7">
        <w:t xml:space="preserve">of blood donors </w:t>
      </w:r>
      <w:r>
        <w:t xml:space="preserve">for BBVs is </w:t>
      </w:r>
      <w:r w:rsidR="004E4A0F">
        <w:t>e</w:t>
      </w:r>
      <w:r>
        <w:t xml:space="preserve">ssential to achieve </w:t>
      </w:r>
      <w:r w:rsidR="00E20E3A">
        <w:t xml:space="preserve">this </w:t>
      </w:r>
      <w:r>
        <w:t xml:space="preserve">objective. </w:t>
      </w:r>
    </w:p>
    <w:p w14:paraId="5DB04891" w14:textId="0FCAFBF4" w:rsidR="004E4A0F" w:rsidRDefault="00F301F8" w:rsidP="00F301F8">
      <w:pPr>
        <w:pStyle w:val="BodyCopy"/>
      </w:pPr>
      <w:r>
        <w:t>The consequences of</w:t>
      </w:r>
      <w:r w:rsidR="00BB515E">
        <w:t xml:space="preserve"> testing providing a false negative result could potentially see multiple blood transfusion recipients becoming infected, </w:t>
      </w:r>
      <w:r w:rsidR="00B73BBF">
        <w:t>with the risk of onward transmission</w:t>
      </w:r>
      <w:r w:rsidR="00BB515E">
        <w:t xml:space="preserve">. </w:t>
      </w:r>
    </w:p>
    <w:p w14:paraId="51580B95" w14:textId="2A4C78A9" w:rsidR="00BD6769" w:rsidRDefault="003C05BE" w:rsidP="00767FFC">
      <w:pPr>
        <w:pStyle w:val="BodyCopy"/>
      </w:pPr>
      <w:r>
        <w:t xml:space="preserve">TGA regulations, NPAAC standards, NATA accreditation requirements, and ARCBS blood screening protocols collectively reduce the risk of transmission of BBVs from blood donations. </w:t>
      </w:r>
      <w:r w:rsidR="00F92FC3">
        <w:t xml:space="preserve">This includes the requirements for QA and QC processes. </w:t>
      </w:r>
      <w:r>
        <w:t>Therefore, funding</w:t>
      </w:r>
      <w:r w:rsidR="001623F0">
        <w:t xml:space="preserve"> </w:t>
      </w:r>
      <w:r w:rsidR="00BD6769">
        <w:t xml:space="preserve">in-scope QA and QC </w:t>
      </w:r>
      <w:r w:rsidR="001623F0">
        <w:t xml:space="preserve">services </w:t>
      </w:r>
      <w:r w:rsidR="00BC234D">
        <w:t xml:space="preserve">used </w:t>
      </w:r>
      <w:r w:rsidR="001623F0">
        <w:t>by the ARCBS</w:t>
      </w:r>
      <w:r w:rsidR="00BC234D">
        <w:t xml:space="preserve"> to ensure confidence in the quality of donated blood effectively meets the objective to </w:t>
      </w:r>
      <w:r w:rsidR="00BC234D">
        <w:t>ensure the safety of the Australian blood supply</w:t>
      </w:r>
      <w:r w:rsidR="001623F0">
        <w:t>.</w:t>
      </w:r>
      <w:r w:rsidR="00BD6769">
        <w:t xml:space="preserve"> Confirmatory testing for samples that test positive, equivocal or indeterminate for HIV, HCV or HBV does not directly contribute to the quality of the blood supply (as any sample that tests positive is removed from the donation pool). Therefore, funding of these services for the ARCBS does not meet the funder objectives</w:t>
      </w:r>
      <w:r w:rsidR="00BC234D">
        <w:t xml:space="preserve">. </w:t>
      </w:r>
    </w:p>
    <w:p w14:paraId="54B22D2A" w14:textId="79B58AC6" w:rsidR="00D47685" w:rsidRDefault="00767FFC" w:rsidP="00767FFC">
      <w:pPr>
        <w:pStyle w:val="BodyCopy"/>
      </w:pPr>
      <w:r>
        <w:t>It is a requirement in Australia that pathology laboratories</w:t>
      </w:r>
      <w:r w:rsidRPr="00284E4E">
        <w:t xml:space="preserve"> </w:t>
      </w:r>
      <w:r w:rsidR="00F92FC3">
        <w:t xml:space="preserve">also </w:t>
      </w:r>
      <w:r>
        <w:t>have appropriate QA and QC processes in place for all tests performed, including test</w:t>
      </w:r>
      <w:r w:rsidR="00CD22BD">
        <w:t>s</w:t>
      </w:r>
      <w:r>
        <w:t xml:space="preserve"> for BBVs (see Chapter 3, sections </w:t>
      </w:r>
      <w:r>
        <w:fldChar w:fldCharType="begin"/>
      </w:r>
      <w:r>
        <w:instrText xml:space="preserve"> REF _Ref438126 \r \h </w:instrText>
      </w:r>
      <w:r>
        <w:fldChar w:fldCharType="separate"/>
      </w:r>
      <w:r w:rsidR="0078683A">
        <w:t>3.1</w:t>
      </w:r>
      <w:r>
        <w:fldChar w:fldCharType="end"/>
      </w:r>
      <w:r>
        <w:t xml:space="preserve"> and </w:t>
      </w:r>
      <w:r>
        <w:fldChar w:fldCharType="begin"/>
      </w:r>
      <w:r>
        <w:instrText xml:space="preserve"> REF _Ref437163 \r \h </w:instrText>
      </w:r>
      <w:r>
        <w:fldChar w:fldCharType="separate"/>
      </w:r>
      <w:r w:rsidR="0078683A">
        <w:t>3.2</w:t>
      </w:r>
      <w:r>
        <w:fldChar w:fldCharType="end"/>
      </w:r>
      <w:r>
        <w:t xml:space="preserve"> for further discussion). </w:t>
      </w:r>
      <w:r w:rsidR="00F92FC3">
        <w:t>However,</w:t>
      </w:r>
      <w:r w:rsidR="003C05BE">
        <w:t xml:space="preserve"> these processes do not </w:t>
      </w:r>
      <w:r w:rsidR="00F92FC3">
        <w:t>directly contribute to the safety of the blood supply</w:t>
      </w:r>
      <w:r>
        <w:t xml:space="preserve">. </w:t>
      </w:r>
      <w:r w:rsidR="00F92FC3">
        <w:t xml:space="preserve">While HIV and HCV QA/QC services are </w:t>
      </w:r>
      <w:r w:rsidR="007F62BE">
        <w:t>covered by</w:t>
      </w:r>
      <w:r w:rsidR="00F92FC3">
        <w:t xml:space="preserve"> </w:t>
      </w:r>
      <w:r w:rsidR="00BD6769">
        <w:t>funding arrangements under review</w:t>
      </w:r>
      <w:r w:rsidR="007F62BE">
        <w:t xml:space="preserve">, </w:t>
      </w:r>
      <w:r w:rsidR="00F92FC3">
        <w:t>p</w:t>
      </w:r>
      <w:r w:rsidR="001623F0">
        <w:t xml:space="preserve">athology laboratories meet </w:t>
      </w:r>
      <w:r w:rsidR="007F62BE">
        <w:t xml:space="preserve">the QC/QA </w:t>
      </w:r>
      <w:r w:rsidR="001623F0">
        <w:t xml:space="preserve">requirements </w:t>
      </w:r>
      <w:r w:rsidR="00BC234D">
        <w:t xml:space="preserve">for out-of-scope pathogens </w:t>
      </w:r>
      <w:r w:rsidR="00B73BBF">
        <w:t xml:space="preserve">(including other high-risk </w:t>
      </w:r>
      <w:r w:rsidR="003C05BE">
        <w:t>BBVs</w:t>
      </w:r>
      <w:r w:rsidR="00B73BBF">
        <w:t xml:space="preserve">, such as HBV and HTLV) </w:t>
      </w:r>
      <w:r w:rsidR="00BC234D">
        <w:t>without</w:t>
      </w:r>
      <w:r w:rsidR="001623F0">
        <w:t xml:space="preserve"> </w:t>
      </w:r>
      <w:r w:rsidR="00BC234D">
        <w:t xml:space="preserve">government </w:t>
      </w:r>
      <w:r w:rsidR="001623F0">
        <w:t>funding</w:t>
      </w:r>
      <w:r>
        <w:t xml:space="preserve">. </w:t>
      </w:r>
    </w:p>
    <w:p w14:paraId="6A83EA01" w14:textId="77777777" w:rsidR="001623F0" w:rsidRDefault="00FF24F6" w:rsidP="001623F0">
      <w:pPr>
        <w:pStyle w:val="BodyCopy"/>
      </w:pPr>
      <w:r>
        <w:t>F</w:t>
      </w:r>
      <w:r w:rsidR="001623F0">
        <w:t xml:space="preserve">uture funding of services used by the participating laboratories should </w:t>
      </w:r>
      <w:r>
        <w:t xml:space="preserve">consider </w:t>
      </w:r>
      <w:r w:rsidR="001623F0">
        <w:t xml:space="preserve">whether the services support other </w:t>
      </w:r>
      <w:r w:rsidR="00CC636C">
        <w:t>g</w:t>
      </w:r>
      <w:r w:rsidR="001623F0">
        <w:t>overnment objectives such as those outlined in the national BBV and sexually transmissible infections strategies.</w:t>
      </w:r>
      <w:r w:rsidR="004E4A0F" w:rsidRPr="004E4A0F">
        <w:t xml:space="preserve"> </w:t>
      </w:r>
    </w:p>
    <w:p w14:paraId="61B521AC" w14:textId="1A375741" w:rsidR="001623F0" w:rsidRDefault="006C2E86" w:rsidP="001623F0">
      <w:pPr>
        <w:pStyle w:val="KeyFinding"/>
      </w:pPr>
      <w:r>
        <w:t>F</w:t>
      </w:r>
      <w:r w:rsidR="001623F0" w:rsidRPr="0071464C">
        <w:t>unded</w:t>
      </w:r>
      <w:r w:rsidR="001623F0">
        <w:t xml:space="preserve"> </w:t>
      </w:r>
      <w:r w:rsidR="001623F0" w:rsidRPr="0071464C">
        <w:t>services</w:t>
      </w:r>
      <w:r w:rsidR="00EB192C">
        <w:t>,</w:t>
      </w:r>
      <w:r w:rsidR="001623F0" w:rsidRPr="0071464C">
        <w:t xml:space="preserve"> </w:t>
      </w:r>
      <w:r w:rsidR="00EB192C">
        <w:t>excluding</w:t>
      </w:r>
      <w:r w:rsidR="00181F27">
        <w:t xml:space="preserve"> reference and </w:t>
      </w:r>
      <w:r w:rsidR="00EB192C">
        <w:t xml:space="preserve">confirmatory testing, </w:t>
      </w:r>
      <w:r w:rsidR="001623F0">
        <w:t>used by the ARCBS effective</w:t>
      </w:r>
      <w:r w:rsidR="00FF24F6">
        <w:t>ly meet</w:t>
      </w:r>
      <w:r w:rsidR="00283537">
        <w:t xml:space="preserve"> the</w:t>
      </w:r>
      <w:r w:rsidR="00FF24F6">
        <w:t xml:space="preserve"> </w:t>
      </w:r>
      <w:r w:rsidR="001623F0">
        <w:t xml:space="preserve">objective </w:t>
      </w:r>
      <w:r w:rsidR="00FF24F6">
        <w:t xml:space="preserve">to </w:t>
      </w:r>
      <w:r w:rsidR="001623F0">
        <w:t>ensur</w:t>
      </w:r>
      <w:r w:rsidR="00FF24F6">
        <w:t>e</w:t>
      </w:r>
      <w:r w:rsidR="001623F0">
        <w:t xml:space="preserve"> the safety and quality of the blood supply.</w:t>
      </w:r>
    </w:p>
    <w:p w14:paraId="7CD9A03E" w14:textId="77777777" w:rsidR="001623F0" w:rsidRDefault="001623F0" w:rsidP="001623F0">
      <w:pPr>
        <w:pStyle w:val="KeyFinding"/>
      </w:pPr>
      <w:r>
        <w:t xml:space="preserve">Funded QA and QC services used by participating laboratories </w:t>
      </w:r>
      <w:r w:rsidR="006C2E86">
        <w:t>for</w:t>
      </w:r>
      <w:r>
        <w:t xml:space="preserve"> diagnostic testing and/or clinical monitoring do not directly contribute </w:t>
      </w:r>
      <w:r w:rsidR="00FF24F6">
        <w:t>to</w:t>
      </w:r>
      <w:r>
        <w:t xml:space="preserve"> ensuring the safety and quality of the Australian blood supply. </w:t>
      </w:r>
    </w:p>
    <w:p w14:paraId="43E565C8" w14:textId="77777777" w:rsidR="001623F0" w:rsidRDefault="001623F0" w:rsidP="001623F0">
      <w:pPr>
        <w:pStyle w:val="Heading2"/>
      </w:pPr>
      <w:bookmarkStart w:id="80" w:name="_Toc18664665"/>
      <w:r>
        <w:lastRenderedPageBreak/>
        <w:t>Appropriateness of the funding model</w:t>
      </w:r>
      <w:bookmarkEnd w:id="80"/>
      <w:r>
        <w:t xml:space="preserve"> </w:t>
      </w:r>
    </w:p>
    <w:p w14:paraId="527E7BDA" w14:textId="77777777" w:rsidR="001623F0" w:rsidRPr="001623F0" w:rsidRDefault="000B0740" w:rsidP="001623F0">
      <w:pPr>
        <w:pStyle w:val="Heading3"/>
      </w:pPr>
      <w:bookmarkStart w:id="81" w:name="_Toc18664666"/>
      <w:r>
        <w:t xml:space="preserve">The Department </w:t>
      </w:r>
      <w:r w:rsidR="00E02F38">
        <w:t>as the funder</w:t>
      </w:r>
      <w:bookmarkEnd w:id="81"/>
    </w:p>
    <w:p w14:paraId="59623E00" w14:textId="77777777" w:rsidR="00FF24F6" w:rsidRDefault="000B0740" w:rsidP="00336F93">
      <w:pPr>
        <w:pStyle w:val="BodyCopy"/>
        <w:keepNext/>
      </w:pPr>
      <w:r>
        <w:t xml:space="preserve">The Department </w:t>
      </w:r>
      <w:r w:rsidR="00FF24F6">
        <w:t>has a role to:</w:t>
      </w:r>
    </w:p>
    <w:p w14:paraId="28F15DBE" w14:textId="7F62F058" w:rsidR="00FF24F6" w:rsidRDefault="00FF24F6" w:rsidP="003F6092">
      <w:pPr>
        <w:pStyle w:val="Quote"/>
      </w:pPr>
      <w:r>
        <w:t>‘</w:t>
      </w:r>
      <w:r w:rsidRPr="00FF24F6">
        <w:t>protect the health of the Australian community through effective national leadership and coordination and building of appropriate capacity and capability to detect, prevent and respond to threats to public health and safety</w:t>
      </w:r>
      <w:r>
        <w:t>.’</w:t>
      </w:r>
      <w:r w:rsidR="00C9096B">
        <w:rPr>
          <w:noProof/>
          <w:lang w:val="en-US"/>
        </w:rPr>
        <w:t xml:space="preserve"> </w:t>
      </w:r>
      <w:sdt>
        <w:sdtPr>
          <w:rPr>
            <w:noProof/>
            <w:lang w:val="en-US"/>
          </w:rPr>
          <w:id w:val="2030138451"/>
          <w:citation/>
        </w:sdtPr>
        <w:sdtEndPr/>
        <w:sdtContent>
          <w:r w:rsidR="00C67E51">
            <w:rPr>
              <w:noProof/>
              <w:lang w:val="en-US"/>
            </w:rPr>
            <w:fldChar w:fldCharType="begin"/>
          </w:r>
          <w:r w:rsidR="00C67E51">
            <w:rPr>
              <w:noProof/>
              <w:lang w:val="en-US"/>
            </w:rPr>
            <w:instrText xml:space="preserve"> CITATION Dep188 \l 1033 </w:instrText>
          </w:r>
          <w:r w:rsidR="00C67E51">
            <w:rPr>
              <w:noProof/>
              <w:lang w:val="en-US"/>
            </w:rPr>
            <w:fldChar w:fldCharType="separate"/>
          </w:r>
          <w:r w:rsidR="00C67E51" w:rsidRPr="00C67E51">
            <w:rPr>
              <w:noProof/>
              <w:lang w:val="en-US"/>
            </w:rPr>
            <w:t>[30]</w:t>
          </w:r>
          <w:r w:rsidR="00C67E51">
            <w:rPr>
              <w:noProof/>
              <w:lang w:val="en-US"/>
            </w:rPr>
            <w:fldChar w:fldCharType="end"/>
          </w:r>
        </w:sdtContent>
      </w:sdt>
    </w:p>
    <w:p w14:paraId="4EA61066" w14:textId="77777777" w:rsidR="001623F0" w:rsidRDefault="00FF24F6" w:rsidP="001623F0">
      <w:pPr>
        <w:pStyle w:val="BodyCopy"/>
      </w:pPr>
      <w:r>
        <w:t>F</w:t>
      </w:r>
      <w:r w:rsidR="001623F0">
        <w:t xml:space="preserve">unding of regulatory requirements for pathology laboratories is not a standard responsibility of </w:t>
      </w:r>
      <w:r w:rsidR="000B0740">
        <w:t>the Department</w:t>
      </w:r>
      <w:r w:rsidR="001623F0">
        <w:t>.</w:t>
      </w:r>
    </w:p>
    <w:p w14:paraId="53CFF2BE" w14:textId="77777777" w:rsidR="00E02F38" w:rsidRDefault="00E02F38" w:rsidP="00E02F38">
      <w:pPr>
        <w:pStyle w:val="Heading3"/>
      </w:pPr>
      <w:bookmarkStart w:id="82" w:name="_Toc18664667"/>
      <w:r>
        <w:t>Market access and equity</w:t>
      </w:r>
      <w:bookmarkEnd w:id="82"/>
    </w:p>
    <w:p w14:paraId="30AD7B9B" w14:textId="0D15346A" w:rsidR="001C04BC" w:rsidRDefault="001623F0" w:rsidP="001623F0">
      <w:pPr>
        <w:pStyle w:val="BodyCopy"/>
      </w:pPr>
      <w:r>
        <w:t xml:space="preserve">The appropriateness of the current funding model should be considered in terms of equity of access and market competition. </w:t>
      </w:r>
      <w:r w:rsidR="00F57ED8">
        <w:t xml:space="preserve">Since the </w:t>
      </w:r>
      <w:r w:rsidR="00AC29E8">
        <w:t xml:space="preserve">TGA </w:t>
      </w:r>
      <w:r w:rsidR="00F57ED8">
        <w:t xml:space="preserve">regulatory changes in 2010, </w:t>
      </w:r>
      <w:r w:rsidR="00B45EE9">
        <w:t xml:space="preserve">there is no longer a regulatory requirement for </w:t>
      </w:r>
      <w:r w:rsidR="00F57ED8">
        <w:t xml:space="preserve">laboratories </w:t>
      </w:r>
      <w:r w:rsidR="001C04BC">
        <w:t>using HIV and HCV IVDs to participate in the QA programs provided by the NRL</w:t>
      </w:r>
      <w:r w:rsidR="00F57ED8">
        <w:t xml:space="preserve">. </w:t>
      </w:r>
    </w:p>
    <w:p w14:paraId="6BA04D1F" w14:textId="6137B1D1" w:rsidR="00AC29E8" w:rsidRDefault="00AC29E8" w:rsidP="001623F0">
      <w:pPr>
        <w:pStyle w:val="BodyCopy"/>
      </w:pPr>
      <w:r>
        <w:t>T</w:t>
      </w:r>
      <w:r w:rsidR="001623F0">
        <w:t xml:space="preserve">here is </w:t>
      </w:r>
      <w:r w:rsidR="00896798">
        <w:t xml:space="preserve">a rationale </w:t>
      </w:r>
      <w:r w:rsidR="001623F0">
        <w:t xml:space="preserve">for the </w:t>
      </w:r>
      <w:r w:rsidR="00F57ED8">
        <w:t xml:space="preserve">Australian </w:t>
      </w:r>
      <w:r w:rsidR="001623F0">
        <w:t xml:space="preserve">Government to more accurately assess the capability, capacity and costs of </w:t>
      </w:r>
      <w:r>
        <w:t xml:space="preserve">all </w:t>
      </w:r>
      <w:r w:rsidR="001623F0">
        <w:t xml:space="preserve">potential </w:t>
      </w:r>
      <w:r>
        <w:t xml:space="preserve">service </w:t>
      </w:r>
      <w:r w:rsidR="001623F0">
        <w:t xml:space="preserve">providers by going out to market through a tender process. This approach would strengthen market competition and possibly improve value for money for the funded services. </w:t>
      </w:r>
    </w:p>
    <w:p w14:paraId="7FBB7FE4" w14:textId="174F44B1" w:rsidR="001623F0" w:rsidRDefault="00AC29E8" w:rsidP="001623F0">
      <w:pPr>
        <w:pStyle w:val="BodyCopy"/>
      </w:pPr>
      <w:r>
        <w:t xml:space="preserve">However, future </w:t>
      </w:r>
      <w:r w:rsidR="001623F0">
        <w:t>funding options</w:t>
      </w:r>
      <w:r>
        <w:t xml:space="preserve"> need to consider </w:t>
      </w:r>
      <w:r w:rsidR="001623F0">
        <w:t xml:space="preserve">market capacity to </w:t>
      </w:r>
      <w:r>
        <w:t xml:space="preserve">ensure laboratories can meet </w:t>
      </w:r>
      <w:r w:rsidR="001623F0">
        <w:t xml:space="preserve">ongoing regulatory and accreditation </w:t>
      </w:r>
      <w:r>
        <w:t>requirements</w:t>
      </w:r>
      <w:r w:rsidR="00896798">
        <w:t>.</w:t>
      </w:r>
      <w:r w:rsidR="001623F0">
        <w:t xml:space="preserve">  </w:t>
      </w:r>
    </w:p>
    <w:p w14:paraId="572641BE" w14:textId="77777777" w:rsidR="00E02F38" w:rsidRPr="00D862F0" w:rsidRDefault="00AC29E8" w:rsidP="00B63FB4">
      <w:pPr>
        <w:pStyle w:val="KeyFinding"/>
      </w:pPr>
      <w:r>
        <w:t xml:space="preserve">Future funding models should promote fair market competition via a tender process. </w:t>
      </w:r>
    </w:p>
    <w:p w14:paraId="71B4EFDC" w14:textId="77777777" w:rsidR="001623F0" w:rsidRPr="001623F0" w:rsidRDefault="001623F0" w:rsidP="006752FB">
      <w:pPr>
        <w:pStyle w:val="BodyCopy"/>
        <w:ind w:left="113"/>
      </w:pP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A514F1" w:rsidRPr="003E0E7D" w14:paraId="78DE0A8A" w14:textId="77777777" w:rsidTr="003E0E7D">
        <w:trPr>
          <w:cantSplit/>
          <w:trHeight w:hRule="exact" w:val="1871"/>
        </w:trPr>
        <w:tc>
          <w:tcPr>
            <w:tcW w:w="5000" w:type="pct"/>
            <w:shd w:val="solid" w:color="FFFFFF" w:fill="FFFFFF"/>
            <w:vAlign w:val="bottom"/>
          </w:tcPr>
          <w:p w14:paraId="4562C2F5" w14:textId="77777777" w:rsidR="00A514F1" w:rsidRPr="003E0E7D" w:rsidRDefault="006752FB" w:rsidP="003E0E7D">
            <w:pPr>
              <w:pStyle w:val="Heading1"/>
              <w:numPr>
                <w:ilvl w:val="0"/>
                <w:numId w:val="1"/>
              </w:numPr>
            </w:pPr>
            <w:bookmarkStart w:id="83" w:name="_Ref514685668"/>
            <w:bookmarkStart w:id="84" w:name="_Toc18664668"/>
            <w:r w:rsidRPr="003E0E7D">
              <w:lastRenderedPageBreak/>
              <w:t xml:space="preserve">Funding </w:t>
            </w:r>
            <w:bookmarkEnd w:id="83"/>
            <w:r w:rsidR="00790D19" w:rsidRPr="003E0E7D">
              <w:t>Options</w:t>
            </w:r>
            <w:bookmarkEnd w:id="84"/>
          </w:p>
        </w:tc>
      </w:tr>
    </w:tbl>
    <w:p w14:paraId="057BABDC" w14:textId="0D812D60" w:rsidR="00C7634C" w:rsidRPr="006E5BB5" w:rsidRDefault="006E5BB5" w:rsidP="005E4840">
      <w:pPr>
        <w:pStyle w:val="BodyCopy"/>
        <w:rPr>
          <w:color w:val="FF0000"/>
        </w:rPr>
      </w:pPr>
      <w:bookmarkStart w:id="85" w:name="_Ref494873100"/>
      <w:r w:rsidRPr="006E5BB5">
        <w:rPr>
          <w:color w:val="FF0000"/>
        </w:rPr>
        <w:t>This chapter has been redac</w:t>
      </w:r>
      <w:r w:rsidR="00377553">
        <w:rPr>
          <w:color w:val="FF0000"/>
        </w:rPr>
        <w:t>ted.</w:t>
      </w:r>
    </w:p>
    <w:tbl>
      <w:tblPr>
        <w:tblpPr w:bottomFromText="794" w:vertAnchor="page" w:horzAnchor="margin" w:tblpX="-169" w:tblpY="703"/>
        <w:tblW w:w="15987" w:type="dxa"/>
        <w:tblBorders>
          <w:bottom w:val="single" w:sz="8" w:space="0" w:color="FFF200"/>
        </w:tblBorders>
        <w:shd w:val="solid" w:color="FFFFFF" w:fill="FFFFFF"/>
        <w:tblLayout w:type="fixed"/>
        <w:tblCellMar>
          <w:left w:w="0" w:type="dxa"/>
          <w:right w:w="0" w:type="dxa"/>
        </w:tblCellMar>
        <w:tblLook w:val="04A0" w:firstRow="1" w:lastRow="0" w:firstColumn="1" w:lastColumn="0" w:noHBand="0" w:noVBand="1"/>
      </w:tblPr>
      <w:tblGrid>
        <w:gridCol w:w="15987"/>
      </w:tblGrid>
      <w:tr w:rsidR="00186E65" w:rsidRPr="003E0E7D" w14:paraId="71034D05" w14:textId="77777777" w:rsidTr="003E0E7D">
        <w:trPr>
          <w:cantSplit/>
          <w:trHeight w:hRule="exact" w:val="1871"/>
        </w:trPr>
        <w:tc>
          <w:tcPr>
            <w:tcW w:w="5000" w:type="pct"/>
            <w:shd w:val="solid" w:color="FFFFFF" w:fill="FFFFFF"/>
            <w:vAlign w:val="bottom"/>
          </w:tcPr>
          <w:p w14:paraId="747CC0F4" w14:textId="77777777" w:rsidR="00186E65" w:rsidRPr="003E0E7D" w:rsidRDefault="00747A47" w:rsidP="003E0E7D">
            <w:pPr>
              <w:pStyle w:val="Heading1"/>
              <w:numPr>
                <w:ilvl w:val="0"/>
                <w:numId w:val="1"/>
              </w:numPr>
            </w:pPr>
            <w:bookmarkStart w:id="86" w:name="_Toc18664682"/>
            <w:bookmarkStart w:id="87" w:name="_Hlk483841345"/>
            <w:bookmarkEnd w:id="85"/>
            <w:r w:rsidRPr="003E0E7D">
              <w:lastRenderedPageBreak/>
              <w:t>Appendices</w:t>
            </w:r>
            <w:bookmarkEnd w:id="86"/>
          </w:p>
        </w:tc>
      </w:tr>
    </w:tbl>
    <w:p w14:paraId="26AEA6BD" w14:textId="77777777" w:rsidR="000E63F4" w:rsidRPr="000E63F4" w:rsidRDefault="000E63F4" w:rsidP="00E704A3">
      <w:pPr>
        <w:pStyle w:val="HeadingAppendix2"/>
        <w:spacing w:before="0"/>
        <w:rPr>
          <w:shd w:val="clear" w:color="auto" w:fill="FFFFFF"/>
        </w:rPr>
      </w:pPr>
      <w:bookmarkStart w:id="88" w:name="_Ref1051333"/>
      <w:bookmarkStart w:id="89" w:name="_Toc18664683"/>
      <w:bookmarkStart w:id="90" w:name="_Toc505783251"/>
      <w:bookmarkStart w:id="91" w:name="_Ref488403909"/>
      <w:r w:rsidRPr="006B1195">
        <w:t>History of screening for blood borne diseases in Australia</w:t>
      </w:r>
      <w:bookmarkEnd w:id="88"/>
      <w:bookmarkEnd w:id="89"/>
      <w:r w:rsidRPr="006B1195">
        <w:t xml:space="preserve"> </w:t>
      </w:r>
    </w:p>
    <w:p w14:paraId="153F661F" w14:textId="77777777" w:rsidR="000E63F4" w:rsidRPr="006B1195" w:rsidRDefault="000E63F4" w:rsidP="000E63F4">
      <w:pPr>
        <w:pStyle w:val="BodyCopy"/>
      </w:pPr>
      <w:r>
        <w:t xml:space="preserve">The first Red Cross blood transfusion service was established in Victoria in 1929. Separate state and territory Red Cross blood banks collected and managed blood donations for nearly 70 years until the formal establishment of the ARCBS in 1996. </w:t>
      </w:r>
      <w:r w:rsidRPr="006B1195">
        <w:t xml:space="preserve">The following provides a brief history of screening for blood borne diseases in Australia. </w:t>
      </w:r>
    </w:p>
    <w:p w14:paraId="3C3D7559" w14:textId="2AF4B581" w:rsidR="000E63F4" w:rsidRPr="006B1195" w:rsidRDefault="000E63F4" w:rsidP="000E63F4">
      <w:pPr>
        <w:pStyle w:val="BodyCopy"/>
      </w:pPr>
      <w:r w:rsidRPr="006B1195">
        <w:t>In 1965, the HBV surface antigen was discovered and in 1971 the Red Cross commenced routine serological screening for HBV in blood donations</w:t>
      </w:r>
      <w:r w:rsidR="002E4619">
        <w:t xml:space="preserve"> </w:t>
      </w:r>
      <w:sdt>
        <w:sdtPr>
          <w:id w:val="1554497831"/>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 xml:space="preserve">. </w:t>
      </w:r>
    </w:p>
    <w:p w14:paraId="1CCBB91E" w14:textId="6CF0AC2C" w:rsidR="000E63F4" w:rsidRPr="006B1195" w:rsidRDefault="000E63F4" w:rsidP="000E63F4">
      <w:pPr>
        <w:pStyle w:val="BodyCopy"/>
      </w:pPr>
      <w:r w:rsidRPr="006B1195">
        <w:t>In the early 1980s, there was an international HIV/</w:t>
      </w:r>
      <w:r w:rsidR="000D7A5B">
        <w:t>Acquired Immune Deficiency Syndrome (</w:t>
      </w:r>
      <w:r w:rsidRPr="006B1195">
        <w:t>AIDS</w:t>
      </w:r>
      <w:r w:rsidR="000D7A5B">
        <w:t>)</w:t>
      </w:r>
      <w:r w:rsidRPr="006B1195">
        <w:t xml:space="preserve"> epidemic. The first reported case of HIV infection in Australia was in 1983, and the first HIV</w:t>
      </w:r>
      <w:r w:rsidR="00B07C69">
        <w:t>-</w:t>
      </w:r>
      <w:r w:rsidRPr="006B1195">
        <w:t xml:space="preserve">related death in Australia was reported in 1984. In the same year, the first </w:t>
      </w:r>
      <w:r w:rsidR="00B07C69" w:rsidRPr="006B1195">
        <w:t>transfusion</w:t>
      </w:r>
      <w:r w:rsidR="00B07C69">
        <w:t>-</w:t>
      </w:r>
      <w:r w:rsidRPr="006B1195">
        <w:t>related HIV infection was reported and the Red Cross introduced a uniform donor declaration form</w:t>
      </w:r>
      <w:r w:rsidR="002E4619">
        <w:t xml:space="preserve"> </w:t>
      </w:r>
      <w:sdt>
        <w:sdtPr>
          <w:id w:val="-1816786419"/>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w:t>
      </w:r>
    </w:p>
    <w:p w14:paraId="4E8968F2" w14:textId="31CE0A16" w:rsidR="000E63F4" w:rsidRPr="006B1195" w:rsidRDefault="000E63F4" w:rsidP="000E63F4">
      <w:pPr>
        <w:pStyle w:val="BodyCopy"/>
      </w:pPr>
      <w:r>
        <w:t>In</w:t>
      </w:r>
      <w:r w:rsidRPr="006B1195">
        <w:t xml:space="preserve"> 1985, HIV serological testing for all blood donations was introduced</w:t>
      </w:r>
      <w:r w:rsidR="002E4619">
        <w:t xml:space="preserve"> </w:t>
      </w:r>
      <w:sdt>
        <w:sdtPr>
          <w:id w:val="-855035679"/>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t xml:space="preserve"> and</w:t>
      </w:r>
      <w:r w:rsidRPr="006B1195">
        <w:t xml:space="preserve"> the NRL was established to evaluate HIV tests and adjudicate on the interpretation of HIV test results</w:t>
      </w:r>
      <w:r w:rsidR="002E4619">
        <w:t xml:space="preserve"> </w:t>
      </w:r>
      <w:sdt>
        <w:sdtPr>
          <w:id w:val="1382752332"/>
          <w:citation/>
        </w:sdtPr>
        <w:sdtEndPr/>
        <w:sdtContent>
          <w:r w:rsidR="002E4619">
            <w:fldChar w:fldCharType="begin"/>
          </w:r>
          <w:r w:rsidR="002E4619">
            <w:rPr>
              <w:lang w:val="en-US"/>
            </w:rPr>
            <w:instrText xml:space="preserve"> CITATION Nat17A \l 1033 </w:instrText>
          </w:r>
          <w:r w:rsidR="002E4619">
            <w:fldChar w:fldCharType="separate"/>
          </w:r>
          <w:r w:rsidR="002E4619" w:rsidRPr="002E4619">
            <w:rPr>
              <w:noProof/>
              <w:lang w:val="en-US"/>
            </w:rPr>
            <w:t>[2]</w:t>
          </w:r>
          <w:r w:rsidR="002E4619">
            <w:fldChar w:fldCharType="end"/>
          </w:r>
        </w:sdtContent>
      </w:sdt>
      <w:r w:rsidRPr="006B1195">
        <w:t>.</w:t>
      </w:r>
      <w:r w:rsidR="00C9096B">
        <w:rPr>
          <w:noProof/>
        </w:rPr>
        <w:t xml:space="preserve"> </w:t>
      </w:r>
    </w:p>
    <w:p w14:paraId="7D6F46F3" w14:textId="43333EC9" w:rsidR="000E63F4" w:rsidRPr="006B1195" w:rsidRDefault="000E63F4" w:rsidP="000E63F4">
      <w:pPr>
        <w:pStyle w:val="BodyCopy"/>
      </w:pPr>
      <w:r w:rsidRPr="006B1195">
        <w:t xml:space="preserve">In 1989, the first National HIV/AIDS </w:t>
      </w:r>
      <w:r>
        <w:t>S</w:t>
      </w:r>
      <w:r w:rsidRPr="006B1195">
        <w:t>trategy was produced by the Australian Government</w:t>
      </w:r>
      <w:r w:rsidR="002E4619" w:rsidRPr="002E4619">
        <w:t xml:space="preserve"> </w:t>
      </w:r>
      <w:sdt>
        <w:sdtPr>
          <w:id w:val="-133795804"/>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 xml:space="preserve">. The strategy is updated every four years. The latest strategy (the </w:t>
      </w:r>
      <w:r w:rsidR="003A7007">
        <w:t>Eighth</w:t>
      </w:r>
      <w:r w:rsidR="003A7007" w:rsidRPr="006B1195">
        <w:t xml:space="preserve"> </w:t>
      </w:r>
      <w:r w:rsidRPr="006B1195">
        <w:t>National HIV</w:t>
      </w:r>
      <w:r w:rsidR="003A7007">
        <w:t xml:space="preserve"> </w:t>
      </w:r>
      <w:r>
        <w:t>S</w:t>
      </w:r>
      <w:r w:rsidRPr="006B1195">
        <w:t>trategy</w:t>
      </w:r>
      <w:r w:rsidR="003A7007">
        <w:t xml:space="preserve"> 2018-22</w:t>
      </w:r>
      <w:r w:rsidRPr="006B1195">
        <w:t>) was released in 201</w:t>
      </w:r>
      <w:r w:rsidR="003A7007">
        <w:t>8</w:t>
      </w:r>
      <w:sdt>
        <w:sdtPr>
          <w:id w:val="1790549621"/>
          <w:citation/>
        </w:sdtPr>
        <w:sdtEndPr/>
        <w:sdtContent>
          <w:r w:rsidR="002E4619">
            <w:fldChar w:fldCharType="begin"/>
          </w:r>
          <w:r w:rsidR="002E4619">
            <w:rPr>
              <w:lang w:val="en-US"/>
            </w:rPr>
            <w:instrText xml:space="preserve"> CITATION Dep19 \l 1033 </w:instrText>
          </w:r>
          <w:r w:rsidR="002E4619">
            <w:fldChar w:fldCharType="separate"/>
          </w:r>
          <w:r w:rsidR="002E4619">
            <w:rPr>
              <w:noProof/>
              <w:lang w:val="en-US"/>
            </w:rPr>
            <w:t xml:space="preserve"> </w:t>
          </w:r>
          <w:r w:rsidR="002E4619" w:rsidRPr="002E4619">
            <w:rPr>
              <w:noProof/>
              <w:lang w:val="en-US"/>
            </w:rPr>
            <w:t>[30]</w:t>
          </w:r>
          <w:r w:rsidR="002E4619">
            <w:fldChar w:fldCharType="end"/>
          </w:r>
        </w:sdtContent>
      </w:sdt>
      <w:r w:rsidR="002E4619">
        <w:t>.</w:t>
      </w:r>
      <w:r w:rsidRPr="006B1195">
        <w:t>In 1989 HCV was identified and by 1990 HCV screening commenced in all transfusion services</w:t>
      </w:r>
      <w:r w:rsidR="002E4619" w:rsidRPr="002E4619">
        <w:t xml:space="preserve"> </w:t>
      </w:r>
      <w:sdt>
        <w:sdtPr>
          <w:id w:val="682638078"/>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 xml:space="preserve">. </w:t>
      </w:r>
    </w:p>
    <w:p w14:paraId="3101D4BC" w14:textId="64375740" w:rsidR="00AD0F52" w:rsidRPr="006B1195" w:rsidRDefault="00AD0F52" w:rsidP="00AD0F52">
      <w:pPr>
        <w:pStyle w:val="BodyCopy"/>
      </w:pPr>
      <w:r w:rsidRPr="006B1195">
        <w:t>In 1996, the ARCBS was established</w:t>
      </w:r>
      <w:r w:rsidR="002E4619" w:rsidRPr="002E4619">
        <w:t xml:space="preserve"> </w:t>
      </w:r>
      <w:sdt>
        <w:sdtPr>
          <w:id w:val="-875697711"/>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 xml:space="preserve">. </w:t>
      </w:r>
    </w:p>
    <w:p w14:paraId="545D6020" w14:textId="77777777" w:rsidR="00D23197" w:rsidRDefault="00EC71FB" w:rsidP="00AD0F52">
      <w:pPr>
        <w:pStyle w:val="BodyCopy"/>
        <w:rPr>
          <w:shd w:val="clear" w:color="auto" w:fill="FFFFFF"/>
        </w:rPr>
      </w:pPr>
      <w:r>
        <w:t xml:space="preserve">In 1999, the first </w:t>
      </w:r>
      <w:r w:rsidRPr="0054768C">
        <w:rPr>
          <w:shd w:val="clear" w:color="auto" w:fill="FFFFFF"/>
        </w:rPr>
        <w:t>National Hepatitis C Strategy</w:t>
      </w:r>
      <w:r w:rsidRPr="006B1195">
        <w:t xml:space="preserve"> </w:t>
      </w:r>
      <w:r>
        <w:t xml:space="preserve">and the first National </w:t>
      </w:r>
      <w:r w:rsidRPr="0054768C">
        <w:rPr>
          <w:shd w:val="clear" w:color="auto" w:fill="FFFFFF"/>
        </w:rPr>
        <w:t>Aboriginal and Torres Strait Islander BBV and STI Strategy</w:t>
      </w:r>
      <w:r>
        <w:rPr>
          <w:shd w:val="clear" w:color="auto" w:fill="FFFFFF"/>
        </w:rPr>
        <w:t xml:space="preserve"> were released (1999-2004). The latest </w:t>
      </w:r>
      <w:r w:rsidR="00E229BC">
        <w:rPr>
          <w:shd w:val="clear" w:color="auto" w:fill="FFFFFF"/>
        </w:rPr>
        <w:t>strategies (</w:t>
      </w:r>
      <w:r w:rsidR="00E229BC" w:rsidRPr="0054768C">
        <w:rPr>
          <w:shd w:val="clear" w:color="auto" w:fill="FFFFFF"/>
        </w:rPr>
        <w:t>Fifth National Hepatitis C Strategy</w:t>
      </w:r>
      <w:r w:rsidR="00E229BC">
        <w:rPr>
          <w:shd w:val="clear" w:color="auto" w:fill="FFFFFF"/>
        </w:rPr>
        <w:t xml:space="preserve"> 2018-2022 and </w:t>
      </w:r>
      <w:r w:rsidR="00E229BC" w:rsidRPr="0054768C">
        <w:rPr>
          <w:shd w:val="clear" w:color="auto" w:fill="FFFFFF"/>
        </w:rPr>
        <w:t>Fifth National Aboriginal and Torres Strait Islander BBV and STI Strategy</w:t>
      </w:r>
      <w:r w:rsidR="00E229BC">
        <w:rPr>
          <w:shd w:val="clear" w:color="auto" w:fill="FFFFFF"/>
        </w:rPr>
        <w:t xml:space="preserve"> 2018-2022) were released in 2018. </w:t>
      </w:r>
    </w:p>
    <w:p w14:paraId="2E4AFEE6" w14:textId="0664A7E2" w:rsidR="000E63F4" w:rsidRPr="00D23197" w:rsidRDefault="00D23197" w:rsidP="00AD0F52">
      <w:pPr>
        <w:pStyle w:val="BodyCopy"/>
        <w:rPr>
          <w:shd w:val="clear" w:color="auto" w:fill="FFFFFF"/>
        </w:rPr>
      </w:pPr>
      <w:r>
        <w:rPr>
          <w:shd w:val="clear" w:color="auto" w:fill="FFFFFF"/>
        </w:rPr>
        <w:t>I</w:t>
      </w:r>
      <w:r w:rsidR="00E229BC">
        <w:rPr>
          <w:shd w:val="clear" w:color="auto" w:fill="FFFFFF"/>
        </w:rPr>
        <w:t xml:space="preserve">n 1999, </w:t>
      </w:r>
      <w:r w:rsidR="000E63F4" w:rsidRPr="006B1195">
        <w:t xml:space="preserve">the first </w:t>
      </w:r>
      <w:r w:rsidR="00B07C69" w:rsidRPr="006B1195">
        <w:t>transfusion</w:t>
      </w:r>
      <w:r w:rsidR="00B07C69">
        <w:t>-</w:t>
      </w:r>
      <w:r w:rsidR="000E63F4" w:rsidRPr="006B1195">
        <w:t xml:space="preserve">related HIV infection since routine screening commenced in 1985 was reported in Melbourne, from a blood donation taken in the ‘window period’. </w:t>
      </w:r>
    </w:p>
    <w:p w14:paraId="0E2185CA" w14:textId="06A3A8A2" w:rsidR="000E63F4" w:rsidRPr="006B1195" w:rsidRDefault="000E63F4" w:rsidP="000E63F4">
      <w:pPr>
        <w:pStyle w:val="BodyCopy"/>
      </w:pPr>
      <w:r w:rsidRPr="006B1195">
        <w:t>In 2000, regulation of fresh blood commen</w:t>
      </w:r>
      <w:r>
        <w:t>c</w:t>
      </w:r>
      <w:r w:rsidRPr="006B1195">
        <w:t xml:space="preserve">ed under the </w:t>
      </w:r>
      <w:r w:rsidRPr="008458D4">
        <w:rPr>
          <w:i/>
        </w:rPr>
        <w:t>Therapeutic Goods Act 1989</w:t>
      </w:r>
      <w:r w:rsidRPr="006B1195">
        <w:t xml:space="preserve"> </w:t>
      </w:r>
      <w:sdt>
        <w:sdtPr>
          <w:id w:val="1392228534"/>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002E4619">
        <w:t>.</w:t>
      </w:r>
      <w:r w:rsidR="002E4619" w:rsidRPr="006B1195">
        <w:t xml:space="preserve"> </w:t>
      </w:r>
      <w:r w:rsidRPr="006B1195">
        <w:t xml:space="preserve">In this year, NAT was introduced </w:t>
      </w:r>
      <w:r>
        <w:t>to screen blood donations for</w:t>
      </w:r>
      <w:r w:rsidRPr="006B1195">
        <w:t xml:space="preserve"> HIV and HCV in addition to the serological testing routinely performed</w:t>
      </w:r>
      <w:r w:rsidR="002E4619" w:rsidRPr="002E4619">
        <w:t xml:space="preserve"> </w:t>
      </w:r>
      <w:sdt>
        <w:sdtPr>
          <w:id w:val="-670110898"/>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w:t>
      </w:r>
    </w:p>
    <w:p w14:paraId="37164DC1" w14:textId="73ADE874" w:rsidR="000E63F4" w:rsidRDefault="000E63F4" w:rsidP="000E63F4">
      <w:pPr>
        <w:pStyle w:val="BodyCopy"/>
      </w:pPr>
      <w:r w:rsidRPr="006B1195">
        <w:t>In 2003, the NBA was established</w:t>
      </w:r>
      <w:r w:rsidR="002E4619" w:rsidRPr="002E4619">
        <w:t xml:space="preserve"> </w:t>
      </w:r>
      <w:sdt>
        <w:sdtPr>
          <w:id w:val="-1947064783"/>
          <w:citation/>
        </w:sdtPr>
        <w:sdtEndPr/>
        <w:sdtContent>
          <w:r w:rsidR="002E4619">
            <w:fldChar w:fldCharType="begin"/>
          </w:r>
          <w:r w:rsidR="002E4619">
            <w:rPr>
              <w:lang w:val="en-US"/>
            </w:rPr>
            <w:instrText xml:space="preserve"> CITATION Par04 \l 1033 </w:instrText>
          </w:r>
          <w:r w:rsidR="002E4619">
            <w:fldChar w:fldCharType="separate"/>
          </w:r>
          <w:r w:rsidR="002E4619" w:rsidRPr="002E4619">
            <w:rPr>
              <w:noProof/>
              <w:lang w:val="en-US"/>
            </w:rPr>
            <w:t>[1]</w:t>
          </w:r>
          <w:r w:rsidR="002E4619">
            <w:fldChar w:fldCharType="end"/>
          </w:r>
        </w:sdtContent>
      </w:sdt>
      <w:r w:rsidRPr="006B1195">
        <w:t xml:space="preserve">. </w:t>
      </w:r>
    </w:p>
    <w:p w14:paraId="66E595F8" w14:textId="7312D064" w:rsidR="00E229BC" w:rsidRPr="0054768C" w:rsidRDefault="00E229BC" w:rsidP="00E229BC">
      <w:pPr>
        <w:pStyle w:val="BodyCopy"/>
        <w:rPr>
          <w:shd w:val="clear" w:color="auto" w:fill="FFFFFF"/>
        </w:rPr>
      </w:pPr>
      <w:r>
        <w:t xml:space="preserve">In 2005, the </w:t>
      </w:r>
      <w:r w:rsidRPr="0054768C">
        <w:rPr>
          <w:shd w:val="clear" w:color="auto" w:fill="FFFFFF"/>
        </w:rPr>
        <w:t xml:space="preserve">First National STI Strategy </w:t>
      </w:r>
      <w:r>
        <w:rPr>
          <w:shd w:val="clear" w:color="auto" w:fill="FFFFFF"/>
        </w:rPr>
        <w:t>was released. The latest strategy (</w:t>
      </w:r>
      <w:r w:rsidRPr="0054768C">
        <w:rPr>
          <w:shd w:val="clear" w:color="auto" w:fill="FFFFFF"/>
        </w:rPr>
        <w:t>Fourth National STI Strategy</w:t>
      </w:r>
      <w:r>
        <w:rPr>
          <w:shd w:val="clear" w:color="auto" w:fill="FFFFFF"/>
        </w:rPr>
        <w:t xml:space="preserve"> 2018-2022) was released in 2018. </w:t>
      </w:r>
    </w:p>
    <w:p w14:paraId="0E0C9EF6" w14:textId="68CA1030" w:rsidR="00E229BC" w:rsidRPr="00E229BC" w:rsidRDefault="00E229BC" w:rsidP="000E63F4">
      <w:pPr>
        <w:pStyle w:val="BodyCopy"/>
        <w:rPr>
          <w:shd w:val="clear" w:color="auto" w:fill="FFFFFF"/>
        </w:rPr>
      </w:pPr>
      <w:r>
        <w:t xml:space="preserve">In 2010 the first </w:t>
      </w:r>
      <w:r w:rsidRPr="0054768C">
        <w:rPr>
          <w:shd w:val="clear" w:color="auto" w:fill="FFFFFF"/>
        </w:rPr>
        <w:t>National Hepatitis B Strategy</w:t>
      </w:r>
      <w:r>
        <w:t xml:space="preserve"> was released. </w:t>
      </w:r>
      <w:r>
        <w:rPr>
          <w:shd w:val="clear" w:color="auto" w:fill="FFFFFF"/>
        </w:rPr>
        <w:t>The latest strategy (</w:t>
      </w:r>
      <w:r w:rsidRPr="0054768C">
        <w:rPr>
          <w:shd w:val="clear" w:color="auto" w:fill="FFFFFF"/>
        </w:rPr>
        <w:t>Third National Hepatitis B Strategy</w:t>
      </w:r>
      <w:r>
        <w:rPr>
          <w:shd w:val="clear" w:color="auto" w:fill="FFFFFF"/>
        </w:rPr>
        <w:t xml:space="preserve"> 2018-2022) was released in 2018. </w:t>
      </w:r>
    </w:p>
    <w:p w14:paraId="6DB1C7DE" w14:textId="3BA3980B" w:rsidR="000E63F4" w:rsidRDefault="000E63F4" w:rsidP="000E63F4">
      <w:pPr>
        <w:pStyle w:val="BodyCopy"/>
      </w:pPr>
      <w:r>
        <w:t>In July 2010,</w:t>
      </w:r>
      <w:r w:rsidRPr="00047802">
        <w:t xml:space="preserve"> </w:t>
      </w:r>
      <w:r>
        <w:t>a new regulatory framework was introduced for</w:t>
      </w:r>
      <w:r w:rsidRPr="00047802">
        <w:t xml:space="preserve"> IVDs</w:t>
      </w:r>
      <w:r>
        <w:t>, with IVDs now regulated as a subset of medical devices under the Regulations. To allow time for compliance, the new regulatory framework was introduced through a staged transition process. The transition period for the IVD regulatory framework ended on 30 June 2017</w:t>
      </w:r>
      <w:sdt>
        <w:sdtPr>
          <w:id w:val="1994828577"/>
          <w:citation/>
        </w:sdtPr>
        <w:sdtEndPr/>
        <w:sdtContent>
          <w:r w:rsidR="002E4619">
            <w:fldChar w:fldCharType="begin"/>
          </w:r>
          <w:r w:rsidR="002E4619">
            <w:rPr>
              <w:lang w:val="en-US"/>
            </w:rPr>
            <w:instrText xml:space="preserve"> CITATION The22 \l 1033 </w:instrText>
          </w:r>
          <w:r w:rsidR="002E4619">
            <w:fldChar w:fldCharType="separate"/>
          </w:r>
          <w:r w:rsidR="002E4619">
            <w:rPr>
              <w:noProof/>
              <w:lang w:val="en-US"/>
            </w:rPr>
            <w:t xml:space="preserve"> </w:t>
          </w:r>
          <w:r w:rsidR="002E4619" w:rsidRPr="002E4619">
            <w:rPr>
              <w:noProof/>
              <w:lang w:val="en-US"/>
            </w:rPr>
            <w:t>[30]</w:t>
          </w:r>
          <w:r w:rsidR="002E4619">
            <w:fldChar w:fldCharType="end"/>
          </w:r>
        </w:sdtContent>
      </w:sdt>
      <w:r>
        <w:t xml:space="preserve">. </w:t>
      </w:r>
    </w:p>
    <w:p w14:paraId="1974C983" w14:textId="2B083273" w:rsidR="0054768C" w:rsidRDefault="000E63F4" w:rsidP="000E63F4">
      <w:pPr>
        <w:pStyle w:val="BodyCopy"/>
        <w:rPr>
          <w:shd w:val="clear" w:color="auto" w:fill="FFFFFF"/>
        </w:rPr>
      </w:pPr>
      <w:r>
        <w:t xml:space="preserve">These key milestones are depicted in </w:t>
      </w:r>
      <w:r>
        <w:fldChar w:fldCharType="begin"/>
      </w:r>
      <w:r>
        <w:instrText xml:space="preserve"> REF _Ref489371116 \h </w:instrText>
      </w:r>
      <w:r>
        <w:fldChar w:fldCharType="separate"/>
      </w:r>
      <w:r w:rsidR="0078683A">
        <w:t xml:space="preserve">Figure </w:t>
      </w:r>
      <w:r w:rsidR="0078683A">
        <w:rPr>
          <w:noProof/>
        </w:rPr>
        <w:t>9</w:t>
      </w:r>
      <w:r w:rsidR="0078683A">
        <w:t>.</w:t>
      </w:r>
      <w:r w:rsidR="0078683A">
        <w:rPr>
          <w:noProof/>
        </w:rPr>
        <w:t>1</w:t>
      </w:r>
      <w:r>
        <w:fldChar w:fldCharType="end"/>
      </w:r>
      <w:r w:rsidR="00B07C69">
        <w:t xml:space="preserve"> </w:t>
      </w:r>
      <w:r>
        <w:t xml:space="preserve">and </w:t>
      </w:r>
      <w:r>
        <w:fldChar w:fldCharType="begin"/>
      </w:r>
      <w:r>
        <w:instrText xml:space="preserve"> REF _Ref489371118 \h </w:instrText>
      </w:r>
      <w:r>
        <w:fldChar w:fldCharType="separate"/>
      </w:r>
      <w:r w:rsidR="0078683A">
        <w:t xml:space="preserve">Figure </w:t>
      </w:r>
      <w:r w:rsidR="0078683A">
        <w:rPr>
          <w:noProof/>
        </w:rPr>
        <w:t>9</w:t>
      </w:r>
      <w:r w:rsidR="0078683A">
        <w:t>.</w:t>
      </w:r>
      <w:r w:rsidR="0078683A">
        <w:rPr>
          <w:noProof/>
        </w:rPr>
        <w:t>2</w:t>
      </w:r>
      <w:r>
        <w:fldChar w:fldCharType="end"/>
      </w:r>
      <w:r>
        <w:t xml:space="preserve"> on the following pages.</w:t>
      </w:r>
    </w:p>
    <w:p w14:paraId="083EB898" w14:textId="77777777" w:rsidR="0054768C" w:rsidRDefault="0054768C" w:rsidP="000E63F4">
      <w:pPr>
        <w:pStyle w:val="BodyCopy"/>
        <w:rPr>
          <w:shd w:val="clear" w:color="auto" w:fill="FFFFFF"/>
        </w:rPr>
      </w:pPr>
    </w:p>
    <w:p w14:paraId="576C3AC0" w14:textId="77777777" w:rsidR="0054768C" w:rsidRDefault="0054768C" w:rsidP="000E63F4">
      <w:pPr>
        <w:pStyle w:val="BodyCopy"/>
        <w:rPr>
          <w:shd w:val="clear" w:color="auto" w:fill="FFFFFF"/>
        </w:rPr>
      </w:pPr>
    </w:p>
    <w:p w14:paraId="336CBE5E" w14:textId="2F652C96" w:rsidR="0054768C" w:rsidRDefault="0054768C" w:rsidP="000E63F4">
      <w:pPr>
        <w:pStyle w:val="BodyCopy"/>
        <w:rPr>
          <w:shd w:val="clear" w:color="auto" w:fill="FFFFFF"/>
        </w:rPr>
        <w:sectPr w:rsidR="0054768C" w:rsidSect="000240C0">
          <w:footnotePr>
            <w:numFmt w:val="lowerLetter"/>
          </w:footnotePr>
          <w:type w:val="continuous"/>
          <w:pgSz w:w="16839" w:h="11907" w:orient="landscape" w:code="9"/>
          <w:pgMar w:top="2268" w:right="1304" w:bottom="851" w:left="737" w:header="567" w:footer="284" w:gutter="0"/>
          <w:cols w:num="2" w:space="709"/>
          <w:docGrid w:linePitch="360"/>
        </w:sectPr>
      </w:pPr>
    </w:p>
    <w:p w14:paraId="6DCFE6B3" w14:textId="6300433D" w:rsidR="000E63F4" w:rsidRDefault="000E63F4" w:rsidP="000E63F4">
      <w:pPr>
        <w:pStyle w:val="Caption"/>
      </w:pPr>
      <w:bookmarkStart w:id="92" w:name="_Ref489371116"/>
      <w:r>
        <w:lastRenderedPageBreak/>
        <w:t xml:space="preserve">Figure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Figure \* ARABIC \s 1 </w:instrText>
      </w:r>
      <w:r>
        <w:rPr>
          <w:noProof/>
        </w:rPr>
        <w:fldChar w:fldCharType="separate"/>
      </w:r>
      <w:r w:rsidR="0078683A">
        <w:rPr>
          <w:noProof/>
        </w:rPr>
        <w:t>1</w:t>
      </w:r>
      <w:r>
        <w:rPr>
          <w:noProof/>
        </w:rPr>
        <w:fldChar w:fldCharType="end"/>
      </w:r>
      <w:bookmarkEnd w:id="92"/>
      <w:r>
        <w:t xml:space="preserve">: </w:t>
      </w:r>
      <w:r w:rsidRPr="00A41CE2">
        <w:rPr>
          <w:rStyle w:val="Captionnotbold"/>
        </w:rPr>
        <w:t>BBV timelines 1980 to 200</w:t>
      </w:r>
      <w:r w:rsidR="00EC71FB">
        <w:rPr>
          <w:rStyle w:val="Captionnotbold"/>
        </w:rPr>
        <w:t>5</w:t>
      </w:r>
    </w:p>
    <w:p w14:paraId="5BD256F7" w14:textId="1AABCD48" w:rsidR="000E63F4" w:rsidRDefault="00EC71FB" w:rsidP="000E63F4">
      <w:pPr>
        <w:pStyle w:val="BodyCopy"/>
        <w:jc w:val="center"/>
        <w:rPr>
          <w:shd w:val="clear" w:color="auto" w:fill="FFFFFF"/>
        </w:rPr>
      </w:pPr>
      <w:r w:rsidRPr="00EC71FB">
        <w:rPr>
          <w:noProof/>
          <w:lang w:eastAsia="en-AU"/>
        </w:rPr>
        <w:drawing>
          <wp:inline distT="0" distB="0" distL="0" distR="0" wp14:anchorId="2DBBFF78" wp14:editId="466DE7ED">
            <wp:extent cx="9124950" cy="3267075"/>
            <wp:effectExtent l="0" t="0" r="0" b="9525"/>
            <wp:docPr id="6" name="Picture 6"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4950" cy="3267075"/>
                    </a:xfrm>
                    <a:prstGeom prst="rect">
                      <a:avLst/>
                    </a:prstGeom>
                    <a:noFill/>
                    <a:ln>
                      <a:noFill/>
                    </a:ln>
                  </pic:spPr>
                </pic:pic>
              </a:graphicData>
            </a:graphic>
          </wp:inline>
        </w:drawing>
      </w:r>
    </w:p>
    <w:p w14:paraId="2F5F17F9" w14:textId="17F50CD0" w:rsidR="000E63F4" w:rsidRDefault="000E63F4" w:rsidP="000E63F4">
      <w:pPr>
        <w:pStyle w:val="Caption"/>
        <w:rPr>
          <w:shd w:val="clear" w:color="auto" w:fill="FFFFFF"/>
        </w:rPr>
      </w:pPr>
      <w:bookmarkStart w:id="93" w:name="_Ref489371118"/>
      <w:r>
        <w:lastRenderedPageBreak/>
        <w:t xml:space="preserve">Figure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Figure \* ARABIC \s 1 </w:instrText>
      </w:r>
      <w:r>
        <w:rPr>
          <w:noProof/>
        </w:rPr>
        <w:fldChar w:fldCharType="separate"/>
      </w:r>
      <w:r w:rsidR="0078683A">
        <w:rPr>
          <w:noProof/>
        </w:rPr>
        <w:t>2</w:t>
      </w:r>
      <w:r>
        <w:rPr>
          <w:noProof/>
        </w:rPr>
        <w:fldChar w:fldCharType="end"/>
      </w:r>
      <w:bookmarkEnd w:id="93"/>
      <w:r>
        <w:t xml:space="preserve">: </w:t>
      </w:r>
      <w:r w:rsidRPr="00A41CE2">
        <w:rPr>
          <w:rStyle w:val="Captionnotbold"/>
        </w:rPr>
        <w:t xml:space="preserve">BBV timelines </w:t>
      </w:r>
      <w:r>
        <w:rPr>
          <w:rStyle w:val="Captionnotbold"/>
        </w:rPr>
        <w:t>200</w:t>
      </w:r>
      <w:r w:rsidR="00EC71FB">
        <w:rPr>
          <w:rStyle w:val="Captionnotbold"/>
        </w:rPr>
        <w:t>5</w:t>
      </w:r>
      <w:r w:rsidRPr="00A41CE2">
        <w:rPr>
          <w:rStyle w:val="Captionnotbold"/>
        </w:rPr>
        <w:t xml:space="preserve"> to 20</w:t>
      </w:r>
      <w:r>
        <w:rPr>
          <w:rStyle w:val="Captionnotbold"/>
        </w:rPr>
        <w:t>2</w:t>
      </w:r>
      <w:r w:rsidR="00EC71FB">
        <w:rPr>
          <w:rStyle w:val="Captionnotbold"/>
        </w:rPr>
        <w:t>2</w:t>
      </w:r>
    </w:p>
    <w:p w14:paraId="6E2787EB" w14:textId="2FE27AB6" w:rsidR="000E63F4" w:rsidRDefault="00EC71FB" w:rsidP="000E63F4">
      <w:r w:rsidRPr="00EC71FB">
        <w:rPr>
          <w:noProof/>
          <w:lang w:eastAsia="en-AU"/>
        </w:rPr>
        <w:drawing>
          <wp:inline distT="0" distB="0" distL="0" distR="0" wp14:anchorId="5C05B9BD" wp14:editId="5E8A23AE">
            <wp:extent cx="9353550" cy="3962400"/>
            <wp:effectExtent l="0" t="0" r="0" b="0"/>
            <wp:docPr id="5" name="Picture 5" title="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3550" cy="3962400"/>
                    </a:xfrm>
                    <a:prstGeom prst="rect">
                      <a:avLst/>
                    </a:prstGeom>
                    <a:noFill/>
                    <a:ln>
                      <a:noFill/>
                    </a:ln>
                  </pic:spPr>
                </pic:pic>
              </a:graphicData>
            </a:graphic>
          </wp:inline>
        </w:drawing>
      </w:r>
    </w:p>
    <w:p w14:paraId="7D9621C0" w14:textId="77777777" w:rsidR="000E63F4" w:rsidRDefault="000E63F4" w:rsidP="000E63F4"/>
    <w:p w14:paraId="0399CBCC" w14:textId="77777777" w:rsidR="000E63F4" w:rsidRPr="000E63F4" w:rsidRDefault="000E63F4" w:rsidP="000E63F4">
      <w:pPr>
        <w:sectPr w:rsidR="000E63F4" w:rsidRPr="000E63F4" w:rsidSect="000E63F4">
          <w:footnotePr>
            <w:numFmt w:val="lowerLetter"/>
          </w:footnotePr>
          <w:type w:val="continuous"/>
          <w:pgSz w:w="16839" w:h="11907" w:orient="landscape" w:code="9"/>
          <w:pgMar w:top="2268" w:right="1304" w:bottom="851" w:left="737" w:header="567" w:footer="284" w:gutter="0"/>
          <w:cols w:space="709"/>
          <w:docGrid w:linePitch="360"/>
        </w:sectPr>
      </w:pPr>
    </w:p>
    <w:p w14:paraId="3E2C0D21" w14:textId="77777777" w:rsidR="00F831D4" w:rsidRPr="00A85095" w:rsidRDefault="0063438C" w:rsidP="006A46D9">
      <w:pPr>
        <w:pStyle w:val="HeadingAppendix2"/>
        <w:rPr>
          <w:shd w:val="clear" w:color="auto" w:fill="FFFFFF"/>
        </w:rPr>
      </w:pPr>
      <w:bookmarkStart w:id="94" w:name="_Ref1051340"/>
      <w:bookmarkStart w:id="95" w:name="_Toc18664684"/>
      <w:r>
        <w:lastRenderedPageBreak/>
        <w:t>Summary</w:t>
      </w:r>
      <w:r w:rsidRPr="00A85095">
        <w:t xml:space="preserve"> </w:t>
      </w:r>
      <w:r>
        <w:t>of</w:t>
      </w:r>
      <w:r w:rsidRPr="00A85095">
        <w:t xml:space="preserve"> </w:t>
      </w:r>
      <w:r w:rsidR="00F831D4" w:rsidRPr="00A85095">
        <w:t>review methodology</w:t>
      </w:r>
      <w:bookmarkEnd w:id="90"/>
      <w:bookmarkEnd w:id="94"/>
      <w:bookmarkEnd w:id="95"/>
      <w:r w:rsidR="00F831D4" w:rsidRPr="00A85095">
        <w:t xml:space="preserve"> </w:t>
      </w:r>
    </w:p>
    <w:p w14:paraId="3B00716C" w14:textId="77777777" w:rsidR="00F831D4" w:rsidRDefault="00F831D4" w:rsidP="00220613">
      <w:pPr>
        <w:pStyle w:val="BodyCopy"/>
      </w:pPr>
      <w:r>
        <w:t xml:space="preserve">This review was conducted in and informed by three key stages: desktop review, consultation with key stakeholders, and survey of laboratories </w:t>
      </w:r>
      <w:r w:rsidR="00256468">
        <w:t xml:space="preserve">using </w:t>
      </w:r>
      <w:r>
        <w:t>the funded services.</w:t>
      </w:r>
    </w:p>
    <w:p w14:paraId="1B0C0C2F" w14:textId="77777777" w:rsidR="00F831D4" w:rsidRDefault="00F831D4" w:rsidP="00220613">
      <w:pPr>
        <w:pStyle w:val="BodyCopy"/>
      </w:pPr>
      <w:r>
        <w:t xml:space="preserve">The Desktop Review included: </w:t>
      </w:r>
    </w:p>
    <w:p w14:paraId="383C39A5" w14:textId="77777777" w:rsidR="00F831D4" w:rsidRDefault="00F831D4" w:rsidP="00220613">
      <w:pPr>
        <w:pStyle w:val="Bullets1"/>
      </w:pPr>
      <w:r>
        <w:t xml:space="preserve">Review of the current funding model between the Department of Health and </w:t>
      </w:r>
      <w:r w:rsidRPr="004D13CE">
        <w:t>St</w:t>
      </w:r>
      <w:r>
        <w:t> </w:t>
      </w:r>
      <w:r w:rsidRPr="004D13CE">
        <w:t>Vincent’s</w:t>
      </w:r>
      <w:r>
        <w:t> Medical Research Institute as NRL’s host organisation</w:t>
      </w:r>
    </w:p>
    <w:p w14:paraId="797C4F39" w14:textId="77777777" w:rsidR="00F831D4" w:rsidRDefault="00F831D4" w:rsidP="00220613">
      <w:pPr>
        <w:pStyle w:val="Bullets1"/>
      </w:pPr>
      <w:r>
        <w:t>A description and analysis of the regulatory framework for HIV, HCV and HBV testing in Australia</w:t>
      </w:r>
      <w:r w:rsidR="00B07C69">
        <w:t>,</w:t>
      </w:r>
      <w:r>
        <w:t xml:space="preserve"> including national legislative requirements for IVD registration and use </w:t>
      </w:r>
    </w:p>
    <w:p w14:paraId="30F82735" w14:textId="77777777" w:rsidR="00F831D4" w:rsidRDefault="00F831D4" w:rsidP="00220613">
      <w:pPr>
        <w:pStyle w:val="Bullets1"/>
      </w:pPr>
      <w:r>
        <w:t xml:space="preserve">Review of relevant policies and publicly available information on laboratory accreditation and </w:t>
      </w:r>
      <w:r w:rsidR="00AE141F">
        <w:t>QA</w:t>
      </w:r>
      <w:r>
        <w:t xml:space="preserve"> and </w:t>
      </w:r>
      <w:r w:rsidR="00AE141F">
        <w:t>QC</w:t>
      </w:r>
      <w:r>
        <w:t xml:space="preserve"> requirements (in Australia and internationally) </w:t>
      </w:r>
    </w:p>
    <w:p w14:paraId="3B04EC81" w14:textId="77777777" w:rsidR="00F831D4" w:rsidRDefault="00F831D4" w:rsidP="00220613">
      <w:pPr>
        <w:pStyle w:val="Bullets1"/>
      </w:pPr>
      <w:r>
        <w:t>Review of minimum diagnostic requirements of diseases relevant to the in-scope services.</w:t>
      </w:r>
    </w:p>
    <w:p w14:paraId="46F1D8F2" w14:textId="77777777" w:rsidR="00F831D4" w:rsidRPr="006A46D9" w:rsidRDefault="00F831D4" w:rsidP="00220613">
      <w:pPr>
        <w:pStyle w:val="BodyCopy"/>
      </w:pPr>
      <w:r>
        <w:t>The Desktop Review was supported by consultations with NRL,</w:t>
      </w:r>
      <w:r w:rsidR="00256468">
        <w:t xml:space="preserve"> </w:t>
      </w:r>
      <w:r>
        <w:t>TGA</w:t>
      </w:r>
      <w:r w:rsidR="00256468">
        <w:t xml:space="preserve">, </w:t>
      </w:r>
      <w:r>
        <w:t>NBA</w:t>
      </w:r>
      <w:r w:rsidR="00256468">
        <w:t xml:space="preserve"> and the Organ and Tissue A</w:t>
      </w:r>
      <w:r w:rsidR="00D74DEF">
        <w:t xml:space="preserve">uthority </w:t>
      </w:r>
      <w:r w:rsidR="00256468">
        <w:t>(OTA)</w:t>
      </w:r>
      <w:r>
        <w:t>.</w:t>
      </w:r>
    </w:p>
    <w:p w14:paraId="7A356F23" w14:textId="17B7E48D" w:rsidR="00400FE3" w:rsidRPr="00C916B2" w:rsidRDefault="00400FE3" w:rsidP="00400FE3">
      <w:pPr>
        <w:pStyle w:val="TableNotes"/>
        <w:jc w:val="center"/>
      </w:pPr>
    </w:p>
    <w:p w14:paraId="6EF57F68" w14:textId="77777777" w:rsidR="00400FE3" w:rsidRDefault="00400FE3" w:rsidP="00400FE3">
      <w:pPr>
        <w:pStyle w:val="BodyCopy"/>
        <w:sectPr w:rsidR="00400FE3" w:rsidSect="0087320E">
          <w:footnotePr>
            <w:numFmt w:val="lowerLetter"/>
          </w:footnotePr>
          <w:pgSz w:w="16839" w:h="11907" w:orient="landscape" w:code="9"/>
          <w:pgMar w:top="2268" w:right="1304" w:bottom="851" w:left="737" w:header="567" w:footer="284" w:gutter="0"/>
          <w:cols w:num="2" w:space="709"/>
          <w:docGrid w:linePitch="360"/>
        </w:sectPr>
      </w:pPr>
    </w:p>
    <w:p w14:paraId="5B25B5FC" w14:textId="1121FE7C" w:rsidR="001C12BC" w:rsidRDefault="00186E65" w:rsidP="00C916B2">
      <w:pPr>
        <w:pStyle w:val="HeadingAppendix2"/>
        <w:rPr>
          <w:shd w:val="clear" w:color="auto" w:fill="FFFFFF"/>
        </w:rPr>
      </w:pPr>
      <w:bookmarkStart w:id="96" w:name="_Ref1051585"/>
      <w:bookmarkStart w:id="97" w:name="_Toc18664685"/>
      <w:r>
        <w:rPr>
          <w:shd w:val="clear" w:color="auto" w:fill="FFFFFF"/>
        </w:rPr>
        <w:lastRenderedPageBreak/>
        <w:t xml:space="preserve">TGO no. 88 </w:t>
      </w:r>
      <w:r w:rsidR="00747A47" w:rsidRPr="00C916B2">
        <w:t>testing</w:t>
      </w:r>
      <w:r w:rsidR="00747A47">
        <w:rPr>
          <w:shd w:val="clear" w:color="auto" w:fill="FFFFFF"/>
        </w:rPr>
        <w:t xml:space="preserve"> requirements for blood and </w:t>
      </w:r>
      <w:r w:rsidR="003B0D28">
        <w:rPr>
          <w:shd w:val="clear" w:color="auto" w:fill="FFFFFF"/>
        </w:rPr>
        <w:t xml:space="preserve">TISSUE </w:t>
      </w:r>
      <w:r w:rsidR="00747A47">
        <w:rPr>
          <w:shd w:val="clear" w:color="auto" w:fill="FFFFFF"/>
        </w:rPr>
        <w:t>donations</w:t>
      </w:r>
      <w:bookmarkEnd w:id="91"/>
      <w:bookmarkEnd w:id="96"/>
      <w:bookmarkEnd w:id="97"/>
      <w:r w:rsidR="00747A47">
        <w:rPr>
          <w:shd w:val="clear" w:color="auto" w:fill="FFFFFF"/>
        </w:rPr>
        <w:t xml:space="preserve"> </w:t>
      </w:r>
    </w:p>
    <w:p w14:paraId="50C37277" w14:textId="77777777" w:rsidR="00186E65" w:rsidRDefault="00D66D4D" w:rsidP="00747A47">
      <w:pPr>
        <w:pStyle w:val="BodyCopy"/>
        <w:jc w:val="center"/>
        <w:rPr>
          <w:shd w:val="clear" w:color="auto" w:fill="FFFFFF"/>
        </w:rPr>
      </w:pPr>
      <w:r>
        <w:rPr>
          <w:noProof/>
          <w:shd w:val="clear" w:color="auto" w:fill="FFFFFF"/>
          <w:lang w:eastAsia="en-AU"/>
        </w:rPr>
        <w:drawing>
          <wp:inline distT="0" distB="0" distL="0" distR="0" wp14:anchorId="70A19D4E" wp14:editId="319A9396">
            <wp:extent cx="7858125" cy="4343400"/>
            <wp:effectExtent l="0" t="0" r="9525" b="0"/>
            <wp:docPr id="4" name="Picture 2"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58125" cy="4343400"/>
                    </a:xfrm>
                    <a:prstGeom prst="rect">
                      <a:avLst/>
                    </a:prstGeom>
                    <a:noFill/>
                    <a:ln>
                      <a:noFill/>
                    </a:ln>
                  </pic:spPr>
                </pic:pic>
              </a:graphicData>
            </a:graphic>
          </wp:inline>
        </w:drawing>
      </w:r>
    </w:p>
    <w:p w14:paraId="750B2AF9" w14:textId="77777777" w:rsidR="00747A47" w:rsidRDefault="00747A47" w:rsidP="00747A47">
      <w:pPr>
        <w:pStyle w:val="TableNotes"/>
        <w:jc w:val="center"/>
        <w:rPr>
          <w:shd w:val="clear" w:color="auto" w:fill="FFFFFF"/>
        </w:rPr>
      </w:pPr>
      <w:r>
        <w:rPr>
          <w:shd w:val="clear" w:color="auto" w:fill="FFFFFF"/>
        </w:rPr>
        <w:t xml:space="preserve">Source: TGO No. 88, Table 3, page 16. </w:t>
      </w:r>
      <w:r w:rsidR="00C9096B" w:rsidRPr="003E0E7D">
        <w:rPr>
          <w:noProof/>
          <w:shd w:val="clear" w:color="auto" w:fill="FFFFFF"/>
        </w:rPr>
        <w:t>[34]</w:t>
      </w:r>
      <w:bookmarkEnd w:id="87"/>
    </w:p>
    <w:p w14:paraId="487C9A4D" w14:textId="77777777" w:rsidR="00C916B2" w:rsidRDefault="00C916B2" w:rsidP="00747A47">
      <w:pPr>
        <w:pStyle w:val="TableNotes"/>
        <w:jc w:val="center"/>
        <w:rPr>
          <w:shd w:val="clear" w:color="auto" w:fill="FFFFFF"/>
        </w:rPr>
      </w:pPr>
    </w:p>
    <w:p w14:paraId="6F3861F3" w14:textId="77777777" w:rsidR="00C916B2" w:rsidRDefault="00C916B2" w:rsidP="00747A47">
      <w:pPr>
        <w:pStyle w:val="TableNotes"/>
        <w:jc w:val="center"/>
        <w:rPr>
          <w:shd w:val="clear" w:color="auto" w:fill="FFFFFF"/>
        </w:rPr>
        <w:sectPr w:rsidR="00C916B2" w:rsidSect="0087320E">
          <w:footnotePr>
            <w:numFmt w:val="lowerLetter"/>
          </w:footnotePr>
          <w:pgSz w:w="16839" w:h="11907" w:orient="landscape" w:code="9"/>
          <w:pgMar w:top="2268" w:right="1304" w:bottom="851" w:left="737" w:header="567" w:footer="284" w:gutter="0"/>
          <w:cols w:space="709"/>
          <w:docGrid w:linePitch="360"/>
        </w:sectPr>
      </w:pPr>
    </w:p>
    <w:p w14:paraId="61128948" w14:textId="77777777" w:rsidR="00141D54" w:rsidRDefault="00B607DD" w:rsidP="00141D54">
      <w:pPr>
        <w:pStyle w:val="HeadingAppendix2"/>
        <w:rPr>
          <w:shd w:val="clear" w:color="auto" w:fill="FFFFFF"/>
        </w:rPr>
      </w:pPr>
      <w:bookmarkStart w:id="98" w:name="_Ref514752957"/>
      <w:bookmarkStart w:id="99" w:name="_Toc18664686"/>
      <w:r>
        <w:rPr>
          <w:shd w:val="clear" w:color="auto" w:fill="FFFFFF"/>
        </w:rPr>
        <w:lastRenderedPageBreak/>
        <w:t>Surve</w:t>
      </w:r>
      <w:r w:rsidR="00141D54">
        <w:rPr>
          <w:shd w:val="clear" w:color="auto" w:fill="FFFFFF"/>
        </w:rPr>
        <w:t>y methodology</w:t>
      </w:r>
      <w:bookmarkEnd w:id="98"/>
      <w:bookmarkEnd w:id="99"/>
    </w:p>
    <w:p w14:paraId="1F297F7A" w14:textId="77777777" w:rsidR="00DD1D71" w:rsidRDefault="00DD1D71" w:rsidP="00DD1D71">
      <w:pPr>
        <w:pStyle w:val="BodyCopy"/>
      </w:pPr>
      <w:r>
        <w:t xml:space="preserve">In collaboration with the Steering Committee, HMA prepared a survey to be completed by laboratories using in-scope NRL services. </w:t>
      </w:r>
    </w:p>
    <w:p w14:paraId="160C2984" w14:textId="77777777" w:rsidR="00DD1D71" w:rsidRDefault="00DD1D71" w:rsidP="00F87D95">
      <w:pPr>
        <w:pStyle w:val="ESHeading2"/>
      </w:pPr>
      <w:r>
        <w:t xml:space="preserve">Participating laboratories </w:t>
      </w:r>
    </w:p>
    <w:p w14:paraId="6BA15749" w14:textId="77777777" w:rsidR="00DD1D71" w:rsidRDefault="00DD1D71" w:rsidP="00DD1D71">
      <w:pPr>
        <w:pStyle w:val="BodyCopy"/>
      </w:pPr>
      <w:r>
        <w:t>HMA was provided a list of 79 Australian laboratories that participate in one or more ins-scope NRL programs. The list was provided by the NRL and included key contacts at each laboratory. All 79 laboratories were asked to complete the survey.  Surveys were sent to one contact only at each participating laboratory, and each laboratory was requested to circulate the survey to the appropriate personnel for completion. Follow-up phone calls were made to individuals at each laboratory to encourage survey completion and ensure there was no confusion around any of the questions.</w:t>
      </w:r>
    </w:p>
    <w:p w14:paraId="279E7D6A" w14:textId="77777777" w:rsidR="00DD1D71" w:rsidRDefault="00DD1D71" w:rsidP="00DD1D71">
      <w:pPr>
        <w:pStyle w:val="BodyCopy"/>
      </w:pPr>
      <w:r>
        <w:t>A total of 30 survey responses were returned to HMA for analysis.</w:t>
      </w:r>
    </w:p>
    <w:p w14:paraId="063E0295" w14:textId="77777777" w:rsidR="00DD1D71" w:rsidRDefault="00DD1D71" w:rsidP="00F87D95">
      <w:pPr>
        <w:pStyle w:val="ESHeading2"/>
      </w:pPr>
      <w:r>
        <w:t>Australian Red Cross Blood Service</w:t>
      </w:r>
    </w:p>
    <w:p w14:paraId="13F5D504" w14:textId="77777777" w:rsidR="00DD1D71" w:rsidRDefault="00DD1D71" w:rsidP="00DD1D71">
      <w:pPr>
        <w:pStyle w:val="BodyCopy"/>
      </w:pPr>
      <w:r>
        <w:t xml:space="preserve">There are four ARCBS laboratories – Victoria, New South Wales, Queensland and Western Australia. One collective response for all four laboratories was completed by the key ARCBS contact provided by the Department of Health, as follows:  </w:t>
      </w:r>
    </w:p>
    <w:p w14:paraId="58F9A77C" w14:textId="77777777" w:rsidR="00DD1D71" w:rsidRPr="00087FE2" w:rsidRDefault="00DD1D71" w:rsidP="00DD1D71">
      <w:pPr>
        <w:pStyle w:val="BodyCopy"/>
      </w:pPr>
      <w:r>
        <w:t>Sue Ismay</w:t>
      </w:r>
      <w:r>
        <w:br/>
      </w:r>
      <w:r w:rsidRPr="002C34C6">
        <w:t>Sci</w:t>
      </w:r>
      <w:r>
        <w:t>entific Director Manufacturing</w:t>
      </w:r>
      <w:r>
        <w:br/>
      </w:r>
      <w:r w:rsidRPr="002C34C6">
        <w:t>Australian Red Cross Blood Service</w:t>
      </w:r>
    </w:p>
    <w:p w14:paraId="7C9B2040" w14:textId="77777777" w:rsidR="00B607DD" w:rsidRPr="00B607DD" w:rsidRDefault="00B607DD" w:rsidP="00B607DD"/>
    <w:p w14:paraId="66314024" w14:textId="77777777" w:rsidR="00F87D95" w:rsidRDefault="0063438C" w:rsidP="00C916B2">
      <w:pPr>
        <w:pStyle w:val="HeadingAppendix2"/>
        <w:rPr>
          <w:shd w:val="clear" w:color="auto" w:fill="FFFFFF"/>
        </w:rPr>
      </w:pPr>
      <w:bookmarkStart w:id="100" w:name="_Toc18664687"/>
      <w:bookmarkStart w:id="101" w:name="_Ref514753711"/>
      <w:bookmarkStart w:id="102" w:name="_Ref514747483"/>
      <w:r>
        <w:rPr>
          <w:shd w:val="clear" w:color="auto" w:fill="FFFFFF"/>
        </w:rPr>
        <w:t>C</w:t>
      </w:r>
      <w:r w:rsidR="00C115ED">
        <w:rPr>
          <w:shd w:val="clear" w:color="auto" w:fill="FFFFFF"/>
        </w:rPr>
        <w:t>onsultation questions</w:t>
      </w:r>
      <w:bookmarkEnd w:id="100"/>
      <w:r w:rsidR="00C115ED">
        <w:rPr>
          <w:shd w:val="clear" w:color="auto" w:fill="FFFFFF"/>
        </w:rPr>
        <w:t xml:space="preserve"> </w:t>
      </w:r>
    </w:p>
    <w:p w14:paraId="0A769FE4" w14:textId="77777777" w:rsidR="00C115ED" w:rsidRDefault="00C115ED" w:rsidP="00F87D95">
      <w:pPr>
        <w:pStyle w:val="ESHeading2"/>
        <w:rPr>
          <w:shd w:val="clear" w:color="auto" w:fill="FFFFFF"/>
        </w:rPr>
      </w:pPr>
      <w:r>
        <w:rPr>
          <w:shd w:val="clear" w:color="auto" w:fill="FFFFFF"/>
        </w:rPr>
        <w:t>ARCBS</w:t>
      </w:r>
      <w:bookmarkEnd w:id="101"/>
    </w:p>
    <w:p w14:paraId="03E09625" w14:textId="77777777" w:rsidR="00C115ED" w:rsidRPr="00740E01" w:rsidRDefault="00C115ED" w:rsidP="00740E01">
      <w:pPr>
        <w:pStyle w:val="ESHeading2"/>
      </w:pPr>
      <w:r w:rsidRPr="00740E01">
        <w:t>Overview</w:t>
      </w:r>
    </w:p>
    <w:p w14:paraId="59ECB247" w14:textId="77777777" w:rsidR="00C115ED" w:rsidRDefault="00C115ED" w:rsidP="00CB3CCF">
      <w:pPr>
        <w:pStyle w:val="Numbers1"/>
        <w:numPr>
          <w:ilvl w:val="0"/>
          <w:numId w:val="46"/>
        </w:numPr>
      </w:pPr>
      <w:r>
        <w:t xml:space="preserve">Can you please provide a brief outline of the ARCBS services and associated funding streams? </w:t>
      </w:r>
    </w:p>
    <w:p w14:paraId="68802768" w14:textId="77777777" w:rsidR="00C115ED" w:rsidRDefault="00C115ED" w:rsidP="00C115ED">
      <w:pPr>
        <w:pStyle w:val="Numbers1"/>
        <w:numPr>
          <w:ilvl w:val="0"/>
          <w:numId w:val="3"/>
        </w:numPr>
      </w:pPr>
      <w:r>
        <w:t xml:space="preserve">Are HIV, HBV, HCV, HTLV, syphilis and malaria the only pathogens being screened for by the ARCBS in live blood donations? </w:t>
      </w:r>
    </w:p>
    <w:p w14:paraId="1774A3EA" w14:textId="77777777" w:rsidR="00C115ED" w:rsidRDefault="00C115ED" w:rsidP="00C115ED">
      <w:pPr>
        <w:pStyle w:val="Numbers1"/>
        <w:numPr>
          <w:ilvl w:val="0"/>
          <w:numId w:val="3"/>
        </w:numPr>
      </w:pPr>
      <w:r>
        <w:t xml:space="preserve">Does the ARCBS test for pathogen in tissue samples or cadaver specimens?  </w:t>
      </w:r>
    </w:p>
    <w:p w14:paraId="70C10765" w14:textId="77777777" w:rsidR="00C115ED" w:rsidRDefault="00C115ED" w:rsidP="00C115ED">
      <w:pPr>
        <w:pStyle w:val="Numbers1"/>
        <w:numPr>
          <w:ilvl w:val="0"/>
          <w:numId w:val="3"/>
        </w:numPr>
      </w:pPr>
      <w:r>
        <w:t>Are Serology and NAT based testing performed on blood samples for all diseases screened for?</w:t>
      </w:r>
    </w:p>
    <w:p w14:paraId="3845A128" w14:textId="77777777" w:rsidR="00C115ED" w:rsidRPr="00E31560" w:rsidRDefault="00C115ED" w:rsidP="00740E01">
      <w:pPr>
        <w:pStyle w:val="ESHeading2"/>
      </w:pPr>
      <w:r w:rsidRPr="00E31560">
        <w:t xml:space="preserve">Quality </w:t>
      </w:r>
      <w:r w:rsidRPr="00740E01">
        <w:rPr>
          <w:sz w:val="28"/>
          <w:szCs w:val="28"/>
        </w:rPr>
        <w:t>control</w:t>
      </w:r>
      <w:r w:rsidRPr="00E31560">
        <w:t xml:space="preserve"> </w:t>
      </w:r>
    </w:p>
    <w:p w14:paraId="624451EC" w14:textId="77777777" w:rsidR="00C115ED" w:rsidRDefault="00C115ED" w:rsidP="00C115ED">
      <w:pPr>
        <w:pStyle w:val="Numbers1"/>
        <w:numPr>
          <w:ilvl w:val="0"/>
          <w:numId w:val="3"/>
        </w:numPr>
      </w:pPr>
      <w:r>
        <w:t>Are external QC kits available for all screening tests performed?</w:t>
      </w:r>
    </w:p>
    <w:p w14:paraId="7207B521" w14:textId="77777777" w:rsidR="00C115ED" w:rsidRDefault="00C115ED" w:rsidP="00C115ED">
      <w:pPr>
        <w:pStyle w:val="Numbers1"/>
        <w:numPr>
          <w:ilvl w:val="0"/>
          <w:numId w:val="3"/>
        </w:numPr>
      </w:pPr>
      <w:r>
        <w:t>In selected providers for QC tests – what are your considerations?</w:t>
      </w:r>
    </w:p>
    <w:p w14:paraId="2CBCB07F" w14:textId="77777777" w:rsidR="00C115ED" w:rsidRDefault="00C115ED" w:rsidP="00C115ED">
      <w:pPr>
        <w:pStyle w:val="Numbers1"/>
        <w:numPr>
          <w:ilvl w:val="0"/>
          <w:numId w:val="3"/>
        </w:numPr>
      </w:pPr>
      <w:r>
        <w:t xml:space="preserve">Can you please comment on the use of additional tests in </w:t>
      </w:r>
      <w:r w:rsidR="00400FE3">
        <w:rPr>
          <w:shd w:val="clear" w:color="auto" w:fill="FFFFFF"/>
        </w:rPr>
        <w:t>New South Wales</w:t>
      </w:r>
      <w:r>
        <w:t xml:space="preserve"> compared to other states, i.e. does the </w:t>
      </w:r>
      <w:r w:rsidR="00400FE3">
        <w:rPr>
          <w:shd w:val="clear" w:color="auto" w:fill="FFFFFF"/>
        </w:rPr>
        <w:t>New South Wales</w:t>
      </w:r>
      <w:r>
        <w:t xml:space="preserve"> laboratory use different or additional equipment compared to the other states?</w:t>
      </w:r>
    </w:p>
    <w:p w14:paraId="5DCBB534" w14:textId="77777777" w:rsidR="00C115ED" w:rsidRDefault="00C115ED" w:rsidP="00C115ED">
      <w:pPr>
        <w:pStyle w:val="Numbers1"/>
        <w:numPr>
          <w:ilvl w:val="0"/>
          <w:numId w:val="3"/>
        </w:numPr>
      </w:pPr>
      <w:r>
        <w:t>Can you please comment on your reasons for selecting a provider other than NRL for HBV?</w:t>
      </w:r>
    </w:p>
    <w:p w14:paraId="6AF36727" w14:textId="77777777" w:rsidR="00C115ED" w:rsidRDefault="00C115ED" w:rsidP="00C115ED">
      <w:pPr>
        <w:pStyle w:val="Numbers1"/>
        <w:numPr>
          <w:ilvl w:val="0"/>
          <w:numId w:val="3"/>
        </w:numPr>
      </w:pPr>
      <w:r>
        <w:t xml:space="preserve">With overseas providers – SeraCare and BioRad – are they purchased directly or via an Australian distributor? </w:t>
      </w:r>
    </w:p>
    <w:p w14:paraId="16C92627" w14:textId="77777777" w:rsidR="00C115ED" w:rsidRDefault="00C115ED" w:rsidP="00C115ED">
      <w:pPr>
        <w:pStyle w:val="Numbers1"/>
        <w:numPr>
          <w:ilvl w:val="0"/>
          <w:numId w:val="3"/>
        </w:numPr>
      </w:pPr>
      <w:r>
        <w:t xml:space="preserve">With QC products purchased for contingency purposes, are they order as required or are reagents kept in store? </w:t>
      </w:r>
    </w:p>
    <w:p w14:paraId="3DC957B2" w14:textId="77777777" w:rsidR="00C115ED" w:rsidRDefault="00C115ED" w:rsidP="00C115ED">
      <w:pPr>
        <w:pStyle w:val="Numbers1"/>
        <w:numPr>
          <w:ilvl w:val="0"/>
          <w:numId w:val="3"/>
        </w:numPr>
      </w:pPr>
      <w:r>
        <w:t xml:space="preserve">What is the funding mechanism for non-NRL services, or non-subsidised NRL services? </w:t>
      </w:r>
    </w:p>
    <w:p w14:paraId="703623F9" w14:textId="77777777" w:rsidR="00C115ED" w:rsidRPr="00740E01" w:rsidRDefault="00C115ED" w:rsidP="00740E01">
      <w:pPr>
        <w:pStyle w:val="ESHeading2"/>
        <w:rPr>
          <w:b w:val="0"/>
          <w:iCs/>
          <w:caps w:val="0"/>
        </w:rPr>
      </w:pPr>
      <w:r w:rsidRPr="00740E01">
        <w:rPr>
          <w:b w:val="0"/>
          <w:iCs/>
          <w:caps w:val="0"/>
        </w:rPr>
        <w:lastRenderedPageBreak/>
        <w:t>EQAS</w:t>
      </w:r>
    </w:p>
    <w:p w14:paraId="680EFF44" w14:textId="77777777" w:rsidR="00C115ED" w:rsidRDefault="00C115ED" w:rsidP="00C115ED">
      <w:pPr>
        <w:pStyle w:val="Numbers1"/>
        <w:numPr>
          <w:ilvl w:val="0"/>
          <w:numId w:val="3"/>
        </w:numPr>
      </w:pPr>
      <w:r>
        <w:t>Can you please comment on the need for separate Hepatitis specific EQAS in addition to the multivariate EQAS which also includes HCV and HBV?</w:t>
      </w:r>
    </w:p>
    <w:p w14:paraId="2263BEA1" w14:textId="77777777" w:rsidR="00C115ED" w:rsidRDefault="00C115ED" w:rsidP="00C115ED">
      <w:pPr>
        <w:pStyle w:val="Numbers1"/>
        <w:numPr>
          <w:ilvl w:val="0"/>
          <w:numId w:val="3"/>
        </w:numPr>
      </w:pPr>
      <w:r>
        <w:t>What are the funding mechanisms for this product?</w:t>
      </w:r>
    </w:p>
    <w:p w14:paraId="6794E1AE" w14:textId="77777777" w:rsidR="00C115ED" w:rsidRDefault="00C115ED" w:rsidP="00C115ED">
      <w:pPr>
        <w:pStyle w:val="Numbers1"/>
        <w:numPr>
          <w:ilvl w:val="0"/>
          <w:numId w:val="3"/>
        </w:numPr>
      </w:pPr>
      <w:r>
        <w:t>Could you please confirm that HTLV serology EQAS is free of charge from NRL?</w:t>
      </w:r>
    </w:p>
    <w:p w14:paraId="55A2BD15" w14:textId="77777777" w:rsidR="00C115ED" w:rsidRDefault="00C115ED" w:rsidP="00C115ED">
      <w:pPr>
        <w:pStyle w:val="Numbers1"/>
        <w:numPr>
          <w:ilvl w:val="0"/>
          <w:numId w:val="3"/>
        </w:numPr>
      </w:pPr>
      <w:r>
        <w:t>In order to access RCPA services, is the ARCBS required to be an RCPA member? Does this incur membership fees? What is the funding mechanism that RC</w:t>
      </w:r>
      <w:r w:rsidR="00C3250E">
        <w:t>PA</w:t>
      </w:r>
      <w:r>
        <w:t xml:space="preserve"> services are funded by?</w:t>
      </w:r>
    </w:p>
    <w:p w14:paraId="5F3CA58B" w14:textId="77777777" w:rsidR="00C115ED" w:rsidRDefault="00C115ED" w:rsidP="00C115ED">
      <w:pPr>
        <w:pStyle w:val="Numbers1"/>
        <w:numPr>
          <w:ilvl w:val="0"/>
          <w:numId w:val="3"/>
        </w:numPr>
      </w:pPr>
      <w:r>
        <w:t>Regarding the use of RCPA antennal EQAS, is this the most convenient way to access syphilis EQAS, or is there another reason?</w:t>
      </w:r>
    </w:p>
    <w:p w14:paraId="34A7BA4F" w14:textId="77777777" w:rsidR="00C115ED" w:rsidRDefault="00C115ED" w:rsidP="00C115ED">
      <w:pPr>
        <w:pStyle w:val="Numbers1"/>
        <w:numPr>
          <w:ilvl w:val="0"/>
          <w:numId w:val="3"/>
        </w:numPr>
      </w:pPr>
      <w:r>
        <w:t xml:space="preserve">What is the funding mechanism for the EQAS for HTLV (serology and NAT) and HBV </w:t>
      </w:r>
      <w:r w:rsidR="00C3250E">
        <w:t>serology?</w:t>
      </w:r>
      <w:r>
        <w:t xml:space="preserve"> </w:t>
      </w:r>
    </w:p>
    <w:p w14:paraId="21A3495C" w14:textId="77777777" w:rsidR="00C115ED" w:rsidRDefault="00C115ED" w:rsidP="00C115ED">
      <w:pPr>
        <w:pStyle w:val="Numbers1"/>
        <w:numPr>
          <w:ilvl w:val="0"/>
          <w:numId w:val="3"/>
        </w:numPr>
      </w:pPr>
      <w:r>
        <w:t xml:space="preserve">Can you briefly describe the need for both serology and NAT for screening for HIV, HIC, HBV and HTLV? </w:t>
      </w:r>
    </w:p>
    <w:p w14:paraId="10420E0A" w14:textId="77777777" w:rsidR="00C115ED" w:rsidRPr="00740E01" w:rsidRDefault="00C115ED" w:rsidP="00740E01">
      <w:pPr>
        <w:pStyle w:val="ESHeading2"/>
        <w:rPr>
          <w:b w:val="0"/>
          <w:iCs/>
          <w:caps w:val="0"/>
        </w:rPr>
      </w:pPr>
      <w:r w:rsidRPr="00740E01">
        <w:rPr>
          <w:b w:val="0"/>
          <w:iCs/>
          <w:caps w:val="0"/>
        </w:rPr>
        <w:t>Confirmatory testing</w:t>
      </w:r>
    </w:p>
    <w:p w14:paraId="51215146" w14:textId="77777777" w:rsidR="00C115ED" w:rsidRDefault="00C115ED" w:rsidP="00C115ED">
      <w:pPr>
        <w:pStyle w:val="Numbers1"/>
        <w:numPr>
          <w:ilvl w:val="0"/>
          <w:numId w:val="3"/>
        </w:numPr>
      </w:pPr>
      <w:r>
        <w:t xml:space="preserve">Can you please comment on when samples are sent to external laboratories for testing or not? </w:t>
      </w:r>
    </w:p>
    <w:p w14:paraId="0637DAC0" w14:textId="77777777" w:rsidR="00C115ED" w:rsidRDefault="00C115ED" w:rsidP="00C115ED">
      <w:pPr>
        <w:pStyle w:val="Numbers1"/>
        <w:numPr>
          <w:ilvl w:val="0"/>
          <w:numId w:val="3"/>
        </w:numPr>
      </w:pPr>
      <w:r>
        <w:t xml:space="preserve">Is the cost provided in the survey response the in-house cost or external provider cost? </w:t>
      </w:r>
    </w:p>
    <w:p w14:paraId="27CFB5F1" w14:textId="77777777" w:rsidR="00C115ED" w:rsidRDefault="00C115ED" w:rsidP="00C115ED">
      <w:pPr>
        <w:pStyle w:val="Numbers1"/>
        <w:numPr>
          <w:ilvl w:val="0"/>
          <w:numId w:val="3"/>
        </w:numPr>
      </w:pPr>
      <w:r>
        <w:t>What is the funding mechanism for confirmatory tests provided in</w:t>
      </w:r>
      <w:r w:rsidR="00E94C61">
        <w:t>-</w:t>
      </w:r>
      <w:r>
        <w:t xml:space="preserve">house and externally? </w:t>
      </w:r>
    </w:p>
    <w:p w14:paraId="6683AF3F" w14:textId="77777777" w:rsidR="00C115ED" w:rsidRDefault="00C115ED" w:rsidP="00C115ED">
      <w:pPr>
        <w:pStyle w:val="Numbers1"/>
        <w:numPr>
          <w:ilvl w:val="0"/>
          <w:numId w:val="3"/>
        </w:numPr>
      </w:pPr>
      <w:r>
        <w:t>What is the rationale for not using NRL for confirm</w:t>
      </w:r>
      <w:r w:rsidR="00896798">
        <w:t>atory</w:t>
      </w:r>
      <w:r>
        <w:t xml:space="preserve"> testing? </w:t>
      </w:r>
    </w:p>
    <w:p w14:paraId="64E6F5C7" w14:textId="77777777" w:rsidR="00C115ED" w:rsidRPr="00740E01" w:rsidRDefault="00C115ED" w:rsidP="00740E01">
      <w:pPr>
        <w:pStyle w:val="ESHeading2"/>
        <w:rPr>
          <w:b w:val="0"/>
          <w:iCs/>
          <w:caps w:val="0"/>
        </w:rPr>
      </w:pPr>
      <w:r w:rsidRPr="00740E01">
        <w:rPr>
          <w:b w:val="0"/>
          <w:iCs/>
          <w:caps w:val="0"/>
        </w:rPr>
        <w:t xml:space="preserve">Reference testing </w:t>
      </w:r>
    </w:p>
    <w:p w14:paraId="0B6FB0BB" w14:textId="77777777" w:rsidR="00C115ED" w:rsidRDefault="00C115ED" w:rsidP="00C115ED">
      <w:pPr>
        <w:pStyle w:val="Numbers1"/>
        <w:numPr>
          <w:ilvl w:val="0"/>
          <w:numId w:val="3"/>
        </w:numPr>
      </w:pPr>
      <w:r>
        <w:t>What is the rationale for not using NRL for serology reference testing?</w:t>
      </w:r>
    </w:p>
    <w:p w14:paraId="56DBBCD1" w14:textId="77777777" w:rsidR="00C115ED" w:rsidRDefault="00C115ED" w:rsidP="00C115ED">
      <w:pPr>
        <w:pStyle w:val="Numbers1"/>
        <w:numPr>
          <w:ilvl w:val="0"/>
          <w:numId w:val="3"/>
        </w:numPr>
      </w:pPr>
      <w:r>
        <w:t>Can you please confirm that HBV and HCV reference testing via NAT is free of charge from NRL?</w:t>
      </w:r>
    </w:p>
    <w:p w14:paraId="46E77152" w14:textId="77777777" w:rsidR="00C115ED" w:rsidRPr="00740E01" w:rsidRDefault="00C115ED" w:rsidP="00740E01">
      <w:pPr>
        <w:pStyle w:val="ESHeading2"/>
        <w:rPr>
          <w:b w:val="0"/>
          <w:iCs/>
          <w:caps w:val="0"/>
        </w:rPr>
      </w:pPr>
      <w:r w:rsidRPr="00740E01">
        <w:rPr>
          <w:b w:val="0"/>
          <w:iCs/>
          <w:caps w:val="0"/>
        </w:rPr>
        <w:t xml:space="preserve">Funding model </w:t>
      </w:r>
    </w:p>
    <w:p w14:paraId="37F336FF" w14:textId="26F858B0" w:rsidR="00C115ED" w:rsidRDefault="00896798" w:rsidP="00C115ED">
      <w:pPr>
        <w:pStyle w:val="Numbers1"/>
        <w:numPr>
          <w:ilvl w:val="0"/>
          <w:numId w:val="3"/>
        </w:numPr>
      </w:pPr>
      <w:r>
        <w:t>Are there any foreseeable c</w:t>
      </w:r>
      <w:r w:rsidR="00C115ED">
        <w:t>onsequence</w:t>
      </w:r>
      <w:r>
        <w:t>s</w:t>
      </w:r>
      <w:r w:rsidR="00C115ED">
        <w:t xml:space="preserve"> of rolling NRL free of charge service</w:t>
      </w:r>
      <w:r>
        <w:t>s</w:t>
      </w:r>
      <w:r w:rsidR="00C115ED">
        <w:t xml:space="preserve"> into </w:t>
      </w:r>
      <w:r>
        <w:t xml:space="preserve">the </w:t>
      </w:r>
      <w:r w:rsidR="00C115ED">
        <w:t xml:space="preserve">existing </w:t>
      </w:r>
      <w:r>
        <w:t xml:space="preserve">unit </w:t>
      </w:r>
      <w:r w:rsidR="00C115ED">
        <w:t>cost price</w:t>
      </w:r>
      <w:r>
        <w:t>s</w:t>
      </w:r>
      <w:r w:rsidR="00C115ED">
        <w:t xml:space="preserve"> for NBA</w:t>
      </w:r>
      <w:r w:rsidR="001E5685">
        <w:t>?</w:t>
      </w:r>
      <w:r w:rsidR="00C115ED">
        <w:t xml:space="preserve"> </w:t>
      </w:r>
    </w:p>
    <w:p w14:paraId="0891B72C" w14:textId="77777777" w:rsidR="00C115ED" w:rsidRDefault="00F87D95" w:rsidP="00F87D95">
      <w:pPr>
        <w:pStyle w:val="ESHeading2"/>
      </w:pPr>
      <w:r>
        <w:t>Organ and tissue authority</w:t>
      </w:r>
    </w:p>
    <w:p w14:paraId="592CC0FD" w14:textId="77777777" w:rsidR="008837AE" w:rsidRDefault="008837AE" w:rsidP="008837AE">
      <w:pPr>
        <w:pStyle w:val="BodyCopy"/>
      </w:pPr>
      <w:r>
        <w:t xml:space="preserve">Ms Rebecca Steele, Assistant Director, </w:t>
      </w:r>
      <w:r>
        <w:br/>
        <w:t>Organ and Tissue Donation Policy and Programs Section</w:t>
      </w:r>
      <w:r>
        <w:br/>
        <w:t>Healthcare Services Branch, Health Services Division</w:t>
      </w:r>
      <w:r>
        <w:br/>
        <w:t>Australian Government Department of Health</w:t>
      </w:r>
    </w:p>
    <w:p w14:paraId="24F497FB" w14:textId="77777777" w:rsidR="00F87D95" w:rsidRDefault="00F87D95" w:rsidP="00F87D95">
      <w:pPr>
        <w:pStyle w:val="Numbers1"/>
        <w:numPr>
          <w:ilvl w:val="0"/>
          <w:numId w:val="53"/>
        </w:numPr>
      </w:pPr>
      <w:r>
        <w:t xml:space="preserve">What are the general </w:t>
      </w:r>
      <w:r w:rsidRPr="00654EA2">
        <w:t>process</w:t>
      </w:r>
      <w:r w:rsidR="008837AE">
        <w:t>es</w:t>
      </w:r>
      <w:r w:rsidRPr="00654EA2">
        <w:t xml:space="preserve"> for testing tissues and organ donors for BBV and</w:t>
      </w:r>
      <w:r>
        <w:t xml:space="preserve"> other infectious diseases?</w:t>
      </w:r>
    </w:p>
    <w:p w14:paraId="56774B81" w14:textId="77777777" w:rsidR="00F87D95" w:rsidRDefault="00F87D95" w:rsidP="00F87D95">
      <w:pPr>
        <w:pStyle w:val="Numbers1"/>
        <w:numPr>
          <w:ilvl w:val="0"/>
          <w:numId w:val="3"/>
        </w:numPr>
      </w:pPr>
      <w:r>
        <w:t xml:space="preserve">Who is responsible for testing the donated tissues/organs? </w:t>
      </w:r>
    </w:p>
    <w:p w14:paraId="39986D1B" w14:textId="77777777" w:rsidR="00F87D95" w:rsidRDefault="00F87D95" w:rsidP="00F87D95">
      <w:pPr>
        <w:pStyle w:val="Numbers1"/>
        <w:numPr>
          <w:ilvl w:val="0"/>
          <w:numId w:val="3"/>
        </w:numPr>
      </w:pPr>
      <w:r>
        <w:t xml:space="preserve">Which laboratories typically perform the relevant testing? </w:t>
      </w:r>
    </w:p>
    <w:p w14:paraId="279E6519" w14:textId="107724D3" w:rsidR="00F87D95" w:rsidRDefault="00F87D95" w:rsidP="00F87D95">
      <w:pPr>
        <w:pStyle w:val="Numbers1"/>
        <w:numPr>
          <w:ilvl w:val="0"/>
          <w:numId w:val="3"/>
        </w:numPr>
      </w:pPr>
      <w:r>
        <w:t>How is testing of donated tissues and organs funded? If through the OTA, what are the funding arrangements?</w:t>
      </w:r>
    </w:p>
    <w:p w14:paraId="02E32586" w14:textId="77777777" w:rsidR="000C2536" w:rsidRDefault="000C2536" w:rsidP="000C2536">
      <w:pPr>
        <w:pStyle w:val="BodyCopy"/>
        <w:sectPr w:rsidR="000C2536" w:rsidSect="00141D54">
          <w:footnotePr>
            <w:numFmt w:val="lowerLetter"/>
          </w:footnotePr>
          <w:pgSz w:w="16839" w:h="11907" w:orient="landscape" w:code="9"/>
          <w:pgMar w:top="2268" w:right="1304" w:bottom="851" w:left="737" w:header="567" w:footer="284" w:gutter="0"/>
          <w:cols w:num="2" w:space="709"/>
          <w:docGrid w:linePitch="360"/>
        </w:sectPr>
      </w:pPr>
    </w:p>
    <w:p w14:paraId="4E7D78D5" w14:textId="6271F409" w:rsidR="000C2536" w:rsidRDefault="00D73E89" w:rsidP="00C916B2">
      <w:pPr>
        <w:pStyle w:val="HeadingAppendix2"/>
        <w:rPr>
          <w:shd w:val="clear" w:color="auto" w:fill="FFFFFF"/>
        </w:rPr>
      </w:pPr>
      <w:bookmarkStart w:id="103" w:name="_Toc18664688"/>
      <w:bookmarkStart w:id="104" w:name="_Ref18407512"/>
      <w:bookmarkStart w:id="105" w:name="_Ref441637"/>
      <w:r>
        <w:rPr>
          <w:shd w:val="clear" w:color="auto" w:fill="FFFFFF"/>
        </w:rPr>
        <w:lastRenderedPageBreak/>
        <w:t>ESTIMATED unit costs for NRL services under review</w:t>
      </w:r>
      <w:bookmarkEnd w:id="103"/>
      <w:r>
        <w:rPr>
          <w:shd w:val="clear" w:color="auto" w:fill="FFFFFF"/>
        </w:rPr>
        <w:t xml:space="preserve"> </w:t>
      </w:r>
    </w:p>
    <w:p w14:paraId="03298B33" w14:textId="5F6CB54D" w:rsidR="000C2536" w:rsidRPr="001A1400" w:rsidRDefault="000C2536" w:rsidP="000C2536">
      <w:pPr>
        <w:pStyle w:val="Caption"/>
        <w:rPr>
          <w:rStyle w:val="Captionnotbold"/>
        </w:rPr>
      </w:pPr>
      <w:bookmarkStart w:id="106" w:name="_Ref495061988"/>
      <w:bookmarkStart w:id="107" w:name="_Ref495309568"/>
      <w:bookmarkEnd w:id="104"/>
      <w:r>
        <w:t xml:space="preserve">Table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Table \* ARABIC \s 1 </w:instrText>
      </w:r>
      <w:r>
        <w:rPr>
          <w:noProof/>
        </w:rPr>
        <w:fldChar w:fldCharType="separate"/>
      </w:r>
      <w:r w:rsidR="0078683A">
        <w:rPr>
          <w:noProof/>
        </w:rPr>
        <w:t>1</w:t>
      </w:r>
      <w:r>
        <w:rPr>
          <w:noProof/>
        </w:rPr>
        <w:fldChar w:fldCharType="end"/>
      </w:r>
      <w:bookmarkEnd w:id="106"/>
      <w:bookmarkEnd w:id="107"/>
      <w:r>
        <w:t xml:space="preserve">: </w:t>
      </w:r>
      <w:r>
        <w:rPr>
          <w:rStyle w:val="Captionnotbold"/>
        </w:rPr>
        <w:t xml:space="preserve">Estimated total </w:t>
      </w:r>
      <w:r w:rsidRPr="001A1400">
        <w:rPr>
          <w:rStyle w:val="Captionnotbold"/>
        </w:rPr>
        <w:t xml:space="preserve">unit cost of NRL </w:t>
      </w:r>
      <w:r>
        <w:rPr>
          <w:rStyle w:val="Captionnotbold"/>
        </w:rPr>
        <w:t xml:space="preserve">QC </w:t>
      </w:r>
      <w:r w:rsidRPr="001A1400">
        <w:rPr>
          <w:rStyle w:val="Captionnotbold"/>
        </w:rPr>
        <w:t xml:space="preserve">products/services (including allocation of Schedule 1 funds) based on </w:t>
      </w:r>
      <w:r>
        <w:rPr>
          <w:rStyle w:val="Captionnotbold"/>
        </w:rPr>
        <w:t xml:space="preserve">four months </w:t>
      </w:r>
      <w:r w:rsidRPr="001A1400">
        <w:rPr>
          <w:rStyle w:val="Captionnotbold"/>
        </w:rPr>
        <w:t>product/service usage</w:t>
      </w:r>
      <w:r>
        <w:rPr>
          <w:rStyle w:val="Captionnotbold"/>
        </w:rPr>
        <w:t xml:space="preserve">, July to October 2016 </w:t>
      </w:r>
    </w:p>
    <w:tbl>
      <w:tblPr>
        <w:tblW w:w="5127"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Layout w:type="fixed"/>
        <w:tblCellMar>
          <w:left w:w="0" w:type="dxa"/>
          <w:right w:w="0" w:type="dxa"/>
        </w:tblCellMar>
        <w:tblLook w:val="04A0" w:firstRow="1" w:lastRow="0" w:firstColumn="1" w:lastColumn="0" w:noHBand="0" w:noVBand="1"/>
      </w:tblPr>
      <w:tblGrid>
        <w:gridCol w:w="2262"/>
        <w:gridCol w:w="3403"/>
        <w:gridCol w:w="2839"/>
        <w:gridCol w:w="1128"/>
        <w:gridCol w:w="2272"/>
        <w:gridCol w:w="1783"/>
        <w:gridCol w:w="1477"/>
      </w:tblGrid>
      <w:tr w:rsidR="000C2536" w:rsidRPr="003E0E7D" w14:paraId="0D17DD72" w14:textId="77777777" w:rsidTr="000C17B5">
        <w:trPr>
          <w:trHeight w:val="330"/>
        </w:trPr>
        <w:tc>
          <w:tcPr>
            <w:tcW w:w="746" w:type="pct"/>
            <w:shd w:val="clear" w:color="auto" w:fill="BEBEBE"/>
            <w:noWrap/>
            <w:hideMark/>
          </w:tcPr>
          <w:p w14:paraId="6BCDD640" w14:textId="77777777" w:rsidR="000C2536" w:rsidRPr="003E0E7D" w:rsidRDefault="000C2536" w:rsidP="000C17B5">
            <w:pPr>
              <w:pStyle w:val="TableColumnHeading"/>
              <w:jc w:val="center"/>
              <w:rPr>
                <w:lang w:eastAsia="en-AU"/>
              </w:rPr>
            </w:pPr>
            <w:r w:rsidRPr="003E0E7D">
              <w:rPr>
                <w:lang w:eastAsia="en-AU"/>
              </w:rPr>
              <w:t>Item [schedule no.]</w:t>
            </w:r>
          </w:p>
        </w:tc>
        <w:tc>
          <w:tcPr>
            <w:tcW w:w="1122" w:type="pct"/>
            <w:shd w:val="clear" w:color="auto" w:fill="BEBEBE"/>
            <w:noWrap/>
            <w:hideMark/>
          </w:tcPr>
          <w:p w14:paraId="52A15454" w14:textId="77777777" w:rsidR="000C2536" w:rsidRPr="003E0E7D" w:rsidRDefault="000C2536" w:rsidP="000C17B5">
            <w:pPr>
              <w:pStyle w:val="TableColumnHeading"/>
              <w:jc w:val="center"/>
              <w:rPr>
                <w:lang w:eastAsia="en-AU"/>
              </w:rPr>
            </w:pPr>
            <w:r w:rsidRPr="003E0E7D">
              <w:rPr>
                <w:lang w:eastAsia="en-AU"/>
              </w:rPr>
              <w:t>Description as per schedule</w:t>
            </w:r>
          </w:p>
        </w:tc>
        <w:tc>
          <w:tcPr>
            <w:tcW w:w="936" w:type="pct"/>
            <w:shd w:val="clear" w:color="auto" w:fill="BEBEBE"/>
            <w:noWrap/>
            <w:hideMark/>
          </w:tcPr>
          <w:p w14:paraId="122D0DD5" w14:textId="77777777" w:rsidR="000C2536" w:rsidRPr="003E0E7D" w:rsidRDefault="000C2536" w:rsidP="000C17B5">
            <w:pPr>
              <w:pStyle w:val="TableColumnHeading"/>
              <w:jc w:val="center"/>
              <w:rPr>
                <w:lang w:eastAsia="en-AU"/>
              </w:rPr>
            </w:pPr>
            <w:r w:rsidRPr="003E0E7D">
              <w:rPr>
                <w:lang w:eastAsia="en-AU"/>
              </w:rPr>
              <w:t>NRL invoice terminology</w:t>
            </w:r>
          </w:p>
        </w:tc>
        <w:tc>
          <w:tcPr>
            <w:tcW w:w="372" w:type="pct"/>
            <w:shd w:val="clear" w:color="auto" w:fill="BEBEBE"/>
          </w:tcPr>
          <w:p w14:paraId="65786CC2" w14:textId="77777777" w:rsidR="000C2536" w:rsidRPr="003E0E7D" w:rsidRDefault="000C2536" w:rsidP="000C17B5">
            <w:pPr>
              <w:pStyle w:val="TableColumnHeading"/>
              <w:jc w:val="center"/>
              <w:rPr>
                <w:lang w:eastAsia="en-AU"/>
              </w:rPr>
            </w:pPr>
            <w:r w:rsidRPr="003E0E7D">
              <w:rPr>
                <w:lang w:eastAsia="en-AU"/>
              </w:rPr>
              <w:t>No. of units</w:t>
            </w:r>
            <w:r>
              <w:rPr>
                <w:lang w:eastAsia="en-AU"/>
              </w:rPr>
              <w:t xml:space="preserve"> per trimester </w:t>
            </w:r>
          </w:p>
        </w:tc>
        <w:tc>
          <w:tcPr>
            <w:tcW w:w="749" w:type="pct"/>
            <w:shd w:val="clear" w:color="auto" w:fill="BEBEBE"/>
            <w:noWrap/>
            <w:hideMark/>
          </w:tcPr>
          <w:p w14:paraId="57F13A26" w14:textId="77777777" w:rsidR="000C2536" w:rsidRPr="003E0E7D" w:rsidRDefault="000C2536" w:rsidP="000C17B5">
            <w:pPr>
              <w:pStyle w:val="TableColumnHeading"/>
              <w:jc w:val="center"/>
              <w:rPr>
                <w:lang w:eastAsia="en-AU"/>
              </w:rPr>
            </w:pPr>
            <w:r w:rsidRPr="003E0E7D">
              <w:rPr>
                <w:lang w:eastAsia="en-AU"/>
              </w:rPr>
              <w:t xml:space="preserve">Amount per unit from Schedule 2 or 3 </w:t>
            </w:r>
            <w:r w:rsidRPr="003E0E7D">
              <w:rPr>
                <w:lang w:eastAsia="en-AU"/>
              </w:rPr>
              <w:br/>
            </w:r>
            <w:r w:rsidRPr="003E0E7D">
              <w:rPr>
                <w:rFonts w:ascii="Times New Roman" w:hAnsi="Times New Roman"/>
                <w:lang w:eastAsia="en-AU"/>
              </w:rPr>
              <w:t>$</w:t>
            </w:r>
            <w:r w:rsidRPr="003E0E7D">
              <w:rPr>
                <w:rFonts w:ascii="Calibri" w:hAnsi="Calibri"/>
                <w:lang w:eastAsia="en-AU"/>
              </w:rPr>
              <w:t>, excluding GST</w:t>
            </w:r>
          </w:p>
        </w:tc>
        <w:tc>
          <w:tcPr>
            <w:tcW w:w="588" w:type="pct"/>
            <w:shd w:val="clear" w:color="auto" w:fill="BEBEBE"/>
            <w:noWrap/>
            <w:hideMark/>
          </w:tcPr>
          <w:p w14:paraId="5C509E51" w14:textId="77777777" w:rsidR="000C2536" w:rsidRPr="003E0E7D" w:rsidRDefault="000C2536" w:rsidP="000C17B5">
            <w:pPr>
              <w:pStyle w:val="TableColumnHeading"/>
              <w:jc w:val="center"/>
              <w:rPr>
                <w:lang w:eastAsia="en-AU"/>
              </w:rPr>
            </w:pPr>
            <w:r w:rsidRPr="003E0E7D">
              <w:rPr>
                <w:lang w:eastAsia="en-AU"/>
              </w:rPr>
              <w:t>Amount per unit from Schedule 1</w:t>
            </w:r>
            <w:r w:rsidRPr="003E0E7D">
              <w:rPr>
                <w:lang w:eastAsia="en-AU"/>
              </w:rPr>
              <w:br/>
            </w:r>
            <w:r w:rsidRPr="003E0E7D">
              <w:rPr>
                <w:rFonts w:ascii="Calibri" w:hAnsi="Calibri"/>
                <w:lang w:eastAsia="en-AU"/>
              </w:rPr>
              <w:t>$, excluding GST</w:t>
            </w:r>
          </w:p>
        </w:tc>
        <w:tc>
          <w:tcPr>
            <w:tcW w:w="487" w:type="pct"/>
            <w:shd w:val="clear" w:color="auto" w:fill="BEBEBE"/>
            <w:noWrap/>
            <w:hideMark/>
          </w:tcPr>
          <w:p w14:paraId="1BD67374" w14:textId="77777777" w:rsidR="000C2536" w:rsidRPr="00336F93" w:rsidRDefault="000C2536" w:rsidP="000C17B5">
            <w:pPr>
              <w:pStyle w:val="TableColumnHeading"/>
              <w:jc w:val="center"/>
              <w:rPr>
                <w:bCs/>
                <w:lang w:eastAsia="en-AU"/>
              </w:rPr>
            </w:pPr>
            <w:r w:rsidRPr="00336F93">
              <w:rPr>
                <w:bCs/>
                <w:lang w:eastAsia="en-AU"/>
              </w:rPr>
              <w:t>Total unit cost</w:t>
            </w:r>
            <w:r w:rsidRPr="00336F93">
              <w:rPr>
                <w:bCs/>
                <w:lang w:eastAsia="en-AU"/>
              </w:rPr>
              <w:br/>
            </w:r>
            <w:r w:rsidRPr="00336F93">
              <w:rPr>
                <w:rFonts w:ascii="Calibri" w:hAnsi="Calibri"/>
                <w:bCs/>
                <w:lang w:eastAsia="en-AU"/>
              </w:rPr>
              <w:t>$, excluding GST</w:t>
            </w:r>
          </w:p>
        </w:tc>
      </w:tr>
      <w:tr w:rsidR="000C2536" w:rsidRPr="003E0E7D" w14:paraId="2D1DB392" w14:textId="77777777" w:rsidTr="000C17B5">
        <w:trPr>
          <w:trHeight w:val="315"/>
        </w:trPr>
        <w:tc>
          <w:tcPr>
            <w:tcW w:w="746" w:type="pct"/>
            <w:vMerge w:val="restart"/>
            <w:shd w:val="clear" w:color="auto" w:fill="DCDCDC"/>
            <w:noWrap/>
            <w:hideMark/>
          </w:tcPr>
          <w:p w14:paraId="679709A5" w14:textId="77777777" w:rsidR="000C2536" w:rsidRPr="003E0E7D" w:rsidRDefault="000C2536" w:rsidP="000C17B5">
            <w:pPr>
              <w:pStyle w:val="TableCopy"/>
              <w:rPr>
                <w:b/>
                <w:bCs/>
                <w:lang w:eastAsia="en-AU"/>
              </w:rPr>
            </w:pPr>
            <w:r w:rsidRPr="003E0E7D">
              <w:rPr>
                <w:b/>
                <w:bCs/>
                <w:lang w:eastAsia="en-AU"/>
              </w:rPr>
              <w:t>QC for HIV and HCV [2]</w:t>
            </w:r>
          </w:p>
        </w:tc>
        <w:tc>
          <w:tcPr>
            <w:tcW w:w="1122" w:type="pct"/>
            <w:vMerge w:val="restart"/>
            <w:shd w:val="clear" w:color="auto" w:fill="DCDCDC"/>
            <w:noWrap/>
            <w:hideMark/>
          </w:tcPr>
          <w:p w14:paraId="2859F7BA" w14:textId="77777777" w:rsidR="000C2536" w:rsidRPr="003E0E7D" w:rsidRDefault="000C2536" w:rsidP="000C17B5">
            <w:pPr>
              <w:pStyle w:val="TableCopy"/>
              <w:rPr>
                <w:lang w:eastAsia="en-AU"/>
              </w:rPr>
            </w:pPr>
            <w:r w:rsidRPr="003E0E7D">
              <w:rPr>
                <w:lang w:eastAsia="en-AU"/>
              </w:rPr>
              <w:t xml:space="preserve">QC activities for </w:t>
            </w:r>
            <w:r>
              <w:rPr>
                <w:lang w:eastAsia="en-AU"/>
              </w:rPr>
              <w:t>participating</w:t>
            </w:r>
            <w:r w:rsidRPr="003E0E7D">
              <w:rPr>
                <w:lang w:eastAsia="en-AU"/>
              </w:rPr>
              <w:t xml:space="preserve"> laboratories</w:t>
            </w:r>
          </w:p>
        </w:tc>
        <w:tc>
          <w:tcPr>
            <w:tcW w:w="936" w:type="pct"/>
            <w:shd w:val="clear" w:color="auto" w:fill="DCDCDC"/>
            <w:noWrap/>
            <w:hideMark/>
          </w:tcPr>
          <w:p w14:paraId="1E816CEB" w14:textId="77777777" w:rsidR="000C2536" w:rsidRPr="003E0E7D" w:rsidRDefault="000C2536" w:rsidP="000C17B5">
            <w:pPr>
              <w:pStyle w:val="TableCopy"/>
              <w:rPr>
                <w:lang w:eastAsia="en-AU"/>
              </w:rPr>
            </w:pPr>
            <w:r w:rsidRPr="003E0E7D">
              <w:rPr>
                <w:lang w:eastAsia="en-AU"/>
              </w:rPr>
              <w:t>Serology QC material and HIV/HCV</w:t>
            </w:r>
          </w:p>
        </w:tc>
        <w:tc>
          <w:tcPr>
            <w:tcW w:w="372" w:type="pct"/>
            <w:shd w:val="clear" w:color="auto" w:fill="DCDCDC"/>
          </w:tcPr>
          <w:p w14:paraId="663C3EBF" w14:textId="77777777" w:rsidR="000C2536" w:rsidRPr="003E0E7D" w:rsidRDefault="000C2536" w:rsidP="000C17B5">
            <w:pPr>
              <w:pStyle w:val="TableCopy"/>
              <w:jc w:val="right"/>
              <w:rPr>
                <w:lang w:eastAsia="en-AU"/>
              </w:rPr>
            </w:pPr>
            <w:r w:rsidRPr="003E0E7D">
              <w:rPr>
                <w:lang w:eastAsia="en-AU"/>
              </w:rPr>
              <w:t>5925</w:t>
            </w:r>
          </w:p>
        </w:tc>
        <w:tc>
          <w:tcPr>
            <w:tcW w:w="749" w:type="pct"/>
            <w:shd w:val="clear" w:color="auto" w:fill="DCDCDC"/>
            <w:noWrap/>
            <w:hideMark/>
          </w:tcPr>
          <w:p w14:paraId="30401B40" w14:textId="77777777" w:rsidR="000C2536" w:rsidRPr="003E0E7D" w:rsidRDefault="000C2536" w:rsidP="000C17B5">
            <w:pPr>
              <w:pStyle w:val="TableCopy"/>
              <w:jc w:val="right"/>
              <w:rPr>
                <w:lang w:eastAsia="en-AU"/>
              </w:rPr>
            </w:pPr>
            <w:r w:rsidRPr="003E0E7D">
              <w:rPr>
                <w:lang w:eastAsia="en-AU"/>
              </w:rPr>
              <w:t>29.35</w:t>
            </w:r>
          </w:p>
        </w:tc>
        <w:tc>
          <w:tcPr>
            <w:tcW w:w="588" w:type="pct"/>
            <w:shd w:val="clear" w:color="auto" w:fill="DCDCDC"/>
            <w:noWrap/>
            <w:hideMark/>
          </w:tcPr>
          <w:p w14:paraId="26623560" w14:textId="5FD7FFB3" w:rsidR="000C2536" w:rsidRPr="003E0E7D" w:rsidRDefault="000C2536" w:rsidP="000C17B5">
            <w:pPr>
              <w:pStyle w:val="TableCopy"/>
              <w:jc w:val="right"/>
              <w:rPr>
                <w:rFonts w:ascii="Calibri" w:hAnsi="Calibri"/>
                <w:lang w:eastAsia="en-AU"/>
              </w:rPr>
            </w:pPr>
            <w:r>
              <w:t>17.45</w:t>
            </w:r>
          </w:p>
        </w:tc>
        <w:tc>
          <w:tcPr>
            <w:tcW w:w="487" w:type="pct"/>
            <w:shd w:val="clear" w:color="auto" w:fill="DCDCDC"/>
            <w:noWrap/>
            <w:hideMark/>
          </w:tcPr>
          <w:p w14:paraId="20A67686" w14:textId="570AB186" w:rsidR="000C2536" w:rsidRPr="003E0E7D" w:rsidRDefault="000C2536" w:rsidP="000C17B5">
            <w:pPr>
              <w:pStyle w:val="TableCopy"/>
              <w:jc w:val="right"/>
              <w:rPr>
                <w:rFonts w:ascii="Calibri" w:hAnsi="Calibri"/>
                <w:b/>
                <w:lang w:eastAsia="en-AU"/>
              </w:rPr>
            </w:pPr>
            <w:r w:rsidRPr="003E0E7D">
              <w:t>4</w:t>
            </w:r>
            <w:r>
              <w:t>6.80</w:t>
            </w:r>
          </w:p>
        </w:tc>
      </w:tr>
      <w:tr w:rsidR="000C2536" w:rsidRPr="003E0E7D" w14:paraId="728FCC1E" w14:textId="77777777" w:rsidTr="000C17B5">
        <w:trPr>
          <w:trHeight w:val="315"/>
        </w:trPr>
        <w:tc>
          <w:tcPr>
            <w:tcW w:w="746" w:type="pct"/>
            <w:vMerge/>
            <w:shd w:val="clear" w:color="auto" w:fill="DCDCDC"/>
            <w:hideMark/>
          </w:tcPr>
          <w:p w14:paraId="677EA70D" w14:textId="77777777" w:rsidR="000C2536" w:rsidRPr="003E0E7D" w:rsidRDefault="000C2536" w:rsidP="000C17B5">
            <w:pPr>
              <w:pStyle w:val="TableCopy"/>
              <w:rPr>
                <w:b/>
                <w:bCs/>
                <w:lang w:eastAsia="en-AU"/>
              </w:rPr>
            </w:pPr>
          </w:p>
        </w:tc>
        <w:tc>
          <w:tcPr>
            <w:tcW w:w="1122" w:type="pct"/>
            <w:vMerge/>
            <w:shd w:val="clear" w:color="auto" w:fill="DCDCDC"/>
            <w:hideMark/>
          </w:tcPr>
          <w:p w14:paraId="00DB94B7" w14:textId="77777777" w:rsidR="000C2536" w:rsidRPr="003E0E7D" w:rsidRDefault="000C2536" w:rsidP="000C17B5">
            <w:pPr>
              <w:pStyle w:val="TableCopy"/>
              <w:rPr>
                <w:lang w:eastAsia="en-AU"/>
              </w:rPr>
            </w:pPr>
          </w:p>
        </w:tc>
        <w:tc>
          <w:tcPr>
            <w:tcW w:w="936" w:type="pct"/>
            <w:shd w:val="clear" w:color="auto" w:fill="DCDCDC"/>
            <w:noWrap/>
            <w:hideMark/>
          </w:tcPr>
          <w:p w14:paraId="02E4CEAE" w14:textId="77777777" w:rsidR="000C2536" w:rsidRPr="003E0E7D" w:rsidRDefault="000C2536" w:rsidP="000C17B5">
            <w:pPr>
              <w:pStyle w:val="TableCopy"/>
              <w:rPr>
                <w:lang w:eastAsia="en-AU"/>
              </w:rPr>
            </w:pPr>
            <w:r w:rsidRPr="003E0E7D">
              <w:rPr>
                <w:lang w:eastAsia="en-AU"/>
              </w:rPr>
              <w:t>Diagnostic PCR QC material</w:t>
            </w:r>
          </w:p>
        </w:tc>
        <w:tc>
          <w:tcPr>
            <w:tcW w:w="372" w:type="pct"/>
            <w:shd w:val="clear" w:color="auto" w:fill="DCDCDC"/>
          </w:tcPr>
          <w:p w14:paraId="1ED9A468" w14:textId="77777777" w:rsidR="000C2536" w:rsidRPr="003E0E7D" w:rsidRDefault="000C2536" w:rsidP="000C17B5">
            <w:pPr>
              <w:pStyle w:val="TableCopy"/>
              <w:jc w:val="right"/>
              <w:rPr>
                <w:lang w:eastAsia="en-AU"/>
              </w:rPr>
            </w:pPr>
            <w:r w:rsidRPr="003E0E7D">
              <w:rPr>
                <w:lang w:eastAsia="en-AU"/>
              </w:rPr>
              <w:t>1740</w:t>
            </w:r>
          </w:p>
        </w:tc>
        <w:tc>
          <w:tcPr>
            <w:tcW w:w="749" w:type="pct"/>
            <w:shd w:val="clear" w:color="auto" w:fill="DCDCDC"/>
            <w:noWrap/>
            <w:hideMark/>
          </w:tcPr>
          <w:p w14:paraId="1E84FBCA" w14:textId="77777777" w:rsidR="000C2536" w:rsidRPr="003E0E7D" w:rsidRDefault="000C2536" w:rsidP="000C17B5">
            <w:pPr>
              <w:pStyle w:val="TableCopy"/>
              <w:jc w:val="right"/>
              <w:rPr>
                <w:lang w:eastAsia="en-AU"/>
              </w:rPr>
            </w:pPr>
            <w:r w:rsidRPr="003E0E7D">
              <w:rPr>
                <w:lang w:eastAsia="en-AU"/>
              </w:rPr>
              <w:t>35.27</w:t>
            </w:r>
          </w:p>
        </w:tc>
        <w:tc>
          <w:tcPr>
            <w:tcW w:w="588" w:type="pct"/>
            <w:shd w:val="clear" w:color="auto" w:fill="DCDCDC"/>
            <w:noWrap/>
            <w:hideMark/>
          </w:tcPr>
          <w:p w14:paraId="6EBC42F1" w14:textId="50494436" w:rsidR="000C2536" w:rsidRPr="003E0E7D" w:rsidRDefault="000C2536" w:rsidP="000C17B5">
            <w:pPr>
              <w:pStyle w:val="TableCopy"/>
              <w:jc w:val="right"/>
              <w:rPr>
                <w:rFonts w:ascii="Calibri" w:hAnsi="Calibri"/>
                <w:lang w:eastAsia="en-AU"/>
              </w:rPr>
            </w:pPr>
            <w:r>
              <w:t>20.96</w:t>
            </w:r>
          </w:p>
        </w:tc>
        <w:tc>
          <w:tcPr>
            <w:tcW w:w="487" w:type="pct"/>
            <w:shd w:val="clear" w:color="auto" w:fill="DCDCDC"/>
            <w:noWrap/>
            <w:hideMark/>
          </w:tcPr>
          <w:p w14:paraId="476115D8" w14:textId="25CA9FFD" w:rsidR="000C2536" w:rsidRPr="003E0E7D" w:rsidRDefault="000C2536" w:rsidP="000C17B5">
            <w:pPr>
              <w:pStyle w:val="TableCopy"/>
              <w:jc w:val="right"/>
              <w:rPr>
                <w:rFonts w:ascii="Calibri" w:hAnsi="Calibri"/>
                <w:b/>
                <w:lang w:eastAsia="en-AU"/>
              </w:rPr>
            </w:pPr>
            <w:r w:rsidRPr="003E0E7D">
              <w:t>5</w:t>
            </w:r>
            <w:r>
              <w:t>6.23</w:t>
            </w:r>
          </w:p>
        </w:tc>
      </w:tr>
      <w:tr w:rsidR="000C2536" w:rsidRPr="003E0E7D" w14:paraId="4CD81937" w14:textId="77777777" w:rsidTr="000C17B5">
        <w:trPr>
          <w:trHeight w:val="315"/>
        </w:trPr>
        <w:tc>
          <w:tcPr>
            <w:tcW w:w="746" w:type="pct"/>
            <w:shd w:val="clear" w:color="auto" w:fill="DCDCDC"/>
            <w:noWrap/>
            <w:hideMark/>
          </w:tcPr>
          <w:p w14:paraId="11969423" w14:textId="77777777" w:rsidR="000C2536" w:rsidRPr="003E0E7D" w:rsidRDefault="000C2536" w:rsidP="000C17B5">
            <w:pPr>
              <w:pStyle w:val="TableCopy"/>
              <w:rPr>
                <w:b/>
                <w:bCs/>
                <w:lang w:eastAsia="en-AU"/>
              </w:rPr>
            </w:pPr>
            <w:r w:rsidRPr="003E0E7D">
              <w:rPr>
                <w:b/>
                <w:bCs/>
                <w:lang w:eastAsia="en-AU"/>
              </w:rPr>
              <w:t>QC Program [3]</w:t>
            </w:r>
          </w:p>
        </w:tc>
        <w:tc>
          <w:tcPr>
            <w:tcW w:w="1122" w:type="pct"/>
            <w:shd w:val="clear" w:color="auto" w:fill="DCDCDC"/>
            <w:noWrap/>
            <w:hideMark/>
          </w:tcPr>
          <w:p w14:paraId="58BDB24B" w14:textId="77777777" w:rsidR="000C2536" w:rsidRPr="003E0E7D" w:rsidRDefault="000C2536" w:rsidP="000C17B5">
            <w:pPr>
              <w:pStyle w:val="TableCopy"/>
              <w:rPr>
                <w:lang w:eastAsia="en-AU"/>
              </w:rPr>
            </w:pPr>
            <w:r w:rsidRPr="003E0E7D">
              <w:rPr>
                <w:lang w:eastAsia="en-AU"/>
              </w:rPr>
              <w:t>QC activities for the ARCBS for HIV, HBV and HCV NAT</w:t>
            </w:r>
          </w:p>
        </w:tc>
        <w:tc>
          <w:tcPr>
            <w:tcW w:w="936" w:type="pct"/>
            <w:shd w:val="clear" w:color="auto" w:fill="DCDCDC"/>
            <w:noWrap/>
            <w:hideMark/>
          </w:tcPr>
          <w:p w14:paraId="006DCE34" w14:textId="77777777" w:rsidR="000C2536" w:rsidRPr="003E0E7D" w:rsidRDefault="000C2536" w:rsidP="000C17B5">
            <w:pPr>
              <w:pStyle w:val="TableCopy"/>
              <w:rPr>
                <w:lang w:eastAsia="en-AU"/>
              </w:rPr>
            </w:pPr>
            <w:r w:rsidRPr="003E0E7D">
              <w:rPr>
                <w:lang w:eastAsia="en-AU"/>
              </w:rPr>
              <w:t>NAT blood screening QC material</w:t>
            </w:r>
          </w:p>
        </w:tc>
        <w:tc>
          <w:tcPr>
            <w:tcW w:w="372" w:type="pct"/>
            <w:shd w:val="clear" w:color="auto" w:fill="DCDCDC"/>
          </w:tcPr>
          <w:p w14:paraId="0F8C4409" w14:textId="77777777" w:rsidR="000C2536" w:rsidRPr="003E0E7D" w:rsidRDefault="000C2536" w:rsidP="000C17B5">
            <w:pPr>
              <w:pStyle w:val="TableCopy"/>
              <w:jc w:val="right"/>
              <w:rPr>
                <w:lang w:eastAsia="en-AU"/>
              </w:rPr>
            </w:pPr>
            <w:r w:rsidRPr="003E0E7D">
              <w:rPr>
                <w:lang w:eastAsia="en-AU"/>
              </w:rPr>
              <w:t>16,110</w:t>
            </w:r>
          </w:p>
        </w:tc>
        <w:tc>
          <w:tcPr>
            <w:tcW w:w="749" w:type="pct"/>
            <w:shd w:val="clear" w:color="auto" w:fill="DCDCDC"/>
            <w:noWrap/>
            <w:hideMark/>
          </w:tcPr>
          <w:p w14:paraId="131AC804" w14:textId="77777777" w:rsidR="000C2536" w:rsidRPr="003E0E7D" w:rsidRDefault="000C2536" w:rsidP="000C17B5">
            <w:pPr>
              <w:pStyle w:val="TableCopy"/>
              <w:jc w:val="right"/>
              <w:rPr>
                <w:lang w:eastAsia="en-AU"/>
              </w:rPr>
            </w:pPr>
            <w:r w:rsidRPr="003E0E7D">
              <w:rPr>
                <w:lang w:eastAsia="en-AU"/>
              </w:rPr>
              <w:t>31.08</w:t>
            </w:r>
          </w:p>
        </w:tc>
        <w:tc>
          <w:tcPr>
            <w:tcW w:w="588" w:type="pct"/>
            <w:shd w:val="clear" w:color="auto" w:fill="DCDCDC"/>
            <w:noWrap/>
            <w:hideMark/>
          </w:tcPr>
          <w:p w14:paraId="05781005" w14:textId="6968749D" w:rsidR="000C2536" w:rsidRPr="003E0E7D" w:rsidRDefault="000C2536" w:rsidP="000C17B5">
            <w:pPr>
              <w:pStyle w:val="TableCopy"/>
              <w:jc w:val="right"/>
              <w:rPr>
                <w:rFonts w:ascii="Calibri" w:hAnsi="Calibri"/>
                <w:lang w:eastAsia="en-AU"/>
              </w:rPr>
            </w:pPr>
            <w:r>
              <w:t>27.31</w:t>
            </w:r>
          </w:p>
        </w:tc>
        <w:tc>
          <w:tcPr>
            <w:tcW w:w="487" w:type="pct"/>
            <w:shd w:val="clear" w:color="auto" w:fill="DCDCDC"/>
            <w:noWrap/>
            <w:hideMark/>
          </w:tcPr>
          <w:p w14:paraId="6A0B4161" w14:textId="674EA4B7" w:rsidR="000C2536" w:rsidRPr="003E0E7D" w:rsidRDefault="000C2536" w:rsidP="000C17B5">
            <w:pPr>
              <w:pStyle w:val="TableCopy"/>
              <w:jc w:val="right"/>
              <w:rPr>
                <w:rFonts w:ascii="Calibri" w:hAnsi="Calibri"/>
                <w:b/>
                <w:lang w:eastAsia="en-AU"/>
              </w:rPr>
            </w:pPr>
            <w:r w:rsidRPr="003E0E7D">
              <w:t>5</w:t>
            </w:r>
            <w:r>
              <w:t>8.39</w:t>
            </w:r>
          </w:p>
        </w:tc>
      </w:tr>
      <w:tr w:rsidR="000C2536" w:rsidRPr="003E0E7D" w14:paraId="482EB0A3" w14:textId="77777777" w:rsidTr="000C17B5">
        <w:trPr>
          <w:trHeight w:val="315"/>
        </w:trPr>
        <w:tc>
          <w:tcPr>
            <w:tcW w:w="746" w:type="pct"/>
            <w:shd w:val="clear" w:color="auto" w:fill="DCDCDC"/>
            <w:noWrap/>
            <w:hideMark/>
          </w:tcPr>
          <w:p w14:paraId="194C3597" w14:textId="77777777" w:rsidR="000C2536" w:rsidRPr="003E0E7D" w:rsidRDefault="000C2536" w:rsidP="000C17B5">
            <w:pPr>
              <w:pStyle w:val="TableCopy"/>
              <w:rPr>
                <w:b/>
                <w:bCs/>
                <w:lang w:eastAsia="en-AU"/>
              </w:rPr>
            </w:pPr>
            <w:r w:rsidRPr="003E0E7D">
              <w:rPr>
                <w:b/>
                <w:bCs/>
                <w:lang w:eastAsia="en-AU"/>
              </w:rPr>
              <w:t>Specificity Monitoring [2]</w:t>
            </w:r>
          </w:p>
        </w:tc>
        <w:tc>
          <w:tcPr>
            <w:tcW w:w="1122" w:type="pct"/>
            <w:shd w:val="clear" w:color="auto" w:fill="DCDCDC"/>
            <w:noWrap/>
            <w:hideMark/>
          </w:tcPr>
          <w:p w14:paraId="1BB096D5" w14:textId="77777777" w:rsidR="000C2536" w:rsidRPr="003E0E7D" w:rsidRDefault="000C2536" w:rsidP="000C17B5">
            <w:pPr>
              <w:pStyle w:val="TableCopy"/>
              <w:rPr>
                <w:lang w:eastAsia="en-AU"/>
              </w:rPr>
            </w:pPr>
            <w:r w:rsidRPr="003E0E7D">
              <w:rPr>
                <w:lang w:eastAsia="en-AU"/>
              </w:rPr>
              <w:t>Ongoing monitoring of the specificity of HIV and HCV serology assays for the ARCBS using EDCNet. Includes provision of quarterly reports to the ARCBS</w:t>
            </w:r>
          </w:p>
        </w:tc>
        <w:tc>
          <w:tcPr>
            <w:tcW w:w="936" w:type="pct"/>
            <w:shd w:val="clear" w:color="auto" w:fill="DCDCDC"/>
            <w:noWrap/>
            <w:hideMark/>
          </w:tcPr>
          <w:p w14:paraId="60972CF6" w14:textId="77777777" w:rsidR="000C2536" w:rsidRPr="003E0E7D" w:rsidRDefault="000C2536" w:rsidP="000C17B5">
            <w:pPr>
              <w:pStyle w:val="TableCopy"/>
              <w:rPr>
                <w:lang w:eastAsia="en-AU"/>
              </w:rPr>
            </w:pPr>
            <w:r w:rsidRPr="003E0E7D">
              <w:rPr>
                <w:lang w:eastAsia="en-AU"/>
              </w:rPr>
              <w:t>Specificity Monitoring report</w:t>
            </w:r>
          </w:p>
        </w:tc>
        <w:tc>
          <w:tcPr>
            <w:tcW w:w="372" w:type="pct"/>
            <w:shd w:val="clear" w:color="auto" w:fill="DCDCDC"/>
          </w:tcPr>
          <w:p w14:paraId="22A4D36D" w14:textId="77777777" w:rsidR="000C2536" w:rsidRPr="003E0E7D" w:rsidRDefault="000C2536" w:rsidP="000C17B5">
            <w:pPr>
              <w:pStyle w:val="TableCopy"/>
              <w:jc w:val="right"/>
              <w:rPr>
                <w:lang w:eastAsia="en-AU"/>
              </w:rPr>
            </w:pPr>
            <w:r w:rsidRPr="003E0E7D">
              <w:rPr>
                <w:lang w:eastAsia="en-AU"/>
              </w:rPr>
              <w:t>4</w:t>
            </w:r>
          </w:p>
        </w:tc>
        <w:tc>
          <w:tcPr>
            <w:tcW w:w="749" w:type="pct"/>
            <w:shd w:val="clear" w:color="auto" w:fill="DCDCDC"/>
            <w:noWrap/>
            <w:hideMark/>
          </w:tcPr>
          <w:p w14:paraId="284FD251" w14:textId="77777777" w:rsidR="000C2536" w:rsidRPr="003E0E7D" w:rsidRDefault="000C2536" w:rsidP="000C17B5">
            <w:pPr>
              <w:pStyle w:val="TableCopy"/>
              <w:jc w:val="right"/>
              <w:rPr>
                <w:lang w:eastAsia="en-AU"/>
              </w:rPr>
            </w:pPr>
            <w:r w:rsidRPr="003E0E7D">
              <w:rPr>
                <w:lang w:eastAsia="en-AU"/>
              </w:rPr>
              <w:t>7,856.72</w:t>
            </w:r>
          </w:p>
        </w:tc>
        <w:tc>
          <w:tcPr>
            <w:tcW w:w="588" w:type="pct"/>
            <w:shd w:val="clear" w:color="auto" w:fill="DCDCDC"/>
            <w:noWrap/>
            <w:hideMark/>
          </w:tcPr>
          <w:p w14:paraId="19443F7A" w14:textId="4F120015" w:rsidR="000C2536" w:rsidRPr="003E0E7D" w:rsidRDefault="000C2536" w:rsidP="000C17B5">
            <w:pPr>
              <w:pStyle w:val="TableCopy"/>
              <w:jc w:val="right"/>
              <w:rPr>
                <w:rFonts w:ascii="Calibri" w:hAnsi="Calibri"/>
                <w:lang w:eastAsia="en-AU"/>
              </w:rPr>
            </w:pPr>
            <w:r>
              <w:t>4,669.94</w:t>
            </w:r>
          </w:p>
        </w:tc>
        <w:tc>
          <w:tcPr>
            <w:tcW w:w="487" w:type="pct"/>
            <w:shd w:val="clear" w:color="auto" w:fill="DCDCDC"/>
            <w:noWrap/>
            <w:hideMark/>
          </w:tcPr>
          <w:p w14:paraId="6A43DAD3" w14:textId="30D5FA27" w:rsidR="000C2536" w:rsidRPr="003E0E7D" w:rsidRDefault="000C2536" w:rsidP="000C17B5">
            <w:pPr>
              <w:pStyle w:val="TableCopy"/>
              <w:jc w:val="right"/>
              <w:rPr>
                <w:rFonts w:ascii="Calibri" w:hAnsi="Calibri"/>
                <w:b/>
                <w:lang w:eastAsia="en-AU"/>
              </w:rPr>
            </w:pPr>
            <w:r w:rsidRPr="003E0E7D">
              <w:t>12,</w:t>
            </w:r>
            <w:r>
              <w:t>526</w:t>
            </w:r>
            <w:r w:rsidRPr="003E0E7D">
              <w:t>.</w:t>
            </w:r>
            <w:r>
              <w:t>66</w:t>
            </w:r>
          </w:p>
        </w:tc>
      </w:tr>
    </w:tbl>
    <w:p w14:paraId="5B6BEB38" w14:textId="1E6AF610" w:rsidR="000C2536" w:rsidRDefault="000C2536" w:rsidP="000C2536">
      <w:pPr>
        <w:pStyle w:val="BodyCopy"/>
      </w:pPr>
    </w:p>
    <w:p w14:paraId="763AC8E8" w14:textId="529E73D7" w:rsidR="000C2536" w:rsidRPr="001A1400" w:rsidRDefault="000C2536" w:rsidP="000C2536">
      <w:pPr>
        <w:pStyle w:val="Caption"/>
        <w:rPr>
          <w:rStyle w:val="Captionnotbold"/>
        </w:rPr>
      </w:pPr>
      <w:bookmarkStart w:id="108" w:name="_Ref495063130"/>
      <w:r>
        <w:t xml:space="preserve">Table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Table \* ARABIC \s 1 </w:instrText>
      </w:r>
      <w:r>
        <w:rPr>
          <w:noProof/>
        </w:rPr>
        <w:fldChar w:fldCharType="separate"/>
      </w:r>
      <w:r w:rsidR="0078683A">
        <w:rPr>
          <w:noProof/>
        </w:rPr>
        <w:t>2</w:t>
      </w:r>
      <w:r>
        <w:rPr>
          <w:noProof/>
        </w:rPr>
        <w:fldChar w:fldCharType="end"/>
      </w:r>
      <w:bookmarkEnd w:id="108"/>
      <w:r>
        <w:t xml:space="preserve">: </w:t>
      </w:r>
      <w:r>
        <w:rPr>
          <w:rStyle w:val="Captionnotbold"/>
        </w:rPr>
        <w:t xml:space="preserve">Estimated total </w:t>
      </w:r>
      <w:r w:rsidRPr="001A1400">
        <w:rPr>
          <w:rStyle w:val="Captionnotbold"/>
        </w:rPr>
        <w:t xml:space="preserve">unit cost of NRL </w:t>
      </w:r>
      <w:r>
        <w:rPr>
          <w:rStyle w:val="Captionnotbold"/>
        </w:rPr>
        <w:t xml:space="preserve">QA </w:t>
      </w:r>
      <w:r w:rsidRPr="001A1400">
        <w:rPr>
          <w:rStyle w:val="Captionnotbold"/>
        </w:rPr>
        <w:t xml:space="preserve">products/services (including allocation of Schedule 1 funds) based on </w:t>
      </w:r>
      <w:r>
        <w:rPr>
          <w:rStyle w:val="Captionnotbold"/>
        </w:rPr>
        <w:t xml:space="preserve">four months </w:t>
      </w:r>
      <w:r w:rsidRPr="001A1400">
        <w:rPr>
          <w:rStyle w:val="Captionnotbold"/>
        </w:rPr>
        <w:t>product/service usage</w:t>
      </w:r>
      <w:r>
        <w:rPr>
          <w:rStyle w:val="Captionnotbold"/>
        </w:rPr>
        <w:t>, July to October 2016</w:t>
      </w:r>
    </w:p>
    <w:tbl>
      <w:tblPr>
        <w:tblW w:w="5127"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Layout w:type="fixed"/>
        <w:tblCellMar>
          <w:left w:w="0" w:type="dxa"/>
          <w:right w:w="0" w:type="dxa"/>
        </w:tblCellMar>
        <w:tblLook w:val="04A0" w:firstRow="1" w:lastRow="0" w:firstColumn="1" w:lastColumn="0" w:noHBand="0" w:noVBand="1"/>
      </w:tblPr>
      <w:tblGrid>
        <w:gridCol w:w="2262"/>
        <w:gridCol w:w="3403"/>
        <w:gridCol w:w="2839"/>
        <w:gridCol w:w="1128"/>
        <w:gridCol w:w="2272"/>
        <w:gridCol w:w="1783"/>
        <w:gridCol w:w="1477"/>
      </w:tblGrid>
      <w:tr w:rsidR="000C2536" w:rsidRPr="003E0E7D" w14:paraId="555AF967" w14:textId="77777777" w:rsidTr="000C17B5">
        <w:trPr>
          <w:trHeight w:val="330"/>
        </w:trPr>
        <w:tc>
          <w:tcPr>
            <w:tcW w:w="746" w:type="pct"/>
            <w:shd w:val="clear" w:color="auto" w:fill="BEBEBE"/>
            <w:noWrap/>
            <w:hideMark/>
          </w:tcPr>
          <w:p w14:paraId="483A5A5A" w14:textId="77777777" w:rsidR="000C2536" w:rsidRPr="003E0E7D" w:rsidRDefault="000C2536" w:rsidP="000C17B5">
            <w:pPr>
              <w:pStyle w:val="TableColumnHeading"/>
              <w:jc w:val="center"/>
              <w:rPr>
                <w:lang w:eastAsia="en-AU"/>
              </w:rPr>
            </w:pPr>
            <w:r w:rsidRPr="003E0E7D">
              <w:rPr>
                <w:lang w:eastAsia="en-AU"/>
              </w:rPr>
              <w:t>Item [schedule no.]</w:t>
            </w:r>
          </w:p>
        </w:tc>
        <w:tc>
          <w:tcPr>
            <w:tcW w:w="1122" w:type="pct"/>
            <w:shd w:val="clear" w:color="auto" w:fill="BEBEBE"/>
            <w:noWrap/>
            <w:hideMark/>
          </w:tcPr>
          <w:p w14:paraId="01A90218" w14:textId="77777777" w:rsidR="000C2536" w:rsidRPr="003E0E7D" w:rsidRDefault="000C2536" w:rsidP="000C17B5">
            <w:pPr>
              <w:pStyle w:val="TableColumnHeading"/>
              <w:jc w:val="center"/>
              <w:rPr>
                <w:lang w:eastAsia="en-AU"/>
              </w:rPr>
            </w:pPr>
            <w:r w:rsidRPr="003E0E7D">
              <w:rPr>
                <w:lang w:eastAsia="en-AU"/>
              </w:rPr>
              <w:t>Description as per schedule</w:t>
            </w:r>
          </w:p>
        </w:tc>
        <w:tc>
          <w:tcPr>
            <w:tcW w:w="936" w:type="pct"/>
            <w:shd w:val="clear" w:color="auto" w:fill="BEBEBE"/>
            <w:noWrap/>
            <w:hideMark/>
          </w:tcPr>
          <w:p w14:paraId="4BC20C90" w14:textId="77777777" w:rsidR="000C2536" w:rsidRPr="003E0E7D" w:rsidRDefault="000C2536" w:rsidP="000C17B5">
            <w:pPr>
              <w:pStyle w:val="TableColumnHeading"/>
              <w:jc w:val="center"/>
              <w:rPr>
                <w:lang w:eastAsia="en-AU"/>
              </w:rPr>
            </w:pPr>
            <w:r w:rsidRPr="003E0E7D">
              <w:rPr>
                <w:lang w:eastAsia="en-AU"/>
              </w:rPr>
              <w:t>NRL invoice terminology</w:t>
            </w:r>
          </w:p>
        </w:tc>
        <w:tc>
          <w:tcPr>
            <w:tcW w:w="372" w:type="pct"/>
            <w:shd w:val="clear" w:color="auto" w:fill="BEBEBE"/>
          </w:tcPr>
          <w:p w14:paraId="6E68D2D8" w14:textId="77777777" w:rsidR="000C2536" w:rsidRPr="003E0E7D" w:rsidRDefault="000C2536" w:rsidP="000C17B5">
            <w:pPr>
              <w:pStyle w:val="TableColumnHeading"/>
              <w:jc w:val="center"/>
              <w:rPr>
                <w:lang w:eastAsia="en-AU"/>
              </w:rPr>
            </w:pPr>
            <w:r w:rsidRPr="003E0E7D">
              <w:rPr>
                <w:lang w:eastAsia="en-AU"/>
              </w:rPr>
              <w:t>No. of units</w:t>
            </w:r>
            <w:r>
              <w:rPr>
                <w:lang w:eastAsia="en-AU"/>
              </w:rPr>
              <w:t xml:space="preserve"> per trimester </w:t>
            </w:r>
          </w:p>
        </w:tc>
        <w:tc>
          <w:tcPr>
            <w:tcW w:w="749" w:type="pct"/>
            <w:shd w:val="clear" w:color="auto" w:fill="BEBEBE"/>
            <w:noWrap/>
            <w:hideMark/>
          </w:tcPr>
          <w:p w14:paraId="466D884D" w14:textId="77777777" w:rsidR="000C2536" w:rsidRPr="003E0E7D" w:rsidRDefault="000C2536" w:rsidP="000C17B5">
            <w:pPr>
              <w:pStyle w:val="TableColumnHeading"/>
              <w:jc w:val="center"/>
              <w:rPr>
                <w:lang w:eastAsia="en-AU"/>
              </w:rPr>
            </w:pPr>
            <w:r w:rsidRPr="003E0E7D">
              <w:rPr>
                <w:lang w:eastAsia="en-AU"/>
              </w:rPr>
              <w:t xml:space="preserve">Amount per unit from Schedule 2 or 3 </w:t>
            </w:r>
            <w:r w:rsidRPr="003E0E7D">
              <w:rPr>
                <w:lang w:eastAsia="en-AU"/>
              </w:rPr>
              <w:br/>
            </w:r>
            <w:r w:rsidRPr="003E0E7D">
              <w:rPr>
                <w:rFonts w:ascii="Times New Roman" w:hAnsi="Times New Roman"/>
                <w:lang w:eastAsia="en-AU"/>
              </w:rPr>
              <w:t>$</w:t>
            </w:r>
            <w:r w:rsidRPr="003E0E7D">
              <w:rPr>
                <w:rFonts w:ascii="Calibri" w:hAnsi="Calibri"/>
                <w:lang w:eastAsia="en-AU"/>
              </w:rPr>
              <w:t>, excluding GST</w:t>
            </w:r>
          </w:p>
        </w:tc>
        <w:tc>
          <w:tcPr>
            <w:tcW w:w="588" w:type="pct"/>
            <w:shd w:val="clear" w:color="auto" w:fill="BEBEBE"/>
            <w:noWrap/>
            <w:hideMark/>
          </w:tcPr>
          <w:p w14:paraId="7312D819" w14:textId="77777777" w:rsidR="000C2536" w:rsidRPr="003E0E7D" w:rsidRDefault="000C2536" w:rsidP="000C17B5">
            <w:pPr>
              <w:pStyle w:val="TableColumnHeading"/>
              <w:jc w:val="center"/>
              <w:rPr>
                <w:lang w:eastAsia="en-AU"/>
              </w:rPr>
            </w:pPr>
            <w:r w:rsidRPr="003E0E7D">
              <w:rPr>
                <w:lang w:eastAsia="en-AU"/>
              </w:rPr>
              <w:t>Amount per unit from Schedule 1</w:t>
            </w:r>
            <w:r w:rsidRPr="003E0E7D">
              <w:rPr>
                <w:lang w:eastAsia="en-AU"/>
              </w:rPr>
              <w:br/>
            </w:r>
            <w:r w:rsidRPr="003E0E7D">
              <w:rPr>
                <w:rFonts w:ascii="Calibri" w:hAnsi="Calibri"/>
                <w:lang w:eastAsia="en-AU"/>
              </w:rPr>
              <w:t>$, excluding GST</w:t>
            </w:r>
          </w:p>
        </w:tc>
        <w:tc>
          <w:tcPr>
            <w:tcW w:w="487" w:type="pct"/>
            <w:shd w:val="clear" w:color="auto" w:fill="BEBEBE"/>
            <w:noWrap/>
            <w:hideMark/>
          </w:tcPr>
          <w:p w14:paraId="34F92707" w14:textId="77777777" w:rsidR="000C2536" w:rsidRPr="00336F93" w:rsidRDefault="000C2536" w:rsidP="000C17B5">
            <w:pPr>
              <w:pStyle w:val="TableColumnHeading"/>
              <w:jc w:val="center"/>
              <w:rPr>
                <w:bCs/>
                <w:lang w:eastAsia="en-AU"/>
              </w:rPr>
            </w:pPr>
            <w:r w:rsidRPr="00336F93">
              <w:rPr>
                <w:bCs/>
                <w:lang w:eastAsia="en-AU"/>
              </w:rPr>
              <w:t>Total unit cost</w:t>
            </w:r>
            <w:r w:rsidRPr="00336F93">
              <w:rPr>
                <w:bCs/>
                <w:lang w:eastAsia="en-AU"/>
              </w:rPr>
              <w:br/>
            </w:r>
            <w:r w:rsidRPr="00336F93">
              <w:rPr>
                <w:rFonts w:ascii="Calibri" w:hAnsi="Calibri"/>
                <w:bCs/>
                <w:lang w:eastAsia="en-AU"/>
              </w:rPr>
              <w:t>$, excluding GST</w:t>
            </w:r>
          </w:p>
        </w:tc>
      </w:tr>
      <w:tr w:rsidR="000C2536" w:rsidRPr="003E0E7D" w14:paraId="6B4033B2" w14:textId="77777777" w:rsidTr="000C17B5">
        <w:trPr>
          <w:trHeight w:val="315"/>
        </w:trPr>
        <w:tc>
          <w:tcPr>
            <w:tcW w:w="746" w:type="pct"/>
            <w:shd w:val="clear" w:color="auto" w:fill="DCDCDC"/>
            <w:noWrap/>
            <w:hideMark/>
          </w:tcPr>
          <w:p w14:paraId="1E1ED7A9" w14:textId="77777777" w:rsidR="000C2536" w:rsidRPr="003E0E7D" w:rsidRDefault="000C2536" w:rsidP="000C17B5">
            <w:pPr>
              <w:pStyle w:val="TableCopy"/>
              <w:rPr>
                <w:b/>
                <w:bCs/>
                <w:lang w:eastAsia="en-AU"/>
              </w:rPr>
            </w:pPr>
            <w:r w:rsidRPr="003E0E7D">
              <w:rPr>
                <w:b/>
                <w:bCs/>
                <w:lang w:eastAsia="en-AU"/>
              </w:rPr>
              <w:t>QA for HIV, HCV and HTLV [2]</w:t>
            </w:r>
          </w:p>
        </w:tc>
        <w:tc>
          <w:tcPr>
            <w:tcW w:w="1122" w:type="pct"/>
            <w:shd w:val="clear" w:color="auto" w:fill="DCDCDC"/>
            <w:noWrap/>
            <w:hideMark/>
          </w:tcPr>
          <w:p w14:paraId="20442FCF" w14:textId="77777777" w:rsidR="000C2536" w:rsidRPr="003E0E7D" w:rsidRDefault="000C2536" w:rsidP="000C17B5">
            <w:pPr>
              <w:pStyle w:val="TableCopy"/>
              <w:rPr>
                <w:lang w:eastAsia="en-AU"/>
              </w:rPr>
            </w:pPr>
            <w:r w:rsidRPr="003E0E7D">
              <w:rPr>
                <w:lang w:eastAsia="en-AU"/>
              </w:rPr>
              <w:t>EQAS activities for clinical laboratories</w:t>
            </w:r>
          </w:p>
        </w:tc>
        <w:tc>
          <w:tcPr>
            <w:tcW w:w="936" w:type="pct"/>
            <w:shd w:val="clear" w:color="auto" w:fill="DCDCDC"/>
            <w:noWrap/>
            <w:hideMark/>
          </w:tcPr>
          <w:p w14:paraId="72EAE1A0" w14:textId="77777777" w:rsidR="000C2536" w:rsidRPr="003E0E7D" w:rsidRDefault="000C2536" w:rsidP="000C17B5">
            <w:pPr>
              <w:pStyle w:val="TableCopy"/>
              <w:rPr>
                <w:lang w:eastAsia="en-AU"/>
              </w:rPr>
            </w:pPr>
            <w:r w:rsidRPr="003E0E7D">
              <w:rPr>
                <w:lang w:eastAsia="en-AU"/>
              </w:rPr>
              <w:t>HIV, HCV and HTLV Serology EQAS</w:t>
            </w:r>
          </w:p>
        </w:tc>
        <w:tc>
          <w:tcPr>
            <w:tcW w:w="372" w:type="pct"/>
            <w:shd w:val="clear" w:color="auto" w:fill="DCDCDC"/>
          </w:tcPr>
          <w:p w14:paraId="37DEB7A1" w14:textId="77777777" w:rsidR="000C2536" w:rsidRPr="003E0E7D" w:rsidRDefault="000C2536" w:rsidP="000C17B5">
            <w:pPr>
              <w:pStyle w:val="TableCopy"/>
              <w:jc w:val="right"/>
              <w:rPr>
                <w:lang w:eastAsia="en-AU"/>
              </w:rPr>
            </w:pPr>
            <w:r w:rsidRPr="003E0E7D">
              <w:rPr>
                <w:lang w:eastAsia="en-AU"/>
              </w:rPr>
              <w:t>213</w:t>
            </w:r>
          </w:p>
        </w:tc>
        <w:tc>
          <w:tcPr>
            <w:tcW w:w="749" w:type="pct"/>
            <w:shd w:val="clear" w:color="auto" w:fill="DCDCDC"/>
            <w:noWrap/>
            <w:hideMark/>
          </w:tcPr>
          <w:p w14:paraId="763762BE" w14:textId="77777777" w:rsidR="000C2536" w:rsidRPr="003E0E7D" w:rsidRDefault="000C2536" w:rsidP="000C17B5">
            <w:pPr>
              <w:pStyle w:val="TableCopy"/>
              <w:jc w:val="right"/>
              <w:rPr>
                <w:lang w:eastAsia="en-AU"/>
              </w:rPr>
            </w:pPr>
            <w:r w:rsidRPr="003E0E7D">
              <w:rPr>
                <w:lang w:eastAsia="en-AU"/>
              </w:rPr>
              <w:t>364.63</w:t>
            </w:r>
          </w:p>
        </w:tc>
        <w:tc>
          <w:tcPr>
            <w:tcW w:w="588" w:type="pct"/>
            <w:shd w:val="clear" w:color="auto" w:fill="DCDCDC"/>
            <w:noWrap/>
            <w:hideMark/>
          </w:tcPr>
          <w:p w14:paraId="45D40943" w14:textId="1BEA7566" w:rsidR="000C2536" w:rsidRPr="003E0E7D" w:rsidRDefault="000C2536" w:rsidP="000C17B5">
            <w:pPr>
              <w:pStyle w:val="TableCopy"/>
              <w:jc w:val="right"/>
              <w:rPr>
                <w:rFonts w:ascii="Calibri" w:hAnsi="Calibri"/>
                <w:lang w:eastAsia="en-AU"/>
              </w:rPr>
            </w:pPr>
            <w:r w:rsidRPr="003E0E7D">
              <w:t>2</w:t>
            </w:r>
            <w:r>
              <w:t>16.73</w:t>
            </w:r>
          </w:p>
        </w:tc>
        <w:tc>
          <w:tcPr>
            <w:tcW w:w="487" w:type="pct"/>
            <w:shd w:val="clear" w:color="auto" w:fill="DCDCDC"/>
            <w:noWrap/>
            <w:hideMark/>
          </w:tcPr>
          <w:p w14:paraId="72741B17" w14:textId="0CA6971F" w:rsidR="000C2536" w:rsidRPr="003E0E7D" w:rsidRDefault="000C2536" w:rsidP="000C17B5">
            <w:pPr>
              <w:pStyle w:val="TableCopy"/>
              <w:jc w:val="right"/>
              <w:rPr>
                <w:rFonts w:ascii="Calibri" w:hAnsi="Calibri"/>
                <w:b/>
                <w:lang w:eastAsia="en-AU"/>
              </w:rPr>
            </w:pPr>
            <w:r w:rsidRPr="003E0E7D">
              <w:t>5</w:t>
            </w:r>
            <w:r>
              <w:t>81.36</w:t>
            </w:r>
          </w:p>
        </w:tc>
      </w:tr>
      <w:tr w:rsidR="000C2536" w:rsidRPr="003E0E7D" w14:paraId="37D23F5F" w14:textId="77777777" w:rsidTr="000C17B5">
        <w:trPr>
          <w:trHeight w:val="315"/>
        </w:trPr>
        <w:tc>
          <w:tcPr>
            <w:tcW w:w="746" w:type="pct"/>
            <w:shd w:val="clear" w:color="auto" w:fill="DCDCDC"/>
            <w:noWrap/>
            <w:hideMark/>
          </w:tcPr>
          <w:p w14:paraId="190C14B3" w14:textId="77777777" w:rsidR="000C2536" w:rsidRPr="003E0E7D" w:rsidRDefault="000C2536" w:rsidP="000C17B5">
            <w:pPr>
              <w:pStyle w:val="TableCopy"/>
              <w:rPr>
                <w:b/>
                <w:bCs/>
                <w:lang w:eastAsia="en-AU"/>
              </w:rPr>
            </w:pPr>
            <w:r w:rsidRPr="003E0E7D">
              <w:rPr>
                <w:b/>
                <w:bCs/>
                <w:lang w:eastAsia="en-AU"/>
              </w:rPr>
              <w:t>Monitoring [2]</w:t>
            </w:r>
          </w:p>
        </w:tc>
        <w:tc>
          <w:tcPr>
            <w:tcW w:w="1122" w:type="pct"/>
            <w:shd w:val="clear" w:color="auto" w:fill="DCDCDC"/>
            <w:noWrap/>
            <w:hideMark/>
          </w:tcPr>
          <w:p w14:paraId="7F82D331" w14:textId="77777777" w:rsidR="000C2536" w:rsidRPr="003E0E7D" w:rsidRDefault="000C2536" w:rsidP="000C17B5">
            <w:pPr>
              <w:pStyle w:val="TableCopy"/>
              <w:rPr>
                <w:lang w:eastAsia="en-AU"/>
              </w:rPr>
            </w:pPr>
            <w:r w:rsidRPr="003E0E7D">
              <w:rPr>
                <w:lang w:eastAsia="en-AU"/>
              </w:rPr>
              <w:t>Ongoing monitoring of QC and QA performance of laboratories using EDCNet</w:t>
            </w:r>
          </w:p>
        </w:tc>
        <w:tc>
          <w:tcPr>
            <w:tcW w:w="936" w:type="pct"/>
            <w:shd w:val="clear" w:color="auto" w:fill="DCDCDC"/>
            <w:noWrap/>
            <w:hideMark/>
          </w:tcPr>
          <w:p w14:paraId="58ECF988" w14:textId="77777777" w:rsidR="000C2536" w:rsidRPr="003E0E7D" w:rsidRDefault="000C2536" w:rsidP="000C17B5">
            <w:pPr>
              <w:pStyle w:val="TableCopy"/>
              <w:rPr>
                <w:lang w:eastAsia="en-AU"/>
              </w:rPr>
            </w:pPr>
            <w:r w:rsidRPr="003E0E7D">
              <w:rPr>
                <w:lang w:eastAsia="en-AU"/>
              </w:rPr>
              <w:t>HIV and HCV Viral Load EQAS</w:t>
            </w:r>
          </w:p>
        </w:tc>
        <w:tc>
          <w:tcPr>
            <w:tcW w:w="372" w:type="pct"/>
            <w:shd w:val="clear" w:color="auto" w:fill="DCDCDC"/>
          </w:tcPr>
          <w:p w14:paraId="162DC4A1" w14:textId="77777777" w:rsidR="000C2536" w:rsidRPr="003E0E7D" w:rsidRDefault="000C2536" w:rsidP="000C17B5">
            <w:pPr>
              <w:pStyle w:val="TableCopy"/>
              <w:jc w:val="right"/>
              <w:rPr>
                <w:lang w:eastAsia="en-AU"/>
              </w:rPr>
            </w:pPr>
            <w:r w:rsidRPr="003E0E7D">
              <w:rPr>
                <w:lang w:eastAsia="en-AU"/>
              </w:rPr>
              <w:t>62</w:t>
            </w:r>
          </w:p>
        </w:tc>
        <w:tc>
          <w:tcPr>
            <w:tcW w:w="749" w:type="pct"/>
            <w:shd w:val="clear" w:color="auto" w:fill="DCDCDC"/>
            <w:noWrap/>
            <w:hideMark/>
          </w:tcPr>
          <w:p w14:paraId="74DD0F61" w14:textId="77777777" w:rsidR="000C2536" w:rsidRPr="003E0E7D" w:rsidRDefault="000C2536" w:rsidP="000C17B5">
            <w:pPr>
              <w:pStyle w:val="TableCopy"/>
              <w:jc w:val="right"/>
              <w:rPr>
                <w:lang w:eastAsia="en-AU"/>
              </w:rPr>
            </w:pPr>
            <w:r w:rsidRPr="003E0E7D">
              <w:rPr>
                <w:lang w:eastAsia="en-AU"/>
              </w:rPr>
              <w:t>434.09</w:t>
            </w:r>
          </w:p>
        </w:tc>
        <w:tc>
          <w:tcPr>
            <w:tcW w:w="588" w:type="pct"/>
            <w:shd w:val="clear" w:color="auto" w:fill="DCDCDC"/>
            <w:noWrap/>
            <w:hideMark/>
          </w:tcPr>
          <w:p w14:paraId="5FA3F399" w14:textId="6E003FE9" w:rsidR="000C2536" w:rsidRPr="003E0E7D" w:rsidRDefault="000C2536" w:rsidP="000C17B5">
            <w:pPr>
              <w:pStyle w:val="TableCopy"/>
              <w:jc w:val="right"/>
              <w:rPr>
                <w:rFonts w:ascii="Calibri" w:hAnsi="Calibri"/>
                <w:lang w:eastAsia="en-AU"/>
              </w:rPr>
            </w:pPr>
            <w:r w:rsidRPr="003E0E7D">
              <w:t>2</w:t>
            </w:r>
            <w:r>
              <w:t>58.02</w:t>
            </w:r>
          </w:p>
        </w:tc>
        <w:tc>
          <w:tcPr>
            <w:tcW w:w="487" w:type="pct"/>
            <w:shd w:val="clear" w:color="auto" w:fill="DCDCDC"/>
            <w:noWrap/>
            <w:hideMark/>
          </w:tcPr>
          <w:p w14:paraId="2FC51C0F" w14:textId="1AA0C652" w:rsidR="000C2536" w:rsidRPr="003E0E7D" w:rsidRDefault="000C2536" w:rsidP="000C17B5">
            <w:pPr>
              <w:pStyle w:val="TableCopy"/>
              <w:jc w:val="right"/>
              <w:rPr>
                <w:rFonts w:ascii="Calibri" w:hAnsi="Calibri"/>
                <w:b/>
                <w:lang w:eastAsia="en-AU"/>
              </w:rPr>
            </w:pPr>
            <w:r>
              <w:t>692.11</w:t>
            </w:r>
          </w:p>
        </w:tc>
      </w:tr>
      <w:tr w:rsidR="000C2536" w:rsidRPr="003E0E7D" w14:paraId="6A14535D" w14:textId="77777777" w:rsidTr="000C17B5">
        <w:trPr>
          <w:trHeight w:val="315"/>
        </w:trPr>
        <w:tc>
          <w:tcPr>
            <w:tcW w:w="746" w:type="pct"/>
            <w:shd w:val="clear" w:color="auto" w:fill="DCDCDC"/>
            <w:noWrap/>
            <w:hideMark/>
          </w:tcPr>
          <w:p w14:paraId="17D5E3C6" w14:textId="77777777" w:rsidR="000C2536" w:rsidRPr="003E0E7D" w:rsidRDefault="000C2536" w:rsidP="000C17B5">
            <w:pPr>
              <w:pStyle w:val="TableCopy"/>
              <w:rPr>
                <w:b/>
                <w:bCs/>
                <w:lang w:eastAsia="en-AU"/>
              </w:rPr>
            </w:pPr>
            <w:r w:rsidRPr="003E0E7D">
              <w:rPr>
                <w:b/>
                <w:bCs/>
                <w:lang w:eastAsia="en-AU"/>
              </w:rPr>
              <w:t>QA Program [3]</w:t>
            </w:r>
          </w:p>
        </w:tc>
        <w:tc>
          <w:tcPr>
            <w:tcW w:w="1122" w:type="pct"/>
            <w:shd w:val="clear" w:color="auto" w:fill="DCDCDC"/>
            <w:noWrap/>
            <w:hideMark/>
          </w:tcPr>
          <w:p w14:paraId="038FE89E" w14:textId="77777777" w:rsidR="000C2536" w:rsidRPr="003E0E7D" w:rsidRDefault="000C2536" w:rsidP="000C17B5">
            <w:pPr>
              <w:pStyle w:val="TableCopy"/>
              <w:rPr>
                <w:lang w:eastAsia="en-AU"/>
              </w:rPr>
            </w:pPr>
            <w:r w:rsidRPr="003E0E7D">
              <w:rPr>
                <w:lang w:eastAsia="en-AU"/>
              </w:rPr>
              <w:t>EQAS activities for the ARCBS for HIV, HBV and HCV NAT</w:t>
            </w:r>
          </w:p>
        </w:tc>
        <w:tc>
          <w:tcPr>
            <w:tcW w:w="936" w:type="pct"/>
            <w:shd w:val="clear" w:color="auto" w:fill="DCDCDC"/>
            <w:noWrap/>
            <w:hideMark/>
          </w:tcPr>
          <w:p w14:paraId="42DBA607" w14:textId="77777777" w:rsidR="000C2536" w:rsidRPr="003E0E7D" w:rsidRDefault="000C2536" w:rsidP="000C17B5">
            <w:pPr>
              <w:pStyle w:val="TableCopy"/>
              <w:rPr>
                <w:lang w:eastAsia="en-AU"/>
              </w:rPr>
            </w:pPr>
            <w:r w:rsidRPr="003E0E7D">
              <w:rPr>
                <w:lang w:eastAsia="en-AU"/>
              </w:rPr>
              <w:t>NAT blood screening EQAS material</w:t>
            </w:r>
          </w:p>
        </w:tc>
        <w:tc>
          <w:tcPr>
            <w:tcW w:w="372" w:type="pct"/>
            <w:shd w:val="clear" w:color="auto" w:fill="DCDCDC"/>
          </w:tcPr>
          <w:p w14:paraId="7F7D2FF5" w14:textId="77777777" w:rsidR="000C2536" w:rsidRPr="003E0E7D" w:rsidRDefault="000C2536" w:rsidP="000C17B5">
            <w:pPr>
              <w:pStyle w:val="TableCopy"/>
              <w:jc w:val="right"/>
              <w:rPr>
                <w:lang w:eastAsia="en-AU"/>
              </w:rPr>
            </w:pPr>
            <w:r w:rsidRPr="003E0E7D">
              <w:rPr>
                <w:lang w:eastAsia="en-AU"/>
              </w:rPr>
              <w:t>4</w:t>
            </w:r>
          </w:p>
        </w:tc>
        <w:tc>
          <w:tcPr>
            <w:tcW w:w="749" w:type="pct"/>
            <w:shd w:val="clear" w:color="auto" w:fill="DCDCDC"/>
            <w:noWrap/>
            <w:hideMark/>
          </w:tcPr>
          <w:p w14:paraId="00A5CCE8" w14:textId="77777777" w:rsidR="000C2536" w:rsidRPr="003E0E7D" w:rsidRDefault="000C2536" w:rsidP="000C17B5">
            <w:pPr>
              <w:pStyle w:val="TableCopy"/>
              <w:jc w:val="right"/>
              <w:rPr>
                <w:lang w:eastAsia="en-AU"/>
              </w:rPr>
            </w:pPr>
            <w:r w:rsidRPr="003E0E7D">
              <w:rPr>
                <w:lang w:eastAsia="en-AU"/>
              </w:rPr>
              <w:t>1,448.29</w:t>
            </w:r>
          </w:p>
        </w:tc>
        <w:tc>
          <w:tcPr>
            <w:tcW w:w="588" w:type="pct"/>
            <w:shd w:val="clear" w:color="auto" w:fill="DCDCDC"/>
            <w:noWrap/>
            <w:hideMark/>
          </w:tcPr>
          <w:p w14:paraId="73B2A058" w14:textId="24E4EC9E" w:rsidR="000C2536" w:rsidRPr="003E0E7D" w:rsidRDefault="000C2536" w:rsidP="000C17B5">
            <w:pPr>
              <w:pStyle w:val="TableCopy"/>
              <w:jc w:val="right"/>
              <w:rPr>
                <w:rFonts w:ascii="Calibri" w:hAnsi="Calibri"/>
                <w:lang w:eastAsia="en-AU"/>
              </w:rPr>
            </w:pPr>
            <w:r w:rsidRPr="003E0E7D">
              <w:t>1,</w:t>
            </w:r>
            <w:r>
              <w:t>272.65</w:t>
            </w:r>
          </w:p>
        </w:tc>
        <w:tc>
          <w:tcPr>
            <w:tcW w:w="487" w:type="pct"/>
            <w:shd w:val="clear" w:color="auto" w:fill="DCDCDC"/>
            <w:noWrap/>
            <w:hideMark/>
          </w:tcPr>
          <w:p w14:paraId="26BE356D" w14:textId="7D561F0B" w:rsidR="000C2536" w:rsidRPr="003E0E7D" w:rsidRDefault="000C2536" w:rsidP="000C17B5">
            <w:pPr>
              <w:pStyle w:val="TableCopy"/>
              <w:jc w:val="right"/>
              <w:rPr>
                <w:rFonts w:ascii="Calibri" w:hAnsi="Calibri"/>
                <w:b/>
                <w:lang w:eastAsia="en-AU"/>
              </w:rPr>
            </w:pPr>
            <w:r w:rsidRPr="003E0E7D">
              <w:t>2,</w:t>
            </w:r>
            <w:r>
              <w:t>720.94</w:t>
            </w:r>
          </w:p>
        </w:tc>
      </w:tr>
    </w:tbl>
    <w:p w14:paraId="086E8933" w14:textId="641B860A" w:rsidR="000C2536" w:rsidRDefault="000C2536" w:rsidP="000C2536">
      <w:pPr>
        <w:pStyle w:val="BodyCopy"/>
      </w:pPr>
    </w:p>
    <w:p w14:paraId="0EF21004" w14:textId="551ACB5D" w:rsidR="000C2536" w:rsidRDefault="000C2536" w:rsidP="000C2536">
      <w:pPr>
        <w:pStyle w:val="BodyCopy"/>
      </w:pPr>
    </w:p>
    <w:p w14:paraId="45946517" w14:textId="3C924D12" w:rsidR="000C2536" w:rsidRPr="001A1400" w:rsidRDefault="000C2536" w:rsidP="000C2536">
      <w:pPr>
        <w:pStyle w:val="Caption"/>
        <w:rPr>
          <w:rStyle w:val="Captionnotbold"/>
        </w:rPr>
      </w:pPr>
      <w:bookmarkStart w:id="109" w:name="_Ref495069011"/>
      <w:r>
        <w:lastRenderedPageBreak/>
        <w:t xml:space="preserve">Table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Table \* ARABIC \s 1 </w:instrText>
      </w:r>
      <w:r>
        <w:rPr>
          <w:noProof/>
        </w:rPr>
        <w:fldChar w:fldCharType="separate"/>
      </w:r>
      <w:r w:rsidR="0078683A">
        <w:rPr>
          <w:noProof/>
        </w:rPr>
        <w:t>3</w:t>
      </w:r>
      <w:r>
        <w:rPr>
          <w:noProof/>
        </w:rPr>
        <w:fldChar w:fldCharType="end"/>
      </w:r>
      <w:bookmarkEnd w:id="109"/>
      <w:r>
        <w:t xml:space="preserve">: </w:t>
      </w:r>
      <w:r>
        <w:rPr>
          <w:rStyle w:val="Captionnotbold"/>
        </w:rPr>
        <w:t xml:space="preserve">Estimated total </w:t>
      </w:r>
      <w:r w:rsidRPr="001A1400">
        <w:rPr>
          <w:rStyle w:val="Captionnotbold"/>
        </w:rPr>
        <w:t xml:space="preserve">unit cost of NRL </w:t>
      </w:r>
      <w:r>
        <w:rPr>
          <w:rStyle w:val="Captionnotbold"/>
        </w:rPr>
        <w:t xml:space="preserve">confirmatory and reference testing services </w:t>
      </w:r>
      <w:r w:rsidRPr="001A1400">
        <w:rPr>
          <w:rStyle w:val="Captionnotbold"/>
        </w:rPr>
        <w:t xml:space="preserve">(including allocation of Schedule 1 funds) based on </w:t>
      </w:r>
      <w:r>
        <w:rPr>
          <w:rStyle w:val="Captionnotbold"/>
        </w:rPr>
        <w:t xml:space="preserve">four months </w:t>
      </w:r>
      <w:r w:rsidRPr="001A1400">
        <w:rPr>
          <w:rStyle w:val="Captionnotbold"/>
        </w:rPr>
        <w:t>product/service usage</w:t>
      </w:r>
      <w:r>
        <w:rPr>
          <w:rStyle w:val="Captionnotbold"/>
        </w:rPr>
        <w:t>, July to October 2016</w:t>
      </w:r>
    </w:p>
    <w:tbl>
      <w:tblPr>
        <w:tblW w:w="5127"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Layout w:type="fixed"/>
        <w:tblCellMar>
          <w:left w:w="0" w:type="dxa"/>
          <w:right w:w="0" w:type="dxa"/>
        </w:tblCellMar>
        <w:tblLook w:val="04A0" w:firstRow="1" w:lastRow="0" w:firstColumn="1" w:lastColumn="0" w:noHBand="0" w:noVBand="1"/>
      </w:tblPr>
      <w:tblGrid>
        <w:gridCol w:w="2262"/>
        <w:gridCol w:w="3403"/>
        <w:gridCol w:w="2839"/>
        <w:gridCol w:w="1128"/>
        <w:gridCol w:w="2272"/>
        <w:gridCol w:w="1783"/>
        <w:gridCol w:w="1477"/>
      </w:tblGrid>
      <w:tr w:rsidR="000C2536" w:rsidRPr="003E0E7D" w14:paraId="56AE9403" w14:textId="77777777" w:rsidTr="000C17B5">
        <w:trPr>
          <w:trHeight w:val="330"/>
        </w:trPr>
        <w:tc>
          <w:tcPr>
            <w:tcW w:w="746" w:type="pct"/>
            <w:shd w:val="clear" w:color="auto" w:fill="BEBEBE"/>
            <w:noWrap/>
            <w:hideMark/>
          </w:tcPr>
          <w:p w14:paraId="68F709DB" w14:textId="77777777" w:rsidR="000C2536" w:rsidRPr="003E0E7D" w:rsidRDefault="000C2536" w:rsidP="000C17B5">
            <w:pPr>
              <w:pStyle w:val="TableColumnHeading"/>
              <w:jc w:val="center"/>
              <w:rPr>
                <w:lang w:eastAsia="en-AU"/>
              </w:rPr>
            </w:pPr>
            <w:r w:rsidRPr="003E0E7D">
              <w:rPr>
                <w:lang w:eastAsia="en-AU"/>
              </w:rPr>
              <w:t>Item [schedule no.]</w:t>
            </w:r>
          </w:p>
        </w:tc>
        <w:tc>
          <w:tcPr>
            <w:tcW w:w="1122" w:type="pct"/>
            <w:shd w:val="clear" w:color="auto" w:fill="BEBEBE"/>
            <w:noWrap/>
            <w:hideMark/>
          </w:tcPr>
          <w:p w14:paraId="684202FA" w14:textId="77777777" w:rsidR="000C2536" w:rsidRPr="003E0E7D" w:rsidRDefault="000C2536" w:rsidP="000C17B5">
            <w:pPr>
              <w:pStyle w:val="TableColumnHeading"/>
              <w:jc w:val="center"/>
              <w:rPr>
                <w:lang w:eastAsia="en-AU"/>
              </w:rPr>
            </w:pPr>
            <w:r w:rsidRPr="003E0E7D">
              <w:rPr>
                <w:lang w:eastAsia="en-AU"/>
              </w:rPr>
              <w:t>Description as per schedule</w:t>
            </w:r>
          </w:p>
        </w:tc>
        <w:tc>
          <w:tcPr>
            <w:tcW w:w="936" w:type="pct"/>
            <w:shd w:val="clear" w:color="auto" w:fill="BEBEBE"/>
            <w:noWrap/>
            <w:hideMark/>
          </w:tcPr>
          <w:p w14:paraId="47792AA7" w14:textId="77777777" w:rsidR="000C2536" w:rsidRPr="003E0E7D" w:rsidRDefault="000C2536" w:rsidP="000C17B5">
            <w:pPr>
              <w:pStyle w:val="TableColumnHeading"/>
              <w:jc w:val="center"/>
              <w:rPr>
                <w:lang w:eastAsia="en-AU"/>
              </w:rPr>
            </w:pPr>
            <w:r w:rsidRPr="003E0E7D">
              <w:rPr>
                <w:lang w:eastAsia="en-AU"/>
              </w:rPr>
              <w:t>NRL invoice terminology</w:t>
            </w:r>
          </w:p>
        </w:tc>
        <w:tc>
          <w:tcPr>
            <w:tcW w:w="372" w:type="pct"/>
            <w:shd w:val="clear" w:color="auto" w:fill="BEBEBE"/>
          </w:tcPr>
          <w:p w14:paraId="0E662FD9" w14:textId="77777777" w:rsidR="000C2536" w:rsidRPr="003E0E7D" w:rsidRDefault="000C2536" w:rsidP="000C17B5">
            <w:pPr>
              <w:pStyle w:val="TableColumnHeading"/>
              <w:jc w:val="center"/>
              <w:rPr>
                <w:lang w:eastAsia="en-AU"/>
              </w:rPr>
            </w:pPr>
            <w:r w:rsidRPr="003E0E7D">
              <w:rPr>
                <w:lang w:eastAsia="en-AU"/>
              </w:rPr>
              <w:t>No. of units</w:t>
            </w:r>
            <w:r>
              <w:rPr>
                <w:lang w:eastAsia="en-AU"/>
              </w:rPr>
              <w:t xml:space="preserve"> per trimester</w:t>
            </w:r>
          </w:p>
        </w:tc>
        <w:tc>
          <w:tcPr>
            <w:tcW w:w="749" w:type="pct"/>
            <w:shd w:val="clear" w:color="auto" w:fill="BEBEBE"/>
            <w:noWrap/>
            <w:hideMark/>
          </w:tcPr>
          <w:p w14:paraId="01464FE2" w14:textId="77777777" w:rsidR="000C2536" w:rsidRPr="003E0E7D" w:rsidRDefault="000C2536" w:rsidP="000C17B5">
            <w:pPr>
              <w:pStyle w:val="TableColumnHeading"/>
              <w:jc w:val="center"/>
              <w:rPr>
                <w:lang w:eastAsia="en-AU"/>
              </w:rPr>
            </w:pPr>
            <w:r w:rsidRPr="003E0E7D">
              <w:rPr>
                <w:lang w:eastAsia="en-AU"/>
              </w:rPr>
              <w:t xml:space="preserve">Amount per unit from Schedule 2 or 3 </w:t>
            </w:r>
            <w:r w:rsidRPr="003E0E7D">
              <w:rPr>
                <w:lang w:eastAsia="en-AU"/>
              </w:rPr>
              <w:br/>
            </w:r>
            <w:r w:rsidRPr="003E0E7D">
              <w:rPr>
                <w:rFonts w:ascii="Times New Roman" w:hAnsi="Times New Roman"/>
                <w:lang w:eastAsia="en-AU"/>
              </w:rPr>
              <w:t>$</w:t>
            </w:r>
            <w:r w:rsidRPr="003E0E7D">
              <w:rPr>
                <w:rFonts w:ascii="Calibri" w:hAnsi="Calibri"/>
                <w:lang w:eastAsia="en-AU"/>
              </w:rPr>
              <w:t>, excluding GST</w:t>
            </w:r>
          </w:p>
        </w:tc>
        <w:tc>
          <w:tcPr>
            <w:tcW w:w="588" w:type="pct"/>
            <w:shd w:val="clear" w:color="auto" w:fill="BEBEBE"/>
            <w:noWrap/>
            <w:hideMark/>
          </w:tcPr>
          <w:p w14:paraId="01733F7C" w14:textId="77777777" w:rsidR="000C2536" w:rsidRPr="003E0E7D" w:rsidRDefault="000C2536" w:rsidP="000C17B5">
            <w:pPr>
              <w:pStyle w:val="TableColumnHeading"/>
              <w:jc w:val="center"/>
              <w:rPr>
                <w:lang w:eastAsia="en-AU"/>
              </w:rPr>
            </w:pPr>
            <w:r w:rsidRPr="003E0E7D">
              <w:rPr>
                <w:lang w:eastAsia="en-AU"/>
              </w:rPr>
              <w:t>Amount per unit from Schedule 1</w:t>
            </w:r>
            <w:r w:rsidRPr="003E0E7D">
              <w:rPr>
                <w:lang w:eastAsia="en-AU"/>
              </w:rPr>
              <w:br/>
            </w:r>
            <w:r w:rsidRPr="003E0E7D">
              <w:rPr>
                <w:rFonts w:ascii="Calibri" w:hAnsi="Calibri"/>
                <w:lang w:eastAsia="en-AU"/>
              </w:rPr>
              <w:t>$, excluding GST</w:t>
            </w:r>
          </w:p>
        </w:tc>
        <w:tc>
          <w:tcPr>
            <w:tcW w:w="487" w:type="pct"/>
            <w:shd w:val="clear" w:color="auto" w:fill="BEBEBE"/>
            <w:noWrap/>
            <w:hideMark/>
          </w:tcPr>
          <w:p w14:paraId="3D573C3C" w14:textId="77777777" w:rsidR="000C2536" w:rsidRPr="003E0E7D" w:rsidRDefault="000C2536" w:rsidP="000C17B5">
            <w:pPr>
              <w:pStyle w:val="TableColumnHeading"/>
              <w:jc w:val="center"/>
              <w:rPr>
                <w:b/>
                <w:lang w:eastAsia="en-AU"/>
              </w:rPr>
            </w:pPr>
            <w:r w:rsidRPr="00336F93">
              <w:rPr>
                <w:bCs/>
                <w:lang w:eastAsia="en-AU"/>
              </w:rPr>
              <w:t>Total</w:t>
            </w:r>
            <w:r w:rsidRPr="003E0E7D">
              <w:rPr>
                <w:b/>
                <w:lang w:eastAsia="en-AU"/>
              </w:rPr>
              <w:t xml:space="preserve"> </w:t>
            </w:r>
            <w:r w:rsidRPr="00336F93">
              <w:rPr>
                <w:bCs/>
                <w:lang w:eastAsia="en-AU"/>
              </w:rPr>
              <w:t>unit cost</w:t>
            </w:r>
            <w:r w:rsidRPr="00336F93">
              <w:rPr>
                <w:bCs/>
                <w:lang w:eastAsia="en-AU"/>
              </w:rPr>
              <w:br/>
            </w:r>
            <w:r w:rsidRPr="00336F93">
              <w:rPr>
                <w:rFonts w:ascii="Calibri" w:hAnsi="Calibri"/>
                <w:bCs/>
                <w:lang w:eastAsia="en-AU"/>
              </w:rPr>
              <w:t>$, excluding GST</w:t>
            </w:r>
          </w:p>
        </w:tc>
      </w:tr>
      <w:tr w:rsidR="000C2536" w:rsidRPr="003E0E7D" w14:paraId="6990CA70" w14:textId="77777777" w:rsidTr="000C17B5">
        <w:trPr>
          <w:trHeight w:val="315"/>
        </w:trPr>
        <w:tc>
          <w:tcPr>
            <w:tcW w:w="746" w:type="pct"/>
            <w:shd w:val="clear" w:color="auto" w:fill="DCDCDC"/>
            <w:noWrap/>
            <w:hideMark/>
          </w:tcPr>
          <w:p w14:paraId="027109E4" w14:textId="77777777" w:rsidR="000C2536" w:rsidRPr="003E0E7D" w:rsidRDefault="000C2536" w:rsidP="000C17B5">
            <w:pPr>
              <w:pStyle w:val="TableCopy"/>
              <w:rPr>
                <w:b/>
                <w:bCs/>
                <w:lang w:eastAsia="en-AU"/>
              </w:rPr>
            </w:pPr>
            <w:r w:rsidRPr="003E0E7D">
              <w:rPr>
                <w:b/>
                <w:bCs/>
                <w:lang w:eastAsia="en-AU"/>
              </w:rPr>
              <w:t>Confirmatory Testing [3]</w:t>
            </w:r>
          </w:p>
        </w:tc>
        <w:tc>
          <w:tcPr>
            <w:tcW w:w="1122" w:type="pct"/>
            <w:shd w:val="clear" w:color="auto" w:fill="DCDCDC"/>
            <w:noWrap/>
            <w:hideMark/>
          </w:tcPr>
          <w:p w14:paraId="4595184A" w14:textId="77777777" w:rsidR="000C2536" w:rsidRPr="003E0E7D" w:rsidRDefault="000C2536" w:rsidP="000C17B5">
            <w:pPr>
              <w:pStyle w:val="TableCopy"/>
              <w:rPr>
                <w:lang w:eastAsia="en-AU"/>
              </w:rPr>
            </w:pPr>
            <w:r w:rsidRPr="003E0E7D">
              <w:rPr>
                <w:lang w:eastAsia="en-AU"/>
              </w:rPr>
              <w:t>For ARCBS activities that test positive, equivocal or indeterminate for HIV, HBV or HCV Serology and NAT</w:t>
            </w:r>
          </w:p>
        </w:tc>
        <w:tc>
          <w:tcPr>
            <w:tcW w:w="936" w:type="pct"/>
            <w:shd w:val="clear" w:color="auto" w:fill="DCDCDC"/>
            <w:noWrap/>
            <w:hideMark/>
          </w:tcPr>
          <w:p w14:paraId="03D1AC06" w14:textId="77777777" w:rsidR="000C2536" w:rsidRPr="003E0E7D" w:rsidRDefault="000C2536" w:rsidP="000C17B5">
            <w:pPr>
              <w:pStyle w:val="TableCopy"/>
              <w:rPr>
                <w:lang w:eastAsia="en-AU"/>
              </w:rPr>
            </w:pPr>
            <w:r w:rsidRPr="003E0E7D">
              <w:rPr>
                <w:lang w:eastAsia="en-AU"/>
              </w:rPr>
              <w:t>HIV, HCV, HBV NAT confirmatory testing</w:t>
            </w:r>
          </w:p>
        </w:tc>
        <w:tc>
          <w:tcPr>
            <w:tcW w:w="372" w:type="pct"/>
            <w:shd w:val="clear" w:color="auto" w:fill="DCDCDC"/>
          </w:tcPr>
          <w:p w14:paraId="1DC12432" w14:textId="77777777" w:rsidR="000C2536" w:rsidRPr="003E0E7D" w:rsidRDefault="000C2536" w:rsidP="000C17B5">
            <w:pPr>
              <w:pStyle w:val="TableCopy"/>
              <w:jc w:val="right"/>
              <w:rPr>
                <w:lang w:eastAsia="en-AU"/>
              </w:rPr>
            </w:pPr>
            <w:r w:rsidRPr="003E0E7D">
              <w:rPr>
                <w:lang w:eastAsia="en-AU"/>
              </w:rPr>
              <w:t>33</w:t>
            </w:r>
          </w:p>
        </w:tc>
        <w:tc>
          <w:tcPr>
            <w:tcW w:w="749" w:type="pct"/>
            <w:shd w:val="clear" w:color="auto" w:fill="DCDCDC"/>
            <w:noWrap/>
            <w:hideMark/>
          </w:tcPr>
          <w:p w14:paraId="1596469E" w14:textId="77777777" w:rsidR="000C2536" w:rsidRPr="003E0E7D" w:rsidRDefault="000C2536" w:rsidP="000C17B5">
            <w:pPr>
              <w:pStyle w:val="TableCopy"/>
              <w:jc w:val="right"/>
              <w:rPr>
                <w:lang w:eastAsia="en-AU"/>
              </w:rPr>
            </w:pPr>
            <w:r w:rsidRPr="003E0E7D">
              <w:rPr>
                <w:lang w:eastAsia="en-AU"/>
              </w:rPr>
              <w:t>95.06</w:t>
            </w:r>
          </w:p>
        </w:tc>
        <w:tc>
          <w:tcPr>
            <w:tcW w:w="588" w:type="pct"/>
            <w:shd w:val="clear" w:color="auto" w:fill="DCDCDC"/>
            <w:noWrap/>
            <w:hideMark/>
          </w:tcPr>
          <w:p w14:paraId="411FD492" w14:textId="6BF1EB4B" w:rsidR="000C2536" w:rsidRPr="00336F93" w:rsidRDefault="000C2536" w:rsidP="000C17B5">
            <w:pPr>
              <w:pStyle w:val="TableCopy"/>
              <w:jc w:val="right"/>
              <w:rPr>
                <w:rFonts w:ascii="Calibri" w:hAnsi="Calibri"/>
                <w:bCs/>
                <w:lang w:eastAsia="en-AU"/>
              </w:rPr>
            </w:pPr>
            <w:r w:rsidRPr="00336F93">
              <w:rPr>
                <w:bCs/>
              </w:rPr>
              <w:t xml:space="preserve">83.53 </w:t>
            </w:r>
          </w:p>
        </w:tc>
        <w:tc>
          <w:tcPr>
            <w:tcW w:w="487" w:type="pct"/>
            <w:shd w:val="clear" w:color="auto" w:fill="DCDCDC"/>
            <w:noWrap/>
            <w:hideMark/>
          </w:tcPr>
          <w:p w14:paraId="7D2AAF37" w14:textId="3ADC97A7" w:rsidR="000C2536" w:rsidRPr="00336F93" w:rsidRDefault="000C2536" w:rsidP="000C17B5">
            <w:pPr>
              <w:pStyle w:val="TableCopy"/>
              <w:jc w:val="right"/>
              <w:rPr>
                <w:rFonts w:ascii="Calibri" w:hAnsi="Calibri"/>
                <w:bCs/>
                <w:lang w:eastAsia="en-AU"/>
              </w:rPr>
            </w:pPr>
            <w:r w:rsidRPr="00336F93">
              <w:rPr>
                <w:bCs/>
              </w:rPr>
              <w:t>178.59</w:t>
            </w:r>
          </w:p>
        </w:tc>
      </w:tr>
      <w:tr w:rsidR="000C2536" w:rsidRPr="003E0E7D" w14:paraId="2DF47E82" w14:textId="77777777" w:rsidTr="000C17B5">
        <w:trPr>
          <w:trHeight w:val="315"/>
        </w:trPr>
        <w:tc>
          <w:tcPr>
            <w:tcW w:w="746" w:type="pct"/>
            <w:shd w:val="clear" w:color="auto" w:fill="DCDCDC"/>
            <w:noWrap/>
            <w:hideMark/>
          </w:tcPr>
          <w:p w14:paraId="72B31575" w14:textId="77777777" w:rsidR="000C2536" w:rsidRPr="003E0E7D" w:rsidRDefault="000C2536" w:rsidP="000C17B5">
            <w:pPr>
              <w:pStyle w:val="TableCopy"/>
              <w:rPr>
                <w:b/>
                <w:bCs/>
                <w:lang w:eastAsia="en-AU"/>
              </w:rPr>
            </w:pPr>
            <w:r w:rsidRPr="003E0E7D">
              <w:rPr>
                <w:b/>
                <w:bCs/>
                <w:lang w:eastAsia="en-AU"/>
              </w:rPr>
              <w:t xml:space="preserve">Reference Testing [2] </w:t>
            </w:r>
          </w:p>
        </w:tc>
        <w:tc>
          <w:tcPr>
            <w:tcW w:w="1122" w:type="pct"/>
            <w:shd w:val="clear" w:color="auto" w:fill="DCDCDC"/>
            <w:noWrap/>
            <w:hideMark/>
          </w:tcPr>
          <w:p w14:paraId="5B4B237C" w14:textId="77777777" w:rsidR="000C2536" w:rsidRPr="003E0E7D" w:rsidRDefault="000C2536" w:rsidP="000C17B5">
            <w:pPr>
              <w:pStyle w:val="TableCopy"/>
              <w:rPr>
                <w:lang w:eastAsia="en-AU"/>
              </w:rPr>
            </w:pPr>
            <w:r w:rsidRPr="003E0E7D">
              <w:rPr>
                <w:lang w:eastAsia="en-AU"/>
              </w:rPr>
              <w:t>Provision of HIV and HTLV reference testing including the maintenance of expertise in in-house IVDs and ensuring necessary registration of these through the TGA</w:t>
            </w:r>
          </w:p>
        </w:tc>
        <w:tc>
          <w:tcPr>
            <w:tcW w:w="936" w:type="pct"/>
            <w:shd w:val="clear" w:color="auto" w:fill="DCDCDC"/>
            <w:noWrap/>
            <w:hideMark/>
          </w:tcPr>
          <w:p w14:paraId="6C9D4128" w14:textId="77777777" w:rsidR="000C2536" w:rsidRPr="003E0E7D" w:rsidRDefault="000C2536" w:rsidP="000C17B5">
            <w:pPr>
              <w:pStyle w:val="TableCopy"/>
              <w:rPr>
                <w:lang w:eastAsia="en-AU"/>
              </w:rPr>
            </w:pPr>
            <w:r w:rsidRPr="003E0E7D">
              <w:rPr>
                <w:lang w:eastAsia="en-AU"/>
              </w:rPr>
              <w:t>HIV and HTLV diagnostic specimens tested</w:t>
            </w:r>
          </w:p>
        </w:tc>
        <w:tc>
          <w:tcPr>
            <w:tcW w:w="372" w:type="pct"/>
            <w:shd w:val="clear" w:color="auto" w:fill="DCDCDC"/>
          </w:tcPr>
          <w:p w14:paraId="67D9980F" w14:textId="77777777" w:rsidR="000C2536" w:rsidRPr="003E0E7D" w:rsidRDefault="000C2536" w:rsidP="000C17B5">
            <w:pPr>
              <w:pStyle w:val="TableCopy"/>
              <w:jc w:val="right"/>
              <w:rPr>
                <w:lang w:eastAsia="en-AU"/>
              </w:rPr>
            </w:pPr>
            <w:r w:rsidRPr="003E0E7D">
              <w:rPr>
                <w:lang w:eastAsia="en-AU"/>
              </w:rPr>
              <w:t>105</w:t>
            </w:r>
          </w:p>
        </w:tc>
        <w:tc>
          <w:tcPr>
            <w:tcW w:w="749" w:type="pct"/>
            <w:shd w:val="clear" w:color="auto" w:fill="DCDCDC"/>
            <w:noWrap/>
            <w:hideMark/>
          </w:tcPr>
          <w:p w14:paraId="21AB7375" w14:textId="77777777" w:rsidR="000C2536" w:rsidRPr="003E0E7D" w:rsidRDefault="000C2536" w:rsidP="000C17B5">
            <w:pPr>
              <w:pStyle w:val="TableCopy"/>
              <w:jc w:val="right"/>
              <w:rPr>
                <w:lang w:eastAsia="en-AU"/>
              </w:rPr>
            </w:pPr>
            <w:r w:rsidRPr="003E0E7D">
              <w:rPr>
                <w:lang w:eastAsia="en-AU"/>
              </w:rPr>
              <w:t>212.78</w:t>
            </w:r>
          </w:p>
        </w:tc>
        <w:tc>
          <w:tcPr>
            <w:tcW w:w="588" w:type="pct"/>
            <w:shd w:val="clear" w:color="auto" w:fill="DCDCDC"/>
            <w:noWrap/>
            <w:hideMark/>
          </w:tcPr>
          <w:p w14:paraId="49791A95" w14:textId="3BB2C1CD" w:rsidR="000C2536" w:rsidRPr="00336F93" w:rsidRDefault="000C2536" w:rsidP="000C17B5">
            <w:pPr>
              <w:pStyle w:val="TableCopy"/>
              <w:jc w:val="right"/>
              <w:rPr>
                <w:bCs/>
              </w:rPr>
            </w:pPr>
            <w:r w:rsidRPr="00336F93">
              <w:rPr>
                <w:bCs/>
              </w:rPr>
              <w:t>126.47</w:t>
            </w:r>
          </w:p>
        </w:tc>
        <w:tc>
          <w:tcPr>
            <w:tcW w:w="487" w:type="pct"/>
            <w:shd w:val="clear" w:color="auto" w:fill="DCDCDC"/>
            <w:noWrap/>
            <w:hideMark/>
          </w:tcPr>
          <w:p w14:paraId="45FDA01E" w14:textId="48B17EC2" w:rsidR="000C2536" w:rsidRPr="00336F93" w:rsidRDefault="000C2536" w:rsidP="000C17B5">
            <w:pPr>
              <w:pStyle w:val="TableCopy"/>
              <w:jc w:val="right"/>
              <w:rPr>
                <w:bCs/>
              </w:rPr>
            </w:pPr>
            <w:r w:rsidRPr="00336F93">
              <w:rPr>
                <w:bCs/>
              </w:rPr>
              <w:t>339.25</w:t>
            </w:r>
          </w:p>
        </w:tc>
      </w:tr>
    </w:tbl>
    <w:p w14:paraId="7FF89043" w14:textId="77777777" w:rsidR="000C2536" w:rsidRDefault="000C2536" w:rsidP="000C2536">
      <w:pPr>
        <w:pStyle w:val="BodyCopy"/>
      </w:pPr>
    </w:p>
    <w:p w14:paraId="1F127788" w14:textId="77777777" w:rsidR="000C2536" w:rsidRPr="000C2536" w:rsidRDefault="000C2536" w:rsidP="000C2536">
      <w:pPr>
        <w:pStyle w:val="BodyCopy"/>
      </w:pPr>
    </w:p>
    <w:p w14:paraId="1395CAAF" w14:textId="77777777" w:rsidR="000C2536" w:rsidRDefault="000C2536" w:rsidP="000C2536">
      <w:pPr>
        <w:sectPr w:rsidR="000C2536" w:rsidSect="000C2536">
          <w:footnotePr>
            <w:numFmt w:val="lowerLetter"/>
          </w:footnotePr>
          <w:pgSz w:w="16839" w:h="11907" w:orient="landscape" w:code="9"/>
          <w:pgMar w:top="2268" w:right="1304" w:bottom="851" w:left="737" w:header="567" w:footer="284" w:gutter="0"/>
          <w:cols w:space="709"/>
          <w:docGrid w:linePitch="360"/>
        </w:sectPr>
      </w:pPr>
    </w:p>
    <w:p w14:paraId="02994415" w14:textId="35CE82D2" w:rsidR="00141D54" w:rsidRDefault="00141D54" w:rsidP="00C916B2">
      <w:pPr>
        <w:pStyle w:val="HeadingAppendix2"/>
        <w:rPr>
          <w:shd w:val="clear" w:color="auto" w:fill="FFFFFF"/>
        </w:rPr>
      </w:pPr>
      <w:bookmarkStart w:id="110" w:name="_Toc18664689"/>
      <w:r>
        <w:rPr>
          <w:shd w:val="clear" w:color="auto" w:fill="FFFFFF"/>
        </w:rPr>
        <w:lastRenderedPageBreak/>
        <w:t>Refinement of funding options</w:t>
      </w:r>
      <w:bookmarkEnd w:id="102"/>
      <w:bookmarkEnd w:id="105"/>
      <w:bookmarkEnd w:id="110"/>
    </w:p>
    <w:p w14:paraId="4CD57E7E" w14:textId="77777777" w:rsidR="000D5C61" w:rsidRDefault="000D5C61" w:rsidP="00896798">
      <w:pPr>
        <w:pStyle w:val="ESHeading2"/>
      </w:pPr>
      <w:r>
        <w:t>Payment Base models</w:t>
      </w:r>
    </w:p>
    <w:p w14:paraId="35628FB4" w14:textId="77777777" w:rsidR="000D5C61" w:rsidRDefault="000D5C61" w:rsidP="000D5C61">
      <w:pPr>
        <w:pStyle w:val="BodyCopy"/>
        <w:keepNext/>
      </w:pPr>
      <w:r>
        <w:t>Three broad types of payment bases for possible funding models were considered as a part of this review. These were:</w:t>
      </w:r>
    </w:p>
    <w:p w14:paraId="212FB466" w14:textId="77777777" w:rsidR="000D5C61" w:rsidRDefault="000D5C61" w:rsidP="00CB3CCF">
      <w:pPr>
        <w:pStyle w:val="Numbers1"/>
        <w:numPr>
          <w:ilvl w:val="0"/>
          <w:numId w:val="24"/>
        </w:numPr>
        <w:tabs>
          <w:tab w:val="left" w:pos="720"/>
        </w:tabs>
      </w:pPr>
      <w:r>
        <w:t>individualised (consumer directed)</w:t>
      </w:r>
    </w:p>
    <w:p w14:paraId="3E2875E3" w14:textId="77777777" w:rsidR="000D5C61" w:rsidRDefault="000D5C61" w:rsidP="00CB3CCF">
      <w:pPr>
        <w:pStyle w:val="Numbers1"/>
        <w:numPr>
          <w:ilvl w:val="0"/>
          <w:numId w:val="24"/>
        </w:numPr>
        <w:tabs>
          <w:tab w:val="left" w:pos="720"/>
        </w:tabs>
      </w:pPr>
      <w:r>
        <w:t xml:space="preserve">activity-based (output derived), and </w:t>
      </w:r>
    </w:p>
    <w:p w14:paraId="313F4E39" w14:textId="77777777" w:rsidR="000D5C61" w:rsidRDefault="000D5C61" w:rsidP="00CB3CCF">
      <w:pPr>
        <w:pStyle w:val="Numbers1"/>
        <w:numPr>
          <w:ilvl w:val="0"/>
          <w:numId w:val="24"/>
        </w:numPr>
        <w:tabs>
          <w:tab w:val="left" w:pos="720"/>
        </w:tabs>
      </w:pPr>
      <w:r>
        <w:t xml:space="preserve">performance-based (outcome derived) funding models. </w:t>
      </w:r>
    </w:p>
    <w:p w14:paraId="64A8A27E" w14:textId="77777777" w:rsidR="000D5C61" w:rsidRDefault="000D5C61" w:rsidP="000D5C61">
      <w:pPr>
        <w:pStyle w:val="BodyCopy"/>
      </w:pPr>
      <w:r>
        <w:t xml:space="preserve">Activity-based funding models fund service providers for the cost of the inputs required to undertake specified activities. This is the model by which NRL services are currently funded. Conversely, performance-based funding models fund service providers when desired outcomes have been achieved, while individualised funding aims to tailor services based on the varying needs of individual consumers. </w:t>
      </w:r>
    </w:p>
    <w:p w14:paraId="346EA80C" w14:textId="4AD6EE36" w:rsidR="000D5C61" w:rsidRDefault="000D5C61" w:rsidP="000D5C61">
      <w:pPr>
        <w:pStyle w:val="BodyCopy"/>
      </w:pPr>
      <w:r>
        <w:t xml:space="preserve">There are advantages and disadvantages of the funding options (see </w:t>
      </w:r>
      <w:r>
        <w:rPr>
          <w:highlight w:val="yellow"/>
        </w:rPr>
        <w:fldChar w:fldCharType="begin"/>
      </w:r>
      <w:r>
        <w:instrText xml:space="preserve"> REF _Ref494106989 \h </w:instrText>
      </w:r>
      <w:r>
        <w:rPr>
          <w:highlight w:val="yellow"/>
        </w:rPr>
      </w:r>
      <w:r>
        <w:rPr>
          <w:highlight w:val="yellow"/>
        </w:rPr>
        <w:fldChar w:fldCharType="separate"/>
      </w:r>
      <w:r w:rsidR="0078683A">
        <w:t xml:space="preserve">Table </w:t>
      </w:r>
      <w:r w:rsidR="0078683A">
        <w:rPr>
          <w:noProof/>
        </w:rPr>
        <w:t>9</w:t>
      </w:r>
      <w:r w:rsidR="0078683A">
        <w:t>.</w:t>
      </w:r>
      <w:r w:rsidR="0078683A">
        <w:rPr>
          <w:noProof/>
        </w:rPr>
        <w:t>4</w:t>
      </w:r>
      <w:r>
        <w:rPr>
          <w:highlight w:val="yellow"/>
        </w:rPr>
        <w:fldChar w:fldCharType="end"/>
      </w:r>
      <w:r>
        <w:t>)</w:t>
      </w:r>
      <w:r w:rsidR="00D74DEF">
        <w:t>. S</w:t>
      </w:r>
      <w:r>
        <w:t xml:space="preserve">electing the most appropriate model (or hybrid) will depend largely on the type of program to be funded. </w:t>
      </w:r>
    </w:p>
    <w:p w14:paraId="143199E5" w14:textId="41E984D5" w:rsidR="000D5C61" w:rsidRDefault="000D5C61" w:rsidP="000D5C61">
      <w:pPr>
        <w:pStyle w:val="Caption"/>
        <w:rPr>
          <w:rStyle w:val="Captionnotbold"/>
          <w:bCs w:val="0"/>
        </w:rPr>
      </w:pPr>
      <w:bookmarkStart w:id="111" w:name="_Ref494106989"/>
      <w:r>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9</w:t>
      </w:r>
      <w:r w:rsidR="007F2202">
        <w:rPr>
          <w:noProof/>
        </w:rPr>
        <w:fldChar w:fldCharType="end"/>
      </w:r>
      <w:r>
        <w:t>.</w:t>
      </w:r>
      <w:r w:rsidR="0083660F">
        <w:rPr>
          <w:noProof/>
        </w:rPr>
        <w:fldChar w:fldCharType="begin"/>
      </w:r>
      <w:r w:rsidR="0083660F">
        <w:rPr>
          <w:noProof/>
        </w:rPr>
        <w:instrText xml:space="preserve"> SEQ Table \* ARABIC \s 1 </w:instrText>
      </w:r>
      <w:r w:rsidR="0083660F">
        <w:rPr>
          <w:noProof/>
        </w:rPr>
        <w:fldChar w:fldCharType="separate"/>
      </w:r>
      <w:r w:rsidR="0078683A">
        <w:rPr>
          <w:noProof/>
        </w:rPr>
        <w:t>4</w:t>
      </w:r>
      <w:r w:rsidR="0083660F">
        <w:rPr>
          <w:noProof/>
        </w:rPr>
        <w:fldChar w:fldCharType="end"/>
      </w:r>
      <w:bookmarkEnd w:id="111"/>
      <w:r>
        <w:t xml:space="preserve">: </w:t>
      </w:r>
      <w:r>
        <w:rPr>
          <w:rStyle w:val="Captionnotbold"/>
          <w:bCs w:val="0"/>
        </w:rPr>
        <w:t>Advantages and disadvantages of funding model options</w:t>
      </w:r>
    </w:p>
    <w:tbl>
      <w:tblPr>
        <w:tblW w:w="5000" w:type="pct"/>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1839"/>
        <w:gridCol w:w="1843"/>
        <w:gridCol w:w="3352"/>
      </w:tblGrid>
      <w:tr w:rsidR="00276C1B" w:rsidRPr="003E0E7D" w14:paraId="3D960E56" w14:textId="77777777" w:rsidTr="003E0E7D">
        <w:trPr>
          <w:cantSplit/>
          <w:tblHeader/>
        </w:trPr>
        <w:tc>
          <w:tcPr>
            <w:tcW w:w="1307" w:type="pct"/>
            <w:tcBorders>
              <w:top w:val="single" w:sz="4" w:space="0" w:color="4B4B4B"/>
              <w:left w:val="single" w:sz="4" w:space="0" w:color="FFFFFF"/>
              <w:bottom w:val="single" w:sz="4" w:space="0" w:color="4B4B4B"/>
              <w:right w:val="single" w:sz="4" w:space="0" w:color="FFFFFF"/>
            </w:tcBorders>
            <w:shd w:val="clear" w:color="auto" w:fill="BEBEBE"/>
            <w:hideMark/>
          </w:tcPr>
          <w:p w14:paraId="4DE9AF3F" w14:textId="77777777" w:rsidR="000D5C61" w:rsidRPr="003E0E7D" w:rsidRDefault="000D5C61" w:rsidP="004E050E">
            <w:pPr>
              <w:pStyle w:val="TableColumnHeading"/>
            </w:pPr>
            <w:r w:rsidRPr="003E0E7D">
              <w:t xml:space="preserve">Funding model </w:t>
            </w:r>
          </w:p>
        </w:tc>
        <w:tc>
          <w:tcPr>
            <w:tcW w:w="1310" w:type="pct"/>
            <w:tcBorders>
              <w:top w:val="single" w:sz="4" w:space="0" w:color="4B4B4B"/>
              <w:left w:val="single" w:sz="4" w:space="0" w:color="FFFFFF"/>
              <w:bottom w:val="single" w:sz="4" w:space="0" w:color="4B4B4B"/>
              <w:right w:val="single" w:sz="4" w:space="0" w:color="FFFFFF"/>
            </w:tcBorders>
            <w:shd w:val="clear" w:color="auto" w:fill="BEBEBE"/>
            <w:hideMark/>
          </w:tcPr>
          <w:p w14:paraId="18F4E18D" w14:textId="77777777" w:rsidR="000D5C61" w:rsidRPr="003E0E7D" w:rsidRDefault="000D5C61" w:rsidP="004E050E">
            <w:pPr>
              <w:pStyle w:val="TableColumnHeading"/>
            </w:pPr>
            <w:r w:rsidRPr="003E0E7D">
              <w:t>Advantages</w:t>
            </w:r>
          </w:p>
        </w:tc>
        <w:tc>
          <w:tcPr>
            <w:tcW w:w="2383" w:type="pct"/>
            <w:tcBorders>
              <w:top w:val="single" w:sz="4" w:space="0" w:color="4B4B4B"/>
              <w:left w:val="single" w:sz="4" w:space="0" w:color="FFFFFF"/>
              <w:bottom w:val="single" w:sz="4" w:space="0" w:color="4B4B4B"/>
              <w:right w:val="single" w:sz="4" w:space="0" w:color="FFFFFF"/>
            </w:tcBorders>
            <w:shd w:val="clear" w:color="auto" w:fill="BEBEBE"/>
            <w:hideMark/>
          </w:tcPr>
          <w:p w14:paraId="057D93A7" w14:textId="77777777" w:rsidR="000D5C61" w:rsidRPr="003E0E7D" w:rsidRDefault="000D5C61" w:rsidP="004E050E">
            <w:pPr>
              <w:pStyle w:val="TableColumnHeading"/>
            </w:pPr>
            <w:r w:rsidRPr="003E0E7D">
              <w:t>Disadvantages</w:t>
            </w:r>
          </w:p>
        </w:tc>
      </w:tr>
      <w:tr w:rsidR="00276C1B" w:rsidRPr="003E0E7D" w14:paraId="314AEE2B" w14:textId="77777777" w:rsidTr="003E0E7D">
        <w:trPr>
          <w:cantSplit/>
        </w:trPr>
        <w:tc>
          <w:tcPr>
            <w:tcW w:w="1307" w:type="pct"/>
            <w:tcBorders>
              <w:top w:val="single" w:sz="4" w:space="0" w:color="4B4B4B"/>
              <w:left w:val="single" w:sz="4" w:space="0" w:color="FFFFFF"/>
              <w:bottom w:val="single" w:sz="4" w:space="0" w:color="4B4B4B"/>
              <w:right w:val="single" w:sz="4" w:space="0" w:color="FFFFFF"/>
            </w:tcBorders>
            <w:shd w:val="clear" w:color="auto" w:fill="DCDCDC"/>
            <w:hideMark/>
          </w:tcPr>
          <w:p w14:paraId="40B0DA93" w14:textId="77777777" w:rsidR="000D5C61" w:rsidRPr="003E0E7D" w:rsidRDefault="000D5C61" w:rsidP="004E050E">
            <w:pPr>
              <w:pStyle w:val="TableCopy"/>
              <w:rPr>
                <w:b/>
              </w:rPr>
            </w:pPr>
            <w:r w:rsidRPr="003E0E7D">
              <w:rPr>
                <w:b/>
              </w:rPr>
              <w:t xml:space="preserve">Individualised </w:t>
            </w:r>
          </w:p>
          <w:p w14:paraId="5BBE115E" w14:textId="77777777" w:rsidR="000D5C61" w:rsidRPr="003E0E7D" w:rsidRDefault="000D5C61" w:rsidP="004E050E">
            <w:pPr>
              <w:pStyle w:val="TableCopy"/>
              <w:rPr>
                <w:b/>
              </w:rPr>
            </w:pPr>
            <w:r w:rsidRPr="003E0E7D">
              <w:t>Funding allocated based on the individual needs of the consumer</w:t>
            </w:r>
          </w:p>
        </w:tc>
        <w:tc>
          <w:tcPr>
            <w:tcW w:w="1310" w:type="pct"/>
            <w:tcBorders>
              <w:top w:val="single" w:sz="4" w:space="0" w:color="4B4B4B"/>
              <w:left w:val="single" w:sz="4" w:space="0" w:color="FFFFFF"/>
              <w:bottom w:val="single" w:sz="4" w:space="0" w:color="4B4B4B"/>
              <w:right w:val="single" w:sz="4" w:space="0" w:color="FFFFFF"/>
            </w:tcBorders>
            <w:shd w:val="clear" w:color="auto" w:fill="DCDCDC"/>
            <w:hideMark/>
          </w:tcPr>
          <w:p w14:paraId="25AD266E" w14:textId="77777777" w:rsidR="000D5C61" w:rsidRPr="003E0E7D" w:rsidRDefault="000D5C61" w:rsidP="003E0E7D">
            <w:pPr>
              <w:pStyle w:val="TableBullets1"/>
              <w:numPr>
                <w:ilvl w:val="0"/>
                <w:numId w:val="19"/>
              </w:numPr>
            </w:pPr>
            <w:r w:rsidRPr="003E0E7D">
              <w:t>Tailored funding options for individual need</w:t>
            </w:r>
          </w:p>
        </w:tc>
        <w:tc>
          <w:tcPr>
            <w:tcW w:w="2383" w:type="pct"/>
            <w:tcBorders>
              <w:top w:val="single" w:sz="4" w:space="0" w:color="4B4B4B"/>
              <w:left w:val="single" w:sz="4" w:space="0" w:color="FFFFFF"/>
              <w:bottom w:val="single" w:sz="4" w:space="0" w:color="4B4B4B"/>
              <w:right w:val="single" w:sz="4" w:space="0" w:color="FFFFFF"/>
            </w:tcBorders>
            <w:shd w:val="clear" w:color="auto" w:fill="DCDCDC"/>
            <w:hideMark/>
          </w:tcPr>
          <w:p w14:paraId="7EA81749" w14:textId="77777777" w:rsidR="000D5C61" w:rsidRPr="003E0E7D" w:rsidRDefault="000D5C61" w:rsidP="003E0E7D">
            <w:pPr>
              <w:pStyle w:val="TableBullets1"/>
              <w:numPr>
                <w:ilvl w:val="0"/>
                <w:numId w:val="19"/>
              </w:numPr>
            </w:pPr>
            <w:r w:rsidRPr="003E0E7D">
              <w:t xml:space="preserve">Assumes competitive market of service provision </w:t>
            </w:r>
          </w:p>
          <w:p w14:paraId="119236BF" w14:textId="77777777" w:rsidR="000D5C61" w:rsidRPr="003E0E7D" w:rsidRDefault="000D5C61" w:rsidP="003E0E7D">
            <w:pPr>
              <w:pStyle w:val="TableBullets1"/>
              <w:numPr>
                <w:ilvl w:val="0"/>
                <w:numId w:val="19"/>
              </w:numPr>
            </w:pPr>
            <w:r w:rsidRPr="003E0E7D">
              <w:t xml:space="preserve">Assumes consumers have varying needs </w:t>
            </w:r>
          </w:p>
        </w:tc>
      </w:tr>
      <w:tr w:rsidR="00276C1B" w:rsidRPr="003E0E7D" w14:paraId="3C2B66B1" w14:textId="77777777" w:rsidTr="003E0E7D">
        <w:trPr>
          <w:cantSplit/>
        </w:trPr>
        <w:tc>
          <w:tcPr>
            <w:tcW w:w="1307" w:type="pct"/>
            <w:tcBorders>
              <w:top w:val="single" w:sz="4" w:space="0" w:color="4B4B4B"/>
              <w:left w:val="single" w:sz="4" w:space="0" w:color="FFFFFF"/>
              <w:bottom w:val="single" w:sz="4" w:space="0" w:color="4B4B4B"/>
              <w:right w:val="single" w:sz="4" w:space="0" w:color="FFFFFF"/>
            </w:tcBorders>
            <w:shd w:val="clear" w:color="auto" w:fill="DCDCDC"/>
            <w:hideMark/>
          </w:tcPr>
          <w:p w14:paraId="229FA49D" w14:textId="77777777" w:rsidR="000D5C61" w:rsidRPr="003E0E7D" w:rsidRDefault="000D5C61" w:rsidP="004E050E">
            <w:pPr>
              <w:pStyle w:val="TableCopy"/>
              <w:rPr>
                <w:b/>
              </w:rPr>
            </w:pPr>
            <w:r w:rsidRPr="003E0E7D">
              <w:rPr>
                <w:b/>
              </w:rPr>
              <w:t xml:space="preserve">Performance-based </w:t>
            </w:r>
          </w:p>
          <w:p w14:paraId="617AEF54" w14:textId="77777777" w:rsidR="000D5C61" w:rsidRPr="003E0E7D" w:rsidRDefault="000D5C61" w:rsidP="004E050E">
            <w:pPr>
              <w:pStyle w:val="TableCopy"/>
            </w:pPr>
            <w:r w:rsidRPr="003E0E7D">
              <w:t>Funding based on outcomes produced</w:t>
            </w:r>
          </w:p>
        </w:tc>
        <w:tc>
          <w:tcPr>
            <w:tcW w:w="1310" w:type="pct"/>
            <w:tcBorders>
              <w:top w:val="single" w:sz="4" w:space="0" w:color="4B4B4B"/>
              <w:left w:val="single" w:sz="4" w:space="0" w:color="FFFFFF"/>
              <w:bottom w:val="single" w:sz="4" w:space="0" w:color="4B4B4B"/>
              <w:right w:val="single" w:sz="4" w:space="0" w:color="FFFFFF"/>
            </w:tcBorders>
            <w:shd w:val="clear" w:color="auto" w:fill="DCDCDC"/>
            <w:hideMark/>
          </w:tcPr>
          <w:p w14:paraId="443C509E" w14:textId="77777777" w:rsidR="000D5C61" w:rsidRPr="003E0E7D" w:rsidRDefault="000D5C61" w:rsidP="003E0E7D">
            <w:pPr>
              <w:pStyle w:val="TableBullets1"/>
              <w:numPr>
                <w:ilvl w:val="0"/>
                <w:numId w:val="19"/>
              </w:numPr>
            </w:pPr>
            <w:r w:rsidRPr="003E0E7D">
              <w:t>Flexible service arrangements to achieve desired outcomes</w:t>
            </w:r>
          </w:p>
          <w:p w14:paraId="58ED94D7" w14:textId="77777777" w:rsidR="000D5C61" w:rsidRPr="003E0E7D" w:rsidRDefault="000D5C61" w:rsidP="003E0E7D">
            <w:pPr>
              <w:pStyle w:val="TableBullets1"/>
              <w:numPr>
                <w:ilvl w:val="0"/>
                <w:numId w:val="19"/>
              </w:numPr>
            </w:pPr>
            <w:r w:rsidRPr="003E0E7D">
              <w:t xml:space="preserve">Drives efficiency </w:t>
            </w:r>
          </w:p>
        </w:tc>
        <w:tc>
          <w:tcPr>
            <w:tcW w:w="2383" w:type="pct"/>
            <w:tcBorders>
              <w:top w:val="single" w:sz="4" w:space="0" w:color="4B4B4B"/>
              <w:left w:val="single" w:sz="4" w:space="0" w:color="FFFFFF"/>
              <w:bottom w:val="single" w:sz="4" w:space="0" w:color="4B4B4B"/>
              <w:right w:val="single" w:sz="4" w:space="0" w:color="FFFFFF"/>
            </w:tcBorders>
            <w:shd w:val="clear" w:color="auto" w:fill="DCDCDC"/>
            <w:hideMark/>
          </w:tcPr>
          <w:p w14:paraId="2D73D4F9" w14:textId="77777777" w:rsidR="000D5C61" w:rsidRPr="003E0E7D" w:rsidRDefault="000D5C61" w:rsidP="003E0E7D">
            <w:pPr>
              <w:pStyle w:val="TableBullets1"/>
              <w:numPr>
                <w:ilvl w:val="0"/>
                <w:numId w:val="19"/>
              </w:numPr>
            </w:pPr>
            <w:r w:rsidRPr="003E0E7D">
              <w:t>Decreased transparency of services provided in order to produce outcomes</w:t>
            </w:r>
          </w:p>
          <w:p w14:paraId="4FBE1844" w14:textId="77777777" w:rsidR="000D5C61" w:rsidRPr="003E0E7D" w:rsidRDefault="000D5C61" w:rsidP="003E0E7D">
            <w:pPr>
              <w:pStyle w:val="TableBullets1"/>
              <w:numPr>
                <w:ilvl w:val="0"/>
                <w:numId w:val="19"/>
              </w:numPr>
            </w:pPr>
            <w:r w:rsidRPr="003E0E7D">
              <w:t>Performance indicators need to be developed in such a way that quality is not compromised</w:t>
            </w:r>
          </w:p>
          <w:p w14:paraId="4AB5D14D" w14:textId="77777777" w:rsidR="000D5C61" w:rsidRPr="003E0E7D" w:rsidRDefault="000D5C61" w:rsidP="003E0E7D">
            <w:pPr>
              <w:pStyle w:val="TableBullets1"/>
              <w:numPr>
                <w:ilvl w:val="0"/>
                <w:numId w:val="19"/>
              </w:numPr>
            </w:pPr>
            <w:r w:rsidRPr="003E0E7D">
              <w:t>Efficient price needs to be set at a level that ensures viability for service providers</w:t>
            </w:r>
          </w:p>
        </w:tc>
      </w:tr>
      <w:tr w:rsidR="00276C1B" w:rsidRPr="003E0E7D" w14:paraId="670A8467" w14:textId="77777777" w:rsidTr="003E0E7D">
        <w:trPr>
          <w:cantSplit/>
        </w:trPr>
        <w:tc>
          <w:tcPr>
            <w:tcW w:w="1307" w:type="pct"/>
            <w:tcBorders>
              <w:top w:val="single" w:sz="4" w:space="0" w:color="4B4B4B"/>
              <w:left w:val="single" w:sz="4" w:space="0" w:color="FFFFFF"/>
              <w:bottom w:val="single" w:sz="4" w:space="0" w:color="4B4B4B"/>
              <w:right w:val="single" w:sz="4" w:space="0" w:color="FFFFFF"/>
            </w:tcBorders>
            <w:shd w:val="clear" w:color="auto" w:fill="DCDCDC"/>
            <w:hideMark/>
          </w:tcPr>
          <w:p w14:paraId="680F6778" w14:textId="77777777" w:rsidR="000D5C61" w:rsidRPr="003E0E7D" w:rsidRDefault="000D5C61" w:rsidP="004E050E">
            <w:pPr>
              <w:pStyle w:val="TableCopy"/>
              <w:rPr>
                <w:b/>
              </w:rPr>
            </w:pPr>
            <w:r w:rsidRPr="003E0E7D">
              <w:rPr>
                <w:b/>
              </w:rPr>
              <w:t xml:space="preserve">Activity-based </w:t>
            </w:r>
          </w:p>
          <w:p w14:paraId="32015843" w14:textId="77777777" w:rsidR="000D5C61" w:rsidRPr="003E0E7D" w:rsidRDefault="000D5C61" w:rsidP="004E050E">
            <w:pPr>
              <w:pStyle w:val="TableCopy"/>
              <w:rPr>
                <w:b/>
              </w:rPr>
            </w:pPr>
            <w:r w:rsidRPr="003E0E7D">
              <w:t>Funding based on input costs of outputs produced</w:t>
            </w:r>
          </w:p>
        </w:tc>
        <w:tc>
          <w:tcPr>
            <w:tcW w:w="1310" w:type="pct"/>
            <w:tcBorders>
              <w:top w:val="single" w:sz="4" w:space="0" w:color="4B4B4B"/>
              <w:left w:val="single" w:sz="4" w:space="0" w:color="FFFFFF"/>
              <w:bottom w:val="single" w:sz="4" w:space="0" w:color="4B4B4B"/>
              <w:right w:val="single" w:sz="4" w:space="0" w:color="FFFFFF"/>
            </w:tcBorders>
            <w:shd w:val="clear" w:color="auto" w:fill="DCDCDC"/>
            <w:hideMark/>
          </w:tcPr>
          <w:p w14:paraId="78A3CADE" w14:textId="77777777" w:rsidR="000D5C61" w:rsidRPr="003E0E7D" w:rsidRDefault="000D5C61" w:rsidP="003E0E7D">
            <w:pPr>
              <w:pStyle w:val="TableBullets1"/>
              <w:numPr>
                <w:ilvl w:val="0"/>
                <w:numId w:val="19"/>
              </w:numPr>
            </w:pPr>
            <w:r w:rsidRPr="003E0E7D">
              <w:t>Funds are designed to reflect costs incurred</w:t>
            </w:r>
          </w:p>
          <w:p w14:paraId="3EAAA042" w14:textId="77777777" w:rsidR="000D5C61" w:rsidRPr="003E0E7D" w:rsidRDefault="000D5C61" w:rsidP="003E0E7D">
            <w:pPr>
              <w:pStyle w:val="TableBullets1"/>
              <w:numPr>
                <w:ilvl w:val="0"/>
                <w:numId w:val="19"/>
              </w:numPr>
            </w:pPr>
            <w:r w:rsidRPr="003E0E7D">
              <w:t>Efficient prices can be used to drive efficiency</w:t>
            </w:r>
          </w:p>
        </w:tc>
        <w:tc>
          <w:tcPr>
            <w:tcW w:w="2383" w:type="pct"/>
            <w:tcBorders>
              <w:top w:val="single" w:sz="4" w:space="0" w:color="4B4B4B"/>
              <w:left w:val="single" w:sz="4" w:space="0" w:color="FFFFFF"/>
              <w:bottom w:val="single" w:sz="4" w:space="0" w:color="4B4B4B"/>
              <w:right w:val="single" w:sz="4" w:space="0" w:color="FFFFFF"/>
            </w:tcBorders>
            <w:shd w:val="clear" w:color="auto" w:fill="DCDCDC"/>
            <w:hideMark/>
          </w:tcPr>
          <w:p w14:paraId="32D2D653" w14:textId="77777777" w:rsidR="000D5C61" w:rsidRPr="003E0E7D" w:rsidRDefault="000D5C61" w:rsidP="003E0E7D">
            <w:pPr>
              <w:pStyle w:val="TableBullets1"/>
              <w:numPr>
                <w:ilvl w:val="0"/>
                <w:numId w:val="19"/>
              </w:numPr>
            </w:pPr>
            <w:r w:rsidRPr="003E0E7D">
              <w:t>Disconnect between activity provided and desired outcome</w:t>
            </w:r>
          </w:p>
          <w:p w14:paraId="5D74F987" w14:textId="77777777" w:rsidR="000D5C61" w:rsidRPr="003E0E7D" w:rsidRDefault="000D5C61" w:rsidP="003E0E7D">
            <w:pPr>
              <w:pStyle w:val="TableBullets1"/>
              <w:numPr>
                <w:ilvl w:val="0"/>
                <w:numId w:val="19"/>
              </w:numPr>
            </w:pPr>
            <w:r w:rsidRPr="003E0E7D">
              <w:t>Increasing costs as activity volume increases</w:t>
            </w:r>
          </w:p>
          <w:p w14:paraId="6B95A5E7" w14:textId="77777777" w:rsidR="000D5C61" w:rsidRPr="003E0E7D" w:rsidRDefault="000D5C61" w:rsidP="003E0E7D">
            <w:pPr>
              <w:pStyle w:val="TableBullets1"/>
              <w:numPr>
                <w:ilvl w:val="0"/>
                <w:numId w:val="19"/>
              </w:numPr>
            </w:pPr>
            <w:r w:rsidRPr="003E0E7D">
              <w:t>Limits flexibility of services</w:t>
            </w:r>
          </w:p>
        </w:tc>
      </w:tr>
    </w:tbl>
    <w:p w14:paraId="19865C6E" w14:textId="77777777" w:rsidR="000D5C61" w:rsidRPr="00740E01" w:rsidRDefault="000D5C61" w:rsidP="00740E01">
      <w:pPr>
        <w:pStyle w:val="ESHeading2"/>
      </w:pPr>
      <w:r w:rsidRPr="00740E01">
        <w:t>Refinement of high-level options</w:t>
      </w:r>
    </w:p>
    <w:p w14:paraId="5294A8D9" w14:textId="77777777" w:rsidR="000D5C61" w:rsidRDefault="000D5C61" w:rsidP="000D5C61">
      <w:pPr>
        <w:pStyle w:val="BodyCopy"/>
      </w:pPr>
      <w:r>
        <w:t xml:space="preserve">Based on consideration of the positives and negatives of each type of funding model, HMA considered an activity-based model to be the most appropriate for the services in-scope of this review. Both </w:t>
      </w:r>
      <w:r>
        <w:rPr>
          <w:i/>
        </w:rPr>
        <w:t>individualised</w:t>
      </w:r>
      <w:r>
        <w:t xml:space="preserve"> and </w:t>
      </w:r>
      <w:r>
        <w:rPr>
          <w:i/>
        </w:rPr>
        <w:t>performance-based</w:t>
      </w:r>
      <w:r>
        <w:t xml:space="preserve"> funding options were discounted for the following reasons:</w:t>
      </w:r>
    </w:p>
    <w:p w14:paraId="2C1E7236" w14:textId="77777777" w:rsidR="000D5C61" w:rsidRDefault="000D5C61" w:rsidP="00CB3CCF">
      <w:pPr>
        <w:pStyle w:val="Numbers1"/>
        <w:numPr>
          <w:ilvl w:val="0"/>
          <w:numId w:val="27"/>
        </w:numPr>
        <w:tabs>
          <w:tab w:val="left" w:pos="720"/>
        </w:tabs>
      </w:pPr>
      <w:r>
        <w:rPr>
          <w:b/>
        </w:rPr>
        <w:t>Individualised.</w:t>
      </w:r>
      <w:r>
        <w:t xml:space="preserve"> Although the level of services required by pathology laboratories may vary among individual laboratories, all laboratories testing for HIV and HCV need to be able to access external QC and QA services in order to meet minimum regulatory requirements. Similarly, although volume may vary, the need for reference testing of intermediate HIV and HTLV results (i.e. distinguishing between HIV-1/HIV-2 and HTLV-1/HTLV-2) among these laboratories remains unchanged. Likewise, all four laboratories of the ARCBS have the same requirements for QC, QA, confirmation and reference testing to meet regulatory requirements and maintain best laboratory practices for these tests. Therefore, there was no need to consider the varying needs of individual </w:t>
      </w:r>
      <w:r>
        <w:lastRenderedPageBreak/>
        <w:t>laboratories and this model was discounted. In addition, tailoring funding to each participating laboratory would be administratively onerous.</w:t>
      </w:r>
    </w:p>
    <w:p w14:paraId="2710523E" w14:textId="77777777" w:rsidR="000D5C61" w:rsidRDefault="000D5C61" w:rsidP="00CB3CCF">
      <w:pPr>
        <w:pStyle w:val="Numbers1"/>
        <w:numPr>
          <w:ilvl w:val="0"/>
          <w:numId w:val="24"/>
        </w:numPr>
        <w:tabs>
          <w:tab w:val="left" w:pos="720"/>
        </w:tabs>
      </w:pPr>
      <w:r>
        <w:rPr>
          <w:b/>
        </w:rPr>
        <w:t>Performance-based.</w:t>
      </w:r>
      <w:r>
        <w:t xml:space="preserve"> Performance-based funding can ensure that outcomes are delivered as intended in a cost-effective manner and is an attractive option for governments. However, in this case</w:t>
      </w:r>
      <w:r w:rsidR="002203F5">
        <w:t>,</w:t>
      </w:r>
      <w:r>
        <w:t xml:space="preserve"> performance-based funding could also have negative impacts. Performance-based funding would:</w:t>
      </w:r>
    </w:p>
    <w:p w14:paraId="382FD915" w14:textId="77777777" w:rsidR="000D5C61" w:rsidRDefault="00D74DEF" w:rsidP="00CB3CCF">
      <w:pPr>
        <w:pStyle w:val="Numbers2"/>
        <w:numPr>
          <w:ilvl w:val="1"/>
          <w:numId w:val="24"/>
        </w:numPr>
        <w:tabs>
          <w:tab w:val="left" w:pos="720"/>
        </w:tabs>
      </w:pPr>
      <w:r>
        <w:t>S</w:t>
      </w:r>
      <w:r w:rsidR="000D5C61">
        <w:t>hift responsibility from the service provider to the consumer (ARCBS and Australian Pathology Laboratories). This could lead to additional strain on laboratories</w:t>
      </w:r>
      <w:r>
        <w:t xml:space="preserve">, </w:t>
      </w:r>
      <w:r w:rsidR="000D5C61">
        <w:t>poor negotiations of inefficient funding agreements</w:t>
      </w:r>
      <w:r>
        <w:t>, and reduced transparency.</w:t>
      </w:r>
    </w:p>
    <w:p w14:paraId="1EA7DC30" w14:textId="77777777" w:rsidR="000D5C61" w:rsidRDefault="00D74DEF" w:rsidP="00CB3CCF">
      <w:pPr>
        <w:pStyle w:val="Numbers2"/>
        <w:numPr>
          <w:ilvl w:val="1"/>
          <w:numId w:val="24"/>
        </w:numPr>
        <w:tabs>
          <w:tab w:val="left" w:pos="720"/>
        </w:tabs>
      </w:pPr>
      <w:r>
        <w:t xml:space="preserve">Place </w:t>
      </w:r>
      <w:r w:rsidR="000D5C61">
        <w:t xml:space="preserve">unrealistic expectations on the service provider’s ability to change or manage processes within the laboratories, many of which are private businesses. </w:t>
      </w:r>
    </w:p>
    <w:p w14:paraId="28B6E3F2" w14:textId="77777777" w:rsidR="000D5C61" w:rsidRDefault="000D5C61" w:rsidP="000D5C61">
      <w:pPr>
        <w:pStyle w:val="BodyCopyIndented"/>
      </w:pPr>
      <w:r>
        <w:t>This funding model has the potential to be viewed as a reward for successful outcomes and a punishment for sub-optimal results, which could reduce openness and transparency between laboratories. Linking funding to quality improvement activities has potential to undermine their intended objectives. Therefore, the performance</w:t>
      </w:r>
      <w:r w:rsidR="00D74DEF">
        <w:t>-</w:t>
      </w:r>
      <w:r>
        <w:t xml:space="preserve">based funding model was discounted. </w:t>
      </w:r>
    </w:p>
    <w:p w14:paraId="0B5391D6" w14:textId="77777777" w:rsidR="00141D54" w:rsidRDefault="00141D54" w:rsidP="00D8288C">
      <w:pPr>
        <w:pStyle w:val="ESHeading2"/>
      </w:pPr>
      <w:r>
        <w:t>Funding type</w:t>
      </w:r>
    </w:p>
    <w:p w14:paraId="200E66D5" w14:textId="77777777" w:rsidR="00141D54" w:rsidRDefault="00141D54" w:rsidP="00141D54">
      <w:pPr>
        <w:pStyle w:val="BodyCopy"/>
      </w:pPr>
      <w:r>
        <w:t>Within an activity-based funding model, three funding types were considered, as follows:</w:t>
      </w:r>
    </w:p>
    <w:p w14:paraId="638BB3AC" w14:textId="77777777" w:rsidR="00141D54" w:rsidRDefault="00141D54" w:rsidP="00CB3CCF">
      <w:pPr>
        <w:pStyle w:val="Bullets1"/>
        <w:numPr>
          <w:ilvl w:val="0"/>
          <w:numId w:val="23"/>
        </w:numPr>
      </w:pPr>
      <w:r>
        <w:t>Fixed costs (i.e. block funding)</w:t>
      </w:r>
    </w:p>
    <w:p w14:paraId="0178B377" w14:textId="77777777" w:rsidR="00141D54" w:rsidRDefault="00141D54" w:rsidP="00CB3CCF">
      <w:pPr>
        <w:pStyle w:val="Bullets1"/>
        <w:numPr>
          <w:ilvl w:val="0"/>
          <w:numId w:val="23"/>
        </w:numPr>
      </w:pPr>
      <w:r>
        <w:t>Unit costs (i.e. variable-cost funding)</w:t>
      </w:r>
    </w:p>
    <w:p w14:paraId="0E8997E0" w14:textId="77777777" w:rsidR="00141D54" w:rsidRDefault="00141D54" w:rsidP="00CB3CCF">
      <w:pPr>
        <w:pStyle w:val="Bullets1"/>
        <w:numPr>
          <w:ilvl w:val="0"/>
          <w:numId w:val="23"/>
        </w:numPr>
      </w:pPr>
      <w:r>
        <w:t>Hybrid (i.e. a mix of block and unit-cost funding).</w:t>
      </w:r>
    </w:p>
    <w:p w14:paraId="4F943654" w14:textId="2D86C738" w:rsidR="00141D54" w:rsidRDefault="00141D54" w:rsidP="00141D54">
      <w:pPr>
        <w:pStyle w:val="BodyCopy"/>
      </w:pPr>
      <w:r>
        <w:t xml:space="preserve">The advantages and disadvantages of these funding types are </w:t>
      </w:r>
      <w:r w:rsidR="00D74DEF">
        <w:t>presented</w:t>
      </w:r>
      <w:r>
        <w:t xml:space="preserve"> in </w:t>
      </w:r>
      <w:r>
        <w:fldChar w:fldCharType="begin"/>
      </w:r>
      <w:r>
        <w:instrText xml:space="preserve"> REF _Ref494293670 \h  \* MERGEFORMAT </w:instrText>
      </w:r>
      <w:r>
        <w:fldChar w:fldCharType="separate"/>
      </w:r>
      <w:r w:rsidR="0078683A">
        <w:t xml:space="preserve">Table </w:t>
      </w:r>
      <w:r w:rsidR="0078683A">
        <w:rPr>
          <w:noProof/>
        </w:rPr>
        <w:t>9.5</w:t>
      </w:r>
      <w:r>
        <w:fldChar w:fldCharType="end"/>
      </w:r>
      <w:r>
        <w:t xml:space="preserve">. Currently, the in-scope services are funded under a hybrid model, whereby NRL receives block funding for fixed costs under schedule 1 of the service agreement and </w:t>
      </w:r>
      <w:r>
        <w:t xml:space="preserve">unit-cost based payments for the variable costs under schedules 2 and 3 of the funding agreement. </w:t>
      </w:r>
    </w:p>
    <w:p w14:paraId="03F52493" w14:textId="3EC38E53" w:rsidR="00141D54" w:rsidRDefault="00141D54" w:rsidP="00141D54">
      <w:pPr>
        <w:pStyle w:val="Caption"/>
        <w:rPr>
          <w:rStyle w:val="Captionnotbold"/>
          <w:bCs w:val="0"/>
        </w:rPr>
      </w:pPr>
      <w:bookmarkStart w:id="112" w:name="_Ref494293670"/>
      <w:r>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9</w:t>
      </w:r>
      <w:r w:rsidR="007F2202">
        <w:rPr>
          <w:noProof/>
        </w:rPr>
        <w:fldChar w:fldCharType="end"/>
      </w:r>
      <w:r>
        <w:t>.</w:t>
      </w:r>
      <w:r w:rsidR="0083660F">
        <w:rPr>
          <w:noProof/>
        </w:rPr>
        <w:fldChar w:fldCharType="begin"/>
      </w:r>
      <w:r w:rsidR="0083660F">
        <w:rPr>
          <w:noProof/>
        </w:rPr>
        <w:instrText xml:space="preserve"> SEQ Table \* ARABIC \s 1 </w:instrText>
      </w:r>
      <w:r w:rsidR="0083660F">
        <w:rPr>
          <w:noProof/>
        </w:rPr>
        <w:fldChar w:fldCharType="separate"/>
      </w:r>
      <w:r w:rsidR="0078683A">
        <w:rPr>
          <w:noProof/>
        </w:rPr>
        <w:t>5</w:t>
      </w:r>
      <w:r w:rsidR="0083660F">
        <w:rPr>
          <w:noProof/>
        </w:rPr>
        <w:fldChar w:fldCharType="end"/>
      </w:r>
      <w:bookmarkEnd w:id="112"/>
      <w:r>
        <w:t xml:space="preserve">: </w:t>
      </w:r>
      <w:r>
        <w:rPr>
          <w:rStyle w:val="Captionnotbold"/>
          <w:bCs w:val="0"/>
        </w:rPr>
        <w:t>High-level comparison of funding types, advantages and disadvantages</w:t>
      </w:r>
    </w:p>
    <w:tbl>
      <w:tblPr>
        <w:tblW w:w="0" w:type="auto"/>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1777"/>
        <w:gridCol w:w="2508"/>
        <w:gridCol w:w="2749"/>
      </w:tblGrid>
      <w:tr w:rsidR="00276C1B" w:rsidRPr="003E0E7D" w14:paraId="60B1CCAA" w14:textId="77777777" w:rsidTr="003E0E7D">
        <w:trPr>
          <w:trHeight w:val="602"/>
        </w:trPr>
        <w:tc>
          <w:tcPr>
            <w:tcW w:w="0" w:type="auto"/>
            <w:tcBorders>
              <w:top w:val="single" w:sz="4" w:space="0" w:color="4B4B4B"/>
              <w:left w:val="single" w:sz="4" w:space="0" w:color="FFFFFF"/>
              <w:bottom w:val="single" w:sz="4" w:space="0" w:color="4B4B4B"/>
              <w:right w:val="single" w:sz="4" w:space="0" w:color="FFFFFF"/>
            </w:tcBorders>
            <w:shd w:val="clear" w:color="auto" w:fill="BEBEBE"/>
            <w:hideMark/>
          </w:tcPr>
          <w:p w14:paraId="6E88D458" w14:textId="77777777" w:rsidR="00141D54" w:rsidRPr="003E0E7D" w:rsidRDefault="00141D54" w:rsidP="003E0E7D">
            <w:pPr>
              <w:pStyle w:val="TableColumnHeading"/>
              <w:keepLines/>
            </w:pPr>
            <w:r w:rsidRPr="003E0E7D">
              <w:t>Funding type</w:t>
            </w:r>
          </w:p>
        </w:tc>
        <w:tc>
          <w:tcPr>
            <w:tcW w:w="0" w:type="auto"/>
            <w:tcBorders>
              <w:top w:val="single" w:sz="4" w:space="0" w:color="4B4B4B"/>
              <w:left w:val="single" w:sz="4" w:space="0" w:color="FFFFFF"/>
              <w:bottom w:val="single" w:sz="4" w:space="0" w:color="4B4B4B"/>
              <w:right w:val="single" w:sz="4" w:space="0" w:color="FFFFFF"/>
            </w:tcBorders>
            <w:shd w:val="clear" w:color="auto" w:fill="BEBEBE"/>
            <w:hideMark/>
          </w:tcPr>
          <w:p w14:paraId="124735F9" w14:textId="77777777" w:rsidR="00141D54" w:rsidRPr="003E0E7D" w:rsidRDefault="00141D54" w:rsidP="003E0E7D">
            <w:pPr>
              <w:pStyle w:val="TableColumnHeading"/>
              <w:keepLines/>
            </w:pPr>
            <w:r w:rsidRPr="003E0E7D">
              <w:t>Advantages</w:t>
            </w:r>
          </w:p>
        </w:tc>
        <w:tc>
          <w:tcPr>
            <w:tcW w:w="0" w:type="auto"/>
            <w:tcBorders>
              <w:top w:val="single" w:sz="4" w:space="0" w:color="4B4B4B"/>
              <w:left w:val="single" w:sz="4" w:space="0" w:color="FFFFFF"/>
              <w:bottom w:val="single" w:sz="4" w:space="0" w:color="4B4B4B"/>
              <w:right w:val="single" w:sz="4" w:space="0" w:color="FFFFFF"/>
            </w:tcBorders>
            <w:shd w:val="clear" w:color="auto" w:fill="BEBEBE"/>
            <w:hideMark/>
          </w:tcPr>
          <w:p w14:paraId="50EE4AA0" w14:textId="77777777" w:rsidR="00141D54" w:rsidRPr="003E0E7D" w:rsidRDefault="00141D54" w:rsidP="003E0E7D">
            <w:pPr>
              <w:pStyle w:val="TableColumnHeading"/>
              <w:keepLines/>
            </w:pPr>
            <w:r w:rsidRPr="003E0E7D">
              <w:t>Disadvantages</w:t>
            </w:r>
          </w:p>
        </w:tc>
      </w:tr>
      <w:tr w:rsidR="00276C1B" w:rsidRPr="003E0E7D" w14:paraId="01B8FF5F" w14:textId="77777777" w:rsidTr="003E0E7D">
        <w:trPr>
          <w:trHeight w:val="327"/>
        </w:trPr>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20058F38" w14:textId="77777777" w:rsidR="00141D54" w:rsidRPr="003E0E7D" w:rsidRDefault="00141D54" w:rsidP="003E0E7D">
            <w:pPr>
              <w:pStyle w:val="TableNumbers1"/>
              <w:keepNext/>
              <w:keepLines/>
              <w:numPr>
                <w:ilvl w:val="0"/>
                <w:numId w:val="32"/>
              </w:numPr>
              <w:spacing w:before="60" w:after="60"/>
              <w:rPr>
                <w:b/>
              </w:rPr>
            </w:pPr>
            <w:r w:rsidRPr="003E0E7D">
              <w:rPr>
                <w:b/>
              </w:rPr>
              <w:t>Fixed costs (</w:t>
            </w:r>
            <w:r w:rsidRPr="00276C1B">
              <w:rPr>
                <w:b/>
              </w:rPr>
              <w:t>i.e.</w:t>
            </w:r>
            <w:r w:rsidRPr="003E0E7D">
              <w:rPr>
                <w:b/>
              </w:rPr>
              <w:t xml:space="preserve"> block funding)</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10541BAE" w14:textId="77777777" w:rsidR="00141D54" w:rsidRPr="003E0E7D" w:rsidRDefault="00141D54" w:rsidP="003E0E7D">
            <w:pPr>
              <w:pStyle w:val="TableBullets1"/>
              <w:keepNext/>
              <w:keepLines/>
              <w:numPr>
                <w:ilvl w:val="0"/>
                <w:numId w:val="19"/>
              </w:numPr>
              <w:spacing w:before="60" w:after="60"/>
            </w:pPr>
            <w:r w:rsidRPr="003E0E7D">
              <w:t>Provides service providers with a funding base to fund purchases of infrastructure and inventory</w:t>
            </w:r>
          </w:p>
          <w:p w14:paraId="05B6AEDE" w14:textId="77777777" w:rsidR="00141D54" w:rsidRPr="003E0E7D" w:rsidRDefault="00141D54" w:rsidP="003E0E7D">
            <w:pPr>
              <w:pStyle w:val="TableBullets1"/>
              <w:keepNext/>
              <w:keepLines/>
              <w:numPr>
                <w:ilvl w:val="0"/>
                <w:numId w:val="19"/>
              </w:numPr>
              <w:spacing w:before="60" w:after="60"/>
            </w:pPr>
            <w:r w:rsidRPr="003E0E7D">
              <w:t>Potential for lower administration costs</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4C5F2728" w14:textId="77777777" w:rsidR="00141D54" w:rsidRPr="003E0E7D" w:rsidRDefault="00141D54" w:rsidP="003E0E7D">
            <w:pPr>
              <w:pStyle w:val="TableBullets1"/>
              <w:keepNext/>
              <w:keepLines/>
              <w:numPr>
                <w:ilvl w:val="0"/>
                <w:numId w:val="19"/>
              </w:numPr>
              <w:spacing w:before="60" w:after="60"/>
            </w:pPr>
            <w:r w:rsidRPr="003E0E7D">
              <w:t>Very low transparency</w:t>
            </w:r>
          </w:p>
          <w:p w14:paraId="796DFF52" w14:textId="77777777" w:rsidR="00141D54" w:rsidRPr="003E0E7D" w:rsidRDefault="00141D54" w:rsidP="003E0E7D">
            <w:pPr>
              <w:pStyle w:val="TableBullets1"/>
              <w:keepNext/>
              <w:keepLines/>
              <w:numPr>
                <w:ilvl w:val="0"/>
                <w:numId w:val="19"/>
              </w:numPr>
              <w:spacing w:before="60" w:after="60"/>
            </w:pPr>
            <w:r w:rsidRPr="003E0E7D">
              <w:t>Lack of variability based on different activity levels</w:t>
            </w:r>
          </w:p>
          <w:p w14:paraId="0BE8EC2C" w14:textId="77777777" w:rsidR="00141D54" w:rsidRPr="003E0E7D" w:rsidRDefault="00141D54" w:rsidP="003E0E7D">
            <w:pPr>
              <w:pStyle w:val="TableBullets1"/>
              <w:keepNext/>
              <w:keepLines/>
              <w:numPr>
                <w:ilvl w:val="0"/>
                <w:numId w:val="19"/>
              </w:numPr>
              <w:spacing w:before="60" w:after="60"/>
            </w:pPr>
            <w:r w:rsidRPr="003E0E7D">
              <w:t xml:space="preserve">Less agile than alternative funding models </w:t>
            </w:r>
          </w:p>
        </w:tc>
      </w:tr>
      <w:tr w:rsidR="00276C1B" w:rsidRPr="003E0E7D" w14:paraId="00B3668C" w14:textId="77777777" w:rsidTr="003E0E7D">
        <w:trPr>
          <w:trHeight w:val="327"/>
        </w:trPr>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31299982" w14:textId="77777777" w:rsidR="00141D54" w:rsidRPr="003E0E7D" w:rsidRDefault="00141D54" w:rsidP="003E0E7D">
            <w:pPr>
              <w:pStyle w:val="TableNumbers1"/>
              <w:keepNext/>
              <w:keepLines/>
              <w:numPr>
                <w:ilvl w:val="0"/>
                <w:numId w:val="25"/>
              </w:numPr>
              <w:spacing w:before="60" w:after="60"/>
              <w:rPr>
                <w:b/>
              </w:rPr>
            </w:pPr>
            <w:r w:rsidRPr="003E0E7D">
              <w:rPr>
                <w:b/>
              </w:rPr>
              <w:t>Unit costs (</w:t>
            </w:r>
            <w:r w:rsidRPr="00276C1B">
              <w:rPr>
                <w:b/>
              </w:rPr>
              <w:t>i.e.</w:t>
            </w:r>
            <w:r w:rsidRPr="003E0E7D">
              <w:rPr>
                <w:b/>
              </w:rPr>
              <w:t xml:space="preserve"> variable-costs funding)</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23F2DA56" w14:textId="77777777" w:rsidR="00141D54" w:rsidRPr="003E0E7D" w:rsidRDefault="00141D54" w:rsidP="003E0E7D">
            <w:pPr>
              <w:pStyle w:val="TableBullets1"/>
              <w:keepNext/>
              <w:keepLines/>
              <w:numPr>
                <w:ilvl w:val="0"/>
                <w:numId w:val="19"/>
              </w:numPr>
              <w:spacing w:before="60" w:after="60"/>
            </w:pPr>
            <w:r w:rsidRPr="003E0E7D">
              <w:t>Very high transparency</w:t>
            </w:r>
          </w:p>
          <w:p w14:paraId="36AED203" w14:textId="77777777" w:rsidR="00141D54" w:rsidRPr="003E0E7D" w:rsidRDefault="00141D54" w:rsidP="003E0E7D">
            <w:pPr>
              <w:pStyle w:val="TableBullets1"/>
              <w:keepNext/>
              <w:keepLines/>
              <w:numPr>
                <w:ilvl w:val="0"/>
                <w:numId w:val="19"/>
              </w:numPr>
              <w:spacing w:before="60" w:after="60"/>
            </w:pPr>
            <w:r w:rsidRPr="003E0E7D">
              <w:t>Ability to account for changing activity levels</w:t>
            </w:r>
          </w:p>
          <w:p w14:paraId="6BBB7C7A" w14:textId="77777777" w:rsidR="00141D54" w:rsidRPr="003E0E7D" w:rsidRDefault="00141D54" w:rsidP="003E0E7D">
            <w:pPr>
              <w:pStyle w:val="TableBullets1"/>
              <w:keepNext/>
              <w:keepLines/>
              <w:numPr>
                <w:ilvl w:val="0"/>
                <w:numId w:val="19"/>
              </w:numPr>
              <w:spacing w:before="60" w:after="60"/>
            </w:pPr>
            <w:r w:rsidRPr="003E0E7D">
              <w:t>Low ongoing administration costs</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12A347CA" w14:textId="77777777" w:rsidR="00141D54" w:rsidRPr="003E0E7D" w:rsidRDefault="00141D54" w:rsidP="003E0E7D">
            <w:pPr>
              <w:pStyle w:val="TableBullets1"/>
              <w:keepNext/>
              <w:keepLines/>
              <w:numPr>
                <w:ilvl w:val="0"/>
                <w:numId w:val="19"/>
              </w:numPr>
              <w:spacing w:before="60" w:after="60"/>
            </w:pPr>
            <w:r w:rsidRPr="003E0E7D">
              <w:t>Large initial investment in establishing unit costs (for service provider)</w:t>
            </w:r>
          </w:p>
          <w:p w14:paraId="1D05C06A" w14:textId="77777777" w:rsidR="00141D54" w:rsidRPr="003E0E7D" w:rsidRDefault="00141D54" w:rsidP="003E0E7D">
            <w:pPr>
              <w:pStyle w:val="TableBullets1"/>
              <w:keepNext/>
              <w:keepLines/>
              <w:numPr>
                <w:ilvl w:val="0"/>
                <w:numId w:val="19"/>
              </w:numPr>
              <w:spacing w:before="60" w:after="60"/>
            </w:pPr>
            <w:r w:rsidRPr="003E0E7D">
              <w:t xml:space="preserve">Can lead to surplus of inventory if necessary to predict activity levels in advance </w:t>
            </w:r>
          </w:p>
        </w:tc>
      </w:tr>
      <w:tr w:rsidR="00276C1B" w:rsidRPr="003E0E7D" w14:paraId="2BF70F09" w14:textId="77777777" w:rsidTr="003E0E7D">
        <w:trPr>
          <w:trHeight w:val="335"/>
        </w:trPr>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7D71B9A2" w14:textId="77777777" w:rsidR="00141D54" w:rsidRPr="003E0E7D" w:rsidRDefault="00141D54" w:rsidP="003E0E7D">
            <w:pPr>
              <w:pStyle w:val="TableNumbers1"/>
              <w:keepLines/>
              <w:numPr>
                <w:ilvl w:val="0"/>
                <w:numId w:val="25"/>
              </w:numPr>
              <w:spacing w:before="60" w:after="60"/>
              <w:rPr>
                <w:b/>
              </w:rPr>
            </w:pPr>
            <w:r w:rsidRPr="003E0E7D">
              <w:rPr>
                <w:b/>
              </w:rPr>
              <w:t>Hybrid (</w:t>
            </w:r>
            <w:r w:rsidRPr="00276C1B">
              <w:rPr>
                <w:b/>
              </w:rPr>
              <w:t>i.e.</w:t>
            </w:r>
            <w:r w:rsidRPr="003E0E7D">
              <w:rPr>
                <w:b/>
              </w:rPr>
              <w:t xml:space="preserve"> mix of fixed- and unit-cost funding)</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0EEB8593" w14:textId="77777777" w:rsidR="00141D54" w:rsidRPr="003E0E7D" w:rsidRDefault="00141D54" w:rsidP="003E0E7D">
            <w:pPr>
              <w:pStyle w:val="TableBullets1"/>
              <w:keepLines/>
              <w:numPr>
                <w:ilvl w:val="0"/>
                <w:numId w:val="19"/>
              </w:numPr>
              <w:spacing w:before="60" w:after="60"/>
            </w:pPr>
            <w:r w:rsidRPr="003E0E7D">
              <w:t>Some transparency</w:t>
            </w:r>
          </w:p>
          <w:p w14:paraId="7C7011DE" w14:textId="77777777" w:rsidR="00141D54" w:rsidRPr="003E0E7D" w:rsidRDefault="00141D54" w:rsidP="003E0E7D">
            <w:pPr>
              <w:pStyle w:val="TableBullets1"/>
              <w:keepLines/>
              <w:numPr>
                <w:ilvl w:val="0"/>
                <w:numId w:val="19"/>
              </w:numPr>
              <w:spacing w:before="60" w:after="60"/>
            </w:pPr>
            <w:r w:rsidRPr="003E0E7D">
              <w:t>Provides service providers with a funding base to fund purchases of infrastructure and inventory</w:t>
            </w:r>
          </w:p>
        </w:tc>
        <w:tc>
          <w:tcPr>
            <w:tcW w:w="0" w:type="auto"/>
            <w:tcBorders>
              <w:top w:val="single" w:sz="4" w:space="0" w:color="4B4B4B"/>
              <w:left w:val="single" w:sz="4" w:space="0" w:color="FFFFFF"/>
              <w:bottom w:val="single" w:sz="4" w:space="0" w:color="4B4B4B"/>
              <w:right w:val="single" w:sz="4" w:space="0" w:color="FFFFFF"/>
            </w:tcBorders>
            <w:shd w:val="clear" w:color="auto" w:fill="DCDCDC"/>
            <w:hideMark/>
          </w:tcPr>
          <w:p w14:paraId="726A7E10" w14:textId="77777777" w:rsidR="00141D54" w:rsidRPr="003E0E7D" w:rsidRDefault="00141D54" w:rsidP="003E0E7D">
            <w:pPr>
              <w:pStyle w:val="TableBullets1"/>
              <w:keepLines/>
              <w:numPr>
                <w:ilvl w:val="0"/>
                <w:numId w:val="19"/>
              </w:numPr>
              <w:spacing w:before="60" w:after="60"/>
            </w:pPr>
            <w:r w:rsidRPr="003E0E7D">
              <w:t>Complex system that is difficult for the Australian Government and laboratories to understand</w:t>
            </w:r>
          </w:p>
          <w:p w14:paraId="7A7314EF" w14:textId="77777777" w:rsidR="00141D54" w:rsidRPr="003E0E7D" w:rsidRDefault="00141D54" w:rsidP="003E0E7D">
            <w:pPr>
              <w:pStyle w:val="TableBullets1"/>
              <w:keepLines/>
              <w:numPr>
                <w:ilvl w:val="0"/>
                <w:numId w:val="19"/>
              </w:numPr>
              <w:spacing w:before="60" w:after="60"/>
            </w:pPr>
            <w:r w:rsidRPr="003E0E7D">
              <w:t xml:space="preserve">Difficult to unpack costs to determine outputs/outcomes of invested funds </w:t>
            </w:r>
          </w:p>
        </w:tc>
      </w:tr>
    </w:tbl>
    <w:p w14:paraId="400889A3" w14:textId="77777777" w:rsidR="00141D54" w:rsidRDefault="00141D54" w:rsidP="00141D54">
      <w:pPr>
        <w:pStyle w:val="BodyCopy"/>
      </w:pPr>
      <w:r>
        <w:t>In HMA’s assessment, a unit-cost model for the in-scope services is the most appropriate as it will allow for greater flexibility of service provider and funder. The fixed cost (block funding) and hybrid models have been discounted for the following reasons:</w:t>
      </w:r>
    </w:p>
    <w:p w14:paraId="229502FD" w14:textId="77777777" w:rsidR="00141D54" w:rsidRDefault="00141D54" w:rsidP="00CB3CCF">
      <w:pPr>
        <w:pStyle w:val="Bullets1"/>
        <w:numPr>
          <w:ilvl w:val="0"/>
          <w:numId w:val="23"/>
        </w:numPr>
      </w:pPr>
      <w:r>
        <w:t xml:space="preserve">limited transparency of fixed costs </w:t>
      </w:r>
    </w:p>
    <w:p w14:paraId="49A07668" w14:textId="77777777" w:rsidR="00141D54" w:rsidRDefault="00141D54" w:rsidP="00CB3CCF">
      <w:pPr>
        <w:pStyle w:val="Bullets1"/>
        <w:numPr>
          <w:ilvl w:val="0"/>
          <w:numId w:val="23"/>
        </w:numPr>
      </w:pPr>
      <w:r>
        <w:t xml:space="preserve">limited transferability of service provider or funder type, and </w:t>
      </w:r>
    </w:p>
    <w:p w14:paraId="2BEB4D19" w14:textId="77777777" w:rsidR="00141D54" w:rsidRDefault="00141D54" w:rsidP="00CB3CCF">
      <w:pPr>
        <w:pStyle w:val="Bullets1"/>
        <w:numPr>
          <w:ilvl w:val="0"/>
          <w:numId w:val="23"/>
        </w:numPr>
      </w:pPr>
      <w:r>
        <w:t>difficulty disaggregating components of total QA and QC programs.</w:t>
      </w:r>
    </w:p>
    <w:p w14:paraId="7CF97F56" w14:textId="77777777" w:rsidR="00141D54" w:rsidRDefault="00141D54" w:rsidP="00740E01">
      <w:pPr>
        <w:pStyle w:val="ESHeading3"/>
      </w:pPr>
      <w:r>
        <w:lastRenderedPageBreak/>
        <w:t>Practical considerations</w:t>
      </w:r>
    </w:p>
    <w:p w14:paraId="0A96FC7C" w14:textId="77777777" w:rsidR="00141D54" w:rsidRDefault="00141D54" w:rsidP="00141D54">
      <w:pPr>
        <w:pStyle w:val="BodyCopy"/>
      </w:pPr>
      <w:r>
        <w:t xml:space="preserve">Consultations with stakeholders have indicated that a unit cost-based funding type is the most practical option. Unit cost funding could give greater transparency than the current hybrid model, decreasing the administration costs </w:t>
      </w:r>
      <w:r w:rsidR="00991729">
        <w:t xml:space="preserve">to </w:t>
      </w:r>
      <w:r>
        <w:t xml:space="preserve">the Australian Government and allowing activities of the service provider to be accounted for in a simple funding mechanism. </w:t>
      </w:r>
    </w:p>
    <w:p w14:paraId="5D60C66F" w14:textId="77777777" w:rsidR="00A85095" w:rsidRPr="00A85095" w:rsidRDefault="00141D54" w:rsidP="00141D54">
      <w:pPr>
        <w:pStyle w:val="BodyCopy"/>
      </w:pPr>
      <w:r>
        <w:t>Compared to block funding, unit costing does not allow for significant upfront purchase of equipment or inventory. As a practical consideration, funding could be delivered in a front-ended contract, where initial unit costs are weighted at a higher amount to allow for purchase of inventory and equipment. Alternatively, equipment rental agreements, with costs built into the total unit cost, could be arranged with manufacturers. However, the feasibility of this option is beyond the scope of this review.</w:t>
      </w:r>
    </w:p>
    <w:p w14:paraId="64A982AA" w14:textId="77777777" w:rsidR="00D327BD" w:rsidRDefault="00D327BD" w:rsidP="00991729">
      <w:pPr>
        <w:pStyle w:val="ESHeading3"/>
      </w:pPr>
      <w:r>
        <w:t>Funder type</w:t>
      </w:r>
    </w:p>
    <w:p w14:paraId="560694A4" w14:textId="0BFBA746" w:rsidR="00D327BD" w:rsidRDefault="00D74DEF" w:rsidP="00D327BD">
      <w:pPr>
        <w:pStyle w:val="BodyCopy"/>
      </w:pPr>
      <w:r>
        <w:t>T</w:t>
      </w:r>
      <w:r w:rsidR="00D327BD">
        <w:t xml:space="preserve">he </w:t>
      </w:r>
      <w:r>
        <w:t xml:space="preserve">in-scope </w:t>
      </w:r>
      <w:r w:rsidR="00D327BD">
        <w:t xml:space="preserve">services are provided to </w:t>
      </w:r>
      <w:r w:rsidR="007715F5">
        <w:t xml:space="preserve">maintain a safe and secure blood supply in Australia </w:t>
      </w:r>
      <w:r w:rsidR="00D327BD">
        <w:rPr>
          <w:i/>
        </w:rPr>
        <w:t>and to</w:t>
      </w:r>
      <w:r w:rsidR="007715F5">
        <w:rPr>
          <w:i/>
        </w:rPr>
        <w:t xml:space="preserve"> protect the Australian public from the spread of BBV and STI through safe blood and plasma supplies</w:t>
      </w:r>
      <w:r w:rsidR="00D327BD">
        <w:t xml:space="preserve">. The activity-based funding elements that have been identified provide scope for Australian Government, laboratory and provider funding </w:t>
      </w:r>
      <w:r w:rsidR="00D327BD" w:rsidRPr="00B7333C">
        <w:t xml:space="preserve">contributions. </w:t>
      </w:r>
    </w:p>
    <w:p w14:paraId="55812C19" w14:textId="77777777" w:rsidR="00D327BD" w:rsidRDefault="00D74DEF" w:rsidP="00740E01">
      <w:pPr>
        <w:pStyle w:val="ESHeading3"/>
      </w:pPr>
      <w:r>
        <w:t>S</w:t>
      </w:r>
      <w:r w:rsidR="00D327BD">
        <w:t>ervices as a public good</w:t>
      </w:r>
    </w:p>
    <w:p w14:paraId="578590B9" w14:textId="2906745B" w:rsidR="00D327BD" w:rsidRDefault="00D327BD" w:rsidP="00D327BD">
      <w:pPr>
        <w:pStyle w:val="BodyCopy"/>
      </w:pPr>
      <w:r>
        <w:t xml:space="preserve">A public good or service is defined as one that is </w:t>
      </w:r>
      <w:r>
        <w:rPr>
          <w:i/>
        </w:rPr>
        <w:t>non-excludable and non-rivalrous</w:t>
      </w:r>
      <w:r>
        <w:t>. An individual or firm can consume the service without reducing its availability to another. Additionally, no individual or firm can be effectively excluded from its use. The provision of public goods can lead to examples of market failure, such as when private organisations are required to pay for services, leading to inefficiency in the market.</w:t>
      </w:r>
      <w:r w:rsidR="00C9096B">
        <w:rPr>
          <w:noProof/>
        </w:rPr>
        <w:t xml:space="preserve"> </w:t>
      </w:r>
      <w:r w:rsidR="00C9096B" w:rsidRPr="003E0E7D">
        <w:rPr>
          <w:noProof/>
        </w:rPr>
        <w:t>[53]</w:t>
      </w:r>
      <w:r>
        <w:t xml:space="preserve"> </w:t>
      </w:r>
    </w:p>
    <w:p w14:paraId="61C8E737" w14:textId="247AE0EB" w:rsidR="007854CE" w:rsidRDefault="00D327BD" w:rsidP="00D327BD">
      <w:pPr>
        <w:pStyle w:val="BodyCopy"/>
        <w:rPr>
          <w:noProof/>
        </w:rPr>
      </w:pPr>
      <w:r>
        <w:t>Several peer reviewed articles identify the provision of a safe blood supply as a public service.</w:t>
      </w:r>
      <w:r w:rsidR="00C9096B">
        <w:rPr>
          <w:noProof/>
        </w:rPr>
        <w:t xml:space="preserve"> </w:t>
      </w:r>
      <w:r w:rsidR="00C9096B" w:rsidRPr="003E0E7D">
        <w:rPr>
          <w:noProof/>
        </w:rPr>
        <w:t>[54]</w:t>
      </w:r>
      <w:r>
        <w:t xml:space="preserve"> The authors argue that as a public service, it is the responsibility of government to manage supply of the good (and related services, such as QA and QC activities) to ensure cooperation of public and private organisations</w:t>
      </w:r>
      <w:sdt>
        <w:sdtPr>
          <w:id w:val="789476107"/>
          <w:citation/>
        </w:sdtPr>
        <w:sdtEndPr/>
        <w:sdtContent>
          <w:r w:rsidR="002E4619">
            <w:fldChar w:fldCharType="begin"/>
          </w:r>
          <w:r w:rsidR="002E4619">
            <w:instrText xml:space="preserve"> CITATION Sto95 \l 3081 </w:instrText>
          </w:r>
          <w:r w:rsidR="002E4619">
            <w:fldChar w:fldCharType="separate"/>
          </w:r>
          <w:r w:rsidR="002E4619">
            <w:rPr>
              <w:noProof/>
            </w:rPr>
            <w:t xml:space="preserve"> </w:t>
          </w:r>
          <w:r w:rsidR="002E4619" w:rsidRPr="000816BB">
            <w:rPr>
              <w:noProof/>
            </w:rPr>
            <w:t>[45]</w:t>
          </w:r>
          <w:r w:rsidR="002E4619">
            <w:fldChar w:fldCharType="end"/>
          </w:r>
        </w:sdtContent>
      </w:sdt>
      <w:r>
        <w:t>.</w:t>
      </w:r>
      <w:r w:rsidR="00C9096B">
        <w:rPr>
          <w:noProof/>
        </w:rPr>
        <w:t xml:space="preserve"> </w:t>
      </w:r>
    </w:p>
    <w:p w14:paraId="45558C4B" w14:textId="5541358F" w:rsidR="00D327BD" w:rsidRPr="00D327BD" w:rsidRDefault="007854CE" w:rsidP="00D327BD">
      <w:pPr>
        <w:pStyle w:val="BodyCopy"/>
      </w:pPr>
      <w:r>
        <w:rPr>
          <w:noProof/>
        </w:rPr>
        <w:t>Regualtions are in</w:t>
      </w:r>
      <w:r w:rsidR="00B10359">
        <w:rPr>
          <w:noProof/>
        </w:rPr>
        <w:t xml:space="preserve"> </w:t>
      </w:r>
      <w:r>
        <w:rPr>
          <w:noProof/>
        </w:rPr>
        <w:t xml:space="preserve">place to ensure that laboratories testing for in the in-scope pathogens maintaing QA and QC procedures (see Chapter 3 for furhter detail). </w:t>
      </w:r>
    </w:p>
    <w:p w14:paraId="7DF3F8DA" w14:textId="77777777" w:rsidR="00D327BD" w:rsidRDefault="00D327BD" w:rsidP="00740E01">
      <w:pPr>
        <w:pStyle w:val="ESHeading3"/>
      </w:pPr>
      <w:r>
        <w:t>Exploring cost recovery</w:t>
      </w:r>
    </w:p>
    <w:p w14:paraId="139EBAB5" w14:textId="68663DCD" w:rsidR="00D327BD" w:rsidRDefault="00D327BD" w:rsidP="00D327BD">
      <w:pPr>
        <w:pStyle w:val="BodyCopy"/>
      </w:pPr>
      <w:r>
        <w:t>Cost recovery through manufacturer contributions has been used by the Australian Government to fund prostheses listing arrangements. Charges are levied against prosthesis manufacturers for costs of administering the prostheses listing arrangements</w:t>
      </w:r>
      <w:sdt>
        <w:sdtPr>
          <w:id w:val="1883818052"/>
          <w:citation/>
        </w:sdtPr>
        <w:sdtEndPr/>
        <w:sdtContent>
          <w:r w:rsidR="002E4619">
            <w:fldChar w:fldCharType="begin"/>
          </w:r>
          <w:r w:rsidR="002E4619">
            <w:instrText xml:space="preserve"> CITATION Aus \l 3081 </w:instrText>
          </w:r>
          <w:r w:rsidR="002E4619">
            <w:fldChar w:fldCharType="separate"/>
          </w:r>
          <w:r w:rsidR="002E4619">
            <w:rPr>
              <w:noProof/>
            </w:rPr>
            <w:t xml:space="preserve"> </w:t>
          </w:r>
          <w:r w:rsidR="002E4619" w:rsidRPr="000816BB">
            <w:rPr>
              <w:noProof/>
            </w:rPr>
            <w:t>[46]</w:t>
          </w:r>
          <w:r w:rsidR="002E4619">
            <w:fldChar w:fldCharType="end"/>
          </w:r>
        </w:sdtContent>
      </w:sdt>
      <w:r>
        <w:t>. The program has been successful in recovering costs of Australian Government activities related to listing prostheses and has placed an incentive on ensuring provision of quality products from the manufacturers. The costs recovered from prostheses listing arrangements are substantial but largely from administrative activity</w:t>
      </w:r>
      <w:r w:rsidR="00455A8F">
        <w:t>. However</w:t>
      </w:r>
      <w:r>
        <w:t>, the in-scope services are not administrative and may not lend themselves to this model.</w:t>
      </w:r>
    </w:p>
    <w:p w14:paraId="4B6D80CE" w14:textId="71FC51BB" w:rsidR="00D327BD" w:rsidRDefault="00D327BD" w:rsidP="00D327BD">
      <w:pPr>
        <w:pStyle w:val="BodyCopy"/>
      </w:pPr>
      <w:r>
        <w:t xml:space="preserve">A cost-recovery model is more at risk of market failure and a potential reduction in equitable access to quality services. The advantages and disadvantages of public and private funder types are outlined in </w:t>
      </w:r>
      <w:r>
        <w:fldChar w:fldCharType="begin"/>
      </w:r>
      <w:r>
        <w:instrText xml:space="preserve"> REF _Ref494816883 \h </w:instrText>
      </w:r>
      <w:r>
        <w:fldChar w:fldCharType="separate"/>
      </w:r>
      <w:r w:rsidR="0078683A">
        <w:t xml:space="preserve">Table </w:t>
      </w:r>
      <w:r w:rsidR="0078683A">
        <w:rPr>
          <w:noProof/>
        </w:rPr>
        <w:t>9</w:t>
      </w:r>
      <w:r w:rsidR="0078683A">
        <w:t>.</w:t>
      </w:r>
      <w:r w:rsidR="0078683A">
        <w:rPr>
          <w:noProof/>
        </w:rPr>
        <w:t>6</w:t>
      </w:r>
      <w:r>
        <w:fldChar w:fldCharType="end"/>
      </w:r>
      <w:r>
        <w:t xml:space="preserve">. </w:t>
      </w:r>
    </w:p>
    <w:p w14:paraId="42F32A83" w14:textId="5F1EB807" w:rsidR="00D327BD" w:rsidRDefault="00D327BD" w:rsidP="00D327BD">
      <w:pPr>
        <w:pStyle w:val="Caption"/>
        <w:rPr>
          <w:rStyle w:val="Captionnotbold"/>
          <w:bCs w:val="0"/>
        </w:rPr>
      </w:pPr>
      <w:bookmarkStart w:id="113" w:name="_Ref494816883"/>
      <w:r>
        <w:lastRenderedPageBreak/>
        <w:t xml:space="preserve">Table </w:t>
      </w:r>
      <w:r w:rsidR="007F2202">
        <w:rPr>
          <w:noProof/>
        </w:rPr>
        <w:fldChar w:fldCharType="begin"/>
      </w:r>
      <w:r w:rsidR="007F2202">
        <w:rPr>
          <w:noProof/>
        </w:rPr>
        <w:instrText xml:space="preserve"> STYLEREF 1 \s </w:instrText>
      </w:r>
      <w:r w:rsidR="007F2202">
        <w:rPr>
          <w:noProof/>
        </w:rPr>
        <w:fldChar w:fldCharType="separate"/>
      </w:r>
      <w:r w:rsidR="0078683A">
        <w:rPr>
          <w:noProof/>
        </w:rPr>
        <w:t>9</w:t>
      </w:r>
      <w:r w:rsidR="007F2202">
        <w:rPr>
          <w:noProof/>
        </w:rPr>
        <w:fldChar w:fldCharType="end"/>
      </w:r>
      <w:r>
        <w:t>.</w:t>
      </w:r>
      <w:r w:rsidR="007F2202">
        <w:rPr>
          <w:noProof/>
        </w:rPr>
        <w:fldChar w:fldCharType="begin"/>
      </w:r>
      <w:r w:rsidR="007F2202">
        <w:rPr>
          <w:noProof/>
        </w:rPr>
        <w:instrText xml:space="preserve"> SEQ Table \* ARABIC \s 1 </w:instrText>
      </w:r>
      <w:r w:rsidR="007F2202">
        <w:rPr>
          <w:noProof/>
        </w:rPr>
        <w:fldChar w:fldCharType="separate"/>
      </w:r>
      <w:r w:rsidR="0078683A">
        <w:rPr>
          <w:noProof/>
        </w:rPr>
        <w:t>6</w:t>
      </w:r>
      <w:r w:rsidR="007F2202">
        <w:rPr>
          <w:noProof/>
        </w:rPr>
        <w:fldChar w:fldCharType="end"/>
      </w:r>
      <w:bookmarkEnd w:id="113"/>
      <w:r>
        <w:rPr>
          <w:rStyle w:val="Captionnotbold"/>
          <w:bCs w:val="0"/>
        </w:rPr>
        <w:t>: High-level comparison of funder type, advantages and disadvantages</w:t>
      </w:r>
    </w:p>
    <w:tbl>
      <w:tblPr>
        <w:tblW w:w="0" w:type="auto"/>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1730"/>
        <w:gridCol w:w="2234"/>
        <w:gridCol w:w="3070"/>
      </w:tblGrid>
      <w:tr w:rsidR="00276C1B" w:rsidRPr="003E0E7D" w14:paraId="64142E32" w14:textId="77777777" w:rsidTr="003E0E7D">
        <w:trPr>
          <w:trHeight w:val="327"/>
          <w:tblHeader/>
        </w:trPr>
        <w:tc>
          <w:tcPr>
            <w:tcW w:w="1730" w:type="dxa"/>
            <w:tcBorders>
              <w:top w:val="single" w:sz="4" w:space="0" w:color="4B4B4B"/>
              <w:left w:val="single" w:sz="4" w:space="0" w:color="FFFFFF"/>
              <w:bottom w:val="single" w:sz="4" w:space="0" w:color="4B4B4B"/>
              <w:right w:val="single" w:sz="4" w:space="0" w:color="FFFFFF"/>
            </w:tcBorders>
            <w:shd w:val="clear" w:color="auto" w:fill="BEBEBE"/>
            <w:hideMark/>
          </w:tcPr>
          <w:p w14:paraId="05B2CEF7" w14:textId="77777777" w:rsidR="00D327BD" w:rsidRPr="003E0E7D" w:rsidRDefault="00D327BD" w:rsidP="003E0E7D">
            <w:pPr>
              <w:pStyle w:val="TableColumnHeading"/>
              <w:keepLines/>
            </w:pPr>
            <w:r w:rsidRPr="003E0E7D">
              <w:t>Funder type</w:t>
            </w:r>
          </w:p>
        </w:tc>
        <w:tc>
          <w:tcPr>
            <w:tcW w:w="2234" w:type="dxa"/>
            <w:tcBorders>
              <w:top w:val="single" w:sz="4" w:space="0" w:color="4B4B4B"/>
              <w:left w:val="single" w:sz="4" w:space="0" w:color="FFFFFF"/>
              <w:bottom w:val="single" w:sz="4" w:space="0" w:color="4B4B4B"/>
              <w:right w:val="single" w:sz="4" w:space="0" w:color="FFFFFF"/>
            </w:tcBorders>
            <w:shd w:val="clear" w:color="auto" w:fill="BEBEBE"/>
            <w:hideMark/>
          </w:tcPr>
          <w:p w14:paraId="37BA985F" w14:textId="77777777" w:rsidR="00D327BD" w:rsidRPr="003E0E7D" w:rsidRDefault="00D327BD" w:rsidP="003E0E7D">
            <w:pPr>
              <w:pStyle w:val="TableColumnHeading"/>
              <w:keepLines/>
            </w:pPr>
            <w:r w:rsidRPr="003E0E7D">
              <w:t>Advantages</w:t>
            </w:r>
          </w:p>
        </w:tc>
        <w:tc>
          <w:tcPr>
            <w:tcW w:w="3070" w:type="dxa"/>
            <w:tcBorders>
              <w:top w:val="single" w:sz="4" w:space="0" w:color="4B4B4B"/>
              <w:left w:val="single" w:sz="4" w:space="0" w:color="FFFFFF"/>
              <w:bottom w:val="single" w:sz="4" w:space="0" w:color="4B4B4B"/>
              <w:right w:val="single" w:sz="4" w:space="0" w:color="FFFFFF"/>
            </w:tcBorders>
            <w:shd w:val="clear" w:color="auto" w:fill="BEBEBE"/>
            <w:hideMark/>
          </w:tcPr>
          <w:p w14:paraId="0C7448A9" w14:textId="77777777" w:rsidR="00D327BD" w:rsidRPr="003E0E7D" w:rsidRDefault="00D327BD" w:rsidP="003E0E7D">
            <w:pPr>
              <w:pStyle w:val="TableColumnHeading"/>
              <w:keepLines/>
            </w:pPr>
            <w:r w:rsidRPr="003E0E7D">
              <w:t>Disadvantages</w:t>
            </w:r>
          </w:p>
        </w:tc>
      </w:tr>
      <w:tr w:rsidR="00276C1B" w:rsidRPr="003E0E7D" w14:paraId="4D04A243" w14:textId="77777777" w:rsidTr="003E0E7D">
        <w:trPr>
          <w:trHeight w:val="327"/>
        </w:trPr>
        <w:tc>
          <w:tcPr>
            <w:tcW w:w="1730" w:type="dxa"/>
            <w:tcBorders>
              <w:top w:val="single" w:sz="4" w:space="0" w:color="4B4B4B"/>
              <w:left w:val="single" w:sz="4" w:space="0" w:color="FFFFFF"/>
              <w:bottom w:val="single" w:sz="4" w:space="0" w:color="4B4B4B"/>
              <w:right w:val="single" w:sz="4" w:space="0" w:color="FFFFFF"/>
            </w:tcBorders>
            <w:shd w:val="clear" w:color="auto" w:fill="DCDCDC"/>
            <w:hideMark/>
          </w:tcPr>
          <w:p w14:paraId="753D13D8" w14:textId="77777777" w:rsidR="00D327BD" w:rsidRPr="003E0E7D" w:rsidRDefault="00D327BD" w:rsidP="003E0E7D">
            <w:pPr>
              <w:pStyle w:val="TableNumbers1"/>
              <w:keepNext/>
              <w:numPr>
                <w:ilvl w:val="0"/>
                <w:numId w:val="31"/>
              </w:numPr>
              <w:rPr>
                <w:b/>
              </w:rPr>
            </w:pPr>
            <w:r w:rsidRPr="003E0E7D">
              <w:rPr>
                <w:b/>
              </w:rPr>
              <w:t>Public (government)</w:t>
            </w:r>
          </w:p>
        </w:tc>
        <w:tc>
          <w:tcPr>
            <w:tcW w:w="2234" w:type="dxa"/>
            <w:tcBorders>
              <w:top w:val="single" w:sz="4" w:space="0" w:color="4B4B4B"/>
              <w:left w:val="single" w:sz="4" w:space="0" w:color="FFFFFF"/>
              <w:bottom w:val="single" w:sz="4" w:space="0" w:color="4B4B4B"/>
              <w:right w:val="single" w:sz="4" w:space="0" w:color="FFFFFF"/>
            </w:tcBorders>
            <w:shd w:val="clear" w:color="auto" w:fill="DCDCDC"/>
            <w:hideMark/>
          </w:tcPr>
          <w:p w14:paraId="432F43F3" w14:textId="77777777" w:rsidR="00D327BD" w:rsidRPr="003E0E7D" w:rsidRDefault="00D327BD" w:rsidP="003E0E7D">
            <w:pPr>
              <w:pStyle w:val="TableBullets1"/>
              <w:keepNext/>
              <w:keepLines/>
              <w:numPr>
                <w:ilvl w:val="0"/>
                <w:numId w:val="19"/>
              </w:numPr>
              <w:spacing w:before="60" w:after="60"/>
            </w:pPr>
            <w:r w:rsidRPr="003E0E7D">
              <w:t>No impacts on laboratories or service providers</w:t>
            </w:r>
          </w:p>
          <w:p w14:paraId="074E8C22" w14:textId="77777777" w:rsidR="00D327BD" w:rsidRPr="003E0E7D" w:rsidRDefault="00D327BD" w:rsidP="003E0E7D">
            <w:pPr>
              <w:pStyle w:val="TableBullets1"/>
              <w:keepNext/>
              <w:keepLines/>
              <w:numPr>
                <w:ilvl w:val="0"/>
                <w:numId w:val="19"/>
              </w:numPr>
              <w:spacing w:before="60" w:after="60"/>
            </w:pPr>
            <w:r w:rsidRPr="003E0E7D">
              <w:t>No additional costs for government in modifying funding levels</w:t>
            </w:r>
          </w:p>
          <w:p w14:paraId="6B62B96F" w14:textId="77777777" w:rsidR="00D327BD" w:rsidRPr="003E0E7D" w:rsidRDefault="00D327BD" w:rsidP="003E0E7D">
            <w:pPr>
              <w:pStyle w:val="TableBullets1"/>
              <w:keepNext/>
              <w:keepLines/>
              <w:numPr>
                <w:ilvl w:val="0"/>
                <w:numId w:val="19"/>
              </w:numPr>
              <w:spacing w:before="60" w:after="60"/>
            </w:pPr>
            <w:r w:rsidRPr="003E0E7D">
              <w:t xml:space="preserve">Funding </w:t>
            </w:r>
            <w:r w:rsidR="00455A8F" w:rsidRPr="003E0E7D">
              <w:t>in-scope</w:t>
            </w:r>
            <w:r w:rsidRPr="003E0E7D">
              <w:t xml:space="preserve"> services as a public good the responsibility of the Australian Government</w:t>
            </w:r>
          </w:p>
        </w:tc>
        <w:tc>
          <w:tcPr>
            <w:tcW w:w="3070" w:type="dxa"/>
            <w:tcBorders>
              <w:top w:val="single" w:sz="4" w:space="0" w:color="4B4B4B"/>
              <w:left w:val="single" w:sz="4" w:space="0" w:color="FFFFFF"/>
              <w:bottom w:val="single" w:sz="4" w:space="0" w:color="4B4B4B"/>
              <w:right w:val="single" w:sz="4" w:space="0" w:color="FFFFFF"/>
            </w:tcBorders>
            <w:shd w:val="clear" w:color="auto" w:fill="DCDCDC"/>
            <w:hideMark/>
          </w:tcPr>
          <w:p w14:paraId="4570C34C" w14:textId="77777777" w:rsidR="00D327BD" w:rsidRPr="003E0E7D" w:rsidRDefault="00D327BD" w:rsidP="003E0E7D">
            <w:pPr>
              <w:pStyle w:val="TableBullets1"/>
              <w:keepNext/>
              <w:keepLines/>
              <w:numPr>
                <w:ilvl w:val="0"/>
                <w:numId w:val="19"/>
              </w:numPr>
              <w:spacing w:before="60" w:after="60"/>
            </w:pPr>
            <w:r w:rsidRPr="003E0E7D">
              <w:t>Lack of incentive for service providers to decrease costs</w:t>
            </w:r>
          </w:p>
          <w:p w14:paraId="12010AB6" w14:textId="77777777" w:rsidR="00D327BD" w:rsidRPr="003E0E7D" w:rsidRDefault="00D327BD" w:rsidP="003E0E7D">
            <w:pPr>
              <w:pStyle w:val="TableBullets1"/>
              <w:keepNext/>
              <w:keepLines/>
              <w:numPr>
                <w:ilvl w:val="0"/>
                <w:numId w:val="19"/>
              </w:numPr>
              <w:spacing w:before="60" w:after="60"/>
            </w:pPr>
            <w:r w:rsidRPr="003E0E7D">
              <w:t>Laboratories less likely to consider factors other than cost</w:t>
            </w:r>
          </w:p>
        </w:tc>
      </w:tr>
      <w:tr w:rsidR="00276C1B" w:rsidRPr="003E0E7D" w14:paraId="36B2A435" w14:textId="77777777" w:rsidTr="003E0E7D">
        <w:trPr>
          <w:trHeight w:val="327"/>
        </w:trPr>
        <w:tc>
          <w:tcPr>
            <w:tcW w:w="1730" w:type="dxa"/>
            <w:tcBorders>
              <w:top w:val="single" w:sz="4" w:space="0" w:color="4B4B4B"/>
              <w:left w:val="single" w:sz="4" w:space="0" w:color="FFFFFF"/>
              <w:bottom w:val="single" w:sz="4" w:space="0" w:color="4B4B4B"/>
              <w:right w:val="single" w:sz="4" w:space="0" w:color="FFFFFF"/>
            </w:tcBorders>
            <w:shd w:val="clear" w:color="auto" w:fill="DCDCDC"/>
            <w:hideMark/>
          </w:tcPr>
          <w:p w14:paraId="45D1BC61" w14:textId="77777777" w:rsidR="00D327BD" w:rsidRPr="003E0E7D" w:rsidRDefault="00D327BD" w:rsidP="003E0E7D">
            <w:pPr>
              <w:pStyle w:val="TableNumbers1"/>
              <w:keepNext/>
              <w:numPr>
                <w:ilvl w:val="0"/>
                <w:numId w:val="30"/>
              </w:numPr>
              <w:spacing w:before="60" w:after="60"/>
              <w:rPr>
                <w:b/>
              </w:rPr>
            </w:pPr>
            <w:r w:rsidRPr="003E0E7D">
              <w:rPr>
                <w:b/>
              </w:rPr>
              <w:t>Private (e.g. cost-recovery through IVD manufacturers)</w:t>
            </w:r>
          </w:p>
        </w:tc>
        <w:tc>
          <w:tcPr>
            <w:tcW w:w="2234" w:type="dxa"/>
            <w:tcBorders>
              <w:top w:val="single" w:sz="4" w:space="0" w:color="4B4B4B"/>
              <w:left w:val="single" w:sz="4" w:space="0" w:color="FFFFFF"/>
              <w:bottom w:val="single" w:sz="4" w:space="0" w:color="4B4B4B"/>
              <w:right w:val="single" w:sz="4" w:space="0" w:color="FFFFFF"/>
            </w:tcBorders>
            <w:shd w:val="clear" w:color="auto" w:fill="DCDCDC"/>
            <w:hideMark/>
          </w:tcPr>
          <w:p w14:paraId="1A34BF7D" w14:textId="77777777" w:rsidR="00D327BD" w:rsidRPr="003E0E7D" w:rsidRDefault="00D327BD" w:rsidP="003E0E7D">
            <w:pPr>
              <w:pStyle w:val="TableBullets1"/>
              <w:keepNext/>
              <w:numPr>
                <w:ilvl w:val="0"/>
                <w:numId w:val="19"/>
              </w:numPr>
              <w:spacing w:before="60" w:after="60"/>
            </w:pPr>
            <w:r w:rsidRPr="003E0E7D">
              <w:t>Additional incentive (lower cost) for providers to enter the market</w:t>
            </w:r>
          </w:p>
          <w:p w14:paraId="74A2E79D" w14:textId="77777777" w:rsidR="00D327BD" w:rsidRPr="003E0E7D" w:rsidRDefault="00D327BD" w:rsidP="003E0E7D">
            <w:pPr>
              <w:pStyle w:val="TableBullets1"/>
              <w:keepNext/>
              <w:numPr>
                <w:ilvl w:val="0"/>
                <w:numId w:val="19"/>
              </w:numPr>
              <w:spacing w:before="60" w:after="60"/>
            </w:pPr>
            <w:r w:rsidRPr="003E0E7D">
              <w:t xml:space="preserve">Increased focus on QA and QC quality for manufacturers </w:t>
            </w:r>
          </w:p>
          <w:p w14:paraId="289C5DA2" w14:textId="77777777" w:rsidR="00D327BD" w:rsidRPr="003E0E7D" w:rsidRDefault="00D327BD" w:rsidP="003E0E7D">
            <w:pPr>
              <w:pStyle w:val="TableBullets1"/>
              <w:keepNext/>
              <w:numPr>
                <w:ilvl w:val="0"/>
                <w:numId w:val="19"/>
              </w:numPr>
              <w:spacing w:before="60" w:after="60"/>
            </w:pPr>
            <w:r w:rsidRPr="003E0E7D">
              <w:t>Align with cost-recovery format of other regulatory agencies (e.g. TGA)</w:t>
            </w:r>
          </w:p>
        </w:tc>
        <w:tc>
          <w:tcPr>
            <w:tcW w:w="3070" w:type="dxa"/>
            <w:tcBorders>
              <w:top w:val="single" w:sz="4" w:space="0" w:color="4B4B4B"/>
              <w:left w:val="single" w:sz="4" w:space="0" w:color="FFFFFF"/>
              <w:bottom w:val="single" w:sz="4" w:space="0" w:color="4B4B4B"/>
              <w:right w:val="single" w:sz="4" w:space="0" w:color="FFFFFF"/>
            </w:tcBorders>
            <w:shd w:val="clear" w:color="auto" w:fill="DCDCDC"/>
            <w:hideMark/>
          </w:tcPr>
          <w:p w14:paraId="11C0E366" w14:textId="77777777" w:rsidR="00D327BD" w:rsidRPr="003E0E7D" w:rsidRDefault="00D327BD" w:rsidP="003E0E7D">
            <w:pPr>
              <w:pStyle w:val="TableBullets1"/>
              <w:keepNext/>
              <w:numPr>
                <w:ilvl w:val="0"/>
                <w:numId w:val="19"/>
              </w:numPr>
              <w:spacing w:before="60" w:after="60"/>
            </w:pPr>
            <w:r w:rsidRPr="003E0E7D">
              <w:t>Laboratories may not be able to meet cost (gap payments)</w:t>
            </w:r>
          </w:p>
          <w:p w14:paraId="2FE087D6" w14:textId="77777777" w:rsidR="00D327BD" w:rsidRPr="003E0E7D" w:rsidRDefault="00D327BD" w:rsidP="003E0E7D">
            <w:pPr>
              <w:pStyle w:val="TableBullets1"/>
              <w:keepNext/>
              <w:numPr>
                <w:ilvl w:val="0"/>
                <w:numId w:val="19"/>
              </w:numPr>
              <w:spacing w:before="60" w:after="60"/>
            </w:pPr>
            <w:r w:rsidRPr="003E0E7D">
              <w:t xml:space="preserve">Additional incentive for laboratories to increase costs of other services </w:t>
            </w:r>
          </w:p>
          <w:p w14:paraId="53C7F708" w14:textId="77777777" w:rsidR="00D327BD" w:rsidRPr="003E0E7D" w:rsidRDefault="00D327BD" w:rsidP="003E0E7D">
            <w:pPr>
              <w:pStyle w:val="TableBullets1"/>
              <w:keepNext/>
              <w:numPr>
                <w:ilvl w:val="0"/>
                <w:numId w:val="19"/>
              </w:numPr>
              <w:spacing w:before="60" w:after="60"/>
            </w:pPr>
            <w:r w:rsidRPr="003E0E7D">
              <w:t xml:space="preserve">Ambiguous responsibility (laboratories vs Australian Government) </w:t>
            </w:r>
            <w:r w:rsidR="00455A8F" w:rsidRPr="003E0E7D">
              <w:t>regarding in-scope</w:t>
            </w:r>
            <w:r w:rsidRPr="003E0E7D">
              <w:t xml:space="preserve"> services</w:t>
            </w:r>
          </w:p>
          <w:p w14:paraId="395CC307" w14:textId="77777777" w:rsidR="00D327BD" w:rsidRPr="003E0E7D" w:rsidRDefault="00D327BD" w:rsidP="003E0E7D">
            <w:pPr>
              <w:pStyle w:val="TableBullets1"/>
              <w:keepNext/>
              <w:numPr>
                <w:ilvl w:val="0"/>
                <w:numId w:val="19"/>
              </w:numPr>
            </w:pPr>
            <w:r w:rsidRPr="003E0E7D">
              <w:t>Risk that the manufacturers will incorporate the additional cost into the price of equipment, which would transfer the financial burden to laboratories.</w:t>
            </w:r>
          </w:p>
        </w:tc>
      </w:tr>
    </w:tbl>
    <w:p w14:paraId="0B54254F" w14:textId="77777777" w:rsidR="00DE3346" w:rsidRDefault="00DE3346" w:rsidP="00DE3346">
      <w:pPr>
        <w:pStyle w:val="HeadingAppendix2"/>
      </w:pPr>
      <w:bookmarkStart w:id="114" w:name="_Toc18664690"/>
      <w:r>
        <w:t>Extent of NRL QA coverage</w:t>
      </w:r>
      <w:bookmarkEnd w:id="114"/>
      <w:r>
        <w:t xml:space="preserve"> </w:t>
      </w:r>
    </w:p>
    <w:p w14:paraId="3627FD0D" w14:textId="4D05E23A" w:rsidR="00DE3346" w:rsidRDefault="00DE3346" w:rsidP="00DE3346">
      <w:pPr>
        <w:pStyle w:val="BodyCopy"/>
      </w:pPr>
      <w:r>
        <w:t xml:space="preserve">There are 74 Accredited Pathology Laboratories that are NATA accredited for virology or extended serology plus/minus extended NAT, for which it is reasonable to assume capability of testing for HIV and hepatitis. Over 90% of these laboratories use NRL external quality assessment schemes (EQAS) for HIV </w:t>
      </w:r>
      <w:r>
        <w:t xml:space="preserve">serology (n=70, 95%) or for hepatitis serology (n=67, 91%), see </w:t>
      </w:r>
      <w:r>
        <w:fldChar w:fldCharType="begin"/>
      </w:r>
      <w:r>
        <w:instrText xml:space="preserve"> REF _Ref494878757 \h </w:instrText>
      </w:r>
      <w:r>
        <w:fldChar w:fldCharType="separate"/>
      </w:r>
      <w:r w:rsidR="0078683A">
        <w:rPr>
          <w:b/>
          <w:bCs/>
          <w:lang w:val="en-US"/>
        </w:rPr>
        <w:t>Error! Reference source not found.</w:t>
      </w:r>
      <w:r>
        <w:fldChar w:fldCharType="end"/>
      </w:r>
      <w:r>
        <w:t>. Thirty-one of the laboratories using NRL products for HIV and hepatitis serology (approximately 45%) were private pathology laboratories,</w:t>
      </w:r>
      <w:r w:rsidRPr="00422BAB">
        <w:t xml:space="preserve"> </w:t>
      </w:r>
      <w:r>
        <w:t xml:space="preserve">see </w:t>
      </w:r>
      <w:r>
        <w:fldChar w:fldCharType="begin"/>
      </w:r>
      <w:r>
        <w:instrText xml:space="preserve"> REF _Ref494878757 \h </w:instrText>
      </w:r>
      <w:r>
        <w:fldChar w:fldCharType="separate"/>
      </w:r>
      <w:r w:rsidR="0078683A">
        <w:rPr>
          <w:b/>
          <w:bCs/>
          <w:lang w:val="en-US"/>
        </w:rPr>
        <w:t>Error! Reference source not found.</w:t>
      </w:r>
      <w:r>
        <w:fldChar w:fldCharType="end"/>
      </w:r>
      <w:r>
        <w:t>.</w:t>
      </w:r>
    </w:p>
    <w:p w14:paraId="37239BCA" w14:textId="7637AB36" w:rsidR="00DE3346" w:rsidRDefault="00DE3346" w:rsidP="00DE3346">
      <w:pPr>
        <w:pStyle w:val="BodyCopy"/>
      </w:pPr>
      <w:r>
        <w:t xml:space="preserve">It is not expected that all laboratories would perform NAT for clinical diagnostic or clinical viral load determination. Therefore, the proportion of NATA accredited laboratories using NRL EQAS for NAT is expected to be less. Analysis indicated that 24% of NATA accredited laboratories used NRL EQAS for HCV diagnostic NAT, 30% for HCV viral load NAT and 28% for HIV viral load NAT, see </w:t>
      </w:r>
      <w:r>
        <w:fldChar w:fldCharType="begin"/>
      </w:r>
      <w:r>
        <w:instrText xml:space="preserve"> REF _Ref494878757 \h </w:instrText>
      </w:r>
      <w:r>
        <w:fldChar w:fldCharType="separate"/>
      </w:r>
      <w:r w:rsidR="0078683A">
        <w:rPr>
          <w:b/>
          <w:bCs/>
          <w:lang w:val="en-US"/>
        </w:rPr>
        <w:t>Error! Reference source not found.</w:t>
      </w:r>
      <w:r>
        <w:fldChar w:fldCharType="end"/>
      </w:r>
      <w:r>
        <w:t xml:space="preserve">. </w:t>
      </w:r>
    </w:p>
    <w:p w14:paraId="6C1C5378" w14:textId="7F159EC5" w:rsidR="00DE3346" w:rsidRDefault="00DE3346" w:rsidP="00DE3346">
      <w:pPr>
        <w:pStyle w:val="Caption"/>
      </w:pPr>
      <w:r>
        <w:t xml:space="preserve">Table </w:t>
      </w:r>
      <w:r>
        <w:rPr>
          <w:noProof/>
        </w:rPr>
        <w:fldChar w:fldCharType="begin"/>
      </w:r>
      <w:r>
        <w:rPr>
          <w:noProof/>
        </w:rPr>
        <w:instrText xml:space="preserve"> STYLEREF 1 \s </w:instrText>
      </w:r>
      <w:r>
        <w:rPr>
          <w:noProof/>
        </w:rPr>
        <w:fldChar w:fldCharType="separate"/>
      </w:r>
      <w:r w:rsidR="0078683A">
        <w:rPr>
          <w:noProof/>
        </w:rPr>
        <w:t>9</w:t>
      </w:r>
      <w:r>
        <w:rPr>
          <w:noProof/>
        </w:rPr>
        <w:fldChar w:fldCharType="end"/>
      </w:r>
      <w:r>
        <w:t>.</w:t>
      </w:r>
      <w:r>
        <w:rPr>
          <w:noProof/>
        </w:rPr>
        <w:fldChar w:fldCharType="begin"/>
      </w:r>
      <w:r>
        <w:rPr>
          <w:noProof/>
        </w:rPr>
        <w:instrText xml:space="preserve"> SEQ Table \* ARABIC \s 1 </w:instrText>
      </w:r>
      <w:r>
        <w:rPr>
          <w:noProof/>
        </w:rPr>
        <w:fldChar w:fldCharType="separate"/>
      </w:r>
      <w:r w:rsidR="0078683A">
        <w:rPr>
          <w:noProof/>
        </w:rPr>
        <w:t>7</w:t>
      </w:r>
      <w:r>
        <w:rPr>
          <w:noProof/>
        </w:rPr>
        <w:fldChar w:fldCharType="end"/>
      </w:r>
      <w:r>
        <w:t xml:space="preserve">: </w:t>
      </w:r>
      <w:r w:rsidRPr="00A27E4E">
        <w:rPr>
          <w:rStyle w:val="Captionnotbold"/>
        </w:rPr>
        <w:t>NRL EQAS coverage among NATA accredited laboratories</w:t>
      </w:r>
    </w:p>
    <w:tbl>
      <w:tblPr>
        <w:tblW w:w="6658" w:type="dxa"/>
        <w:jc w:val="center"/>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Look w:val="04A0" w:firstRow="1" w:lastRow="0" w:firstColumn="1" w:lastColumn="0" w:noHBand="0" w:noVBand="1"/>
      </w:tblPr>
      <w:tblGrid>
        <w:gridCol w:w="2405"/>
        <w:gridCol w:w="676"/>
        <w:gridCol w:w="754"/>
        <w:gridCol w:w="591"/>
        <w:gridCol w:w="2410"/>
      </w:tblGrid>
      <w:tr w:rsidR="00DE3346" w:rsidRPr="003E0E7D" w14:paraId="3F7D4D64" w14:textId="77777777" w:rsidTr="00DE3346">
        <w:trPr>
          <w:trHeight w:val="300"/>
          <w:jc w:val="center"/>
        </w:trPr>
        <w:tc>
          <w:tcPr>
            <w:tcW w:w="2405" w:type="dxa"/>
            <w:vMerge w:val="restart"/>
            <w:tcBorders>
              <w:top w:val="single" w:sz="4" w:space="0" w:color="4B4B4B"/>
              <w:left w:val="single" w:sz="4" w:space="0" w:color="FFFFFF"/>
              <w:right w:val="single" w:sz="4" w:space="0" w:color="FFFFFF"/>
            </w:tcBorders>
            <w:shd w:val="clear" w:color="auto" w:fill="BEBEBE"/>
            <w:noWrap/>
            <w:hideMark/>
          </w:tcPr>
          <w:p w14:paraId="15BB208D" w14:textId="77777777" w:rsidR="00DE3346" w:rsidRPr="003E0E7D" w:rsidRDefault="00DE3346" w:rsidP="00DE3346">
            <w:pPr>
              <w:pStyle w:val="TableColumnHeading"/>
              <w:jc w:val="center"/>
              <w:rPr>
                <w:lang w:eastAsia="en-AU"/>
              </w:rPr>
            </w:pPr>
            <w:r w:rsidRPr="003E0E7D">
              <w:rPr>
                <w:lang w:eastAsia="en-AU"/>
              </w:rPr>
              <w:t>EQAS type</w:t>
            </w:r>
          </w:p>
        </w:tc>
        <w:tc>
          <w:tcPr>
            <w:tcW w:w="1843" w:type="dxa"/>
            <w:gridSpan w:val="3"/>
            <w:tcBorders>
              <w:top w:val="single" w:sz="4" w:space="0" w:color="4B4B4B"/>
              <w:left w:val="single" w:sz="4" w:space="0" w:color="FFFFFF"/>
              <w:bottom w:val="single" w:sz="4" w:space="0" w:color="4B4B4B"/>
              <w:right w:val="single" w:sz="4" w:space="0" w:color="FFFFFF"/>
            </w:tcBorders>
            <w:shd w:val="clear" w:color="auto" w:fill="BEBEBE"/>
          </w:tcPr>
          <w:p w14:paraId="46DC81BC" w14:textId="77777777" w:rsidR="00DE3346" w:rsidRPr="003E0E7D" w:rsidRDefault="00DE3346" w:rsidP="00DE3346">
            <w:pPr>
              <w:pStyle w:val="TableColumnHeading"/>
              <w:jc w:val="center"/>
              <w:rPr>
                <w:lang w:eastAsia="en-AU"/>
              </w:rPr>
            </w:pPr>
            <w:r w:rsidRPr="003E0E7D">
              <w:rPr>
                <w:lang w:eastAsia="en-AU"/>
              </w:rPr>
              <w:t>No. laboratories participating</w:t>
            </w:r>
          </w:p>
        </w:tc>
        <w:tc>
          <w:tcPr>
            <w:tcW w:w="2410" w:type="dxa"/>
            <w:vMerge w:val="restart"/>
            <w:tcBorders>
              <w:top w:val="single" w:sz="4" w:space="0" w:color="4B4B4B"/>
              <w:left w:val="single" w:sz="4" w:space="0" w:color="FFFFFF"/>
              <w:right w:val="single" w:sz="4" w:space="0" w:color="FFFFFF"/>
            </w:tcBorders>
            <w:shd w:val="clear" w:color="auto" w:fill="BEBEBE"/>
            <w:noWrap/>
            <w:hideMark/>
          </w:tcPr>
          <w:p w14:paraId="1469F233" w14:textId="77777777" w:rsidR="00DE3346" w:rsidRPr="003E0E7D" w:rsidRDefault="00DE3346" w:rsidP="00DE3346">
            <w:pPr>
              <w:pStyle w:val="TableColumnHeading"/>
              <w:jc w:val="center"/>
              <w:rPr>
                <w:lang w:eastAsia="en-AU"/>
              </w:rPr>
            </w:pPr>
            <w:r w:rsidRPr="003E0E7D">
              <w:rPr>
                <w:lang w:eastAsia="en-AU"/>
              </w:rPr>
              <w:t xml:space="preserve">% of identified NATA accredited laboratories </w:t>
            </w:r>
            <w:r w:rsidRPr="003E0E7D">
              <w:rPr>
                <w:lang w:eastAsia="en-AU"/>
              </w:rPr>
              <w:br/>
              <w:t>(n=74)</w:t>
            </w:r>
          </w:p>
        </w:tc>
      </w:tr>
      <w:tr w:rsidR="00DE3346" w:rsidRPr="003E0E7D" w14:paraId="4F8661D2" w14:textId="77777777" w:rsidTr="00DE3346">
        <w:trPr>
          <w:trHeight w:val="300"/>
          <w:jc w:val="center"/>
        </w:trPr>
        <w:tc>
          <w:tcPr>
            <w:tcW w:w="2405" w:type="dxa"/>
            <w:vMerge/>
            <w:tcBorders>
              <w:left w:val="single" w:sz="4" w:space="0" w:color="FFFFFF"/>
              <w:bottom w:val="single" w:sz="4" w:space="0" w:color="4B4B4B"/>
              <w:right w:val="single" w:sz="4" w:space="0" w:color="FFFFFF"/>
            </w:tcBorders>
            <w:shd w:val="clear" w:color="auto" w:fill="DCDCDC"/>
            <w:noWrap/>
          </w:tcPr>
          <w:p w14:paraId="450EDE61" w14:textId="77777777" w:rsidR="00DE3346" w:rsidRPr="003E0E7D" w:rsidRDefault="00DE3346" w:rsidP="00DE3346">
            <w:pPr>
              <w:pStyle w:val="TableCopy"/>
              <w:keepNext/>
              <w:rPr>
                <w:b/>
                <w:lang w:eastAsia="en-AU"/>
              </w:rPr>
            </w:pPr>
          </w:p>
        </w:tc>
        <w:tc>
          <w:tcPr>
            <w:tcW w:w="0" w:type="dxa"/>
            <w:tcBorders>
              <w:top w:val="single" w:sz="4" w:space="0" w:color="4B4B4B"/>
              <w:left w:val="single" w:sz="4" w:space="0" w:color="FFFFFF"/>
              <w:bottom w:val="single" w:sz="4" w:space="0" w:color="4B4B4B"/>
              <w:right w:val="single" w:sz="4" w:space="0" w:color="FFFFFF"/>
            </w:tcBorders>
            <w:shd w:val="clear" w:color="auto" w:fill="DCDCDC"/>
          </w:tcPr>
          <w:p w14:paraId="6675FC0A" w14:textId="77777777" w:rsidR="00DE3346" w:rsidRPr="003E0E7D" w:rsidRDefault="00DE3346" w:rsidP="00DE3346">
            <w:pPr>
              <w:pStyle w:val="TableColumnHeading"/>
              <w:rPr>
                <w:lang w:eastAsia="en-AU"/>
              </w:rPr>
            </w:pPr>
            <w:r w:rsidRPr="003E0E7D">
              <w:rPr>
                <w:lang w:eastAsia="en-AU"/>
              </w:rPr>
              <w:t>Public</w:t>
            </w:r>
          </w:p>
        </w:tc>
        <w:tc>
          <w:tcPr>
            <w:tcW w:w="0" w:type="dxa"/>
            <w:tcBorders>
              <w:top w:val="single" w:sz="4" w:space="0" w:color="4B4B4B"/>
              <w:left w:val="single" w:sz="4" w:space="0" w:color="FFFFFF"/>
              <w:bottom w:val="single" w:sz="4" w:space="0" w:color="4B4B4B"/>
              <w:right w:val="single" w:sz="4" w:space="0" w:color="FFFFFF"/>
            </w:tcBorders>
            <w:shd w:val="clear" w:color="auto" w:fill="DCDCDC"/>
          </w:tcPr>
          <w:p w14:paraId="5752EC70" w14:textId="77777777" w:rsidR="00DE3346" w:rsidRPr="003E0E7D" w:rsidRDefault="00DE3346" w:rsidP="00DE3346">
            <w:pPr>
              <w:pStyle w:val="TableColumnHeading"/>
              <w:rPr>
                <w:lang w:eastAsia="en-AU"/>
              </w:rPr>
            </w:pPr>
            <w:r w:rsidRPr="003E0E7D">
              <w:rPr>
                <w:lang w:eastAsia="en-AU"/>
              </w:rPr>
              <w:t>Private</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tcPr>
          <w:p w14:paraId="2345789B" w14:textId="77777777" w:rsidR="00DE3346" w:rsidRPr="003E0E7D" w:rsidRDefault="00DE3346" w:rsidP="00DE3346">
            <w:pPr>
              <w:pStyle w:val="TableColumnHeading"/>
              <w:rPr>
                <w:lang w:eastAsia="en-AU"/>
              </w:rPr>
            </w:pPr>
            <w:r w:rsidRPr="003E0E7D">
              <w:rPr>
                <w:lang w:eastAsia="en-AU"/>
              </w:rPr>
              <w:t xml:space="preserve">Total </w:t>
            </w:r>
          </w:p>
        </w:tc>
        <w:tc>
          <w:tcPr>
            <w:tcW w:w="2410" w:type="dxa"/>
            <w:vMerge/>
            <w:tcBorders>
              <w:left w:val="single" w:sz="4" w:space="0" w:color="FFFFFF"/>
              <w:bottom w:val="single" w:sz="4" w:space="0" w:color="4B4B4B"/>
              <w:right w:val="single" w:sz="4" w:space="0" w:color="FFFFFF"/>
            </w:tcBorders>
            <w:shd w:val="clear" w:color="auto" w:fill="DCDCDC"/>
            <w:noWrap/>
          </w:tcPr>
          <w:p w14:paraId="3B3085B6" w14:textId="77777777" w:rsidR="00DE3346" w:rsidRPr="003E0E7D" w:rsidRDefault="00DE3346" w:rsidP="00DE3346">
            <w:pPr>
              <w:pStyle w:val="TableCopy"/>
              <w:keepNext/>
              <w:jc w:val="center"/>
              <w:rPr>
                <w:lang w:eastAsia="en-AU"/>
              </w:rPr>
            </w:pPr>
          </w:p>
        </w:tc>
      </w:tr>
      <w:tr w:rsidR="00DE3346" w:rsidRPr="003E0E7D" w14:paraId="7BF0D13F"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716392CC" w14:textId="77777777" w:rsidR="00DE3346" w:rsidRPr="003E0E7D" w:rsidRDefault="00DE3346" w:rsidP="00DE3346">
            <w:pPr>
              <w:pStyle w:val="TableCopy"/>
              <w:keepNext/>
              <w:rPr>
                <w:b/>
                <w:lang w:eastAsia="en-AU"/>
              </w:rPr>
            </w:pPr>
            <w:r w:rsidRPr="003E0E7D">
              <w:rPr>
                <w:b/>
                <w:lang w:eastAsia="en-AU"/>
              </w:rPr>
              <w:t xml:space="preserve">HIV serology </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14039053" w14:textId="77777777" w:rsidR="00DE3346" w:rsidRPr="003E0E7D" w:rsidRDefault="00DE3346" w:rsidP="00DE3346">
            <w:pPr>
              <w:pStyle w:val="TableCopy"/>
              <w:keepNext/>
              <w:jc w:val="center"/>
              <w:rPr>
                <w:lang w:eastAsia="en-AU"/>
              </w:rPr>
            </w:pPr>
            <w:r w:rsidRPr="003E0E7D">
              <w:rPr>
                <w:lang w:eastAsia="en-AU"/>
              </w:rPr>
              <w:t>39</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67C48F80" w14:textId="77777777" w:rsidR="00DE3346" w:rsidRPr="003E0E7D" w:rsidRDefault="00DE3346" w:rsidP="00DE3346">
            <w:pPr>
              <w:pStyle w:val="TableCopy"/>
              <w:keepNext/>
              <w:jc w:val="center"/>
              <w:rPr>
                <w:lang w:eastAsia="en-AU"/>
              </w:rPr>
            </w:pPr>
            <w:r w:rsidRPr="003E0E7D">
              <w:rPr>
                <w:lang w:eastAsia="en-AU"/>
              </w:rPr>
              <w:t>31</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7AC2090C" w14:textId="77777777" w:rsidR="00DE3346" w:rsidRPr="003E0E7D" w:rsidRDefault="00DE3346" w:rsidP="00DE3346">
            <w:pPr>
              <w:pStyle w:val="TableCopy"/>
              <w:keepNext/>
              <w:jc w:val="center"/>
              <w:rPr>
                <w:lang w:eastAsia="en-AU"/>
              </w:rPr>
            </w:pPr>
            <w:r w:rsidRPr="003E0E7D">
              <w:rPr>
                <w:lang w:eastAsia="en-AU"/>
              </w:rPr>
              <w:t>70</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00E2129D" w14:textId="77777777" w:rsidR="00DE3346" w:rsidRPr="003E0E7D" w:rsidRDefault="00DE3346" w:rsidP="00DE3346">
            <w:pPr>
              <w:pStyle w:val="TableCopy"/>
              <w:keepNext/>
              <w:jc w:val="center"/>
              <w:rPr>
                <w:lang w:eastAsia="en-AU"/>
              </w:rPr>
            </w:pPr>
            <w:r w:rsidRPr="003E0E7D">
              <w:rPr>
                <w:lang w:eastAsia="en-AU"/>
              </w:rPr>
              <w:t>95%</w:t>
            </w:r>
          </w:p>
        </w:tc>
      </w:tr>
      <w:tr w:rsidR="00DE3346" w:rsidRPr="003E0E7D" w14:paraId="1A98D220"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60985147" w14:textId="77777777" w:rsidR="00DE3346" w:rsidRPr="003E0E7D" w:rsidRDefault="00DE3346" w:rsidP="00DE3346">
            <w:pPr>
              <w:pStyle w:val="TableCopy"/>
              <w:keepNext/>
              <w:rPr>
                <w:b/>
                <w:lang w:eastAsia="en-AU"/>
              </w:rPr>
            </w:pPr>
            <w:r w:rsidRPr="003E0E7D">
              <w:rPr>
                <w:b/>
                <w:lang w:eastAsia="en-AU"/>
              </w:rPr>
              <w:t>Hepatitis serology</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4E72EBAE" w14:textId="77777777" w:rsidR="00DE3346" w:rsidRPr="003E0E7D" w:rsidRDefault="00DE3346" w:rsidP="00DE3346">
            <w:pPr>
              <w:pStyle w:val="TableCopy"/>
              <w:keepNext/>
              <w:jc w:val="center"/>
              <w:rPr>
                <w:lang w:eastAsia="en-AU"/>
              </w:rPr>
            </w:pPr>
            <w:r w:rsidRPr="003E0E7D">
              <w:rPr>
                <w:lang w:eastAsia="en-AU"/>
              </w:rPr>
              <w:t>36</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29C858B7" w14:textId="77777777" w:rsidR="00DE3346" w:rsidRPr="003E0E7D" w:rsidRDefault="00DE3346" w:rsidP="00DE3346">
            <w:pPr>
              <w:pStyle w:val="TableCopy"/>
              <w:keepNext/>
              <w:jc w:val="center"/>
              <w:rPr>
                <w:lang w:eastAsia="en-AU"/>
              </w:rPr>
            </w:pPr>
            <w:r w:rsidRPr="003E0E7D">
              <w:rPr>
                <w:lang w:eastAsia="en-AU"/>
              </w:rPr>
              <w:t>31</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06002A8B" w14:textId="77777777" w:rsidR="00DE3346" w:rsidRPr="003E0E7D" w:rsidRDefault="00DE3346" w:rsidP="00DE3346">
            <w:pPr>
              <w:pStyle w:val="TableCopy"/>
              <w:keepNext/>
              <w:jc w:val="center"/>
              <w:rPr>
                <w:lang w:eastAsia="en-AU"/>
              </w:rPr>
            </w:pPr>
            <w:r w:rsidRPr="003E0E7D">
              <w:rPr>
                <w:lang w:eastAsia="en-AU"/>
              </w:rPr>
              <w:t>67</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4F6CC39A" w14:textId="77777777" w:rsidR="00DE3346" w:rsidRPr="003E0E7D" w:rsidRDefault="00DE3346" w:rsidP="00DE3346">
            <w:pPr>
              <w:pStyle w:val="TableCopy"/>
              <w:keepNext/>
              <w:jc w:val="center"/>
              <w:rPr>
                <w:lang w:eastAsia="en-AU"/>
              </w:rPr>
            </w:pPr>
            <w:r w:rsidRPr="003E0E7D">
              <w:rPr>
                <w:lang w:eastAsia="en-AU"/>
              </w:rPr>
              <w:t>91%</w:t>
            </w:r>
          </w:p>
        </w:tc>
      </w:tr>
      <w:tr w:rsidR="00DE3346" w:rsidRPr="003E0E7D" w14:paraId="530EE576"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73C1CDAB" w14:textId="77777777" w:rsidR="00DE3346" w:rsidRPr="003E0E7D" w:rsidRDefault="00DE3346" w:rsidP="00DE3346">
            <w:pPr>
              <w:pStyle w:val="TableCopy"/>
              <w:keepNext/>
              <w:rPr>
                <w:b/>
                <w:lang w:eastAsia="en-AU"/>
              </w:rPr>
            </w:pPr>
            <w:r w:rsidRPr="003E0E7D">
              <w:rPr>
                <w:b/>
                <w:lang w:eastAsia="en-AU"/>
              </w:rPr>
              <w:t>HCV NAT viral load</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6CFC143A" w14:textId="77777777" w:rsidR="00DE3346" w:rsidRPr="003E0E7D" w:rsidRDefault="00DE3346" w:rsidP="00DE3346">
            <w:pPr>
              <w:pStyle w:val="TableCopy"/>
              <w:keepNext/>
              <w:jc w:val="center"/>
              <w:rPr>
                <w:lang w:eastAsia="en-AU"/>
              </w:rPr>
            </w:pPr>
            <w:r w:rsidRPr="003E0E7D">
              <w:rPr>
                <w:lang w:eastAsia="en-AU"/>
              </w:rPr>
              <w:t>14</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1DA0DFB2" w14:textId="77777777" w:rsidR="00DE3346" w:rsidRPr="003E0E7D" w:rsidRDefault="00DE3346" w:rsidP="00DE3346">
            <w:pPr>
              <w:pStyle w:val="TableCopy"/>
              <w:keepNext/>
              <w:jc w:val="center"/>
              <w:rPr>
                <w:lang w:eastAsia="en-AU"/>
              </w:rPr>
            </w:pPr>
            <w:r w:rsidRPr="003E0E7D">
              <w:rPr>
                <w:lang w:eastAsia="en-AU"/>
              </w:rPr>
              <w:t>8</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3FB2756C" w14:textId="77777777" w:rsidR="00DE3346" w:rsidRPr="003E0E7D" w:rsidRDefault="00DE3346" w:rsidP="00DE3346">
            <w:pPr>
              <w:pStyle w:val="TableCopy"/>
              <w:keepNext/>
              <w:jc w:val="center"/>
              <w:rPr>
                <w:lang w:eastAsia="en-AU"/>
              </w:rPr>
            </w:pPr>
            <w:r w:rsidRPr="003E0E7D">
              <w:rPr>
                <w:lang w:eastAsia="en-AU"/>
              </w:rPr>
              <w:t>22</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3C4F8E32" w14:textId="77777777" w:rsidR="00DE3346" w:rsidRPr="003E0E7D" w:rsidRDefault="00DE3346" w:rsidP="00DE3346">
            <w:pPr>
              <w:pStyle w:val="TableCopy"/>
              <w:keepNext/>
              <w:jc w:val="center"/>
              <w:rPr>
                <w:lang w:eastAsia="en-AU"/>
              </w:rPr>
            </w:pPr>
            <w:r w:rsidRPr="003E0E7D">
              <w:rPr>
                <w:lang w:eastAsia="en-AU"/>
              </w:rPr>
              <w:t>30%</w:t>
            </w:r>
          </w:p>
        </w:tc>
      </w:tr>
      <w:tr w:rsidR="00DE3346" w:rsidRPr="003E0E7D" w14:paraId="103CD4F1"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7D85BCC6" w14:textId="77777777" w:rsidR="00DE3346" w:rsidRPr="003E0E7D" w:rsidRDefault="00DE3346" w:rsidP="00DE3346">
            <w:pPr>
              <w:pStyle w:val="TableCopy"/>
              <w:keepNext/>
              <w:rPr>
                <w:b/>
                <w:lang w:eastAsia="en-AU"/>
              </w:rPr>
            </w:pPr>
            <w:r w:rsidRPr="003E0E7D">
              <w:rPr>
                <w:b/>
                <w:lang w:eastAsia="en-AU"/>
              </w:rPr>
              <w:t>HIV NAT viral load</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0EA80120" w14:textId="77777777" w:rsidR="00DE3346" w:rsidRPr="003E0E7D" w:rsidRDefault="00DE3346" w:rsidP="00DE3346">
            <w:pPr>
              <w:pStyle w:val="TableCopy"/>
              <w:keepNext/>
              <w:jc w:val="center"/>
              <w:rPr>
                <w:lang w:eastAsia="en-AU"/>
              </w:rPr>
            </w:pPr>
            <w:r w:rsidRPr="003E0E7D">
              <w:rPr>
                <w:lang w:eastAsia="en-AU"/>
              </w:rPr>
              <w:t>15</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5E3FF294" w14:textId="77777777" w:rsidR="00DE3346" w:rsidRPr="003E0E7D" w:rsidRDefault="00DE3346" w:rsidP="00DE3346">
            <w:pPr>
              <w:pStyle w:val="TableCopy"/>
              <w:keepNext/>
              <w:jc w:val="center"/>
              <w:rPr>
                <w:lang w:eastAsia="en-AU"/>
              </w:rPr>
            </w:pPr>
            <w:r w:rsidRPr="003E0E7D">
              <w:rPr>
                <w:lang w:eastAsia="en-AU"/>
              </w:rPr>
              <w:t>6</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5649FC51" w14:textId="77777777" w:rsidR="00DE3346" w:rsidRPr="003E0E7D" w:rsidRDefault="00DE3346" w:rsidP="00DE3346">
            <w:pPr>
              <w:pStyle w:val="TableCopy"/>
              <w:keepNext/>
              <w:jc w:val="center"/>
              <w:rPr>
                <w:lang w:eastAsia="en-AU"/>
              </w:rPr>
            </w:pPr>
            <w:r w:rsidRPr="003E0E7D">
              <w:rPr>
                <w:lang w:eastAsia="en-AU"/>
              </w:rPr>
              <w:t>21</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6F61A67C" w14:textId="77777777" w:rsidR="00DE3346" w:rsidRPr="003E0E7D" w:rsidRDefault="00DE3346" w:rsidP="00DE3346">
            <w:pPr>
              <w:pStyle w:val="TableCopy"/>
              <w:keepNext/>
              <w:jc w:val="center"/>
              <w:rPr>
                <w:lang w:eastAsia="en-AU"/>
              </w:rPr>
            </w:pPr>
            <w:r w:rsidRPr="003E0E7D">
              <w:rPr>
                <w:lang w:eastAsia="en-AU"/>
              </w:rPr>
              <w:t>28%</w:t>
            </w:r>
          </w:p>
        </w:tc>
      </w:tr>
      <w:tr w:rsidR="00DE3346" w:rsidRPr="003E0E7D" w14:paraId="762DDC11"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08C1D8A0" w14:textId="77777777" w:rsidR="00DE3346" w:rsidRPr="003E0E7D" w:rsidRDefault="00DE3346" w:rsidP="00DE3346">
            <w:pPr>
              <w:pStyle w:val="TableCopy"/>
              <w:keepNext/>
              <w:rPr>
                <w:b/>
                <w:lang w:eastAsia="en-AU"/>
              </w:rPr>
            </w:pPr>
            <w:r w:rsidRPr="003E0E7D">
              <w:rPr>
                <w:b/>
                <w:lang w:eastAsia="en-AU"/>
              </w:rPr>
              <w:t xml:space="preserve">HCV NAT </w:t>
            </w:r>
            <w:r>
              <w:rPr>
                <w:b/>
                <w:lang w:eastAsia="en-AU"/>
              </w:rPr>
              <w:t>d</w:t>
            </w:r>
            <w:r w:rsidRPr="003E0E7D">
              <w:rPr>
                <w:b/>
                <w:lang w:eastAsia="en-AU"/>
              </w:rPr>
              <w:t xml:space="preserve">iagnostic </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0FA03903" w14:textId="77777777" w:rsidR="00DE3346" w:rsidRPr="003E0E7D" w:rsidRDefault="00DE3346" w:rsidP="00DE3346">
            <w:pPr>
              <w:pStyle w:val="TableCopy"/>
              <w:keepNext/>
              <w:jc w:val="center"/>
              <w:rPr>
                <w:lang w:eastAsia="en-AU"/>
              </w:rPr>
            </w:pPr>
            <w:r w:rsidRPr="003E0E7D">
              <w:rPr>
                <w:lang w:eastAsia="en-AU"/>
              </w:rPr>
              <w:t>10</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10B7D520" w14:textId="77777777" w:rsidR="00DE3346" w:rsidRPr="003E0E7D" w:rsidRDefault="00DE3346" w:rsidP="00DE3346">
            <w:pPr>
              <w:pStyle w:val="TableCopy"/>
              <w:keepNext/>
              <w:jc w:val="center"/>
              <w:rPr>
                <w:lang w:eastAsia="en-AU"/>
              </w:rPr>
            </w:pPr>
            <w:r w:rsidRPr="003E0E7D">
              <w:rPr>
                <w:lang w:eastAsia="en-AU"/>
              </w:rPr>
              <w:t>8</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7777E677" w14:textId="77777777" w:rsidR="00DE3346" w:rsidRPr="003E0E7D" w:rsidRDefault="00DE3346" w:rsidP="00DE3346">
            <w:pPr>
              <w:pStyle w:val="TableCopy"/>
              <w:keepNext/>
              <w:jc w:val="center"/>
              <w:rPr>
                <w:lang w:eastAsia="en-AU"/>
              </w:rPr>
            </w:pPr>
            <w:r w:rsidRPr="003E0E7D">
              <w:rPr>
                <w:lang w:eastAsia="en-AU"/>
              </w:rPr>
              <w:t>18</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4DD16C20" w14:textId="77777777" w:rsidR="00DE3346" w:rsidRPr="003E0E7D" w:rsidRDefault="00DE3346" w:rsidP="00DE3346">
            <w:pPr>
              <w:pStyle w:val="TableCopy"/>
              <w:keepNext/>
              <w:jc w:val="center"/>
              <w:rPr>
                <w:lang w:eastAsia="en-AU"/>
              </w:rPr>
            </w:pPr>
            <w:r w:rsidRPr="003E0E7D">
              <w:rPr>
                <w:lang w:eastAsia="en-AU"/>
              </w:rPr>
              <w:t>24%</w:t>
            </w:r>
          </w:p>
        </w:tc>
      </w:tr>
      <w:tr w:rsidR="00DE3346" w:rsidRPr="003E0E7D" w14:paraId="63C0405A" w14:textId="77777777" w:rsidTr="00DE3346">
        <w:trPr>
          <w:trHeight w:val="300"/>
          <w:jc w:val="center"/>
        </w:trPr>
        <w:tc>
          <w:tcPr>
            <w:tcW w:w="2405"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58606D36" w14:textId="77777777" w:rsidR="00DE3346" w:rsidRPr="003E0E7D" w:rsidRDefault="00DE3346" w:rsidP="00DE3346">
            <w:pPr>
              <w:pStyle w:val="TableCopy"/>
              <w:keepNext/>
              <w:rPr>
                <w:b/>
                <w:lang w:eastAsia="en-AU"/>
              </w:rPr>
            </w:pPr>
            <w:r w:rsidRPr="003E0E7D">
              <w:rPr>
                <w:b/>
                <w:lang w:eastAsia="en-AU"/>
              </w:rPr>
              <w:t>HTLV</w:t>
            </w:r>
          </w:p>
        </w:tc>
        <w:tc>
          <w:tcPr>
            <w:tcW w:w="600" w:type="dxa"/>
            <w:tcBorders>
              <w:top w:val="single" w:sz="4" w:space="0" w:color="4B4B4B"/>
              <w:left w:val="single" w:sz="4" w:space="0" w:color="FFFFFF"/>
              <w:bottom w:val="single" w:sz="4" w:space="0" w:color="4B4B4B"/>
              <w:right w:val="single" w:sz="4" w:space="0" w:color="FFFFFF"/>
            </w:tcBorders>
            <w:shd w:val="clear" w:color="auto" w:fill="DCDCDC"/>
          </w:tcPr>
          <w:p w14:paraId="064AA655" w14:textId="77777777" w:rsidR="00DE3346" w:rsidRPr="003E0E7D" w:rsidRDefault="00DE3346" w:rsidP="00DE3346">
            <w:pPr>
              <w:pStyle w:val="TableCopy"/>
              <w:keepNext/>
              <w:jc w:val="center"/>
              <w:rPr>
                <w:lang w:eastAsia="en-AU"/>
              </w:rPr>
            </w:pPr>
            <w:r w:rsidRPr="003E0E7D">
              <w:rPr>
                <w:lang w:eastAsia="en-AU"/>
              </w:rPr>
              <w:t>14</w:t>
            </w:r>
          </w:p>
        </w:tc>
        <w:tc>
          <w:tcPr>
            <w:tcW w:w="652" w:type="dxa"/>
            <w:tcBorders>
              <w:top w:val="single" w:sz="4" w:space="0" w:color="4B4B4B"/>
              <w:left w:val="single" w:sz="4" w:space="0" w:color="FFFFFF"/>
              <w:bottom w:val="single" w:sz="4" w:space="0" w:color="4B4B4B"/>
              <w:right w:val="single" w:sz="4" w:space="0" w:color="FFFFFF"/>
            </w:tcBorders>
            <w:shd w:val="clear" w:color="auto" w:fill="DCDCDC"/>
          </w:tcPr>
          <w:p w14:paraId="78DBCC10" w14:textId="77777777" w:rsidR="00DE3346" w:rsidRPr="003E0E7D" w:rsidRDefault="00DE3346" w:rsidP="00DE3346">
            <w:pPr>
              <w:pStyle w:val="TableCopy"/>
              <w:keepNext/>
              <w:jc w:val="center"/>
              <w:rPr>
                <w:lang w:eastAsia="en-AU"/>
              </w:rPr>
            </w:pPr>
            <w:r w:rsidRPr="003E0E7D">
              <w:rPr>
                <w:lang w:eastAsia="en-AU"/>
              </w:rPr>
              <w:t>6</w:t>
            </w:r>
          </w:p>
        </w:tc>
        <w:tc>
          <w:tcPr>
            <w:tcW w:w="591"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23308311" w14:textId="77777777" w:rsidR="00DE3346" w:rsidRPr="003E0E7D" w:rsidRDefault="00DE3346" w:rsidP="00DE3346">
            <w:pPr>
              <w:pStyle w:val="TableCopy"/>
              <w:keepNext/>
              <w:jc w:val="center"/>
              <w:rPr>
                <w:lang w:eastAsia="en-AU"/>
              </w:rPr>
            </w:pPr>
            <w:r w:rsidRPr="003E0E7D">
              <w:rPr>
                <w:lang w:eastAsia="en-AU"/>
              </w:rPr>
              <w:t>20</w:t>
            </w:r>
          </w:p>
        </w:tc>
        <w:tc>
          <w:tcPr>
            <w:tcW w:w="2410" w:type="dxa"/>
            <w:tcBorders>
              <w:top w:val="single" w:sz="4" w:space="0" w:color="4B4B4B"/>
              <w:left w:val="single" w:sz="4" w:space="0" w:color="FFFFFF"/>
              <w:bottom w:val="single" w:sz="4" w:space="0" w:color="4B4B4B"/>
              <w:right w:val="single" w:sz="4" w:space="0" w:color="FFFFFF"/>
            </w:tcBorders>
            <w:shd w:val="clear" w:color="auto" w:fill="DCDCDC"/>
            <w:noWrap/>
            <w:hideMark/>
          </w:tcPr>
          <w:p w14:paraId="1720E364" w14:textId="77777777" w:rsidR="00DE3346" w:rsidRPr="003E0E7D" w:rsidRDefault="00DE3346" w:rsidP="00DE3346">
            <w:pPr>
              <w:pStyle w:val="TableCopy"/>
              <w:keepNext/>
              <w:jc w:val="center"/>
              <w:rPr>
                <w:lang w:eastAsia="en-AU"/>
              </w:rPr>
            </w:pPr>
            <w:r w:rsidRPr="003E0E7D">
              <w:rPr>
                <w:lang w:eastAsia="en-AU"/>
              </w:rPr>
              <w:t>27%</w:t>
            </w:r>
          </w:p>
        </w:tc>
      </w:tr>
    </w:tbl>
    <w:p w14:paraId="6171B268" w14:textId="7E8D2BB6" w:rsidR="00DE3346" w:rsidRDefault="00DE3346" w:rsidP="00DE3346">
      <w:pPr>
        <w:pStyle w:val="BodyCopy"/>
      </w:pPr>
      <w:r>
        <w:t xml:space="preserve">Few laboratories perform testing for HTLV. Of the 74 identified NATA accredited laboratories, 27% use NRL EQAS for HTLV serology, see </w:t>
      </w:r>
      <w:r>
        <w:fldChar w:fldCharType="begin"/>
      </w:r>
      <w:r>
        <w:instrText xml:space="preserve"> REF _Ref494878757 \h </w:instrText>
      </w:r>
      <w:r>
        <w:fldChar w:fldCharType="separate"/>
      </w:r>
      <w:r w:rsidR="0078683A">
        <w:rPr>
          <w:b/>
          <w:bCs/>
          <w:lang w:val="en-US"/>
        </w:rPr>
        <w:t>Error! Reference source not found.</w:t>
      </w:r>
      <w:r>
        <w:fldChar w:fldCharType="end"/>
      </w:r>
      <w:r>
        <w:t xml:space="preserve">. </w:t>
      </w:r>
    </w:p>
    <w:p w14:paraId="6FAFC2C4" w14:textId="77777777" w:rsidR="00DE3346" w:rsidRDefault="00DE3346" w:rsidP="00DE3346">
      <w:pPr>
        <w:pStyle w:val="BodyCopy"/>
      </w:pPr>
      <w:r>
        <w:t xml:space="preserve">There are a further 35 pathology laboratories that have NATA accreditation for virology, which are part of a larger pathology network (public or private), and are likely to refer HIV and hepatitis testing samples to the relevant central laboratory. There are two other APLs with NATA accreditation for virology, but are known not to test for HIV or hepatitis (Forensic Science Service in Queensland and </w:t>
      </w:r>
      <w:r>
        <w:lastRenderedPageBreak/>
        <w:t xml:space="preserve">Molecular Diagnostic Unit in Victoria). Therefore, theses laboratories were not considered in the above analysis. </w:t>
      </w:r>
    </w:p>
    <w:p w14:paraId="673C3A75" w14:textId="7484228B" w:rsidR="00A85095" w:rsidRDefault="00DE3346" w:rsidP="00740E01">
      <w:pPr>
        <w:pStyle w:val="BodyCopy"/>
      </w:pPr>
      <w:r>
        <w:t xml:space="preserve">In addition, there were nine pathology laboratories that used NRL EQAS for hepatitis serology and seven using NRL EQAS for HIV serology that did not appear to have relevant NATA accreditation for HIV or hepatitis testing (no virology accreditation or only limited serology/microbiology). Seven of these nine laboratories were fertility groups located in New South Wales, Queensland, and Western Australia. </w:t>
      </w:r>
    </w:p>
    <w:p w14:paraId="2E7FA07D" w14:textId="77777777" w:rsidR="00DE3346" w:rsidRDefault="00DE3346" w:rsidP="00A85095"/>
    <w:p w14:paraId="0C9B8D99" w14:textId="77777777" w:rsidR="00D327BD" w:rsidRDefault="00D327BD" w:rsidP="00A85095">
      <w:pPr>
        <w:sectPr w:rsidR="00D327BD" w:rsidSect="00141D54">
          <w:footnotePr>
            <w:numFmt w:val="lowerLetter"/>
          </w:footnotePr>
          <w:pgSz w:w="16839" w:h="11907" w:orient="landscape" w:code="9"/>
          <w:pgMar w:top="2268" w:right="1304" w:bottom="851" w:left="737" w:header="567" w:footer="284" w:gutter="0"/>
          <w:cols w:num="2" w:space="709"/>
          <w:docGrid w:linePitch="360"/>
        </w:sectPr>
      </w:pPr>
    </w:p>
    <w:p w14:paraId="4693DA0F" w14:textId="77777777" w:rsidR="00747A47" w:rsidRDefault="00747A47" w:rsidP="00C916B2">
      <w:pPr>
        <w:pStyle w:val="HeadingAppendix2"/>
      </w:pPr>
      <w:bookmarkStart w:id="115" w:name="_Toc18664691"/>
      <w:r w:rsidRPr="00C916B2">
        <w:lastRenderedPageBreak/>
        <w:t>References</w:t>
      </w:r>
      <w:bookmarkEnd w:id="115"/>
    </w:p>
    <w:p w14:paraId="42ADADCE" w14:textId="77777777" w:rsidR="00336F93" w:rsidRDefault="002E4619" w:rsidP="00747A47">
      <w:pPr>
        <w:pStyle w:val="BodyCopy"/>
        <w:rPr>
          <w:rFonts w:ascii="Courier" w:hAnsi="Courier"/>
          <w:noProof/>
          <w:color w:val="auto"/>
          <w:spacing w:val="0"/>
          <w:sz w:val="20"/>
          <w:lang w:val="en-GB" w:eastAsia="en-GB"/>
        </w:rPr>
      </w:pPr>
      <w:r>
        <w:rPr>
          <w:shd w:val="clear" w:color="auto" w:fill="FFFFFF"/>
        </w:rPr>
        <w:fldChar w:fldCharType="begin"/>
      </w:r>
      <w:r>
        <w:rPr>
          <w:shd w:val="clear" w:color="auto" w:fill="FFFFFF"/>
          <w:lang w:val="en-US"/>
        </w:rPr>
        <w:instrText xml:space="preserve"> BIBLIOGRAPHY  \l 1033 </w:instrText>
      </w:r>
      <w:r>
        <w:rPr>
          <w:shd w:val="clear" w:color="auto" w:fill="FFFFFF"/>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3"/>
        <w:gridCol w:w="14405"/>
      </w:tblGrid>
      <w:tr w:rsidR="00336F93" w14:paraId="71D64B3D" w14:textId="77777777">
        <w:trPr>
          <w:divId w:val="1984773845"/>
          <w:tblCellSpacing w:w="15" w:type="dxa"/>
        </w:trPr>
        <w:tc>
          <w:tcPr>
            <w:tcW w:w="50" w:type="pct"/>
            <w:hideMark/>
          </w:tcPr>
          <w:p w14:paraId="0F168782" w14:textId="6148D8AF" w:rsidR="00336F93" w:rsidRDefault="00336F93">
            <w:pPr>
              <w:pStyle w:val="Bibliography"/>
              <w:rPr>
                <w:noProof/>
                <w:sz w:val="24"/>
                <w:szCs w:val="24"/>
                <w:lang w:val="en-US"/>
              </w:rPr>
            </w:pPr>
            <w:r>
              <w:rPr>
                <w:noProof/>
                <w:lang w:val="en-US"/>
              </w:rPr>
              <w:t xml:space="preserve">[1] </w:t>
            </w:r>
          </w:p>
        </w:tc>
        <w:tc>
          <w:tcPr>
            <w:tcW w:w="0" w:type="auto"/>
            <w:hideMark/>
          </w:tcPr>
          <w:p w14:paraId="6E5945C3" w14:textId="77777777" w:rsidR="00336F93" w:rsidRDefault="00336F93">
            <w:pPr>
              <w:pStyle w:val="Bibliography"/>
              <w:rPr>
                <w:noProof/>
                <w:lang w:val="en-US"/>
              </w:rPr>
            </w:pPr>
            <w:r>
              <w:rPr>
                <w:noProof/>
                <w:lang w:val="en-US"/>
              </w:rPr>
              <w:t>Parliament of Australia, "Hepatitis C and the blood supply; Chapter 2 Hepatatis C in Australia," 2004. [Online]. Available: http://www.aph.gov.au/Parliamentary_Business/Committees/Senate/Community_Affairs/Completed_inquiries/2002-04/hepc/report/c02. [Accessed May 2017].</w:t>
            </w:r>
          </w:p>
        </w:tc>
      </w:tr>
      <w:tr w:rsidR="00336F93" w14:paraId="275492D3" w14:textId="77777777">
        <w:trPr>
          <w:divId w:val="1984773845"/>
          <w:tblCellSpacing w:w="15" w:type="dxa"/>
        </w:trPr>
        <w:tc>
          <w:tcPr>
            <w:tcW w:w="50" w:type="pct"/>
            <w:hideMark/>
          </w:tcPr>
          <w:p w14:paraId="451157AC" w14:textId="77777777" w:rsidR="00336F93" w:rsidRDefault="00336F93">
            <w:pPr>
              <w:pStyle w:val="Bibliography"/>
              <w:rPr>
                <w:noProof/>
                <w:lang w:val="en-US"/>
              </w:rPr>
            </w:pPr>
            <w:r>
              <w:rPr>
                <w:noProof/>
                <w:lang w:val="en-US"/>
              </w:rPr>
              <w:t xml:space="preserve">[2] </w:t>
            </w:r>
          </w:p>
        </w:tc>
        <w:tc>
          <w:tcPr>
            <w:tcW w:w="0" w:type="auto"/>
            <w:hideMark/>
          </w:tcPr>
          <w:p w14:paraId="455D4CB5" w14:textId="77777777" w:rsidR="00336F93" w:rsidRDefault="00336F93">
            <w:pPr>
              <w:pStyle w:val="Bibliography"/>
              <w:rPr>
                <w:noProof/>
                <w:lang w:val="en-US"/>
              </w:rPr>
            </w:pPr>
            <w:r>
              <w:rPr>
                <w:noProof/>
                <w:lang w:val="en-US"/>
              </w:rPr>
              <w:t>National Serology Reference Laboratory , "About Us," [Online]. Available: http://www.nrl.gov.au/About+Us. [Accessed May 2017].</w:t>
            </w:r>
          </w:p>
        </w:tc>
      </w:tr>
      <w:tr w:rsidR="00336F93" w14:paraId="21F35012" w14:textId="77777777">
        <w:trPr>
          <w:divId w:val="1984773845"/>
          <w:tblCellSpacing w:w="15" w:type="dxa"/>
        </w:trPr>
        <w:tc>
          <w:tcPr>
            <w:tcW w:w="50" w:type="pct"/>
            <w:hideMark/>
          </w:tcPr>
          <w:p w14:paraId="72915EAC" w14:textId="77777777" w:rsidR="00336F93" w:rsidRDefault="00336F93">
            <w:pPr>
              <w:pStyle w:val="Bibliography"/>
              <w:rPr>
                <w:noProof/>
                <w:lang w:val="en-US"/>
              </w:rPr>
            </w:pPr>
            <w:r>
              <w:rPr>
                <w:noProof/>
                <w:lang w:val="en-US"/>
              </w:rPr>
              <w:t xml:space="preserve">[3] </w:t>
            </w:r>
          </w:p>
        </w:tc>
        <w:tc>
          <w:tcPr>
            <w:tcW w:w="0" w:type="auto"/>
            <w:hideMark/>
          </w:tcPr>
          <w:p w14:paraId="4DE9EB43" w14:textId="77777777" w:rsidR="00336F93" w:rsidRDefault="00336F93">
            <w:pPr>
              <w:pStyle w:val="Bibliography"/>
              <w:rPr>
                <w:noProof/>
                <w:lang w:val="en-US"/>
              </w:rPr>
            </w:pPr>
            <w:r>
              <w:rPr>
                <w:noProof/>
                <w:lang w:val="en-US"/>
              </w:rPr>
              <w:t>National Blood Authority, "Ensuring Supply," [Online]. Available: https://www.blood.gov.au/ensuring-supply. [Accessed March 2017].</w:t>
            </w:r>
          </w:p>
        </w:tc>
      </w:tr>
      <w:tr w:rsidR="00336F93" w14:paraId="4A995E60" w14:textId="77777777">
        <w:trPr>
          <w:divId w:val="1984773845"/>
          <w:tblCellSpacing w:w="15" w:type="dxa"/>
        </w:trPr>
        <w:tc>
          <w:tcPr>
            <w:tcW w:w="50" w:type="pct"/>
            <w:hideMark/>
          </w:tcPr>
          <w:p w14:paraId="0E537724" w14:textId="77777777" w:rsidR="00336F93" w:rsidRDefault="00336F93">
            <w:pPr>
              <w:pStyle w:val="Bibliography"/>
              <w:rPr>
                <w:noProof/>
                <w:lang w:val="en-US"/>
              </w:rPr>
            </w:pPr>
            <w:r>
              <w:rPr>
                <w:noProof/>
                <w:lang w:val="en-US"/>
              </w:rPr>
              <w:t xml:space="preserve">[4] </w:t>
            </w:r>
          </w:p>
        </w:tc>
        <w:tc>
          <w:tcPr>
            <w:tcW w:w="0" w:type="auto"/>
            <w:hideMark/>
          </w:tcPr>
          <w:p w14:paraId="330E6730" w14:textId="77777777" w:rsidR="00336F93" w:rsidRDefault="00336F93">
            <w:pPr>
              <w:pStyle w:val="Bibliography"/>
              <w:rPr>
                <w:noProof/>
                <w:lang w:val="en-US"/>
              </w:rPr>
            </w:pPr>
            <w:r>
              <w:rPr>
                <w:noProof/>
                <w:lang w:val="en-US"/>
              </w:rPr>
              <w:t xml:space="preserve">M. McNiven , Interviewee, </w:t>
            </w:r>
            <w:r>
              <w:rPr>
                <w:i/>
                <w:iCs/>
                <w:noProof/>
                <w:lang w:val="en-US"/>
              </w:rPr>
              <w:t xml:space="preserve">Director, IVD reforms; TGA. </w:t>
            </w:r>
            <w:r>
              <w:rPr>
                <w:noProof/>
                <w:lang w:val="en-US"/>
              </w:rPr>
              <w:t>[Interview]. 10 March 2017.</w:t>
            </w:r>
          </w:p>
        </w:tc>
      </w:tr>
      <w:tr w:rsidR="00336F93" w14:paraId="64011274" w14:textId="77777777">
        <w:trPr>
          <w:divId w:val="1984773845"/>
          <w:tblCellSpacing w:w="15" w:type="dxa"/>
        </w:trPr>
        <w:tc>
          <w:tcPr>
            <w:tcW w:w="50" w:type="pct"/>
            <w:hideMark/>
          </w:tcPr>
          <w:p w14:paraId="78C65CB7" w14:textId="77777777" w:rsidR="00336F93" w:rsidRDefault="00336F93">
            <w:pPr>
              <w:pStyle w:val="Bibliography"/>
              <w:rPr>
                <w:noProof/>
                <w:lang w:val="en-US"/>
              </w:rPr>
            </w:pPr>
            <w:r>
              <w:rPr>
                <w:noProof/>
                <w:lang w:val="en-US"/>
              </w:rPr>
              <w:t xml:space="preserve">[5] </w:t>
            </w:r>
          </w:p>
        </w:tc>
        <w:tc>
          <w:tcPr>
            <w:tcW w:w="0" w:type="auto"/>
            <w:hideMark/>
          </w:tcPr>
          <w:p w14:paraId="6CDFE27F" w14:textId="77777777" w:rsidR="00336F93" w:rsidRDefault="00336F93">
            <w:pPr>
              <w:pStyle w:val="Bibliography"/>
              <w:rPr>
                <w:noProof/>
                <w:lang w:val="en-US"/>
              </w:rPr>
            </w:pPr>
            <w:r>
              <w:rPr>
                <w:noProof/>
                <w:lang w:val="en-US"/>
              </w:rPr>
              <w:t>Australian Red Cross Blood Service, "Frequently Asked Questions : Why should I give blood?," [Online]. Available: www.donateblood.com.au/faqs..</w:t>
            </w:r>
          </w:p>
        </w:tc>
      </w:tr>
      <w:tr w:rsidR="00336F93" w14:paraId="41CFDE34" w14:textId="77777777">
        <w:trPr>
          <w:divId w:val="1984773845"/>
          <w:tblCellSpacing w:w="15" w:type="dxa"/>
        </w:trPr>
        <w:tc>
          <w:tcPr>
            <w:tcW w:w="50" w:type="pct"/>
            <w:hideMark/>
          </w:tcPr>
          <w:p w14:paraId="182DD0C6" w14:textId="77777777" w:rsidR="00336F93" w:rsidRDefault="00336F93">
            <w:pPr>
              <w:pStyle w:val="Bibliography"/>
              <w:rPr>
                <w:noProof/>
                <w:lang w:val="en-US"/>
              </w:rPr>
            </w:pPr>
            <w:r>
              <w:rPr>
                <w:noProof/>
                <w:lang w:val="en-US"/>
              </w:rPr>
              <w:t xml:space="preserve">[6] </w:t>
            </w:r>
          </w:p>
        </w:tc>
        <w:tc>
          <w:tcPr>
            <w:tcW w:w="0" w:type="auto"/>
            <w:hideMark/>
          </w:tcPr>
          <w:p w14:paraId="30AEED3C" w14:textId="77777777" w:rsidR="00336F93" w:rsidRDefault="00336F93">
            <w:pPr>
              <w:pStyle w:val="Bibliography"/>
              <w:rPr>
                <w:noProof/>
                <w:lang w:val="en-US"/>
              </w:rPr>
            </w:pPr>
            <w:r>
              <w:rPr>
                <w:noProof/>
                <w:lang w:val="en-US"/>
              </w:rPr>
              <w:t>National Pathology Accrediation Advisory Council , "Requirements for Enrolment and Participation in External Quality Assessment," Canberra, 2013.</w:t>
            </w:r>
          </w:p>
        </w:tc>
      </w:tr>
      <w:tr w:rsidR="00336F93" w14:paraId="624034E7" w14:textId="77777777">
        <w:trPr>
          <w:divId w:val="1984773845"/>
          <w:tblCellSpacing w:w="15" w:type="dxa"/>
        </w:trPr>
        <w:tc>
          <w:tcPr>
            <w:tcW w:w="50" w:type="pct"/>
            <w:hideMark/>
          </w:tcPr>
          <w:p w14:paraId="5E8C4EB3" w14:textId="77777777" w:rsidR="00336F93" w:rsidRDefault="00336F93">
            <w:pPr>
              <w:pStyle w:val="Bibliography"/>
              <w:rPr>
                <w:noProof/>
                <w:lang w:val="en-US"/>
              </w:rPr>
            </w:pPr>
            <w:r>
              <w:rPr>
                <w:noProof/>
                <w:lang w:val="en-US"/>
              </w:rPr>
              <w:t xml:space="preserve">[7] </w:t>
            </w:r>
          </w:p>
        </w:tc>
        <w:tc>
          <w:tcPr>
            <w:tcW w:w="0" w:type="auto"/>
            <w:hideMark/>
          </w:tcPr>
          <w:p w14:paraId="47B412C0" w14:textId="77777777" w:rsidR="00336F93" w:rsidRDefault="00336F93">
            <w:pPr>
              <w:pStyle w:val="Bibliography"/>
              <w:rPr>
                <w:noProof/>
                <w:lang w:val="en-US"/>
              </w:rPr>
            </w:pPr>
            <w:r>
              <w:rPr>
                <w:noProof/>
                <w:lang w:val="en-US"/>
              </w:rPr>
              <w:t>Therapeutic Goods Administration, "Who we are &amp; what we do," [Online]. Available: https://www.tga.gov.au/who-we-are-what-we-do.. [Accessed May 2018].</w:t>
            </w:r>
          </w:p>
        </w:tc>
      </w:tr>
      <w:tr w:rsidR="00336F93" w14:paraId="2F64522B" w14:textId="77777777">
        <w:trPr>
          <w:divId w:val="1984773845"/>
          <w:tblCellSpacing w:w="15" w:type="dxa"/>
        </w:trPr>
        <w:tc>
          <w:tcPr>
            <w:tcW w:w="50" w:type="pct"/>
            <w:hideMark/>
          </w:tcPr>
          <w:p w14:paraId="543A6400" w14:textId="77777777" w:rsidR="00336F93" w:rsidRDefault="00336F93">
            <w:pPr>
              <w:pStyle w:val="Bibliography"/>
              <w:rPr>
                <w:noProof/>
                <w:lang w:val="en-US"/>
              </w:rPr>
            </w:pPr>
            <w:r>
              <w:rPr>
                <w:noProof/>
                <w:lang w:val="en-US"/>
              </w:rPr>
              <w:t xml:space="preserve">[8] </w:t>
            </w:r>
          </w:p>
        </w:tc>
        <w:tc>
          <w:tcPr>
            <w:tcW w:w="0" w:type="auto"/>
            <w:hideMark/>
          </w:tcPr>
          <w:p w14:paraId="5F1B24EC" w14:textId="77777777" w:rsidR="00336F93" w:rsidRDefault="00336F93">
            <w:pPr>
              <w:pStyle w:val="Bibliography"/>
              <w:rPr>
                <w:noProof/>
                <w:lang w:val="en-US"/>
              </w:rPr>
            </w:pPr>
            <w:r>
              <w:rPr>
                <w:noProof/>
                <w:lang w:val="en-US"/>
              </w:rPr>
              <w:t>Therapeutic Goods Administration, "IVD medical devices: Definitions and links," [Online]. Available: https://www.tga.gov.au/ivd-medical-devices-definitions-links. [Accessed May 2018].</w:t>
            </w:r>
          </w:p>
        </w:tc>
      </w:tr>
      <w:tr w:rsidR="00336F93" w14:paraId="6E921F50" w14:textId="77777777">
        <w:trPr>
          <w:divId w:val="1984773845"/>
          <w:tblCellSpacing w:w="15" w:type="dxa"/>
        </w:trPr>
        <w:tc>
          <w:tcPr>
            <w:tcW w:w="50" w:type="pct"/>
            <w:hideMark/>
          </w:tcPr>
          <w:p w14:paraId="36B10CB2" w14:textId="77777777" w:rsidR="00336F93" w:rsidRDefault="00336F93">
            <w:pPr>
              <w:pStyle w:val="Bibliography"/>
              <w:rPr>
                <w:noProof/>
                <w:lang w:val="en-US"/>
              </w:rPr>
            </w:pPr>
            <w:r>
              <w:rPr>
                <w:noProof/>
                <w:lang w:val="en-US"/>
              </w:rPr>
              <w:t xml:space="preserve">[9] </w:t>
            </w:r>
          </w:p>
        </w:tc>
        <w:tc>
          <w:tcPr>
            <w:tcW w:w="0" w:type="auto"/>
            <w:hideMark/>
          </w:tcPr>
          <w:p w14:paraId="4140D0AC" w14:textId="77777777" w:rsidR="00336F93" w:rsidRDefault="00336F93">
            <w:pPr>
              <w:pStyle w:val="Bibliography"/>
              <w:rPr>
                <w:noProof/>
                <w:lang w:val="en-US"/>
              </w:rPr>
            </w:pPr>
            <w:r>
              <w:rPr>
                <w:noProof/>
                <w:lang w:val="en-US"/>
              </w:rPr>
              <w:t>Therapeutic Goods Administration, "Overview of the regulatory framework for in-vitro diagnostic medical devices," [Online]. Available: https://www.tga.gov.au/overview-regulatory-framework-vitro-diagnostic-medical-devices. [Accessed May 2018].</w:t>
            </w:r>
          </w:p>
        </w:tc>
      </w:tr>
      <w:tr w:rsidR="00336F93" w14:paraId="0089C725" w14:textId="77777777">
        <w:trPr>
          <w:divId w:val="1984773845"/>
          <w:tblCellSpacing w:w="15" w:type="dxa"/>
        </w:trPr>
        <w:tc>
          <w:tcPr>
            <w:tcW w:w="50" w:type="pct"/>
            <w:hideMark/>
          </w:tcPr>
          <w:p w14:paraId="76C82F2E" w14:textId="77777777" w:rsidR="00336F93" w:rsidRDefault="00336F93">
            <w:pPr>
              <w:pStyle w:val="Bibliography"/>
              <w:rPr>
                <w:noProof/>
                <w:lang w:val="en-US"/>
              </w:rPr>
            </w:pPr>
            <w:r>
              <w:rPr>
                <w:noProof/>
                <w:lang w:val="en-US"/>
              </w:rPr>
              <w:t xml:space="preserve">[10] </w:t>
            </w:r>
          </w:p>
        </w:tc>
        <w:tc>
          <w:tcPr>
            <w:tcW w:w="0" w:type="auto"/>
            <w:hideMark/>
          </w:tcPr>
          <w:p w14:paraId="78C6DFEF" w14:textId="77777777" w:rsidR="00336F93" w:rsidRDefault="00336F93">
            <w:pPr>
              <w:pStyle w:val="Bibliography"/>
              <w:rPr>
                <w:noProof/>
                <w:lang w:val="en-US"/>
              </w:rPr>
            </w:pPr>
            <w:r>
              <w:rPr>
                <w:noProof/>
                <w:lang w:val="en-US"/>
              </w:rPr>
              <w:t>Therapeutic Goods Administration, "Medical Devices and IVDs," [Online]. Available: https://www.tga.gov.au/medical-devices-ivds. [Accessed March 2017].</w:t>
            </w:r>
          </w:p>
        </w:tc>
      </w:tr>
      <w:tr w:rsidR="00336F93" w14:paraId="53496A37" w14:textId="77777777">
        <w:trPr>
          <w:divId w:val="1984773845"/>
          <w:tblCellSpacing w:w="15" w:type="dxa"/>
        </w:trPr>
        <w:tc>
          <w:tcPr>
            <w:tcW w:w="50" w:type="pct"/>
            <w:hideMark/>
          </w:tcPr>
          <w:p w14:paraId="40A97889" w14:textId="77777777" w:rsidR="00336F93" w:rsidRDefault="00336F93">
            <w:pPr>
              <w:pStyle w:val="Bibliography"/>
              <w:rPr>
                <w:noProof/>
                <w:lang w:val="en-US"/>
              </w:rPr>
            </w:pPr>
            <w:r>
              <w:rPr>
                <w:noProof/>
                <w:lang w:val="en-US"/>
              </w:rPr>
              <w:t xml:space="preserve">[11] </w:t>
            </w:r>
          </w:p>
        </w:tc>
        <w:tc>
          <w:tcPr>
            <w:tcW w:w="0" w:type="auto"/>
            <w:hideMark/>
          </w:tcPr>
          <w:p w14:paraId="4081EC0C" w14:textId="77777777" w:rsidR="00336F93" w:rsidRDefault="00336F93">
            <w:pPr>
              <w:pStyle w:val="Bibliography"/>
              <w:rPr>
                <w:noProof/>
                <w:lang w:val="en-US"/>
              </w:rPr>
            </w:pPr>
            <w:r>
              <w:rPr>
                <w:noProof/>
                <w:lang w:val="en-US"/>
              </w:rPr>
              <w:t>National Pathology Accreditation Advisory Council, "Requirements for Laboratory Testing of Human Immunodeficiency Virus (HIV) and Hepatitis C Virus (HCV) Third Edition," Canberra, 2013.</w:t>
            </w:r>
          </w:p>
        </w:tc>
      </w:tr>
      <w:tr w:rsidR="00336F93" w14:paraId="0042844C" w14:textId="77777777">
        <w:trPr>
          <w:divId w:val="1984773845"/>
          <w:tblCellSpacing w:w="15" w:type="dxa"/>
        </w:trPr>
        <w:tc>
          <w:tcPr>
            <w:tcW w:w="50" w:type="pct"/>
            <w:hideMark/>
          </w:tcPr>
          <w:p w14:paraId="427CA25D" w14:textId="77777777" w:rsidR="00336F93" w:rsidRDefault="00336F93">
            <w:pPr>
              <w:pStyle w:val="Bibliography"/>
              <w:rPr>
                <w:noProof/>
                <w:lang w:val="en-US"/>
              </w:rPr>
            </w:pPr>
            <w:r>
              <w:rPr>
                <w:noProof/>
                <w:lang w:val="en-US"/>
              </w:rPr>
              <w:t xml:space="preserve">[12] </w:t>
            </w:r>
          </w:p>
        </w:tc>
        <w:tc>
          <w:tcPr>
            <w:tcW w:w="0" w:type="auto"/>
            <w:hideMark/>
          </w:tcPr>
          <w:p w14:paraId="426D9038" w14:textId="77777777" w:rsidR="00336F93" w:rsidRDefault="00336F93">
            <w:pPr>
              <w:pStyle w:val="Bibliography"/>
              <w:rPr>
                <w:noProof/>
                <w:lang w:val="en-US"/>
              </w:rPr>
            </w:pPr>
            <w:r>
              <w:rPr>
                <w:noProof/>
                <w:lang w:val="en-US"/>
              </w:rPr>
              <w:t>Therapeutics Goods Administration, "Classification of IVD Medial Devices," [Online]. Available: https://www.tga.gov.au/publication/classification-ivd-medical-devices. [Accessed March 2017].</w:t>
            </w:r>
          </w:p>
        </w:tc>
      </w:tr>
      <w:tr w:rsidR="00336F93" w14:paraId="07F26E20" w14:textId="77777777">
        <w:trPr>
          <w:divId w:val="1984773845"/>
          <w:tblCellSpacing w:w="15" w:type="dxa"/>
        </w:trPr>
        <w:tc>
          <w:tcPr>
            <w:tcW w:w="50" w:type="pct"/>
            <w:hideMark/>
          </w:tcPr>
          <w:p w14:paraId="12DA03D2" w14:textId="77777777" w:rsidR="00336F93" w:rsidRDefault="00336F93">
            <w:pPr>
              <w:pStyle w:val="Bibliography"/>
              <w:rPr>
                <w:noProof/>
                <w:lang w:val="en-US"/>
              </w:rPr>
            </w:pPr>
            <w:r>
              <w:rPr>
                <w:noProof/>
                <w:lang w:val="en-US"/>
              </w:rPr>
              <w:t xml:space="preserve">[13] </w:t>
            </w:r>
          </w:p>
        </w:tc>
        <w:tc>
          <w:tcPr>
            <w:tcW w:w="0" w:type="auto"/>
            <w:hideMark/>
          </w:tcPr>
          <w:p w14:paraId="50D14936" w14:textId="77777777" w:rsidR="00336F93" w:rsidRDefault="00336F93">
            <w:pPr>
              <w:pStyle w:val="Bibliography"/>
              <w:rPr>
                <w:noProof/>
                <w:lang w:val="en-US"/>
              </w:rPr>
            </w:pPr>
            <w:r>
              <w:rPr>
                <w:noProof/>
                <w:lang w:val="en-US"/>
              </w:rPr>
              <w:t>Therapeutic Goods Administration , "Proposed amendments to the new regulatory framework for In Vitro medical devices (IVDs)," Commonwealth of Australia, Canberra, 2013.</w:t>
            </w:r>
          </w:p>
        </w:tc>
      </w:tr>
      <w:tr w:rsidR="00336F93" w14:paraId="158BB3E1" w14:textId="77777777">
        <w:trPr>
          <w:divId w:val="1984773845"/>
          <w:tblCellSpacing w:w="15" w:type="dxa"/>
        </w:trPr>
        <w:tc>
          <w:tcPr>
            <w:tcW w:w="50" w:type="pct"/>
            <w:hideMark/>
          </w:tcPr>
          <w:p w14:paraId="7A776E94" w14:textId="77777777" w:rsidR="00336F93" w:rsidRDefault="00336F93">
            <w:pPr>
              <w:pStyle w:val="Bibliography"/>
              <w:rPr>
                <w:noProof/>
                <w:lang w:val="en-US"/>
              </w:rPr>
            </w:pPr>
            <w:r>
              <w:rPr>
                <w:noProof/>
                <w:lang w:val="en-US"/>
              </w:rPr>
              <w:t xml:space="preserve">[14] </w:t>
            </w:r>
          </w:p>
        </w:tc>
        <w:tc>
          <w:tcPr>
            <w:tcW w:w="0" w:type="auto"/>
            <w:hideMark/>
          </w:tcPr>
          <w:p w14:paraId="52DA235E" w14:textId="77777777" w:rsidR="00336F93" w:rsidRDefault="00336F93">
            <w:pPr>
              <w:pStyle w:val="Bibliography"/>
              <w:rPr>
                <w:noProof/>
                <w:lang w:val="en-US"/>
              </w:rPr>
            </w:pPr>
            <w:r>
              <w:rPr>
                <w:noProof/>
                <w:lang w:val="en-US"/>
              </w:rPr>
              <w:t>Therapeutic Goods Administration, "Regulatory decisions &amp; notices (medical devices &amp; IVDs)," [Online]. Available: https://www.tga.gov.au/regulatory-decisions-notices-medical-devices-ivds. .</w:t>
            </w:r>
          </w:p>
        </w:tc>
      </w:tr>
      <w:tr w:rsidR="00336F93" w14:paraId="122A096C" w14:textId="77777777">
        <w:trPr>
          <w:divId w:val="1984773845"/>
          <w:tblCellSpacing w:w="15" w:type="dxa"/>
        </w:trPr>
        <w:tc>
          <w:tcPr>
            <w:tcW w:w="50" w:type="pct"/>
            <w:hideMark/>
          </w:tcPr>
          <w:p w14:paraId="2B807357" w14:textId="77777777" w:rsidR="00336F93" w:rsidRDefault="00336F93">
            <w:pPr>
              <w:pStyle w:val="Bibliography"/>
              <w:rPr>
                <w:noProof/>
                <w:lang w:val="en-US"/>
              </w:rPr>
            </w:pPr>
            <w:r>
              <w:rPr>
                <w:noProof/>
                <w:lang w:val="en-US"/>
              </w:rPr>
              <w:t xml:space="preserve">[15] </w:t>
            </w:r>
          </w:p>
        </w:tc>
        <w:tc>
          <w:tcPr>
            <w:tcW w:w="0" w:type="auto"/>
            <w:hideMark/>
          </w:tcPr>
          <w:p w14:paraId="79D597B6" w14:textId="77777777" w:rsidR="00336F93" w:rsidRDefault="00336F93">
            <w:pPr>
              <w:pStyle w:val="Bibliography"/>
              <w:rPr>
                <w:noProof/>
                <w:lang w:val="en-US"/>
              </w:rPr>
            </w:pPr>
            <w:r>
              <w:rPr>
                <w:noProof/>
                <w:lang w:val="en-US"/>
              </w:rPr>
              <w:t>Australian Law Reform Commission, "Regulating Access to Genetic Testing," 30 May 2003. [Online]. Available: https://www.alrc.gov.au/publications/11-regulating-access-genetic-testing/laboratory-accreditation.</w:t>
            </w:r>
          </w:p>
        </w:tc>
      </w:tr>
      <w:tr w:rsidR="00336F93" w14:paraId="4D8601AB" w14:textId="77777777">
        <w:trPr>
          <w:divId w:val="1984773845"/>
          <w:tblCellSpacing w:w="15" w:type="dxa"/>
        </w:trPr>
        <w:tc>
          <w:tcPr>
            <w:tcW w:w="50" w:type="pct"/>
            <w:hideMark/>
          </w:tcPr>
          <w:p w14:paraId="71B821B7" w14:textId="77777777" w:rsidR="00336F93" w:rsidRDefault="00336F93">
            <w:pPr>
              <w:pStyle w:val="Bibliography"/>
              <w:rPr>
                <w:noProof/>
                <w:lang w:val="en-US"/>
              </w:rPr>
            </w:pPr>
            <w:r>
              <w:rPr>
                <w:noProof/>
                <w:lang w:val="en-US"/>
              </w:rPr>
              <w:lastRenderedPageBreak/>
              <w:t xml:space="preserve">[16] </w:t>
            </w:r>
          </w:p>
        </w:tc>
        <w:tc>
          <w:tcPr>
            <w:tcW w:w="0" w:type="auto"/>
            <w:hideMark/>
          </w:tcPr>
          <w:p w14:paraId="3FF24D23" w14:textId="77777777" w:rsidR="00336F93" w:rsidRDefault="00336F93">
            <w:pPr>
              <w:pStyle w:val="Bibliography"/>
              <w:rPr>
                <w:noProof/>
                <w:lang w:val="en-US"/>
              </w:rPr>
            </w:pPr>
            <w:r>
              <w:rPr>
                <w:noProof/>
                <w:lang w:val="en-US"/>
              </w:rPr>
              <w:t>Department of Health , "NPAAC Publications," 10 January 2017. [Online]. Available: http://www.health.gov.au/internet/main/publishing.nsf/Content/health-npaac-publication.htm. [Accessed March 2017].</w:t>
            </w:r>
          </w:p>
        </w:tc>
      </w:tr>
      <w:tr w:rsidR="00336F93" w14:paraId="7C5A1862" w14:textId="77777777">
        <w:trPr>
          <w:divId w:val="1984773845"/>
          <w:tblCellSpacing w:w="15" w:type="dxa"/>
        </w:trPr>
        <w:tc>
          <w:tcPr>
            <w:tcW w:w="50" w:type="pct"/>
            <w:hideMark/>
          </w:tcPr>
          <w:p w14:paraId="28FAE1AD" w14:textId="77777777" w:rsidR="00336F93" w:rsidRDefault="00336F93">
            <w:pPr>
              <w:pStyle w:val="Bibliography"/>
              <w:rPr>
                <w:noProof/>
                <w:lang w:val="en-US"/>
              </w:rPr>
            </w:pPr>
            <w:r>
              <w:rPr>
                <w:noProof/>
                <w:lang w:val="en-US"/>
              </w:rPr>
              <w:t xml:space="preserve">[17] </w:t>
            </w:r>
          </w:p>
        </w:tc>
        <w:tc>
          <w:tcPr>
            <w:tcW w:w="0" w:type="auto"/>
            <w:hideMark/>
          </w:tcPr>
          <w:p w14:paraId="3BB07A8C" w14:textId="77777777" w:rsidR="00336F93" w:rsidRDefault="00336F93">
            <w:pPr>
              <w:pStyle w:val="Bibliography"/>
              <w:rPr>
                <w:noProof/>
                <w:lang w:val="en-US"/>
              </w:rPr>
            </w:pPr>
            <w:r>
              <w:rPr>
                <w:noProof/>
                <w:lang w:val="en-US"/>
              </w:rPr>
              <w:t>National Pathology Accreditation Advisory Council, "Requirements for Medical Pathology Serivces First Edition," Canberra, 2013.</w:t>
            </w:r>
          </w:p>
        </w:tc>
      </w:tr>
      <w:tr w:rsidR="00336F93" w14:paraId="05C7DE3E" w14:textId="77777777">
        <w:trPr>
          <w:divId w:val="1984773845"/>
          <w:tblCellSpacing w:w="15" w:type="dxa"/>
        </w:trPr>
        <w:tc>
          <w:tcPr>
            <w:tcW w:w="50" w:type="pct"/>
            <w:hideMark/>
          </w:tcPr>
          <w:p w14:paraId="27666B67" w14:textId="77777777" w:rsidR="00336F93" w:rsidRDefault="00336F93">
            <w:pPr>
              <w:pStyle w:val="Bibliography"/>
              <w:rPr>
                <w:noProof/>
                <w:lang w:val="en-US"/>
              </w:rPr>
            </w:pPr>
            <w:r>
              <w:rPr>
                <w:noProof/>
                <w:lang w:val="en-US"/>
              </w:rPr>
              <w:t xml:space="preserve">[18] </w:t>
            </w:r>
          </w:p>
        </w:tc>
        <w:tc>
          <w:tcPr>
            <w:tcW w:w="0" w:type="auto"/>
            <w:hideMark/>
          </w:tcPr>
          <w:p w14:paraId="1F331561" w14:textId="77777777" w:rsidR="00336F93" w:rsidRDefault="00336F93">
            <w:pPr>
              <w:pStyle w:val="Bibliography"/>
              <w:rPr>
                <w:noProof/>
                <w:lang w:val="en-US"/>
              </w:rPr>
            </w:pPr>
            <w:r>
              <w:rPr>
                <w:noProof/>
                <w:lang w:val="en-US"/>
              </w:rPr>
              <w:t>National Pathology Accreditation Advisory Council , "Requirements for Medical Testing of Microbial Nucleic Acids Second Edition," Canberra, 2013.</w:t>
            </w:r>
          </w:p>
        </w:tc>
      </w:tr>
      <w:tr w:rsidR="00336F93" w14:paraId="0136B999" w14:textId="77777777">
        <w:trPr>
          <w:divId w:val="1984773845"/>
          <w:tblCellSpacing w:w="15" w:type="dxa"/>
        </w:trPr>
        <w:tc>
          <w:tcPr>
            <w:tcW w:w="50" w:type="pct"/>
            <w:hideMark/>
          </w:tcPr>
          <w:p w14:paraId="5FA5A63F" w14:textId="77777777" w:rsidR="00336F93" w:rsidRDefault="00336F93">
            <w:pPr>
              <w:pStyle w:val="Bibliography"/>
              <w:rPr>
                <w:noProof/>
                <w:lang w:val="en-US"/>
              </w:rPr>
            </w:pPr>
            <w:r>
              <w:rPr>
                <w:noProof/>
                <w:lang w:val="en-US"/>
              </w:rPr>
              <w:t xml:space="preserve">[19] </w:t>
            </w:r>
          </w:p>
        </w:tc>
        <w:tc>
          <w:tcPr>
            <w:tcW w:w="0" w:type="auto"/>
            <w:hideMark/>
          </w:tcPr>
          <w:p w14:paraId="70E7A1CA" w14:textId="77777777" w:rsidR="00336F93" w:rsidRDefault="00336F93">
            <w:pPr>
              <w:pStyle w:val="Bibliography"/>
              <w:rPr>
                <w:noProof/>
                <w:lang w:val="en-US"/>
              </w:rPr>
            </w:pPr>
            <w:r>
              <w:rPr>
                <w:noProof/>
                <w:lang w:val="en-US"/>
              </w:rPr>
              <w:t>National Pathology Accrediation Advisory Council, "Requirements for Laboratory Testing of Human Immunodeficiency Virus (HIV) and Hepatitis C Virus (HCV) Third Edition," Canberra, 2013.</w:t>
            </w:r>
          </w:p>
        </w:tc>
      </w:tr>
      <w:tr w:rsidR="00336F93" w14:paraId="70671596" w14:textId="77777777">
        <w:trPr>
          <w:divId w:val="1984773845"/>
          <w:tblCellSpacing w:w="15" w:type="dxa"/>
        </w:trPr>
        <w:tc>
          <w:tcPr>
            <w:tcW w:w="50" w:type="pct"/>
            <w:hideMark/>
          </w:tcPr>
          <w:p w14:paraId="2B7AD5C2" w14:textId="77777777" w:rsidR="00336F93" w:rsidRDefault="00336F93">
            <w:pPr>
              <w:pStyle w:val="Bibliography"/>
              <w:rPr>
                <w:noProof/>
                <w:lang w:val="en-US"/>
              </w:rPr>
            </w:pPr>
            <w:r>
              <w:rPr>
                <w:noProof/>
                <w:lang w:val="en-US"/>
              </w:rPr>
              <w:t xml:space="preserve">[20] </w:t>
            </w:r>
          </w:p>
        </w:tc>
        <w:tc>
          <w:tcPr>
            <w:tcW w:w="0" w:type="auto"/>
            <w:hideMark/>
          </w:tcPr>
          <w:p w14:paraId="22674FA4" w14:textId="77777777" w:rsidR="00336F93" w:rsidRDefault="00336F93">
            <w:pPr>
              <w:pStyle w:val="Bibliography"/>
              <w:rPr>
                <w:noProof/>
                <w:lang w:val="en-US"/>
              </w:rPr>
            </w:pPr>
            <w:r>
              <w:rPr>
                <w:noProof/>
                <w:lang w:val="en-US"/>
              </w:rPr>
              <w:t xml:space="preserve">S. Cochrane, Interviewee, </w:t>
            </w:r>
            <w:r>
              <w:rPr>
                <w:i/>
                <w:iCs/>
                <w:noProof/>
                <w:lang w:val="en-US"/>
              </w:rPr>
              <w:t xml:space="preserve">Executive Director, Fresh Blood, Data and Clinical Development, NBA. </w:t>
            </w:r>
            <w:r>
              <w:rPr>
                <w:noProof/>
                <w:lang w:val="en-US"/>
              </w:rPr>
              <w:t>[Interview]. 10 March 2017.</w:t>
            </w:r>
          </w:p>
        </w:tc>
      </w:tr>
      <w:tr w:rsidR="00336F93" w14:paraId="3923A054" w14:textId="77777777">
        <w:trPr>
          <w:divId w:val="1984773845"/>
          <w:tblCellSpacing w:w="15" w:type="dxa"/>
        </w:trPr>
        <w:tc>
          <w:tcPr>
            <w:tcW w:w="50" w:type="pct"/>
            <w:hideMark/>
          </w:tcPr>
          <w:p w14:paraId="3DB41D3B" w14:textId="77777777" w:rsidR="00336F93" w:rsidRDefault="00336F93">
            <w:pPr>
              <w:pStyle w:val="Bibliography"/>
              <w:rPr>
                <w:noProof/>
                <w:lang w:val="en-US"/>
              </w:rPr>
            </w:pPr>
            <w:r>
              <w:rPr>
                <w:noProof/>
                <w:lang w:val="en-US"/>
              </w:rPr>
              <w:t xml:space="preserve">[21] </w:t>
            </w:r>
          </w:p>
        </w:tc>
        <w:tc>
          <w:tcPr>
            <w:tcW w:w="0" w:type="auto"/>
            <w:hideMark/>
          </w:tcPr>
          <w:p w14:paraId="41D23AB9" w14:textId="77777777" w:rsidR="00336F93" w:rsidRDefault="00336F93">
            <w:pPr>
              <w:pStyle w:val="Bibliography"/>
              <w:rPr>
                <w:noProof/>
                <w:lang w:val="en-US"/>
              </w:rPr>
            </w:pPr>
            <w:r>
              <w:rPr>
                <w:noProof/>
                <w:lang w:val="en-US"/>
              </w:rPr>
              <w:t>Therapeutic Goods Administration , "Australian Code of Good Manufacturing Practice for human blood and blood components, human tissues and human cellular therapy products," Canberra, 2013.</w:t>
            </w:r>
          </w:p>
        </w:tc>
      </w:tr>
      <w:tr w:rsidR="00336F93" w14:paraId="15ED1810" w14:textId="77777777">
        <w:trPr>
          <w:divId w:val="1984773845"/>
          <w:tblCellSpacing w:w="15" w:type="dxa"/>
        </w:trPr>
        <w:tc>
          <w:tcPr>
            <w:tcW w:w="50" w:type="pct"/>
            <w:hideMark/>
          </w:tcPr>
          <w:p w14:paraId="26CA772E" w14:textId="77777777" w:rsidR="00336F93" w:rsidRDefault="00336F93">
            <w:pPr>
              <w:pStyle w:val="Bibliography"/>
              <w:rPr>
                <w:noProof/>
                <w:lang w:val="en-US"/>
              </w:rPr>
            </w:pPr>
            <w:r>
              <w:rPr>
                <w:noProof/>
                <w:lang w:val="en-US"/>
              </w:rPr>
              <w:t xml:space="preserve">[22] </w:t>
            </w:r>
          </w:p>
        </w:tc>
        <w:tc>
          <w:tcPr>
            <w:tcW w:w="0" w:type="auto"/>
            <w:hideMark/>
          </w:tcPr>
          <w:p w14:paraId="404AF02F" w14:textId="77777777" w:rsidR="00336F93" w:rsidRDefault="00336F93">
            <w:pPr>
              <w:pStyle w:val="Bibliography"/>
              <w:rPr>
                <w:noProof/>
                <w:lang w:val="en-US"/>
              </w:rPr>
            </w:pPr>
            <w:r>
              <w:rPr>
                <w:noProof/>
                <w:lang w:val="en-US"/>
              </w:rPr>
              <w:t>Therapeutic Goods Administration , "Regulation of blood," 4 July 2016. [Online]. Available: https://www.tga.gov.au/regulation-blood. [Accessed March 2017].</w:t>
            </w:r>
          </w:p>
        </w:tc>
      </w:tr>
      <w:tr w:rsidR="00336F93" w14:paraId="3B889CB0" w14:textId="77777777">
        <w:trPr>
          <w:divId w:val="1984773845"/>
          <w:tblCellSpacing w:w="15" w:type="dxa"/>
        </w:trPr>
        <w:tc>
          <w:tcPr>
            <w:tcW w:w="50" w:type="pct"/>
            <w:hideMark/>
          </w:tcPr>
          <w:p w14:paraId="43C0E140" w14:textId="77777777" w:rsidR="00336F93" w:rsidRDefault="00336F93">
            <w:pPr>
              <w:pStyle w:val="Bibliography"/>
              <w:rPr>
                <w:noProof/>
                <w:lang w:val="en-US"/>
              </w:rPr>
            </w:pPr>
            <w:r>
              <w:rPr>
                <w:noProof/>
                <w:lang w:val="en-US"/>
              </w:rPr>
              <w:t xml:space="preserve">[23] </w:t>
            </w:r>
          </w:p>
        </w:tc>
        <w:tc>
          <w:tcPr>
            <w:tcW w:w="0" w:type="auto"/>
            <w:hideMark/>
          </w:tcPr>
          <w:p w14:paraId="598E1A02" w14:textId="77777777" w:rsidR="00336F93" w:rsidRDefault="00336F93">
            <w:pPr>
              <w:pStyle w:val="Bibliography"/>
              <w:rPr>
                <w:noProof/>
                <w:lang w:val="en-US"/>
              </w:rPr>
            </w:pPr>
            <w:r>
              <w:rPr>
                <w:noProof/>
                <w:lang w:val="en-US"/>
              </w:rPr>
              <w:t>Therapeutic Goods Administration, "Therapeutic Goods Order No. 88: Standards for donor selection, testing and minimising infectious disease transmission via therapeutic goods that are human blood and blood components, human tissues and human cellular therapy products," Canberra, 2013.</w:t>
            </w:r>
          </w:p>
        </w:tc>
      </w:tr>
      <w:tr w:rsidR="00336F93" w14:paraId="77F1B995" w14:textId="77777777">
        <w:trPr>
          <w:divId w:val="1984773845"/>
          <w:tblCellSpacing w:w="15" w:type="dxa"/>
        </w:trPr>
        <w:tc>
          <w:tcPr>
            <w:tcW w:w="50" w:type="pct"/>
            <w:hideMark/>
          </w:tcPr>
          <w:p w14:paraId="02EFDD3D" w14:textId="77777777" w:rsidR="00336F93" w:rsidRDefault="00336F93">
            <w:pPr>
              <w:pStyle w:val="Bibliography"/>
              <w:rPr>
                <w:noProof/>
                <w:lang w:val="en-US"/>
              </w:rPr>
            </w:pPr>
            <w:r>
              <w:rPr>
                <w:noProof/>
                <w:lang w:val="en-US"/>
              </w:rPr>
              <w:t xml:space="preserve">[24] </w:t>
            </w:r>
          </w:p>
        </w:tc>
        <w:tc>
          <w:tcPr>
            <w:tcW w:w="0" w:type="auto"/>
            <w:hideMark/>
          </w:tcPr>
          <w:p w14:paraId="470723B5" w14:textId="77777777" w:rsidR="00336F93" w:rsidRDefault="00336F93">
            <w:pPr>
              <w:pStyle w:val="Bibliography"/>
              <w:rPr>
                <w:noProof/>
                <w:lang w:val="en-US"/>
              </w:rPr>
            </w:pPr>
            <w:r>
              <w:rPr>
                <w:noProof/>
                <w:lang w:val="en-US"/>
              </w:rPr>
              <w:t>Therapeutic Goods Administration , "Clinical performance requirements and risk mitigation strategies for HIV tests v1.0," Department of Health, Canberra, 2015.</w:t>
            </w:r>
          </w:p>
        </w:tc>
      </w:tr>
      <w:tr w:rsidR="00336F93" w14:paraId="775DE334" w14:textId="77777777">
        <w:trPr>
          <w:divId w:val="1984773845"/>
          <w:tblCellSpacing w:w="15" w:type="dxa"/>
        </w:trPr>
        <w:tc>
          <w:tcPr>
            <w:tcW w:w="50" w:type="pct"/>
            <w:hideMark/>
          </w:tcPr>
          <w:p w14:paraId="0F699061" w14:textId="77777777" w:rsidR="00336F93" w:rsidRDefault="00336F93">
            <w:pPr>
              <w:pStyle w:val="Bibliography"/>
              <w:rPr>
                <w:noProof/>
                <w:lang w:val="en-US"/>
              </w:rPr>
            </w:pPr>
            <w:r>
              <w:rPr>
                <w:noProof/>
                <w:lang w:val="en-US"/>
              </w:rPr>
              <w:t xml:space="preserve">[25] </w:t>
            </w:r>
          </w:p>
        </w:tc>
        <w:tc>
          <w:tcPr>
            <w:tcW w:w="0" w:type="auto"/>
            <w:hideMark/>
          </w:tcPr>
          <w:p w14:paraId="5FD48778" w14:textId="77777777" w:rsidR="00336F93" w:rsidRDefault="00336F93">
            <w:pPr>
              <w:pStyle w:val="Bibliography"/>
              <w:rPr>
                <w:noProof/>
                <w:lang w:val="en-US"/>
              </w:rPr>
            </w:pPr>
            <w:r>
              <w:rPr>
                <w:noProof/>
                <w:lang w:val="en-US"/>
              </w:rPr>
              <w:t>World Health Organization , "Screening Donated Blood for Transfusion Transmissible Infections Recommendations," 2010.</w:t>
            </w:r>
          </w:p>
        </w:tc>
      </w:tr>
      <w:tr w:rsidR="00336F93" w14:paraId="2BE0CD25" w14:textId="77777777">
        <w:trPr>
          <w:divId w:val="1984773845"/>
          <w:tblCellSpacing w:w="15" w:type="dxa"/>
        </w:trPr>
        <w:tc>
          <w:tcPr>
            <w:tcW w:w="50" w:type="pct"/>
            <w:hideMark/>
          </w:tcPr>
          <w:p w14:paraId="67E22F35" w14:textId="77777777" w:rsidR="00336F93" w:rsidRDefault="00336F93">
            <w:pPr>
              <w:pStyle w:val="Bibliography"/>
              <w:rPr>
                <w:noProof/>
                <w:lang w:val="en-US"/>
              </w:rPr>
            </w:pPr>
            <w:r>
              <w:rPr>
                <w:noProof/>
                <w:lang w:val="en-US"/>
              </w:rPr>
              <w:t xml:space="preserve">[26] </w:t>
            </w:r>
          </w:p>
        </w:tc>
        <w:tc>
          <w:tcPr>
            <w:tcW w:w="0" w:type="auto"/>
            <w:hideMark/>
          </w:tcPr>
          <w:p w14:paraId="6B3A050E" w14:textId="77777777" w:rsidR="00336F93" w:rsidRDefault="00336F93">
            <w:pPr>
              <w:pStyle w:val="Bibliography"/>
              <w:rPr>
                <w:noProof/>
                <w:lang w:val="en-US"/>
              </w:rPr>
            </w:pPr>
            <w:r>
              <w:rPr>
                <w:noProof/>
                <w:lang w:val="en-US"/>
              </w:rPr>
              <w:t>Australasian Society for HIV, Viral Hepatitis and Sexual Health Medicine, "Natioanl HIV testing Policy," Canberra, 2017.</w:t>
            </w:r>
          </w:p>
        </w:tc>
      </w:tr>
      <w:tr w:rsidR="00336F93" w14:paraId="553093F3" w14:textId="77777777">
        <w:trPr>
          <w:divId w:val="1984773845"/>
          <w:tblCellSpacing w:w="15" w:type="dxa"/>
        </w:trPr>
        <w:tc>
          <w:tcPr>
            <w:tcW w:w="50" w:type="pct"/>
            <w:hideMark/>
          </w:tcPr>
          <w:p w14:paraId="6A2ABD03" w14:textId="77777777" w:rsidR="00336F93" w:rsidRDefault="00336F93">
            <w:pPr>
              <w:pStyle w:val="Bibliography"/>
              <w:rPr>
                <w:noProof/>
                <w:lang w:val="en-US"/>
              </w:rPr>
            </w:pPr>
            <w:r>
              <w:rPr>
                <w:noProof/>
                <w:lang w:val="en-US"/>
              </w:rPr>
              <w:t xml:space="preserve">[27] </w:t>
            </w:r>
          </w:p>
        </w:tc>
        <w:tc>
          <w:tcPr>
            <w:tcW w:w="0" w:type="auto"/>
            <w:hideMark/>
          </w:tcPr>
          <w:p w14:paraId="04A1FB41" w14:textId="77777777" w:rsidR="00336F93" w:rsidRDefault="00336F93">
            <w:pPr>
              <w:pStyle w:val="Bibliography"/>
              <w:rPr>
                <w:noProof/>
                <w:lang w:val="en-US"/>
              </w:rPr>
            </w:pPr>
            <w:r>
              <w:rPr>
                <w:noProof/>
                <w:lang w:val="en-US"/>
              </w:rPr>
              <w:t>Department of Health , "Search the MBS," [Online]. Available: http://www9.health.gov.au/mbs/search.cfm. [Accessed March 2017].</w:t>
            </w:r>
          </w:p>
        </w:tc>
      </w:tr>
      <w:tr w:rsidR="00336F93" w14:paraId="6DDC9333" w14:textId="77777777">
        <w:trPr>
          <w:divId w:val="1984773845"/>
          <w:tblCellSpacing w:w="15" w:type="dxa"/>
        </w:trPr>
        <w:tc>
          <w:tcPr>
            <w:tcW w:w="50" w:type="pct"/>
            <w:hideMark/>
          </w:tcPr>
          <w:p w14:paraId="43A8B8FA" w14:textId="77777777" w:rsidR="00336F93" w:rsidRDefault="00336F93">
            <w:pPr>
              <w:pStyle w:val="Bibliography"/>
              <w:rPr>
                <w:noProof/>
                <w:lang w:val="en-US"/>
              </w:rPr>
            </w:pPr>
            <w:r>
              <w:rPr>
                <w:noProof/>
                <w:lang w:val="en-US"/>
              </w:rPr>
              <w:t xml:space="preserve">[28] </w:t>
            </w:r>
          </w:p>
        </w:tc>
        <w:tc>
          <w:tcPr>
            <w:tcW w:w="0" w:type="auto"/>
            <w:hideMark/>
          </w:tcPr>
          <w:p w14:paraId="3ACD37A5" w14:textId="77777777" w:rsidR="00336F93" w:rsidRDefault="00336F93">
            <w:pPr>
              <w:pStyle w:val="Bibliography"/>
              <w:rPr>
                <w:noProof/>
                <w:lang w:val="en-US"/>
              </w:rPr>
            </w:pPr>
            <w:r>
              <w:rPr>
                <w:noProof/>
                <w:lang w:val="en-US"/>
              </w:rPr>
              <w:t>Australasian Society for HIV, Viral Hepatitis and Sexual Health Medicine, "National HCV Testing Policy v1.1," Canberra, 2012.</w:t>
            </w:r>
          </w:p>
        </w:tc>
      </w:tr>
      <w:tr w:rsidR="00336F93" w14:paraId="1C79A158" w14:textId="77777777">
        <w:trPr>
          <w:divId w:val="1984773845"/>
          <w:tblCellSpacing w:w="15" w:type="dxa"/>
        </w:trPr>
        <w:tc>
          <w:tcPr>
            <w:tcW w:w="50" w:type="pct"/>
            <w:hideMark/>
          </w:tcPr>
          <w:p w14:paraId="4207F8B3" w14:textId="77777777" w:rsidR="00336F93" w:rsidRDefault="00336F93">
            <w:pPr>
              <w:pStyle w:val="Bibliography"/>
              <w:rPr>
                <w:noProof/>
                <w:lang w:val="en-US"/>
              </w:rPr>
            </w:pPr>
            <w:r>
              <w:rPr>
                <w:noProof/>
                <w:lang w:val="en-US"/>
              </w:rPr>
              <w:t xml:space="preserve">[29] </w:t>
            </w:r>
          </w:p>
        </w:tc>
        <w:tc>
          <w:tcPr>
            <w:tcW w:w="0" w:type="auto"/>
            <w:hideMark/>
          </w:tcPr>
          <w:p w14:paraId="46DCB787" w14:textId="77777777" w:rsidR="00336F93" w:rsidRDefault="00336F93">
            <w:pPr>
              <w:pStyle w:val="Bibliography"/>
              <w:rPr>
                <w:noProof/>
                <w:lang w:val="en-US"/>
              </w:rPr>
            </w:pPr>
            <w:r>
              <w:rPr>
                <w:noProof/>
                <w:lang w:val="en-US"/>
              </w:rPr>
              <w:t>Australasian Society for HIV, Viral Hepatitis and Sexual Health Medicine, "National HBV Testing Policy v1.2," Canberra, 2013.</w:t>
            </w:r>
          </w:p>
        </w:tc>
      </w:tr>
      <w:tr w:rsidR="00336F93" w14:paraId="0CB09A43" w14:textId="77777777">
        <w:trPr>
          <w:divId w:val="1984773845"/>
          <w:tblCellSpacing w:w="15" w:type="dxa"/>
        </w:trPr>
        <w:tc>
          <w:tcPr>
            <w:tcW w:w="50" w:type="pct"/>
            <w:hideMark/>
          </w:tcPr>
          <w:p w14:paraId="012F64A5" w14:textId="77777777" w:rsidR="00336F93" w:rsidRDefault="00336F93">
            <w:pPr>
              <w:pStyle w:val="Bibliography"/>
              <w:rPr>
                <w:noProof/>
                <w:lang w:val="en-US"/>
              </w:rPr>
            </w:pPr>
            <w:r>
              <w:rPr>
                <w:noProof/>
                <w:lang w:val="en-US"/>
              </w:rPr>
              <w:t xml:space="preserve">[30] </w:t>
            </w:r>
          </w:p>
        </w:tc>
        <w:tc>
          <w:tcPr>
            <w:tcW w:w="0" w:type="auto"/>
            <w:hideMark/>
          </w:tcPr>
          <w:p w14:paraId="1234BFD9" w14:textId="77777777" w:rsidR="00336F93" w:rsidRDefault="00336F93">
            <w:pPr>
              <w:pStyle w:val="Bibliography"/>
              <w:rPr>
                <w:noProof/>
                <w:lang w:val="en-US"/>
              </w:rPr>
            </w:pPr>
            <w:r>
              <w:rPr>
                <w:noProof/>
                <w:lang w:val="en-US"/>
              </w:rPr>
              <w:t>Lab Tests Online, "Explaining Pathology, HTLV," [Online]. Available: https://www.labtestsonline.org.au/learning/index-of-conditions/htlv.</w:t>
            </w:r>
          </w:p>
        </w:tc>
      </w:tr>
      <w:tr w:rsidR="00336F93" w14:paraId="361F17A2" w14:textId="77777777">
        <w:trPr>
          <w:divId w:val="1984773845"/>
          <w:tblCellSpacing w:w="15" w:type="dxa"/>
        </w:trPr>
        <w:tc>
          <w:tcPr>
            <w:tcW w:w="50" w:type="pct"/>
            <w:hideMark/>
          </w:tcPr>
          <w:p w14:paraId="6E1AC4AE" w14:textId="77777777" w:rsidR="00336F93" w:rsidRDefault="00336F93">
            <w:pPr>
              <w:pStyle w:val="Bibliography"/>
              <w:rPr>
                <w:noProof/>
                <w:lang w:val="en-US"/>
              </w:rPr>
            </w:pPr>
            <w:r>
              <w:rPr>
                <w:noProof/>
                <w:lang w:val="en-US"/>
              </w:rPr>
              <w:t xml:space="preserve">[31] </w:t>
            </w:r>
          </w:p>
        </w:tc>
        <w:tc>
          <w:tcPr>
            <w:tcW w:w="0" w:type="auto"/>
            <w:hideMark/>
          </w:tcPr>
          <w:p w14:paraId="13F84295" w14:textId="77777777" w:rsidR="00336F93" w:rsidRDefault="00336F93">
            <w:pPr>
              <w:pStyle w:val="Bibliography"/>
              <w:rPr>
                <w:noProof/>
                <w:lang w:val="en-US"/>
              </w:rPr>
            </w:pPr>
            <w:r>
              <w:rPr>
                <w:noProof/>
                <w:lang w:val="en-US"/>
              </w:rPr>
              <w:t>RCPA QAP, "RCPA QAP Product Catalogue," RCPA QAP, St Leonards, 2017.</w:t>
            </w:r>
          </w:p>
        </w:tc>
      </w:tr>
      <w:tr w:rsidR="00336F93" w14:paraId="7E6E773D" w14:textId="77777777">
        <w:trPr>
          <w:divId w:val="1984773845"/>
          <w:tblCellSpacing w:w="15" w:type="dxa"/>
        </w:trPr>
        <w:tc>
          <w:tcPr>
            <w:tcW w:w="50" w:type="pct"/>
            <w:hideMark/>
          </w:tcPr>
          <w:p w14:paraId="61DA82F5" w14:textId="77777777" w:rsidR="00336F93" w:rsidRDefault="00336F93">
            <w:pPr>
              <w:pStyle w:val="Bibliography"/>
              <w:rPr>
                <w:noProof/>
                <w:lang w:val="en-US"/>
              </w:rPr>
            </w:pPr>
            <w:r>
              <w:rPr>
                <w:noProof/>
                <w:lang w:val="en-US"/>
              </w:rPr>
              <w:t xml:space="preserve">[32] </w:t>
            </w:r>
          </w:p>
        </w:tc>
        <w:tc>
          <w:tcPr>
            <w:tcW w:w="0" w:type="auto"/>
            <w:hideMark/>
          </w:tcPr>
          <w:p w14:paraId="16DEDA6E" w14:textId="77777777" w:rsidR="00336F93" w:rsidRDefault="00336F93">
            <w:pPr>
              <w:pStyle w:val="Bibliography"/>
              <w:rPr>
                <w:noProof/>
                <w:lang w:val="en-US"/>
              </w:rPr>
            </w:pPr>
            <w:r>
              <w:rPr>
                <w:noProof/>
                <w:lang w:val="en-US"/>
              </w:rPr>
              <w:t>Department of Health, "Office of Health Protection,," [Online]. Available: http://www.health.gov.au/internet/main/publishing.nsf/Content/ohp-about.htm. [Accessed 2018].</w:t>
            </w:r>
          </w:p>
        </w:tc>
      </w:tr>
      <w:tr w:rsidR="00336F93" w14:paraId="5986ADBD" w14:textId="77777777">
        <w:trPr>
          <w:divId w:val="1984773845"/>
          <w:tblCellSpacing w:w="15" w:type="dxa"/>
        </w:trPr>
        <w:tc>
          <w:tcPr>
            <w:tcW w:w="50" w:type="pct"/>
            <w:hideMark/>
          </w:tcPr>
          <w:p w14:paraId="6EE151B9" w14:textId="77777777" w:rsidR="00336F93" w:rsidRDefault="00336F93">
            <w:pPr>
              <w:pStyle w:val="Bibliography"/>
              <w:rPr>
                <w:noProof/>
                <w:lang w:val="en-US"/>
              </w:rPr>
            </w:pPr>
            <w:r>
              <w:rPr>
                <w:noProof/>
                <w:lang w:val="en-US"/>
              </w:rPr>
              <w:t xml:space="preserve">[33] </w:t>
            </w:r>
          </w:p>
        </w:tc>
        <w:tc>
          <w:tcPr>
            <w:tcW w:w="0" w:type="auto"/>
            <w:hideMark/>
          </w:tcPr>
          <w:p w14:paraId="55091C11" w14:textId="77777777" w:rsidR="00336F93" w:rsidRDefault="00336F93">
            <w:pPr>
              <w:pStyle w:val="Bibliography"/>
              <w:rPr>
                <w:noProof/>
                <w:lang w:val="en-US"/>
              </w:rPr>
            </w:pPr>
            <w:r>
              <w:rPr>
                <w:noProof/>
                <w:lang w:val="en-US"/>
              </w:rPr>
              <w:t>Department of Health , "Eigth National HIV Strategy 2018-2022," [Online]. Available: https://www1.health.gov.au/internet/main/publishing.nsf/Content/ohp-bbvs-1/$File/HIV-Eight-Nat-Strategy-2018-22.pdf. [Accessed 2019].</w:t>
            </w:r>
          </w:p>
        </w:tc>
      </w:tr>
      <w:tr w:rsidR="00336F93" w14:paraId="057920B5" w14:textId="77777777">
        <w:trPr>
          <w:divId w:val="1984773845"/>
          <w:tblCellSpacing w:w="15" w:type="dxa"/>
        </w:trPr>
        <w:tc>
          <w:tcPr>
            <w:tcW w:w="50" w:type="pct"/>
            <w:hideMark/>
          </w:tcPr>
          <w:p w14:paraId="1EC40547" w14:textId="77777777" w:rsidR="00336F93" w:rsidRDefault="00336F93">
            <w:pPr>
              <w:pStyle w:val="Bibliography"/>
              <w:rPr>
                <w:noProof/>
                <w:lang w:val="en-US"/>
              </w:rPr>
            </w:pPr>
            <w:r>
              <w:rPr>
                <w:noProof/>
                <w:lang w:val="en-US"/>
              </w:rPr>
              <w:t xml:space="preserve">[34] </w:t>
            </w:r>
          </w:p>
        </w:tc>
        <w:tc>
          <w:tcPr>
            <w:tcW w:w="0" w:type="auto"/>
            <w:hideMark/>
          </w:tcPr>
          <w:p w14:paraId="610B318F" w14:textId="77777777" w:rsidR="00336F93" w:rsidRDefault="00336F93">
            <w:pPr>
              <w:pStyle w:val="Bibliography"/>
              <w:rPr>
                <w:noProof/>
                <w:lang w:val="en-US"/>
              </w:rPr>
            </w:pPr>
            <w:r>
              <w:rPr>
                <w:noProof/>
                <w:lang w:val="en-US"/>
              </w:rPr>
              <w:t>Therapeutic Goods Administration, "Regulatory decisions &amp; notices (medical devices &amp; IVDs)," June 2017. [Online]. Available: https://www.tga.gov.au/regulatory-decisions-notices-medical-devices-ivds. [Accessed May 2018].</w:t>
            </w:r>
          </w:p>
        </w:tc>
      </w:tr>
      <w:tr w:rsidR="00336F93" w14:paraId="30AC43C9" w14:textId="77777777">
        <w:trPr>
          <w:divId w:val="1984773845"/>
          <w:tblCellSpacing w:w="15" w:type="dxa"/>
        </w:trPr>
        <w:tc>
          <w:tcPr>
            <w:tcW w:w="50" w:type="pct"/>
            <w:hideMark/>
          </w:tcPr>
          <w:p w14:paraId="12E8667F" w14:textId="77777777" w:rsidR="00336F93" w:rsidRDefault="00336F93">
            <w:pPr>
              <w:pStyle w:val="Bibliography"/>
              <w:rPr>
                <w:noProof/>
                <w:lang w:val="en-US"/>
              </w:rPr>
            </w:pPr>
            <w:r>
              <w:rPr>
                <w:noProof/>
                <w:lang w:val="en-US"/>
              </w:rPr>
              <w:t xml:space="preserve">[35] </w:t>
            </w:r>
          </w:p>
        </w:tc>
        <w:tc>
          <w:tcPr>
            <w:tcW w:w="0" w:type="auto"/>
            <w:hideMark/>
          </w:tcPr>
          <w:p w14:paraId="78B0C616" w14:textId="77777777" w:rsidR="00336F93" w:rsidRDefault="00336F93">
            <w:pPr>
              <w:pStyle w:val="Bibliography"/>
              <w:rPr>
                <w:noProof/>
                <w:lang w:val="en-US"/>
              </w:rPr>
            </w:pPr>
            <w:r>
              <w:rPr>
                <w:noProof/>
                <w:lang w:val="en-US"/>
              </w:rPr>
              <w:t xml:space="preserve">M. A. Stoto, H. C. Sox Jr and L. B. Leveton, Stoto, M.A., Sox Jr, H.C. and Leveton, L.B. eds.,HIV and the blood supply: an analysis of crisis decision making., National Academies Press, 1995. </w:t>
            </w:r>
          </w:p>
        </w:tc>
      </w:tr>
      <w:tr w:rsidR="00336F93" w14:paraId="3AA5F26C" w14:textId="77777777">
        <w:trPr>
          <w:divId w:val="1984773845"/>
          <w:tblCellSpacing w:w="15" w:type="dxa"/>
        </w:trPr>
        <w:tc>
          <w:tcPr>
            <w:tcW w:w="50" w:type="pct"/>
            <w:hideMark/>
          </w:tcPr>
          <w:p w14:paraId="5BB1515B" w14:textId="77777777" w:rsidR="00336F93" w:rsidRDefault="00336F93">
            <w:pPr>
              <w:pStyle w:val="Bibliography"/>
              <w:rPr>
                <w:noProof/>
                <w:lang w:val="en-US"/>
              </w:rPr>
            </w:pPr>
            <w:r>
              <w:rPr>
                <w:noProof/>
                <w:lang w:val="en-US"/>
              </w:rPr>
              <w:lastRenderedPageBreak/>
              <w:t xml:space="preserve">[36] </w:t>
            </w:r>
          </w:p>
        </w:tc>
        <w:tc>
          <w:tcPr>
            <w:tcW w:w="0" w:type="auto"/>
            <w:hideMark/>
          </w:tcPr>
          <w:p w14:paraId="3C8AFA02" w14:textId="77777777" w:rsidR="00336F93" w:rsidRDefault="00336F93">
            <w:pPr>
              <w:pStyle w:val="Bibliography"/>
              <w:rPr>
                <w:noProof/>
                <w:lang w:val="en-US"/>
              </w:rPr>
            </w:pPr>
            <w:r>
              <w:rPr>
                <w:noProof/>
                <w:lang w:val="en-US"/>
              </w:rPr>
              <w:t>Australian Government Department of Health and Ageing, "Cost Recovery Impact Statement".</w:t>
            </w:r>
          </w:p>
        </w:tc>
      </w:tr>
    </w:tbl>
    <w:p w14:paraId="0B51EEF5" w14:textId="77777777" w:rsidR="00336F93" w:rsidRDefault="00336F93">
      <w:pPr>
        <w:divId w:val="1984773845"/>
        <w:rPr>
          <w:rFonts w:eastAsia="Times New Roman"/>
          <w:noProof/>
        </w:rPr>
      </w:pPr>
    </w:p>
    <w:p w14:paraId="6BE1AD63" w14:textId="5045D47A" w:rsidR="00747A47" w:rsidRPr="00747A47" w:rsidRDefault="002E4619" w:rsidP="00747A47">
      <w:pPr>
        <w:pStyle w:val="BodyCopy"/>
        <w:rPr>
          <w:shd w:val="clear" w:color="auto" w:fill="FFFFFF"/>
        </w:rPr>
      </w:pPr>
      <w:r>
        <w:rPr>
          <w:shd w:val="clear" w:color="auto" w:fill="FFFFFF"/>
        </w:rPr>
        <w:fldChar w:fldCharType="end"/>
      </w:r>
    </w:p>
    <w:sectPr w:rsidR="00747A47" w:rsidRPr="00747A47" w:rsidSect="00747A47">
      <w:footnotePr>
        <w:numFmt w:val="lowerLetter"/>
      </w:footnotePr>
      <w:pgSz w:w="16839" w:h="11907" w:orient="landscape" w:code="9"/>
      <w:pgMar w:top="2268" w:right="1304" w:bottom="851" w:left="737" w:header="567"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8188C" w14:textId="77777777" w:rsidR="00F94A89" w:rsidRDefault="00F94A89" w:rsidP="00F32964">
      <w:r>
        <w:separator/>
      </w:r>
    </w:p>
    <w:p w14:paraId="0452AFB2" w14:textId="77777777" w:rsidR="00F94A89" w:rsidRDefault="00F94A89"/>
  </w:endnote>
  <w:endnote w:type="continuationSeparator" w:id="0">
    <w:p w14:paraId="4F8B1719" w14:textId="77777777" w:rsidR="00F94A89" w:rsidRDefault="00F94A89" w:rsidP="00F32964">
      <w:r>
        <w:continuationSeparator/>
      </w:r>
    </w:p>
    <w:p w14:paraId="2601F5B9" w14:textId="77777777" w:rsidR="00F94A89" w:rsidRDefault="00F94A89"/>
  </w:endnote>
  <w:endnote w:type="continuationNotice" w:id="1">
    <w:p w14:paraId="360BF3C4" w14:textId="77777777" w:rsidR="00F94A89" w:rsidRDefault="00F94A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70" w:type="dxa"/>
      <w:tblLayout w:type="fixed"/>
      <w:tblCellMar>
        <w:top w:w="170" w:type="dxa"/>
        <w:left w:w="0" w:type="dxa"/>
        <w:right w:w="0" w:type="dxa"/>
      </w:tblCellMar>
      <w:tblLook w:val="04A0" w:firstRow="1" w:lastRow="0" w:firstColumn="1" w:lastColumn="0" w:noHBand="0" w:noVBand="1"/>
    </w:tblPr>
    <w:tblGrid>
      <w:gridCol w:w="7456"/>
      <w:gridCol w:w="236"/>
      <w:gridCol w:w="7456"/>
    </w:tblGrid>
    <w:tr w:rsidR="00F94A89" w:rsidRPr="003E0E7D" w14:paraId="1680968D" w14:textId="77777777" w:rsidTr="003E0E7D">
      <w:tc>
        <w:tcPr>
          <w:tcW w:w="7456" w:type="dxa"/>
          <w:tcBorders>
            <w:top w:val="single" w:sz="8" w:space="0" w:color="000000"/>
          </w:tcBorders>
          <w:shd w:val="clear" w:color="auto" w:fill="auto"/>
        </w:tcPr>
        <w:p w14:paraId="7D1D227A" w14:textId="77777777" w:rsidR="00F94A89" w:rsidRPr="003E0E7D" w:rsidRDefault="00F94A89" w:rsidP="00F86488">
          <w:pPr>
            <w:pStyle w:val="Footer"/>
          </w:pPr>
        </w:p>
      </w:tc>
      <w:tc>
        <w:tcPr>
          <w:tcW w:w="236" w:type="dxa"/>
          <w:shd w:val="clear" w:color="auto" w:fill="auto"/>
        </w:tcPr>
        <w:p w14:paraId="61C09F60" w14:textId="77777777" w:rsidR="00F94A89" w:rsidRPr="003E0E7D" w:rsidRDefault="00F94A89" w:rsidP="00F86488">
          <w:pPr>
            <w:pStyle w:val="Footer"/>
          </w:pPr>
        </w:p>
      </w:tc>
      <w:tc>
        <w:tcPr>
          <w:tcW w:w="7456" w:type="dxa"/>
          <w:tcBorders>
            <w:top w:val="single" w:sz="8" w:space="0" w:color="000000"/>
          </w:tcBorders>
          <w:shd w:val="clear" w:color="auto" w:fill="auto"/>
          <w:vAlign w:val="center"/>
        </w:tcPr>
        <w:p w14:paraId="35AF05DC" w14:textId="77777777" w:rsidR="00F94A89" w:rsidRPr="003E0E7D" w:rsidRDefault="00F94A89" w:rsidP="003E0E7D">
          <w:pPr>
            <w:pStyle w:val="Footer"/>
            <w:jc w:val="right"/>
          </w:pPr>
        </w:p>
      </w:tc>
    </w:tr>
  </w:tbl>
  <w:p w14:paraId="5E1C5997" w14:textId="77777777" w:rsidR="00F94A89" w:rsidRDefault="00F94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39" w:type="dxa"/>
      <w:tblLayout w:type="fixed"/>
      <w:tblCellMar>
        <w:top w:w="170" w:type="dxa"/>
        <w:left w:w="0" w:type="dxa"/>
        <w:right w:w="0" w:type="dxa"/>
      </w:tblCellMar>
      <w:tblLook w:val="04A0" w:firstRow="1" w:lastRow="0" w:firstColumn="1" w:lastColumn="0" w:noHBand="0" w:noVBand="1"/>
    </w:tblPr>
    <w:tblGrid>
      <w:gridCol w:w="7456"/>
      <w:gridCol w:w="227"/>
      <w:gridCol w:w="7456"/>
    </w:tblGrid>
    <w:tr w:rsidR="00F94A89" w:rsidRPr="003E0E7D" w14:paraId="75651369" w14:textId="77777777" w:rsidTr="003E0E7D">
      <w:tc>
        <w:tcPr>
          <w:tcW w:w="7456" w:type="dxa"/>
          <w:tcBorders>
            <w:top w:val="single" w:sz="8" w:space="0" w:color="FFF200"/>
          </w:tcBorders>
          <w:shd w:val="clear" w:color="auto" w:fill="auto"/>
        </w:tcPr>
        <w:p w14:paraId="0C4503D0" w14:textId="77777777" w:rsidR="00F94A89" w:rsidRPr="003E0E7D" w:rsidRDefault="00F94A89" w:rsidP="00ED2B2E">
          <w:pPr>
            <w:pStyle w:val="Footer"/>
          </w:pPr>
          <w:r w:rsidRPr="003E0E7D">
            <w:rPr>
              <w:rStyle w:val="FooterProjectTitleChar"/>
            </w:rPr>
            <w:t>Department of Health • Review of Commonwealth Funding of Services to Support the Diagnosis and Screening of Blood Borne Viruses</w:t>
          </w:r>
        </w:p>
      </w:tc>
      <w:tc>
        <w:tcPr>
          <w:tcW w:w="227" w:type="dxa"/>
          <w:shd w:val="clear" w:color="auto" w:fill="auto"/>
        </w:tcPr>
        <w:p w14:paraId="4EAFF6F0" w14:textId="77777777" w:rsidR="00F94A89" w:rsidRPr="003E0E7D" w:rsidRDefault="00F94A89" w:rsidP="00ED2B2E">
          <w:pPr>
            <w:pStyle w:val="Footer"/>
          </w:pPr>
        </w:p>
      </w:tc>
      <w:tc>
        <w:tcPr>
          <w:tcW w:w="7456" w:type="dxa"/>
          <w:tcBorders>
            <w:top w:val="single" w:sz="8" w:space="0" w:color="FFF200"/>
          </w:tcBorders>
          <w:shd w:val="clear" w:color="auto" w:fill="auto"/>
          <w:vAlign w:val="center"/>
        </w:tcPr>
        <w:p w14:paraId="4FA12DC1" w14:textId="77777777" w:rsidR="00F94A89" w:rsidRPr="003E0E7D" w:rsidRDefault="00F94A89" w:rsidP="003E0E7D">
          <w:pPr>
            <w:pStyle w:val="Footer"/>
            <w:jc w:val="right"/>
          </w:pPr>
          <w:r w:rsidRPr="003E0E7D">
            <w:rPr>
              <w:rStyle w:val="DocumentInfoChar"/>
              <w:caps w:val="0"/>
            </w:rPr>
            <w:t>Final Report</w:t>
          </w:r>
        </w:p>
      </w:tc>
    </w:tr>
  </w:tbl>
  <w:p w14:paraId="41A69C3B" w14:textId="77777777" w:rsidR="00F94A89" w:rsidRPr="00B72016" w:rsidRDefault="00F94A89">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39" w:type="dxa"/>
      <w:tblInd w:w="-170" w:type="dxa"/>
      <w:tblLayout w:type="fixed"/>
      <w:tblCellMar>
        <w:top w:w="170" w:type="dxa"/>
        <w:left w:w="0" w:type="dxa"/>
        <w:right w:w="0" w:type="dxa"/>
      </w:tblCellMar>
      <w:tblLook w:val="04A0" w:firstRow="1" w:lastRow="0" w:firstColumn="1" w:lastColumn="0" w:noHBand="0" w:noVBand="1"/>
    </w:tblPr>
    <w:tblGrid>
      <w:gridCol w:w="7456"/>
      <w:gridCol w:w="227"/>
      <w:gridCol w:w="7456"/>
    </w:tblGrid>
    <w:tr w:rsidR="00F94A89" w:rsidRPr="003E0E7D" w14:paraId="04238D14" w14:textId="77777777" w:rsidTr="003E0E7D">
      <w:tc>
        <w:tcPr>
          <w:tcW w:w="7456" w:type="dxa"/>
          <w:tcBorders>
            <w:top w:val="single" w:sz="8" w:space="0" w:color="FFF200"/>
          </w:tcBorders>
          <w:shd w:val="clear" w:color="auto" w:fill="auto"/>
        </w:tcPr>
        <w:p w14:paraId="5822509A" w14:textId="77777777" w:rsidR="00F94A89" w:rsidRPr="003E0E7D" w:rsidRDefault="00F94A89" w:rsidP="00383A1D">
          <w:pPr>
            <w:pStyle w:val="Footer"/>
          </w:pPr>
          <w:r w:rsidRPr="003E0E7D">
            <w:rPr>
              <w:rStyle w:val="FooterProjectTitleChar"/>
            </w:rPr>
            <w:t>Department of Health • Review of Commonwealth Funding of Services to Support the Diagnosis and Screening of Blood Borne Viruses</w:t>
          </w:r>
        </w:p>
      </w:tc>
      <w:tc>
        <w:tcPr>
          <w:tcW w:w="227" w:type="dxa"/>
          <w:shd w:val="clear" w:color="auto" w:fill="auto"/>
        </w:tcPr>
        <w:p w14:paraId="377B0DF8" w14:textId="77777777" w:rsidR="00F94A89" w:rsidRPr="003E0E7D" w:rsidRDefault="00F94A89" w:rsidP="00383A1D">
          <w:pPr>
            <w:pStyle w:val="Footer"/>
          </w:pPr>
        </w:p>
      </w:tc>
      <w:tc>
        <w:tcPr>
          <w:tcW w:w="7456" w:type="dxa"/>
          <w:tcBorders>
            <w:top w:val="single" w:sz="8" w:space="0" w:color="FFF200"/>
          </w:tcBorders>
          <w:shd w:val="clear" w:color="auto" w:fill="auto"/>
          <w:vAlign w:val="center"/>
        </w:tcPr>
        <w:p w14:paraId="06D3BDC3" w14:textId="77777777" w:rsidR="00F94A89" w:rsidRPr="003E0E7D" w:rsidRDefault="00F94A89" w:rsidP="003E0E7D">
          <w:pPr>
            <w:pStyle w:val="Footer"/>
            <w:jc w:val="right"/>
          </w:pPr>
          <w:r w:rsidRPr="003E0E7D">
            <w:rPr>
              <w:rStyle w:val="DocumentInfoChar"/>
              <w:caps w:val="0"/>
            </w:rPr>
            <w:t>Final Report</w:t>
          </w:r>
        </w:p>
      </w:tc>
    </w:tr>
  </w:tbl>
  <w:p w14:paraId="62E7E452" w14:textId="77777777" w:rsidR="00F94A89" w:rsidRPr="00B72016" w:rsidRDefault="00F94A89">
    <w:pPr>
      <w:pStyle w:val="Footer"/>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F7E1" w14:textId="77777777" w:rsidR="00F94A89" w:rsidRDefault="00F94A89">
    <w:pPr>
      <w:tabs>
        <w:tab w:val="left" w:pos="820"/>
      </w:tabs>
      <w:ind w:right="-51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39" w:type="dxa"/>
      <w:tblInd w:w="-170" w:type="dxa"/>
      <w:tblLayout w:type="fixed"/>
      <w:tblCellMar>
        <w:top w:w="170" w:type="dxa"/>
        <w:left w:w="0" w:type="dxa"/>
        <w:right w:w="0" w:type="dxa"/>
      </w:tblCellMar>
      <w:tblLook w:val="04A0" w:firstRow="1" w:lastRow="0" w:firstColumn="1" w:lastColumn="0" w:noHBand="0" w:noVBand="1"/>
    </w:tblPr>
    <w:tblGrid>
      <w:gridCol w:w="7456"/>
      <w:gridCol w:w="227"/>
      <w:gridCol w:w="7456"/>
    </w:tblGrid>
    <w:tr w:rsidR="00F94A89" w:rsidRPr="003E0E7D" w14:paraId="67EC98DE" w14:textId="77777777" w:rsidTr="003E0E7D">
      <w:tc>
        <w:tcPr>
          <w:tcW w:w="7456" w:type="dxa"/>
          <w:tcBorders>
            <w:top w:val="single" w:sz="8" w:space="0" w:color="FFF200"/>
          </w:tcBorders>
          <w:shd w:val="clear" w:color="auto" w:fill="auto"/>
        </w:tcPr>
        <w:p w14:paraId="6CBBFEBE" w14:textId="77777777" w:rsidR="00F94A89" w:rsidRPr="003E0E7D" w:rsidRDefault="00F94A89" w:rsidP="00850A9B">
          <w:pPr>
            <w:pStyle w:val="Footer"/>
          </w:pPr>
          <w:r w:rsidRPr="003E0E7D">
            <w:rPr>
              <w:rStyle w:val="FooterProjectTitleChar"/>
            </w:rPr>
            <w:t>Department of Health • Review of Commonwealth Funding of Services to Support the Diagnosis and Screening of Blood Borne Viruses</w:t>
          </w:r>
        </w:p>
      </w:tc>
      <w:tc>
        <w:tcPr>
          <w:tcW w:w="227" w:type="dxa"/>
          <w:shd w:val="clear" w:color="auto" w:fill="auto"/>
        </w:tcPr>
        <w:p w14:paraId="0328ADB2" w14:textId="77777777" w:rsidR="00F94A89" w:rsidRPr="003E0E7D" w:rsidRDefault="00F94A89" w:rsidP="00850A9B">
          <w:pPr>
            <w:pStyle w:val="Footer"/>
          </w:pPr>
        </w:p>
      </w:tc>
      <w:tc>
        <w:tcPr>
          <w:tcW w:w="7456" w:type="dxa"/>
          <w:tcBorders>
            <w:top w:val="single" w:sz="8" w:space="0" w:color="FFF200"/>
          </w:tcBorders>
          <w:shd w:val="clear" w:color="auto" w:fill="auto"/>
          <w:vAlign w:val="center"/>
        </w:tcPr>
        <w:p w14:paraId="4A9C4414" w14:textId="77777777" w:rsidR="00F94A89" w:rsidRPr="003E0E7D" w:rsidRDefault="00F94A89" w:rsidP="003E0E7D">
          <w:pPr>
            <w:pStyle w:val="Footer"/>
            <w:jc w:val="right"/>
          </w:pPr>
          <w:r w:rsidRPr="003E0E7D">
            <w:rPr>
              <w:rStyle w:val="DocumentInfoChar"/>
              <w:caps w:val="0"/>
            </w:rPr>
            <w:t>Final Report</w:t>
          </w:r>
        </w:p>
      </w:tc>
    </w:tr>
  </w:tbl>
  <w:p w14:paraId="7AB1792D" w14:textId="77777777" w:rsidR="00F94A89" w:rsidRPr="00B72016" w:rsidRDefault="00F94A89">
    <w:pPr>
      <w:pStyle w:val="Footer"/>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39" w:type="dxa"/>
      <w:tblInd w:w="-170" w:type="dxa"/>
      <w:tblLayout w:type="fixed"/>
      <w:tblCellMar>
        <w:top w:w="170" w:type="dxa"/>
        <w:left w:w="0" w:type="dxa"/>
        <w:right w:w="0" w:type="dxa"/>
      </w:tblCellMar>
      <w:tblLook w:val="04A0" w:firstRow="1" w:lastRow="0" w:firstColumn="1" w:lastColumn="0" w:noHBand="0" w:noVBand="1"/>
    </w:tblPr>
    <w:tblGrid>
      <w:gridCol w:w="7456"/>
      <w:gridCol w:w="227"/>
      <w:gridCol w:w="7456"/>
    </w:tblGrid>
    <w:tr w:rsidR="00F94A89" w:rsidRPr="003E0E7D" w14:paraId="5982243C" w14:textId="77777777" w:rsidTr="003E0E7D">
      <w:tc>
        <w:tcPr>
          <w:tcW w:w="7456" w:type="dxa"/>
          <w:tcBorders>
            <w:top w:val="single" w:sz="8" w:space="0" w:color="FFF200"/>
          </w:tcBorders>
          <w:shd w:val="clear" w:color="auto" w:fill="auto"/>
        </w:tcPr>
        <w:p w14:paraId="5634237C" w14:textId="77777777" w:rsidR="00F94A89" w:rsidRPr="003E0E7D" w:rsidRDefault="00F94A89" w:rsidP="00383A1D">
          <w:pPr>
            <w:pStyle w:val="Footer"/>
          </w:pPr>
          <w:r w:rsidRPr="003E0E7D">
            <w:rPr>
              <w:rStyle w:val="FooterProjectTitleChar"/>
            </w:rPr>
            <w:t>Department of Health • Review of Commonwealth Funding of Services to Support the Diagnosis and Screening of Blood Borne Viruses</w:t>
          </w:r>
        </w:p>
      </w:tc>
      <w:tc>
        <w:tcPr>
          <w:tcW w:w="227" w:type="dxa"/>
          <w:shd w:val="clear" w:color="auto" w:fill="auto"/>
        </w:tcPr>
        <w:p w14:paraId="29423014" w14:textId="77777777" w:rsidR="00F94A89" w:rsidRPr="003E0E7D" w:rsidRDefault="00F94A89" w:rsidP="00383A1D">
          <w:pPr>
            <w:pStyle w:val="Footer"/>
          </w:pPr>
        </w:p>
      </w:tc>
      <w:tc>
        <w:tcPr>
          <w:tcW w:w="7456" w:type="dxa"/>
          <w:tcBorders>
            <w:top w:val="single" w:sz="8" w:space="0" w:color="FFF200"/>
          </w:tcBorders>
          <w:shd w:val="clear" w:color="auto" w:fill="auto"/>
          <w:vAlign w:val="center"/>
        </w:tcPr>
        <w:p w14:paraId="6B3B358C" w14:textId="77777777" w:rsidR="00F94A89" w:rsidRPr="003E0E7D" w:rsidRDefault="00F94A89" w:rsidP="003E0E7D">
          <w:pPr>
            <w:pStyle w:val="Footer"/>
            <w:jc w:val="right"/>
          </w:pPr>
          <w:r w:rsidRPr="003E0E7D">
            <w:rPr>
              <w:rStyle w:val="DocumentInfoChar"/>
              <w:caps w:val="0"/>
            </w:rPr>
            <w:t>Final Report</w:t>
          </w:r>
        </w:p>
      </w:tc>
    </w:tr>
  </w:tbl>
  <w:p w14:paraId="70B4ECAF" w14:textId="77777777" w:rsidR="00F94A89" w:rsidRPr="00B72016" w:rsidRDefault="00F94A89">
    <w:pPr>
      <w:pStyle w:val="Footer"/>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139" w:type="dxa"/>
      <w:tblInd w:w="-170" w:type="dxa"/>
      <w:tblLayout w:type="fixed"/>
      <w:tblCellMar>
        <w:top w:w="170" w:type="dxa"/>
        <w:left w:w="0" w:type="dxa"/>
        <w:right w:w="0" w:type="dxa"/>
      </w:tblCellMar>
      <w:tblLook w:val="04A0" w:firstRow="1" w:lastRow="0" w:firstColumn="1" w:lastColumn="0" w:noHBand="0" w:noVBand="1"/>
    </w:tblPr>
    <w:tblGrid>
      <w:gridCol w:w="7456"/>
      <w:gridCol w:w="227"/>
      <w:gridCol w:w="7456"/>
    </w:tblGrid>
    <w:tr w:rsidR="00F94A89" w:rsidRPr="003E0E7D" w14:paraId="5511B71A" w14:textId="77777777" w:rsidTr="003E0E7D">
      <w:tc>
        <w:tcPr>
          <w:tcW w:w="7456" w:type="dxa"/>
          <w:tcBorders>
            <w:top w:val="single" w:sz="8" w:space="0" w:color="FFF200"/>
          </w:tcBorders>
          <w:shd w:val="clear" w:color="auto" w:fill="auto"/>
        </w:tcPr>
        <w:p w14:paraId="1453B0FB" w14:textId="77777777" w:rsidR="00F94A89" w:rsidRPr="003E0E7D" w:rsidRDefault="00F94A89" w:rsidP="00383A1D">
          <w:pPr>
            <w:pStyle w:val="Footer"/>
          </w:pPr>
          <w:r w:rsidRPr="003E0E7D">
            <w:rPr>
              <w:rStyle w:val="FooterProjectTitleChar"/>
            </w:rPr>
            <w:t>Department of Health • Review of Commonwealth Funding of Services to Support the Diagnosis and Screening of Blood Borne Viruses</w:t>
          </w:r>
        </w:p>
      </w:tc>
      <w:tc>
        <w:tcPr>
          <w:tcW w:w="227" w:type="dxa"/>
          <w:shd w:val="clear" w:color="auto" w:fill="auto"/>
        </w:tcPr>
        <w:p w14:paraId="69B94DFF" w14:textId="77777777" w:rsidR="00F94A89" w:rsidRPr="003E0E7D" w:rsidRDefault="00F94A89" w:rsidP="00383A1D">
          <w:pPr>
            <w:pStyle w:val="Footer"/>
          </w:pPr>
        </w:p>
      </w:tc>
      <w:tc>
        <w:tcPr>
          <w:tcW w:w="7456" w:type="dxa"/>
          <w:tcBorders>
            <w:top w:val="single" w:sz="8" w:space="0" w:color="FFF200"/>
          </w:tcBorders>
          <w:shd w:val="clear" w:color="auto" w:fill="auto"/>
          <w:vAlign w:val="center"/>
        </w:tcPr>
        <w:p w14:paraId="04F20E0D" w14:textId="77777777" w:rsidR="00F94A89" w:rsidRPr="003E0E7D" w:rsidRDefault="00F94A89" w:rsidP="003E0E7D">
          <w:pPr>
            <w:pStyle w:val="Footer"/>
            <w:jc w:val="right"/>
          </w:pPr>
          <w:r w:rsidRPr="003E0E7D">
            <w:rPr>
              <w:rStyle w:val="DocumentInfoChar"/>
              <w:caps w:val="0"/>
            </w:rPr>
            <w:t>Final Report</w:t>
          </w:r>
        </w:p>
      </w:tc>
    </w:tr>
  </w:tbl>
  <w:p w14:paraId="23AA4AFF" w14:textId="77777777" w:rsidR="00F94A89" w:rsidRPr="00B72016" w:rsidRDefault="00F94A89">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A5F9C" w14:textId="77777777" w:rsidR="00F94A89" w:rsidRPr="003E0E7D" w:rsidRDefault="00F94A89" w:rsidP="00F878E9">
      <w:pPr>
        <w:pStyle w:val="Footer"/>
        <w:rPr>
          <w:color w:val="FFFFFF"/>
          <w:sz w:val="2"/>
          <w:szCs w:val="2"/>
        </w:rPr>
      </w:pPr>
    </w:p>
  </w:footnote>
  <w:footnote w:type="continuationSeparator" w:id="0">
    <w:p w14:paraId="198C84EE" w14:textId="77777777" w:rsidR="00F94A89" w:rsidRPr="00C97E54" w:rsidRDefault="00F94A89">
      <w:pPr>
        <w:rPr>
          <w:sz w:val="8"/>
          <w:lang w:val="en-US"/>
        </w:rPr>
      </w:pPr>
    </w:p>
  </w:footnote>
  <w:footnote w:type="continuationNotice" w:id="1">
    <w:p w14:paraId="73694992" w14:textId="77777777" w:rsidR="00F94A89" w:rsidRPr="00C97E54" w:rsidRDefault="00F94A89">
      <w:pPr>
        <w:rPr>
          <w:sz w:val="8"/>
          <w:lang w:val="en-US"/>
        </w:rPr>
      </w:pPr>
    </w:p>
  </w:footnote>
  <w:footnote w:id="2">
    <w:p w14:paraId="69E2CD31" w14:textId="77777777" w:rsidR="00F94A89" w:rsidRPr="00B63984" w:rsidRDefault="00F94A89" w:rsidP="00B63984">
      <w:pPr>
        <w:pStyle w:val="FootnoteText"/>
        <w:rPr>
          <w:lang w:val="en-US"/>
        </w:rPr>
      </w:pPr>
      <w:r>
        <w:rPr>
          <w:rStyle w:val="FootnoteReference"/>
        </w:rPr>
        <w:footnoteRef/>
      </w:r>
      <w:r>
        <w:t xml:space="preserve"> However, emerging studies </w:t>
      </w:r>
      <w:r w:rsidRPr="00B63984">
        <w:t>suggest HTLV-</w:t>
      </w:r>
      <w:r>
        <w:t xml:space="preserve">2 </w:t>
      </w:r>
      <w:r w:rsidRPr="00B63984">
        <w:t xml:space="preserve">infection may be associated with neurologic problems including tropical spastic paraparesis (HAM/TSP), </w:t>
      </w:r>
      <w:r>
        <w:t xml:space="preserve">but at lower rates than HTLV-1 infection. </w:t>
      </w:r>
    </w:p>
  </w:footnote>
  <w:footnote w:id="3">
    <w:p w14:paraId="3CE6B6DB" w14:textId="77777777" w:rsidR="00F94A89" w:rsidRPr="007C3E84" w:rsidRDefault="00F94A89">
      <w:pPr>
        <w:pStyle w:val="FootnoteText"/>
      </w:pPr>
      <w:r>
        <w:rPr>
          <w:rStyle w:val="FootnoteReference"/>
        </w:rPr>
        <w:footnoteRef/>
      </w:r>
      <w:r>
        <w:t xml:space="preserve"> While this is applicable to most products, there are some products (e.g. glues) that are not funded under the NBA arrangements</w:t>
      </w:r>
    </w:p>
  </w:footnote>
  <w:footnote w:id="4">
    <w:p w14:paraId="7A01B22B" w14:textId="77777777" w:rsidR="00F94A89" w:rsidRPr="00ED2B2E" w:rsidRDefault="00F94A89">
      <w:pPr>
        <w:pStyle w:val="FootnoteText"/>
        <w:rPr>
          <w:lang w:val="en-US"/>
        </w:rPr>
      </w:pPr>
      <w:r>
        <w:rPr>
          <w:rStyle w:val="FootnoteReference"/>
        </w:rPr>
        <w:footnoteRef/>
      </w:r>
      <w:r>
        <w:t xml:space="preserve"> </w:t>
      </w:r>
      <w:r>
        <w:rPr>
          <w:lang w:val="en-US"/>
        </w:rPr>
        <w:t>Note, certain low volume, high cost transplantation procedures are funded by all States and Territories under the Nationally Funded</w:t>
      </w:r>
      <w:r w:rsidRPr="001E5685">
        <w:t xml:space="preserve"> Centres</w:t>
      </w:r>
      <w:r>
        <w:rPr>
          <w:lang w:val="en-US"/>
        </w:rPr>
        <w:t xml:space="preserve"> Program, established in 1990.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D319" w14:textId="77777777" w:rsidR="00F94A89" w:rsidRPr="00C61DC7" w:rsidRDefault="00F94A89">
    <w:pPr>
      <w:pStyle w:val="Header"/>
      <w:rPr>
        <w:lang w:val="en-US"/>
      </w:rPr>
    </w:pPr>
    <w:r>
      <w:rPr>
        <w:noProof/>
        <w:lang w:eastAsia="en-AU"/>
      </w:rPr>
      <mc:AlternateContent>
        <mc:Choice Requires="wpg">
          <w:drawing>
            <wp:inline distT="0" distB="0" distL="0" distR="0" wp14:anchorId="7BB3C76E" wp14:editId="3AF6AF90">
              <wp:extent cx="1455420" cy="2351405"/>
              <wp:effectExtent l="19050" t="19050" r="30480" b="29845"/>
              <wp:docPr id="9" name="Group 9" title="HM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5420" cy="2351405"/>
                        <a:chOff x="0" y="0"/>
                        <a:chExt cx="1455435" cy="2351128"/>
                      </a:xfrm>
                    </wpg:grpSpPr>
                    <wps:wsp>
                      <wps:cNvPr id="10" name="Line 9"/>
                      <wps:cNvCnPr/>
                      <wps:spPr bwMode="auto">
                        <a:xfrm flipV="1">
                          <a:off x="459367"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wps:spPr bwMode="auto">
                        <a:xfrm flipV="1">
                          <a:off x="0"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wps:spPr bwMode="auto">
                        <a:xfrm flipV="1">
                          <a:off x="1014074" y="0"/>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46" name="Line 12"/>
                      <wps:cNvCnPr/>
                      <wps:spPr bwMode="auto">
                        <a:xfrm>
                          <a:off x="1079079" y="767056"/>
                          <a:ext cx="313055"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0" y="684717"/>
                          <a:ext cx="312420"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wps:spPr bwMode="auto">
                        <a:xfrm flipH="1" flipV="1">
                          <a:off x="459367" y="494036"/>
                          <a:ext cx="220980" cy="384175"/>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50" name="Line 15"/>
                      <wps:cNvCnPr/>
                      <wps:spPr bwMode="auto">
                        <a:xfrm flipH="1" flipV="1">
                          <a:off x="1235090" y="975071"/>
                          <a:ext cx="220345"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2" name="Line 16"/>
                      <wps:cNvCnPr/>
                      <wps:spPr bwMode="auto">
                        <a:xfrm flipV="1">
                          <a:off x="312023" y="975071"/>
                          <a:ext cx="0"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3" name="Line 17"/>
                      <wps:cNvCnPr/>
                      <wps:spPr bwMode="auto">
                        <a:xfrm flipV="1">
                          <a:off x="684717" y="975071"/>
                          <a:ext cx="220980" cy="384175"/>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4" name="Line 18"/>
                      <wps:cNvCnPr/>
                      <wps:spPr bwMode="auto">
                        <a:xfrm flipV="1">
                          <a:off x="905733" y="1469107"/>
                          <a:ext cx="0" cy="387985"/>
                        </a:xfrm>
                        <a:prstGeom prst="line">
                          <a:avLst/>
                        </a:prstGeom>
                        <a:noFill/>
                        <a:ln w="44958" cap="rnd">
                          <a:solidFill>
                            <a:srgbClr val="BDBCBC"/>
                          </a:solidFill>
                          <a:prstDash val="solid"/>
                          <a:round/>
                          <a:headEnd/>
                          <a:tailEnd/>
                        </a:ln>
                        <a:extLst>
                          <a:ext uri="{909E8E84-426E-40DD-AFC4-6F175D3DCCD1}">
                            <a14:hiddenFill xmlns:a14="http://schemas.microsoft.com/office/drawing/2010/main">
                              <a:noFill/>
                            </a14:hiddenFill>
                          </a:ext>
                        </a:extLst>
                      </wps:spPr>
                      <wps:bodyPr/>
                    </wps:wsp>
                    <wps:wsp>
                      <wps:cNvPr id="55" name="Line 19"/>
                      <wps:cNvCnPr/>
                      <wps:spPr bwMode="auto">
                        <a:xfrm flipV="1">
                          <a:off x="459367"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6" name="Line 20"/>
                      <wps:cNvCnPr/>
                      <wps:spPr bwMode="auto">
                        <a:xfrm flipV="1">
                          <a:off x="0"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7" name="Line 21"/>
                      <wps:cNvCnPr/>
                      <wps:spPr bwMode="auto">
                        <a:xfrm flipV="1">
                          <a:off x="1014074"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8" name="Line 22"/>
                      <wps:cNvCnPr/>
                      <wps:spPr bwMode="auto">
                        <a:xfrm>
                          <a:off x="1079079" y="2236163"/>
                          <a:ext cx="313055"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9" name="Line 23"/>
                      <wps:cNvCnPr/>
                      <wps:spPr bwMode="auto">
                        <a:xfrm flipH="1" flipV="1">
                          <a:off x="1235090"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0" name="Line 24"/>
                      <wps:cNvCnPr/>
                      <wps:spPr bwMode="auto">
                        <a:xfrm flipV="1">
                          <a:off x="31202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1" name="Line 25"/>
                      <wps:cNvCnPr/>
                      <wps:spPr bwMode="auto">
                        <a:xfrm>
                          <a:off x="0" y="2158158"/>
                          <a:ext cx="312420"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wps:spPr bwMode="auto">
                        <a:xfrm flipV="1">
                          <a:off x="90573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3" name="Line 27"/>
                      <wps:cNvCnPr/>
                      <wps:spPr bwMode="auto">
                        <a:xfrm flipV="1">
                          <a:off x="68471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wps:spPr bwMode="auto">
                        <a:xfrm flipH="1" flipV="1">
                          <a:off x="45936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7F140" id="Group 9" o:spid="_x0000_s1026" alt="Title: HMA" style="width:114.6pt;height:185.15pt;mso-position-horizontal-relative:char;mso-position-vertical-relative:line" coordsize="14554,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">
              <v:line id="Line 9" o:spid="_x0000_s1027" style="position:absolute;flip:y;visibility:visible;mso-wrap-style:square" from="4593,0" to="459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" strokecolor="#444141" strokeweight="3.54pt">
                <v:stroke endcap="round"/>
              </v:line>
              <v:line id="Line 10" o:spid="_x0000_s1028" style="position:absolute;flip:y;visibility:visible;mso-wrap-style:square" from="0,0"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" strokecolor="#444141" strokeweight="3.54pt">
                <v:stroke endcap="round"/>
              </v:line>
              <v:line id="Line 11" o:spid="_x0000_s1029" style="position:absolute;flip:y;visibility:visible;mso-wrap-style:square" from="10140,0" to="1234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" strokecolor="#444141" strokeweight="3.54pt">
                <v:stroke endcap="round"/>
              </v:line>
              <v:line id="Line 12" o:spid="_x0000_s1030" style="position:absolute;visibility:visible;mso-wrap-style:square" from="10790,7670" to="1392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" strokecolor="#706d6e" strokeweight="3.54pt">
                <v:stroke endcap="round"/>
              </v:line>
              <v:line id="Line 13" o:spid="_x0000_s1031" style="position:absolute;visibility:visible;mso-wrap-style:square" from="0,6847" to="312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" strokecolor="#706d6e" strokeweight="3.54pt">
                <v:stroke endcap="round"/>
              </v:line>
              <v:line id="Line 14" o:spid="_x0000_s1032" style="position:absolute;flip:x y;visibility:visible;mso-wrap-style:square" from="4593,4940" to="680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" strokecolor="#706d6e" strokeweight="3.54pt">
                <v:stroke endcap="round"/>
              </v:line>
              <v:line id="Line 15" o:spid="_x0000_s1033" style="position:absolute;flip:x y;visibility:visible;mso-wrap-style:square" from="12350,9750" to="14554,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" strokecolor="#9c9a9b" strokeweight="3.54pt">
                <v:stroke endcap="round"/>
              </v:line>
              <v:line id="Line 16" o:spid="_x0000_s1034" style="position:absolute;flip:y;visibility:visible;mso-wrap-style:square" from="3120,9750" to="3120,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" strokecolor="#9c9a9b" strokeweight="3.54pt">
                <v:stroke endcap="round"/>
              </v:line>
              <v:line id="Line 17" o:spid="_x0000_s1035" style="position:absolute;flip:y;visibility:visible;mso-wrap-style:square" from="6847,9750" to="905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" strokecolor="#9c9a9b" strokeweight="3.54pt">
                <v:stroke endcap="round"/>
              </v:line>
              <v:line id="Line 18" o:spid="_x0000_s1036" style="position:absolute;flip:y;visibility:visible;mso-wrap-style:square" from="9057,14691" to="9057,1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" strokecolor="#bdbcbc" strokeweight="3.54pt">
                <v:stroke endcap="round"/>
              </v:line>
              <v:line id="Line 19" o:spid="_x0000_s1037" style="position:absolute;flip:y;visibility:visible;mso-wrap-style:square" from="4593,19631" to="45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" strokecolor="#444141" strokeweight="3.54pt">
                <v:stroke endcap="round"/>
              </v:line>
              <v:line id="Line 20" o:spid="_x0000_s1038" style="position:absolute;flip:y;visibility:visible;mso-wrap-style:square" from="0,19631" to="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" strokecolor="#444141" strokeweight="3.54pt">
                <v:stroke endcap="round"/>
              </v:line>
              <v:line id="Line 21" o:spid="_x0000_s1039" style="position:absolute;flip:y;visibility:visible;mso-wrap-style:square" from="10140,19631" to="1234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" strokecolor="#444141" strokeweight="3.54pt">
                <v:stroke endcap="round"/>
              </v:line>
              <v:line id="Line 22" o:spid="_x0000_s1040" style="position:absolute;visibility:visible;mso-wrap-style:square" from="10790,22361" to="1392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" strokecolor="#444141" strokeweight="3.54pt">
                <v:stroke endcap="round"/>
              </v:line>
              <v:line id="Line 23" o:spid="_x0000_s1041" style="position:absolute;flip:x y;visibility:visible;mso-wrap-style:square" from="12350,19631" to="1455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" strokecolor="#444141" strokeweight="3.54pt">
                <v:stroke endcap="round"/>
              </v:line>
              <v:line id="Line 24" o:spid="_x0000_s1042" style="position:absolute;flip:y;visibility:visible;mso-wrap-style:square" from="3120,19631" to="312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" strokecolor="#444141" strokeweight="3.54pt">
                <v:stroke endcap="round"/>
              </v:line>
              <v:line id="Line 25" o:spid="_x0000_s1043" style="position:absolute;visibility:visible;mso-wrap-style:square" from="0,21581" to="3124,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" strokecolor="#444141" strokeweight="3.54pt">
                <v:stroke endcap="round"/>
              </v:line>
              <v:line id="Line 26" o:spid="_x0000_s1044" style="position:absolute;flip:y;visibility:visible;mso-wrap-style:square" from="9057,19631" to="9057,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" strokecolor="#444141" strokeweight="3.54pt">
                <v:stroke endcap="round"/>
              </v:line>
              <v:line id="Line 27" o:spid="_x0000_s1045" style="position:absolute;flip:y;visibility:visible;mso-wrap-style:square" from="6847,19631" to="905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" strokecolor="#444141" strokeweight="3.54pt">
                <v:stroke endcap="round"/>
              </v:line>
              <v:line id="Line 28" o:spid="_x0000_s1046" style="position:absolute;flip:x y;visibility:visible;mso-wrap-style:square" from="4593,19631" to="6803,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" strokecolor="#444141" strokeweight="3.54pt">
                <v:stroke endcap="round"/>
              </v:line>
              <w10:anchorlock/>
            </v:group>
          </w:pict>
        </mc:Fallback>
      </mc:AlternateContent>
    </w:r>
    <w:r>
      <w:rPr>
        <w:noProof/>
        <w:lang w:eastAsia="en-AU"/>
      </w:rPr>
      <w:drawing>
        <wp:inline distT="0" distB="0" distL="0" distR="0" wp14:anchorId="095CC05A" wp14:editId="464C0321">
          <wp:extent cx="10692130" cy="3819525"/>
          <wp:effectExtent l="0" t="0" r="0" b="9525"/>
          <wp:docPr id="13" name="Picture 8" descr="Page 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2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0130" cy="3093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3724" w14:textId="77777777" w:rsidR="00F94A89" w:rsidRDefault="00F94A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88D4E" w14:textId="77777777" w:rsidR="00F94A89" w:rsidRDefault="00F94A8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AFD44" w14:textId="3F9B05DA" w:rsidR="00F94A89" w:rsidRPr="00C61DC7" w:rsidRDefault="00F94A89" w:rsidP="00E85AD7">
    <w:pPr>
      <w:pStyle w:val="BodyCopy"/>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7AD07" w14:textId="77777777" w:rsidR="00F94A89" w:rsidRDefault="00F94A8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BEEB" w14:textId="77777777" w:rsidR="00F94A89" w:rsidRDefault="00F94A8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84179" w14:textId="1BF6F857" w:rsidR="00F94A89" w:rsidRPr="00C61DC7" w:rsidRDefault="00F94A89" w:rsidP="00E85AD7">
    <w:pPr>
      <w:pStyle w:val="BodyCopy"/>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30B16" w14:textId="70FC9EE2" w:rsidR="00F94A89" w:rsidRPr="00C61DC7" w:rsidRDefault="00F94A89" w:rsidP="00E85AD7">
    <w:pPr>
      <w:pStyle w:val="BodyCopy"/>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75F"/>
    <w:multiLevelType w:val="multilevel"/>
    <w:tmpl w:val="454E2FAE"/>
    <w:styleLink w:val="TableBullets"/>
    <w:lvl w:ilvl="0">
      <w:start w:val="1"/>
      <w:numFmt w:val="bullet"/>
      <w:pStyle w:val="TableBullets1"/>
      <w:lvlText w:val="•"/>
      <w:lvlJc w:val="left"/>
      <w:pPr>
        <w:ind w:left="227" w:hanging="170"/>
      </w:pPr>
      <w:rPr>
        <w:rFonts w:ascii="Garamond" w:hAnsi="Garamond" w:hint="default"/>
        <w:color w:val="000000"/>
        <w:sz w:val="22"/>
      </w:rPr>
    </w:lvl>
    <w:lvl w:ilvl="1">
      <w:start w:val="1"/>
      <w:numFmt w:val="bullet"/>
      <w:pStyle w:val="TableBullets2"/>
      <w:lvlText w:val="–"/>
      <w:lvlJc w:val="left"/>
      <w:pPr>
        <w:ind w:left="454" w:hanging="227"/>
      </w:pPr>
      <w:rPr>
        <w:rFonts w:ascii="Garamond" w:hAnsi="Garamond" w:hint="default"/>
        <w:color w:val="787878"/>
      </w:rPr>
    </w:lvl>
    <w:lvl w:ilvl="2">
      <w:start w:val="1"/>
      <w:numFmt w:val="bullet"/>
      <w:lvlText w:val="–"/>
      <w:lvlJc w:val="left"/>
      <w:pPr>
        <w:ind w:left="624" w:hanging="170"/>
      </w:pPr>
      <w:rPr>
        <w:rFonts w:ascii="Garamond" w:hAnsi="Garamond" w:hint="default"/>
        <w:color w:val="787878"/>
      </w:rPr>
    </w:lvl>
    <w:lvl w:ilvl="3">
      <w:start w:val="1"/>
      <w:numFmt w:val="bullet"/>
      <w:lvlText w:val="-"/>
      <w:lvlJc w:val="left"/>
      <w:pPr>
        <w:ind w:left="765" w:hanging="141"/>
      </w:pPr>
      <w:rPr>
        <w:rFonts w:ascii="Garamond" w:hAnsi="Garamond" w:hint="default"/>
        <w:color w:val="787878"/>
      </w:rPr>
    </w:lvl>
    <w:lvl w:ilvl="4">
      <w:start w:val="1"/>
      <w:numFmt w:val="bullet"/>
      <w:pStyle w:val="TableBulletssmall1"/>
      <w:lvlText w:val="•"/>
      <w:lvlJc w:val="left"/>
      <w:pPr>
        <w:ind w:left="227" w:hanging="170"/>
      </w:pPr>
      <w:rPr>
        <w:rFonts w:ascii="Garamond" w:hAnsi="Garamond" w:hint="default"/>
        <w:color w:val="000000"/>
      </w:rPr>
    </w:lvl>
    <w:lvl w:ilvl="5">
      <w:start w:val="1"/>
      <w:numFmt w:val="bullet"/>
      <w:pStyle w:val="TableBulletssmall2"/>
      <w:lvlText w:val="–"/>
      <w:lvlJc w:val="left"/>
      <w:pPr>
        <w:ind w:left="454" w:hanging="227"/>
      </w:pPr>
      <w:rPr>
        <w:rFonts w:ascii="Garamond" w:hAnsi="Garamond" w:hint="default"/>
        <w:color w:val="787878"/>
      </w:rPr>
    </w:lvl>
    <w:lvl w:ilvl="6">
      <w:start w:val="1"/>
      <w:numFmt w:val="bullet"/>
      <w:lvlText w:val="–"/>
      <w:lvlJc w:val="left"/>
      <w:pPr>
        <w:ind w:left="624" w:hanging="170"/>
      </w:pPr>
      <w:rPr>
        <w:rFonts w:ascii="Garamond" w:hAnsi="Garamond" w:hint="default"/>
        <w:color w:val="787878"/>
      </w:rPr>
    </w:lvl>
    <w:lvl w:ilvl="7">
      <w:start w:val="1"/>
      <w:numFmt w:val="bullet"/>
      <w:lvlText w:val="-"/>
      <w:lvlJc w:val="left"/>
      <w:pPr>
        <w:ind w:left="765" w:hanging="141"/>
      </w:pPr>
      <w:rPr>
        <w:rFonts w:ascii="Garamond" w:hAnsi="Garamond" w:hint="default"/>
        <w:color w:val="787878"/>
      </w:rPr>
    </w:lvl>
    <w:lvl w:ilvl="8">
      <w:start w:val="1"/>
      <w:numFmt w:val="bullet"/>
      <w:lvlText w:val="•"/>
      <w:lvlJc w:val="left"/>
      <w:pPr>
        <w:ind w:left="170" w:hanging="170"/>
      </w:pPr>
      <w:rPr>
        <w:rFonts w:ascii="Garamond" w:hAnsi="Garamond" w:hint="default"/>
        <w:color w:val="000000"/>
      </w:rPr>
    </w:lvl>
  </w:abstractNum>
  <w:abstractNum w:abstractNumId="1" w15:restartNumberingAfterBreak="0">
    <w:nsid w:val="04B40A5A"/>
    <w:multiLevelType w:val="hybridMultilevel"/>
    <w:tmpl w:val="8EF49500"/>
    <w:lvl w:ilvl="0" w:tplc="9836BFB4">
      <w:numFmt w:val="bullet"/>
      <w:lvlText w:val=""/>
      <w:lvlJc w:val="left"/>
      <w:pPr>
        <w:ind w:left="1373" w:hanging="360"/>
      </w:pPr>
      <w:rPr>
        <w:rFonts w:ascii="Symbol" w:eastAsia="Symbol" w:hAnsi="Symbol" w:cs="Symbol" w:hint="default"/>
        <w:w w:val="99"/>
        <w:sz w:val="20"/>
        <w:szCs w:val="20"/>
      </w:rPr>
    </w:lvl>
    <w:lvl w:ilvl="1" w:tplc="DE5064C8">
      <w:numFmt w:val="bullet"/>
      <w:lvlText w:val="o"/>
      <w:lvlJc w:val="left"/>
      <w:pPr>
        <w:ind w:left="1668" w:hanging="356"/>
      </w:pPr>
      <w:rPr>
        <w:rFonts w:ascii="Courier New" w:eastAsia="Courier New" w:hAnsi="Courier New" w:cs="Courier New" w:hint="default"/>
        <w:w w:val="99"/>
        <w:sz w:val="20"/>
        <w:szCs w:val="20"/>
      </w:rPr>
    </w:lvl>
    <w:lvl w:ilvl="2" w:tplc="ADE83D42">
      <w:numFmt w:val="bullet"/>
      <w:lvlText w:val="•"/>
      <w:lvlJc w:val="left"/>
      <w:pPr>
        <w:ind w:left="2576" w:hanging="356"/>
      </w:pPr>
      <w:rPr>
        <w:rFonts w:hint="default"/>
      </w:rPr>
    </w:lvl>
    <w:lvl w:ilvl="3" w:tplc="945054E6">
      <w:numFmt w:val="bullet"/>
      <w:lvlText w:val="•"/>
      <w:lvlJc w:val="left"/>
      <w:pPr>
        <w:ind w:left="3492" w:hanging="356"/>
      </w:pPr>
      <w:rPr>
        <w:rFonts w:hint="default"/>
      </w:rPr>
    </w:lvl>
    <w:lvl w:ilvl="4" w:tplc="733E6F90">
      <w:numFmt w:val="bullet"/>
      <w:lvlText w:val="•"/>
      <w:lvlJc w:val="left"/>
      <w:pPr>
        <w:ind w:left="4408" w:hanging="356"/>
      </w:pPr>
      <w:rPr>
        <w:rFonts w:hint="default"/>
      </w:rPr>
    </w:lvl>
    <w:lvl w:ilvl="5" w:tplc="68E0EF88">
      <w:numFmt w:val="bullet"/>
      <w:lvlText w:val="•"/>
      <w:lvlJc w:val="left"/>
      <w:pPr>
        <w:ind w:left="5325" w:hanging="356"/>
      </w:pPr>
      <w:rPr>
        <w:rFonts w:hint="default"/>
      </w:rPr>
    </w:lvl>
    <w:lvl w:ilvl="6" w:tplc="F59AD104">
      <w:numFmt w:val="bullet"/>
      <w:lvlText w:val="•"/>
      <w:lvlJc w:val="left"/>
      <w:pPr>
        <w:ind w:left="6241" w:hanging="356"/>
      </w:pPr>
      <w:rPr>
        <w:rFonts w:hint="default"/>
      </w:rPr>
    </w:lvl>
    <w:lvl w:ilvl="7" w:tplc="2E00214C">
      <w:numFmt w:val="bullet"/>
      <w:lvlText w:val="•"/>
      <w:lvlJc w:val="left"/>
      <w:pPr>
        <w:ind w:left="7157" w:hanging="356"/>
      </w:pPr>
      <w:rPr>
        <w:rFonts w:hint="default"/>
      </w:rPr>
    </w:lvl>
    <w:lvl w:ilvl="8" w:tplc="CF56A57A">
      <w:numFmt w:val="bullet"/>
      <w:lvlText w:val="•"/>
      <w:lvlJc w:val="left"/>
      <w:pPr>
        <w:ind w:left="8073" w:hanging="356"/>
      </w:pPr>
      <w:rPr>
        <w:rFonts w:hint="default"/>
      </w:rPr>
    </w:lvl>
  </w:abstractNum>
  <w:abstractNum w:abstractNumId="2" w15:restartNumberingAfterBreak="0">
    <w:nsid w:val="10094FBB"/>
    <w:multiLevelType w:val="hybridMultilevel"/>
    <w:tmpl w:val="5246A6AA"/>
    <w:lvl w:ilvl="0" w:tplc="B584F660">
      <w:start w:val="2"/>
      <w:numFmt w:val="bullet"/>
      <w:lvlText w:val=""/>
      <w:lvlJc w:val="left"/>
      <w:pPr>
        <w:ind w:left="720" w:hanging="360"/>
      </w:pPr>
      <w:rPr>
        <w:rFonts w:ascii="Symbol" w:eastAsia="Garamond"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C0BE2"/>
    <w:multiLevelType w:val="multilevel"/>
    <w:tmpl w:val="D7F6B4CC"/>
    <w:numStyleLink w:val="Numbers"/>
  </w:abstractNum>
  <w:abstractNum w:abstractNumId="4" w15:restartNumberingAfterBreak="0">
    <w:nsid w:val="173B6C95"/>
    <w:multiLevelType w:val="multilevel"/>
    <w:tmpl w:val="8A88FDE0"/>
    <w:styleLink w:val="Bullets"/>
    <w:lvl w:ilvl="0">
      <w:start w:val="1"/>
      <w:numFmt w:val="bullet"/>
      <w:pStyle w:val="Bullets1"/>
      <w:lvlText w:val="•"/>
      <w:lvlJc w:val="left"/>
      <w:pPr>
        <w:tabs>
          <w:tab w:val="num" w:pos="312"/>
        </w:tabs>
        <w:ind w:left="312" w:hanging="170"/>
      </w:pPr>
      <w:rPr>
        <w:rFonts w:ascii="Garamond" w:hAnsi="Garamond" w:hint="default"/>
        <w:color w:val="000000"/>
        <w:sz w:val="22"/>
      </w:rPr>
    </w:lvl>
    <w:lvl w:ilvl="1">
      <w:start w:val="1"/>
      <w:numFmt w:val="bullet"/>
      <w:pStyle w:val="Bullets2"/>
      <w:lvlText w:val="–"/>
      <w:lvlJc w:val="left"/>
      <w:pPr>
        <w:tabs>
          <w:tab w:val="num" w:pos="397"/>
        </w:tabs>
        <w:ind w:left="397" w:hanging="227"/>
      </w:pPr>
      <w:rPr>
        <w:rFonts w:ascii="Garamond" w:hAnsi="Garamond" w:hint="default"/>
        <w:color w:val="787878"/>
      </w:rPr>
    </w:lvl>
    <w:lvl w:ilvl="2">
      <w:start w:val="1"/>
      <w:numFmt w:val="bullet"/>
      <w:pStyle w:val="Bullets3"/>
      <w:lvlText w:val="–"/>
      <w:lvlJc w:val="left"/>
      <w:pPr>
        <w:tabs>
          <w:tab w:val="num" w:pos="567"/>
        </w:tabs>
        <w:ind w:left="567" w:hanging="170"/>
      </w:pPr>
      <w:rPr>
        <w:rFonts w:ascii="Garamond" w:hAnsi="Garamond" w:hint="default"/>
        <w:color w:val="787878"/>
      </w:rPr>
    </w:lvl>
    <w:lvl w:ilvl="3">
      <w:start w:val="1"/>
      <w:numFmt w:val="bullet"/>
      <w:pStyle w:val="Bullets4"/>
      <w:lvlText w:val="-"/>
      <w:lvlJc w:val="left"/>
      <w:pPr>
        <w:tabs>
          <w:tab w:val="num" w:pos="709"/>
        </w:tabs>
        <w:ind w:left="709" w:hanging="142"/>
      </w:pPr>
      <w:rPr>
        <w:rFonts w:ascii="Garamond" w:hAnsi="Garamond" w:hint="default"/>
        <w:color w:val="787878"/>
      </w:rPr>
    </w:lvl>
    <w:lvl w:ilvl="4">
      <w:start w:val="1"/>
      <w:numFmt w:val="bullet"/>
      <w:lvlText w:val="•"/>
      <w:lvlJc w:val="left"/>
      <w:pPr>
        <w:tabs>
          <w:tab w:val="num" w:pos="170"/>
        </w:tabs>
        <w:ind w:left="170" w:hanging="170"/>
      </w:pPr>
      <w:rPr>
        <w:rFonts w:ascii="Garamond" w:hAnsi="Garamond" w:hint="default"/>
        <w:color w:val="000000"/>
      </w:rPr>
    </w:lvl>
    <w:lvl w:ilvl="5">
      <w:start w:val="1"/>
      <w:numFmt w:val="bullet"/>
      <w:lvlText w:val="–"/>
      <w:lvlJc w:val="left"/>
      <w:pPr>
        <w:tabs>
          <w:tab w:val="num" w:pos="397"/>
        </w:tabs>
        <w:ind w:left="397" w:hanging="227"/>
      </w:pPr>
      <w:rPr>
        <w:rFonts w:ascii="Garamond" w:hAnsi="Garamond" w:hint="default"/>
        <w:color w:val="787878"/>
      </w:rPr>
    </w:lvl>
    <w:lvl w:ilvl="6">
      <w:start w:val="1"/>
      <w:numFmt w:val="bullet"/>
      <w:lvlText w:val="–"/>
      <w:lvlJc w:val="left"/>
      <w:pPr>
        <w:tabs>
          <w:tab w:val="num" w:pos="567"/>
        </w:tabs>
        <w:ind w:left="567" w:hanging="170"/>
      </w:pPr>
      <w:rPr>
        <w:rFonts w:ascii="Garamond" w:hAnsi="Garamond" w:hint="default"/>
        <w:color w:val="787878"/>
      </w:rPr>
    </w:lvl>
    <w:lvl w:ilvl="7">
      <w:start w:val="1"/>
      <w:numFmt w:val="bullet"/>
      <w:lvlText w:val="-"/>
      <w:lvlJc w:val="left"/>
      <w:pPr>
        <w:tabs>
          <w:tab w:val="num" w:pos="709"/>
        </w:tabs>
        <w:ind w:left="709" w:hanging="142"/>
      </w:pPr>
      <w:rPr>
        <w:rFonts w:ascii="Garamond" w:hAnsi="Garamond" w:hint="default"/>
        <w:color w:val="787878"/>
      </w:rPr>
    </w:lvl>
    <w:lvl w:ilvl="8">
      <w:start w:val="1"/>
      <w:numFmt w:val="bullet"/>
      <w:lvlText w:val="•"/>
      <w:lvlJc w:val="left"/>
      <w:pPr>
        <w:tabs>
          <w:tab w:val="num" w:pos="170"/>
        </w:tabs>
        <w:ind w:left="170" w:hanging="170"/>
      </w:pPr>
      <w:rPr>
        <w:rFonts w:ascii="Garamond" w:hAnsi="Garamond" w:hint="default"/>
        <w:color w:val="000000"/>
      </w:rPr>
    </w:lvl>
  </w:abstractNum>
  <w:abstractNum w:abstractNumId="5" w15:restartNumberingAfterBreak="0">
    <w:nsid w:val="2DF72543"/>
    <w:multiLevelType w:val="multilevel"/>
    <w:tmpl w:val="98104416"/>
    <w:lvl w:ilvl="0">
      <w:start w:val="1"/>
      <w:numFmt w:val="decimal"/>
      <w:pStyle w:val="StageHeading"/>
      <w:lvlText w:val="Stage %1:"/>
      <w:lvlJc w:val="left"/>
      <w:pPr>
        <w:tabs>
          <w:tab w:val="num" w:pos="1418"/>
        </w:tabs>
        <w:ind w:left="1418" w:hanging="141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EA525A3"/>
    <w:multiLevelType w:val="hybridMultilevel"/>
    <w:tmpl w:val="2A6A9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727115B"/>
    <w:multiLevelType w:val="multilevel"/>
    <w:tmpl w:val="128CD026"/>
    <w:styleLink w:val="Headings"/>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938" w:hanging="992"/>
      </w:pPr>
      <w:rPr>
        <w:rFonts w:hint="default"/>
        <w:u w:val="none"/>
      </w:rPr>
    </w:lvl>
    <w:lvl w:ilvl="2">
      <w:start w:val="1"/>
      <w:numFmt w:val="decimal"/>
      <w:pStyle w:val="Heading3"/>
      <w:lvlText w:val="%1.%2.%3"/>
      <w:lvlJc w:val="left"/>
      <w:pPr>
        <w:ind w:left="992" w:hanging="992"/>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9%1"/>
      <w:lvlJc w:val="left"/>
      <w:pPr>
        <w:tabs>
          <w:tab w:val="num" w:pos="1248"/>
        </w:tabs>
        <w:ind w:left="1248" w:hanging="822"/>
      </w:pPr>
      <w:rPr>
        <w:rFonts w:hint="default"/>
      </w:rPr>
    </w:lvl>
  </w:abstractNum>
  <w:abstractNum w:abstractNumId="8" w15:restartNumberingAfterBreak="0">
    <w:nsid w:val="47007BF5"/>
    <w:multiLevelType w:val="hybridMultilevel"/>
    <w:tmpl w:val="1B2EF874"/>
    <w:lvl w:ilvl="0" w:tplc="D1485778">
      <w:start w:val="1"/>
      <w:numFmt w:val="decimal"/>
      <w:pStyle w:val="StrategicDirection"/>
      <w:lvlText w:val="Reveiw Question %1:"/>
      <w:lvlJc w:val="left"/>
      <w:pPr>
        <w:ind w:left="473" w:hanging="360"/>
      </w:pPr>
      <w:rPr>
        <w:rFonts w:ascii="Franklin Gothic Book" w:hAnsi="Franklin Gothic Book" w:hint="default"/>
        <w:caps w:val="0"/>
        <w:color w:val="000000"/>
        <w:sz w:val="20"/>
        <w:u w:val="none"/>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9" w15:restartNumberingAfterBreak="0">
    <w:nsid w:val="4B3B641D"/>
    <w:multiLevelType w:val="hybridMultilevel"/>
    <w:tmpl w:val="D56C1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B722B03"/>
    <w:multiLevelType w:val="hybridMultilevel"/>
    <w:tmpl w:val="D812E5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225CB5"/>
    <w:multiLevelType w:val="hybridMultilevel"/>
    <w:tmpl w:val="C8BED4EE"/>
    <w:lvl w:ilvl="0" w:tplc="0C090001">
      <w:start w:val="1"/>
      <w:numFmt w:val="bullet"/>
      <w:lvlText w:val=""/>
      <w:lvlJc w:val="left"/>
      <w:pPr>
        <w:ind w:left="-327" w:hanging="360"/>
      </w:pPr>
      <w:rPr>
        <w:rFonts w:ascii="Symbol" w:hAnsi="Symbol" w:hint="default"/>
      </w:rPr>
    </w:lvl>
    <w:lvl w:ilvl="1" w:tplc="0C090003" w:tentative="1">
      <w:start w:val="1"/>
      <w:numFmt w:val="bullet"/>
      <w:lvlText w:val="o"/>
      <w:lvlJc w:val="left"/>
      <w:pPr>
        <w:ind w:left="393" w:hanging="360"/>
      </w:pPr>
      <w:rPr>
        <w:rFonts w:ascii="Courier New" w:hAnsi="Courier New" w:cs="Courier New" w:hint="default"/>
      </w:rPr>
    </w:lvl>
    <w:lvl w:ilvl="2" w:tplc="0C090005" w:tentative="1">
      <w:start w:val="1"/>
      <w:numFmt w:val="bullet"/>
      <w:lvlText w:val=""/>
      <w:lvlJc w:val="left"/>
      <w:pPr>
        <w:ind w:left="1113" w:hanging="360"/>
      </w:pPr>
      <w:rPr>
        <w:rFonts w:ascii="Wingdings" w:hAnsi="Wingdings" w:hint="default"/>
      </w:rPr>
    </w:lvl>
    <w:lvl w:ilvl="3" w:tplc="0C090001" w:tentative="1">
      <w:start w:val="1"/>
      <w:numFmt w:val="bullet"/>
      <w:lvlText w:val=""/>
      <w:lvlJc w:val="left"/>
      <w:pPr>
        <w:ind w:left="1833" w:hanging="360"/>
      </w:pPr>
      <w:rPr>
        <w:rFonts w:ascii="Symbol" w:hAnsi="Symbol" w:hint="default"/>
      </w:rPr>
    </w:lvl>
    <w:lvl w:ilvl="4" w:tplc="0C090003" w:tentative="1">
      <w:start w:val="1"/>
      <w:numFmt w:val="bullet"/>
      <w:lvlText w:val="o"/>
      <w:lvlJc w:val="left"/>
      <w:pPr>
        <w:ind w:left="2553" w:hanging="360"/>
      </w:pPr>
      <w:rPr>
        <w:rFonts w:ascii="Courier New" w:hAnsi="Courier New" w:cs="Courier New" w:hint="default"/>
      </w:rPr>
    </w:lvl>
    <w:lvl w:ilvl="5" w:tplc="0C090005" w:tentative="1">
      <w:start w:val="1"/>
      <w:numFmt w:val="bullet"/>
      <w:lvlText w:val=""/>
      <w:lvlJc w:val="left"/>
      <w:pPr>
        <w:ind w:left="3273" w:hanging="360"/>
      </w:pPr>
      <w:rPr>
        <w:rFonts w:ascii="Wingdings" w:hAnsi="Wingdings" w:hint="default"/>
      </w:rPr>
    </w:lvl>
    <w:lvl w:ilvl="6" w:tplc="0C090001" w:tentative="1">
      <w:start w:val="1"/>
      <w:numFmt w:val="bullet"/>
      <w:lvlText w:val=""/>
      <w:lvlJc w:val="left"/>
      <w:pPr>
        <w:ind w:left="3993" w:hanging="360"/>
      </w:pPr>
      <w:rPr>
        <w:rFonts w:ascii="Symbol" w:hAnsi="Symbol" w:hint="default"/>
      </w:rPr>
    </w:lvl>
    <w:lvl w:ilvl="7" w:tplc="0C090003" w:tentative="1">
      <w:start w:val="1"/>
      <w:numFmt w:val="bullet"/>
      <w:lvlText w:val="o"/>
      <w:lvlJc w:val="left"/>
      <w:pPr>
        <w:ind w:left="4713" w:hanging="360"/>
      </w:pPr>
      <w:rPr>
        <w:rFonts w:ascii="Courier New" w:hAnsi="Courier New" w:cs="Courier New" w:hint="default"/>
      </w:rPr>
    </w:lvl>
    <w:lvl w:ilvl="8" w:tplc="0C090005" w:tentative="1">
      <w:start w:val="1"/>
      <w:numFmt w:val="bullet"/>
      <w:lvlText w:val=""/>
      <w:lvlJc w:val="left"/>
      <w:pPr>
        <w:ind w:left="5433" w:hanging="360"/>
      </w:pPr>
      <w:rPr>
        <w:rFonts w:ascii="Wingdings" w:hAnsi="Wingdings" w:hint="default"/>
      </w:rPr>
    </w:lvl>
  </w:abstractNum>
  <w:abstractNum w:abstractNumId="12" w15:restartNumberingAfterBreak="0">
    <w:nsid w:val="5BE073AF"/>
    <w:multiLevelType w:val="hybridMultilevel"/>
    <w:tmpl w:val="7D7A2A6E"/>
    <w:lvl w:ilvl="0" w:tplc="6B80842A">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4D3D79"/>
    <w:multiLevelType w:val="hybridMultilevel"/>
    <w:tmpl w:val="3A704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135D2F"/>
    <w:multiLevelType w:val="multilevel"/>
    <w:tmpl w:val="40103A54"/>
    <w:styleLink w:val="TableNumbers"/>
    <w:lvl w:ilvl="0">
      <w:start w:val="1"/>
      <w:numFmt w:val="decimal"/>
      <w:pStyle w:val="TableNumbers1"/>
      <w:lvlText w:val="(%1)"/>
      <w:lvlJc w:val="left"/>
      <w:pPr>
        <w:ind w:left="397" w:hanging="340"/>
      </w:pPr>
      <w:rPr>
        <w:rFonts w:hint="default"/>
      </w:rPr>
    </w:lvl>
    <w:lvl w:ilvl="1">
      <w:start w:val="1"/>
      <w:numFmt w:val="lowerLetter"/>
      <w:pStyle w:val="TableNumbers2"/>
      <w:lvlText w:val="(%2)"/>
      <w:lvlJc w:val="left"/>
      <w:pPr>
        <w:ind w:left="652" w:hanging="255"/>
      </w:pPr>
      <w:rPr>
        <w:rFonts w:hint="default"/>
      </w:rPr>
    </w:lvl>
    <w:lvl w:ilvl="2">
      <w:start w:val="1"/>
      <w:numFmt w:val="lowerRoman"/>
      <w:lvlText w:val="(%3)"/>
      <w:lvlJc w:val="left"/>
      <w:pPr>
        <w:ind w:left="1134" w:hanging="482"/>
      </w:pPr>
      <w:rPr>
        <w:rFonts w:hint="default"/>
      </w:rPr>
    </w:lvl>
    <w:lvl w:ilvl="3">
      <w:start w:val="1"/>
      <w:numFmt w:val="bullet"/>
      <w:lvlText w:val="-"/>
      <w:lvlJc w:val="left"/>
      <w:pPr>
        <w:tabs>
          <w:tab w:val="num" w:pos="1264"/>
        </w:tabs>
        <w:ind w:left="1332" w:hanging="198"/>
      </w:pPr>
      <w:rPr>
        <w:rFonts w:ascii="Garamond" w:hAnsi="Garamond" w:hint="default"/>
        <w:color w:val="787878"/>
      </w:rPr>
    </w:lvl>
    <w:lvl w:ilvl="4">
      <w:start w:val="1"/>
      <w:numFmt w:val="decimal"/>
      <w:pStyle w:val="TableNumberssmall1"/>
      <w:lvlText w:val="(%5)"/>
      <w:lvlJc w:val="left"/>
      <w:pPr>
        <w:ind w:left="397" w:hanging="340"/>
      </w:pPr>
      <w:rPr>
        <w:rFonts w:hint="default"/>
      </w:rPr>
    </w:lvl>
    <w:lvl w:ilvl="5">
      <w:start w:val="1"/>
      <w:numFmt w:val="lowerLetter"/>
      <w:pStyle w:val="TableNumberssmall2"/>
      <w:lvlText w:val="(%6)"/>
      <w:lvlJc w:val="left"/>
      <w:pPr>
        <w:ind w:left="652" w:hanging="255"/>
      </w:pPr>
      <w:rPr>
        <w:rFonts w:hint="default"/>
      </w:rPr>
    </w:lvl>
    <w:lvl w:ilvl="6">
      <w:start w:val="1"/>
      <w:numFmt w:val="lowerRoman"/>
      <w:lvlText w:val="(%7)"/>
      <w:lvlJc w:val="left"/>
      <w:pPr>
        <w:ind w:left="1134" w:hanging="482"/>
      </w:pPr>
      <w:rPr>
        <w:rFonts w:hint="default"/>
      </w:rPr>
    </w:lvl>
    <w:lvl w:ilvl="7">
      <w:start w:val="1"/>
      <w:numFmt w:val="bullet"/>
      <w:lvlText w:val="-"/>
      <w:lvlJc w:val="left"/>
      <w:pPr>
        <w:ind w:left="1332" w:hanging="198"/>
      </w:pPr>
      <w:rPr>
        <w:rFonts w:ascii="Garamond" w:hAnsi="Garamond" w:hint="default"/>
        <w:color w:val="787878"/>
      </w:rPr>
    </w:lvl>
    <w:lvl w:ilvl="8">
      <w:start w:val="1"/>
      <w:numFmt w:val="decimal"/>
      <w:lvlText w:val="(%9)"/>
      <w:lvlJc w:val="left"/>
      <w:pPr>
        <w:ind w:left="340" w:hanging="340"/>
      </w:pPr>
      <w:rPr>
        <w:rFonts w:hint="default"/>
      </w:rPr>
    </w:lvl>
  </w:abstractNum>
  <w:abstractNum w:abstractNumId="15" w15:restartNumberingAfterBreak="0">
    <w:nsid w:val="68ED06C5"/>
    <w:multiLevelType w:val="hybridMultilevel"/>
    <w:tmpl w:val="000AEE2E"/>
    <w:lvl w:ilvl="0" w:tplc="61906DC4">
      <w:start w:val="1"/>
      <w:numFmt w:val="decimal"/>
      <w:pStyle w:val="KeyFinding"/>
      <w:lvlText w:val="Key Finding %1:"/>
      <w:lvlJc w:val="left"/>
      <w:pPr>
        <w:ind w:left="4330" w:hanging="360"/>
      </w:pPr>
      <w:rPr>
        <w:rFonts w:ascii="Franklin Gothic Book" w:hAnsi="Franklin Gothic Book" w:hint="default"/>
        <w:caps w:val="0"/>
        <w:color w:val="4B4B4B"/>
        <w:sz w:val="22"/>
        <w:u w:val="none"/>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6" w15:restartNumberingAfterBreak="0">
    <w:nsid w:val="6A6B5790"/>
    <w:multiLevelType w:val="multilevel"/>
    <w:tmpl w:val="73E0B8D6"/>
    <w:lvl w:ilvl="0">
      <w:start w:val="1"/>
      <w:numFmt w:val="upperLetter"/>
      <w:pStyle w:val="HeadingAppendix2"/>
      <w:lvlText w:val="Appendix %1"/>
      <w:lvlJc w:val="left"/>
      <w:pPr>
        <w:tabs>
          <w:tab w:val="num" w:pos="1985"/>
        </w:tabs>
        <w:ind w:left="0" w:firstLine="0"/>
      </w:pPr>
      <w:rPr>
        <w:rFonts w:hint="default"/>
      </w:rPr>
    </w:lvl>
    <w:lvl w:ilvl="1">
      <w:start w:val="1"/>
      <w:numFmt w:val="decimal"/>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919"/>
        </w:tabs>
        <w:ind w:left="2" w:firstLine="0"/>
      </w:pPr>
      <w:rPr>
        <w:rFonts w:hint="default"/>
      </w:rPr>
    </w:lvl>
    <w:lvl w:ilvl="3">
      <w:start w:val="1"/>
      <w:numFmt w:val="decimal"/>
      <w:lvlText w:val="%1.%2.%3.%4"/>
      <w:lvlJc w:val="left"/>
      <w:pPr>
        <w:tabs>
          <w:tab w:val="num" w:pos="1223"/>
        </w:tabs>
        <w:ind w:left="1223" w:hanging="864"/>
      </w:pPr>
      <w:rPr>
        <w:rFonts w:hint="default"/>
      </w:rPr>
    </w:lvl>
    <w:lvl w:ilvl="4">
      <w:start w:val="1"/>
      <w:numFmt w:val="lowerRoman"/>
      <w:lvlText w:val="(%5)"/>
      <w:lvlJc w:val="left"/>
      <w:pPr>
        <w:tabs>
          <w:tab w:val="num" w:pos="699"/>
        </w:tabs>
        <w:ind w:left="699" w:hanging="340"/>
      </w:pPr>
      <w:rPr>
        <w:rFonts w:hint="default"/>
      </w:rPr>
    </w:lvl>
    <w:lvl w:ilvl="5">
      <w:start w:val="1"/>
      <w:numFmt w:val="decimal"/>
      <w:lvlText w:val="%1.%2.%3.%4.%5.%6"/>
      <w:lvlJc w:val="left"/>
      <w:pPr>
        <w:tabs>
          <w:tab w:val="num" w:pos="1511"/>
        </w:tabs>
        <w:ind w:left="1511" w:hanging="1152"/>
      </w:pPr>
      <w:rPr>
        <w:rFonts w:hint="default"/>
      </w:rPr>
    </w:lvl>
    <w:lvl w:ilvl="6">
      <w:start w:val="1"/>
      <w:numFmt w:val="decimal"/>
      <w:lvlText w:val="%1.%2.%3.%4.%5.%6.%7"/>
      <w:lvlJc w:val="left"/>
      <w:pPr>
        <w:tabs>
          <w:tab w:val="num" w:pos="1655"/>
        </w:tabs>
        <w:ind w:left="1655" w:hanging="1296"/>
      </w:pPr>
      <w:rPr>
        <w:rFonts w:hint="default"/>
      </w:rPr>
    </w:lvl>
    <w:lvl w:ilvl="7">
      <w:start w:val="1"/>
      <w:numFmt w:val="decimal"/>
      <w:lvlText w:val="%1.%2.%3.%4.%5.%6.%7.%8"/>
      <w:lvlJc w:val="left"/>
      <w:pPr>
        <w:tabs>
          <w:tab w:val="num" w:pos="1799"/>
        </w:tabs>
        <w:ind w:left="1799" w:hanging="1440"/>
      </w:pPr>
      <w:rPr>
        <w:rFonts w:hint="default"/>
      </w:rPr>
    </w:lvl>
    <w:lvl w:ilvl="8">
      <w:start w:val="1"/>
      <w:numFmt w:val="decimal"/>
      <w:lvlText w:val="%1.%2.%3.%4.%5.%6.%7.%8.%9"/>
      <w:lvlJc w:val="left"/>
      <w:pPr>
        <w:tabs>
          <w:tab w:val="num" w:pos="1943"/>
        </w:tabs>
        <w:ind w:left="1943" w:hanging="1584"/>
      </w:pPr>
      <w:rPr>
        <w:rFonts w:hint="default"/>
      </w:rPr>
    </w:lvl>
  </w:abstractNum>
  <w:abstractNum w:abstractNumId="17" w15:restartNumberingAfterBreak="0">
    <w:nsid w:val="6AFC2484"/>
    <w:multiLevelType w:val="multilevel"/>
    <w:tmpl w:val="D21C1198"/>
    <w:styleLink w:val="Sections"/>
    <w:lvl w:ilvl="0">
      <w:start w:val="1"/>
      <w:numFmt w:val="upperLetter"/>
      <w:pStyle w:val="SectionTitle"/>
      <w:lvlText w:val="SECTION %1:"/>
      <w:lvlJc w:val="left"/>
      <w:pPr>
        <w:tabs>
          <w:tab w:val="num" w:pos="1871"/>
        </w:tabs>
        <w:ind w:left="1871" w:hanging="1871"/>
      </w:pPr>
      <w:rPr>
        <w:rFonts w:ascii="Franklin Gothic Book" w:hAnsi="Franklin Gothic Book" w:hint="default"/>
        <w:color w:val="000000"/>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5A2FE1"/>
    <w:multiLevelType w:val="multilevel"/>
    <w:tmpl w:val="D7F6B4CC"/>
    <w:styleLink w:val="Numbers"/>
    <w:lvl w:ilvl="0">
      <w:start w:val="1"/>
      <w:numFmt w:val="decimal"/>
      <w:pStyle w:val="Numbers1"/>
      <w:lvlText w:val="(%1)"/>
      <w:lvlJc w:val="left"/>
      <w:pPr>
        <w:ind w:left="454" w:hanging="454"/>
      </w:pPr>
      <w:rPr>
        <w:rFonts w:hint="default"/>
      </w:rPr>
    </w:lvl>
    <w:lvl w:ilvl="1">
      <w:start w:val="1"/>
      <w:numFmt w:val="lowerLetter"/>
      <w:pStyle w:val="Numbers2"/>
      <w:lvlText w:val="(%2)"/>
      <w:lvlJc w:val="left"/>
      <w:pPr>
        <w:ind w:left="765" w:hanging="311"/>
      </w:pPr>
      <w:rPr>
        <w:rFonts w:hint="default"/>
      </w:rPr>
    </w:lvl>
    <w:lvl w:ilvl="2">
      <w:start w:val="1"/>
      <w:numFmt w:val="lowerRoman"/>
      <w:pStyle w:val="Numbers3"/>
      <w:lvlText w:val="(%3)"/>
      <w:lvlJc w:val="left"/>
      <w:pPr>
        <w:ind w:left="1191" w:hanging="426"/>
      </w:pPr>
      <w:rPr>
        <w:rFonts w:hint="default"/>
      </w:rPr>
    </w:lvl>
    <w:lvl w:ilvl="3">
      <w:start w:val="1"/>
      <w:numFmt w:val="bullet"/>
      <w:pStyle w:val="Numbers4"/>
      <w:lvlText w:val="-"/>
      <w:lvlJc w:val="left"/>
      <w:pPr>
        <w:ind w:left="1332" w:hanging="141"/>
      </w:pPr>
      <w:rPr>
        <w:rFonts w:ascii="Garamond" w:hAnsi="Garamond" w:hint="default"/>
        <w:color w:val="787878"/>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rPr>
    </w:lvl>
    <w:lvl w:ilvl="8">
      <w:start w:val="1"/>
      <w:numFmt w:val="decimal"/>
      <w:lvlText w:val="(%9)"/>
      <w:lvlJc w:val="left"/>
      <w:pPr>
        <w:ind w:left="3240" w:hanging="360"/>
      </w:pPr>
      <w:rPr>
        <w:rFonts w:hint="default"/>
      </w:rPr>
    </w:lvl>
  </w:abstractNum>
  <w:abstractNum w:abstractNumId="19" w15:restartNumberingAfterBreak="0">
    <w:nsid w:val="78425FAD"/>
    <w:multiLevelType w:val="hybridMultilevel"/>
    <w:tmpl w:val="536CCFDC"/>
    <w:lvl w:ilvl="0" w:tplc="6B80842A">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8D2615F"/>
    <w:multiLevelType w:val="hybridMultilevel"/>
    <w:tmpl w:val="58C862A2"/>
    <w:lvl w:ilvl="0" w:tplc="C7686F24">
      <w:start w:val="1"/>
      <w:numFmt w:val="upperLetter"/>
      <w:pStyle w:val="SectionPageTitle"/>
      <w:lvlText w:val="Part %1"/>
      <w:lvlJc w:val="left"/>
      <w:pPr>
        <w:ind w:left="360" w:hanging="360"/>
      </w:pPr>
      <w:rPr>
        <w:rFonts w:ascii="Franklin Gothic Demi" w:hAnsi="Franklin Gothic Demi" w:hint="default"/>
        <w:sz w:val="7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204A2A"/>
    <w:multiLevelType w:val="hybridMultilevel"/>
    <w:tmpl w:val="5E4E3B52"/>
    <w:lvl w:ilvl="0" w:tplc="C448A124">
      <w:start w:val="1"/>
      <w:numFmt w:val="decimal"/>
      <w:pStyle w:val="Recommendation"/>
      <w:lvlText w:val="Recommendation %1:"/>
      <w:lvlJc w:val="left"/>
      <w:pPr>
        <w:ind w:left="360" w:hanging="360"/>
      </w:pPr>
      <w:rPr>
        <w:rFonts w:ascii="Franklin Gothic Heavy" w:hAnsi="Franklin Gothic Heavy" w:hint="default"/>
        <w:cap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8"/>
  </w:num>
  <w:num w:numId="4">
    <w:abstractNumId w:val="1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4"/>
  </w:num>
  <w:num w:numId="8">
    <w:abstractNumId w:val="4"/>
  </w:num>
  <w:num w:numId="9">
    <w:abstractNumId w:val="16"/>
  </w:num>
  <w:num w:numId="10">
    <w:abstractNumId w:val="21"/>
  </w:num>
  <w:num w:numId="11">
    <w:abstractNumId w:val="15"/>
  </w:num>
  <w:num w:numId="12">
    <w:abstractNumId w:val="20"/>
  </w:num>
  <w:num w:numId="13">
    <w:abstractNumId w:val="17"/>
  </w:num>
  <w:num w:numId="14">
    <w:abstractNumId w:val="5"/>
  </w:num>
  <w:num w:numId="15">
    <w:abstractNumId w:val="8"/>
  </w:num>
  <w:num w:numId="16">
    <w:abstractNumId w:val="0"/>
  </w:num>
  <w:num w:numId="17">
    <w:abstractNumId w:val="14"/>
  </w:num>
  <w:num w:numId="18">
    <w:abstractNumId w:val="7"/>
  </w:num>
  <w:num w:numId="19">
    <w:abstractNumId w:val="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 w:ilvl="0">
        <w:start w:val="1"/>
        <w:numFmt w:val="bullet"/>
        <w:pStyle w:val="Bullets1"/>
        <w:lvlText w:val="•"/>
        <w:lvlJc w:val="left"/>
        <w:pPr>
          <w:tabs>
            <w:tab w:val="num" w:pos="170"/>
          </w:tabs>
          <w:ind w:left="170" w:hanging="170"/>
        </w:pPr>
        <w:rPr>
          <w:rFonts w:ascii="Garamond" w:hAnsi="Garamond" w:hint="default"/>
          <w:b w:val="0"/>
          <w:bCs w:val="0"/>
          <w:i w:val="0"/>
          <w:iCs w:val="0"/>
          <w:caps w:val="0"/>
          <w:smallCaps w:val="0"/>
          <w:strike w:val="0"/>
          <w:dstrike w:val="0"/>
          <w:outline w:val="0"/>
          <w:shadow w:val="0"/>
          <w:emboss w:val="0"/>
          <w:imprint w:val="0"/>
          <w:noProof w:val="0"/>
          <w:vanish w:val="0"/>
          <w:webHidden w:val="0"/>
          <w:color w:val="000000" w:themeColor="tex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numFmt w:val="decimal"/>
        <w:pStyle w:val="Bullets2"/>
        <w:lvlText w:val=""/>
        <w:lvlJc w:val="left"/>
      </w:lvl>
    </w:lvlOverride>
    <w:lvlOverride w:ilvl="2">
      <w:lvl w:ilvl="2">
        <w:numFmt w:val="decimal"/>
        <w:pStyle w:val="Bullets3"/>
        <w:lvlText w:val=""/>
        <w:lvlJc w:val="left"/>
      </w:lvl>
    </w:lvlOverride>
    <w:lvlOverride w:ilvl="3">
      <w:lvl w:ilvl="3">
        <w:numFmt w:val="decimal"/>
        <w:pStyle w:val="Bullets4"/>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25">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26">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2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28">
    <w:abstractNumId w:val="18"/>
    <w:lvlOverride w:ilvl="0">
      <w:lvl w:ilvl="0">
        <w:start w:val="1"/>
        <w:numFmt w:val="decimal"/>
        <w:pStyle w:val="Numbers1"/>
        <w:lvlText w:val="(%1)"/>
        <w:lvlJc w:val="left"/>
        <w:pPr>
          <w:ind w:left="454" w:hanging="454"/>
        </w:pPr>
        <w:rPr>
          <w:rFonts w:hint="default"/>
        </w:rPr>
      </w:lvl>
    </w:lvlOverride>
    <w:lvlOverride w:ilvl="1">
      <w:lvl w:ilvl="1">
        <w:start w:val="1"/>
        <w:numFmt w:val="lowerLetter"/>
        <w:pStyle w:val="Numbers2"/>
        <w:lvlText w:val="(%2)"/>
        <w:lvlJc w:val="left"/>
        <w:pPr>
          <w:ind w:left="765" w:hanging="311"/>
        </w:pPr>
        <w:rPr>
          <w:rFonts w:hint="default"/>
        </w:rPr>
      </w:lvl>
    </w:lvlOverride>
    <w:lvlOverride w:ilvl="2">
      <w:lvl w:ilvl="2">
        <w:start w:val="1"/>
        <w:numFmt w:val="lowerRoman"/>
        <w:pStyle w:val="Numbers3"/>
        <w:lvlText w:val="(%3)"/>
        <w:lvlJc w:val="left"/>
        <w:pPr>
          <w:ind w:left="1191" w:hanging="426"/>
        </w:pPr>
        <w:rPr>
          <w:rFonts w:hint="default"/>
        </w:rPr>
      </w:lvl>
    </w:lvlOverride>
    <w:lvlOverride w:ilvl="3">
      <w:lvl w:ilvl="3">
        <w:start w:val="1"/>
        <w:numFmt w:val="bullet"/>
        <w:pStyle w:val="Numbers4"/>
        <w:lvlText w:val="-"/>
        <w:lvlJc w:val="left"/>
        <w:pPr>
          <w:ind w:left="1332" w:hanging="141"/>
        </w:pPr>
        <w:rPr>
          <w:rFonts w:ascii="Garamond" w:hAnsi="Garamond" w:hint="default"/>
          <w:color w:val="787878" w:themeColor="text2"/>
        </w:rPr>
      </w:lvl>
    </w:lvlOverride>
    <w:lvlOverride w:ilvl="4">
      <w:lvl w:ilvl="4">
        <w:start w:val="1"/>
        <w:numFmt w:val="decimal"/>
        <w:lvlText w:val="(%5)"/>
        <w:lvlJc w:val="left"/>
        <w:pPr>
          <w:ind w:left="1800" w:hanging="360"/>
        </w:pPr>
        <w:rPr>
          <w:rFonts w:hint="default"/>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bullet"/>
        <w:lvlText w:val="-"/>
        <w:lvlJc w:val="left"/>
        <w:pPr>
          <w:ind w:left="2880" w:hanging="360"/>
        </w:pPr>
        <w:rPr>
          <w:rFonts w:ascii="Garamond" w:hAnsi="Garamond" w:hint="default"/>
          <w:color w:val="787878" w:themeColor="text2"/>
        </w:rPr>
      </w:lvl>
    </w:lvlOverride>
    <w:lvlOverride w:ilvl="8">
      <w:lvl w:ilvl="8">
        <w:start w:val="1"/>
        <w:numFmt w:val="decimal"/>
        <w:lvlText w:val="(%9)"/>
        <w:lvlJc w:val="left"/>
        <w:pPr>
          <w:ind w:left="3240" w:hanging="360"/>
        </w:pPr>
        <w:rPr>
          <w:rFonts w:hint="default"/>
        </w:rPr>
      </w:lvl>
    </w:lvlOverride>
  </w:num>
  <w:num w:numId="29">
    <w:abstractNumId w:val="18"/>
    <w:lvlOverride w:ilvl="0">
      <w:lvl w:ilvl="0">
        <w:start w:val="1"/>
        <w:numFmt w:val="decimal"/>
        <w:pStyle w:val="Numbers1"/>
        <w:lvlText w:val="(%1)"/>
        <w:lvlJc w:val="left"/>
        <w:pPr>
          <w:ind w:left="454" w:hanging="454"/>
        </w:pPr>
      </w:lvl>
    </w:lvlOverride>
    <w:lvlOverride w:ilvl="1">
      <w:lvl w:ilvl="1">
        <w:start w:val="1"/>
        <w:numFmt w:val="lowerLetter"/>
        <w:pStyle w:val="Numbers2"/>
        <w:lvlText w:val="(%2)"/>
        <w:lvlJc w:val="left"/>
        <w:pPr>
          <w:ind w:left="765" w:hanging="311"/>
        </w:pPr>
      </w:lvl>
    </w:lvlOverride>
    <w:lvlOverride w:ilvl="2">
      <w:lvl w:ilvl="2">
        <w:start w:val="1"/>
        <w:numFmt w:val="lowerRoman"/>
        <w:pStyle w:val="Numbers3"/>
        <w:lvlText w:val="(%3)"/>
        <w:lvlJc w:val="left"/>
        <w:pPr>
          <w:ind w:left="1191" w:hanging="426"/>
        </w:pPr>
      </w:lvl>
    </w:lvlOverride>
    <w:lvlOverride w:ilvl="3">
      <w:lvl w:ilvl="3">
        <w:start w:val="1"/>
        <w:numFmt w:val="bullet"/>
        <w:pStyle w:val="Numbers4"/>
        <w:lvlText w:val="-"/>
        <w:lvlJc w:val="left"/>
        <w:pPr>
          <w:ind w:left="1332" w:hanging="141"/>
        </w:pPr>
        <w:rPr>
          <w:rFonts w:ascii="Garamond" w:hAnsi="Garamond" w:hint="default"/>
          <w:color w:val="787878" w:themeColor="text2"/>
        </w:rPr>
      </w:lvl>
    </w:lvlOverride>
    <w:lvlOverride w:ilvl="4">
      <w:lvl w:ilvl="4">
        <w:start w:val="1"/>
        <w:numFmt w:val="decimal"/>
        <w:lvlText w:val="(%5)"/>
        <w:lvlJc w:val="left"/>
        <w:pPr>
          <w:ind w:left="1800" w:hanging="360"/>
        </w:pPr>
      </w:lvl>
    </w:lvlOverride>
    <w:lvlOverride w:ilvl="5">
      <w:lvl w:ilvl="5">
        <w:start w:val="1"/>
        <w:numFmt w:val="lowerLetter"/>
        <w:lvlText w:val="(%6)"/>
        <w:lvlJc w:val="left"/>
        <w:pPr>
          <w:ind w:left="2160" w:hanging="360"/>
        </w:pPr>
      </w:lvl>
    </w:lvlOverride>
    <w:lvlOverride w:ilvl="6">
      <w:lvl w:ilvl="6">
        <w:start w:val="1"/>
        <w:numFmt w:val="lowerRoman"/>
        <w:lvlText w:val="(%7)"/>
        <w:lvlJc w:val="left"/>
        <w:pPr>
          <w:ind w:left="2520" w:hanging="360"/>
        </w:pPr>
      </w:lvl>
    </w:lvlOverride>
    <w:lvlOverride w:ilvl="7">
      <w:lvl w:ilvl="7">
        <w:start w:val="1"/>
        <w:numFmt w:val="bullet"/>
        <w:lvlText w:val="-"/>
        <w:lvlJc w:val="left"/>
        <w:pPr>
          <w:ind w:left="2880" w:hanging="360"/>
        </w:pPr>
        <w:rPr>
          <w:rFonts w:ascii="Garamond" w:hAnsi="Garamond" w:hint="default"/>
          <w:color w:val="787878" w:themeColor="text2"/>
        </w:rPr>
      </w:lvl>
    </w:lvlOverride>
    <w:lvlOverride w:ilvl="8">
      <w:lvl w:ilvl="8">
        <w:start w:val="1"/>
        <w:numFmt w:val="decimal"/>
        <w:lvlText w:val="(%9)"/>
        <w:lvlJc w:val="left"/>
        <w:pPr>
          <w:ind w:left="3240" w:hanging="360"/>
        </w:pPr>
      </w:lvl>
    </w:lvlOverride>
  </w:num>
  <w:num w:numId="30">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37">
    <w:abstractNumId w:val="3"/>
    <w:lvlOverride w:ilvl="0">
      <w:lvl w:ilvl="0">
        <w:start w:val="1"/>
        <w:numFmt w:val="decimal"/>
        <w:pStyle w:val="Numbers1"/>
        <w:lvlText w:val="(%1)"/>
        <w:lvlJc w:val="left"/>
        <w:pPr>
          <w:ind w:left="454" w:hanging="454"/>
        </w:pPr>
        <w:rPr>
          <w:rFonts w:hint="default"/>
        </w:rPr>
      </w:lvl>
    </w:lvlOverride>
    <w:lvlOverride w:ilvl="1">
      <w:lvl w:ilvl="1">
        <w:start w:val="1"/>
        <w:numFmt w:val="lowerLetter"/>
        <w:pStyle w:val="Numbers2"/>
        <w:lvlText w:val="(%2)"/>
        <w:lvlJc w:val="left"/>
        <w:pPr>
          <w:ind w:left="765" w:hanging="311"/>
        </w:pPr>
        <w:rPr>
          <w:rFonts w:hint="default"/>
        </w:rPr>
      </w:lvl>
    </w:lvlOverride>
    <w:lvlOverride w:ilvl="2">
      <w:lvl w:ilvl="2">
        <w:start w:val="1"/>
        <w:numFmt w:val="lowerRoman"/>
        <w:pStyle w:val="Numbers3"/>
        <w:lvlText w:val="(%3)"/>
        <w:lvlJc w:val="left"/>
        <w:pPr>
          <w:ind w:left="1191" w:hanging="426"/>
        </w:pPr>
        <w:rPr>
          <w:rFonts w:hint="default"/>
        </w:rPr>
      </w:lvl>
    </w:lvlOverride>
    <w:lvlOverride w:ilvl="3">
      <w:lvl w:ilvl="3">
        <w:start w:val="1"/>
        <w:numFmt w:val="bullet"/>
        <w:pStyle w:val="Numbers4"/>
        <w:lvlText w:val="-"/>
        <w:lvlJc w:val="left"/>
        <w:pPr>
          <w:ind w:left="1332" w:hanging="141"/>
        </w:pPr>
        <w:rPr>
          <w:rFonts w:ascii="Garamond" w:hAnsi="Garamond" w:hint="default"/>
          <w:color w:val="787878"/>
        </w:rPr>
      </w:lvl>
    </w:lvlOverride>
    <w:lvlOverride w:ilvl="4">
      <w:lvl w:ilvl="4">
        <w:start w:val="1"/>
        <w:numFmt w:val="decimal"/>
        <w:lvlText w:val="(%5)"/>
        <w:lvlJc w:val="left"/>
        <w:pPr>
          <w:ind w:left="1800" w:hanging="360"/>
        </w:pPr>
        <w:rPr>
          <w:rFonts w:hint="default"/>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bullet"/>
        <w:lvlText w:val="-"/>
        <w:lvlJc w:val="left"/>
        <w:pPr>
          <w:ind w:left="2880" w:hanging="360"/>
        </w:pPr>
        <w:rPr>
          <w:rFonts w:ascii="Garamond" w:hAnsi="Garamond" w:hint="default"/>
          <w:color w:val="787878"/>
        </w:rPr>
      </w:lvl>
    </w:lvlOverride>
    <w:lvlOverride w:ilvl="8">
      <w:lvl w:ilvl="8">
        <w:start w:val="1"/>
        <w:numFmt w:val="decimal"/>
        <w:lvlText w:val="(%9)"/>
        <w:lvlJc w:val="left"/>
        <w:pPr>
          <w:ind w:left="3240" w:hanging="360"/>
        </w:pPr>
        <w:rPr>
          <w:rFonts w:hint="default"/>
        </w:rPr>
      </w:lvl>
    </w:lvlOverride>
  </w:num>
  <w:num w:numId="38">
    <w:abstractNumId w:val="9"/>
  </w:num>
  <w:num w:numId="39">
    <w:abstractNumId w:val="18"/>
    <w:lvlOverride w:ilvl="0">
      <w:lvl w:ilvl="0">
        <w:start w:val="1"/>
        <w:numFmt w:val="decimal"/>
        <w:pStyle w:val="Numbers1"/>
        <w:lvlText w:val="(%1)"/>
        <w:lvlJc w:val="left"/>
        <w:pPr>
          <w:ind w:left="454" w:hanging="454"/>
        </w:pPr>
        <w:rPr>
          <w:rFonts w:hint="default"/>
        </w:rPr>
      </w:lvl>
    </w:lvlOverride>
    <w:lvlOverride w:ilvl="1">
      <w:lvl w:ilvl="1">
        <w:start w:val="1"/>
        <w:numFmt w:val="lowerLetter"/>
        <w:pStyle w:val="Numbers2"/>
        <w:lvlText w:val="(%2)"/>
        <w:lvlJc w:val="left"/>
        <w:pPr>
          <w:ind w:left="765" w:hanging="311"/>
        </w:pPr>
        <w:rPr>
          <w:rFonts w:hint="default"/>
        </w:rPr>
      </w:lvl>
    </w:lvlOverride>
    <w:lvlOverride w:ilvl="2">
      <w:lvl w:ilvl="2">
        <w:start w:val="1"/>
        <w:numFmt w:val="lowerRoman"/>
        <w:pStyle w:val="Numbers3"/>
        <w:lvlText w:val="(%3)"/>
        <w:lvlJc w:val="left"/>
        <w:pPr>
          <w:ind w:left="1191" w:hanging="426"/>
        </w:pPr>
        <w:rPr>
          <w:rFonts w:hint="default"/>
        </w:rPr>
      </w:lvl>
    </w:lvlOverride>
    <w:lvlOverride w:ilvl="3">
      <w:lvl w:ilvl="3">
        <w:start w:val="1"/>
        <w:numFmt w:val="bullet"/>
        <w:pStyle w:val="Numbers4"/>
        <w:lvlText w:val="-"/>
        <w:lvlJc w:val="left"/>
        <w:pPr>
          <w:ind w:left="1332" w:hanging="141"/>
        </w:pPr>
        <w:rPr>
          <w:rFonts w:ascii="Garamond" w:hAnsi="Garamond" w:hint="default"/>
          <w:color w:val="787878"/>
        </w:rPr>
      </w:lvl>
    </w:lvlOverride>
    <w:lvlOverride w:ilvl="4">
      <w:lvl w:ilvl="4">
        <w:start w:val="1"/>
        <w:numFmt w:val="decimal"/>
        <w:lvlText w:val="(%5)"/>
        <w:lvlJc w:val="left"/>
        <w:pPr>
          <w:ind w:left="1800" w:hanging="360"/>
        </w:pPr>
        <w:rPr>
          <w:rFonts w:hint="default"/>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bullet"/>
        <w:lvlText w:val="-"/>
        <w:lvlJc w:val="left"/>
        <w:pPr>
          <w:ind w:left="2880" w:hanging="360"/>
        </w:pPr>
        <w:rPr>
          <w:rFonts w:ascii="Garamond" w:hAnsi="Garamond" w:hint="default"/>
          <w:color w:val="787878"/>
        </w:rPr>
      </w:lvl>
    </w:lvlOverride>
    <w:lvlOverride w:ilvl="8">
      <w:lvl w:ilvl="8">
        <w:start w:val="1"/>
        <w:numFmt w:val="decimal"/>
        <w:lvlText w:val="(%9)"/>
        <w:lvlJc w:val="left"/>
        <w:pPr>
          <w:ind w:left="3240" w:hanging="360"/>
        </w:pPr>
        <w:rPr>
          <w:rFonts w:hint="default"/>
        </w:rPr>
      </w:lvl>
    </w:lvlOverride>
  </w:num>
  <w:num w:numId="40">
    <w:abstractNumId w:val="11"/>
  </w:num>
  <w:num w:numId="41">
    <w:abstractNumId w:val="13"/>
  </w:num>
  <w:num w:numId="42">
    <w:abstractNumId w:val="6"/>
  </w:num>
  <w:num w:numId="43">
    <w:abstractNumId w:val="18"/>
    <w:lvlOverride w:ilvl="0">
      <w:startOverride w:val="1"/>
      <w:lvl w:ilvl="0">
        <w:start w:val="1"/>
        <w:numFmt w:val="decimal"/>
        <w:pStyle w:val="Numbers1"/>
        <w:lvlText w:val="(%1)"/>
        <w:lvlJc w:val="left"/>
        <w:pPr>
          <w:ind w:left="340" w:hanging="340"/>
        </w:pPr>
        <w:rPr>
          <w:rFonts w:hint="default"/>
          <w:b w:val="0"/>
        </w:rPr>
      </w:lvl>
    </w:lvlOverride>
    <w:lvlOverride w:ilvl="1">
      <w:startOverride w:val="1"/>
      <w:lvl w:ilvl="1">
        <w:start w:val="1"/>
        <w:numFmt w:val="lowerLetter"/>
        <w:pStyle w:val="Numbers2"/>
        <w:lvlText w:val="(%2)"/>
        <w:lvlJc w:val="left"/>
        <w:pPr>
          <w:ind w:left="652" w:hanging="312"/>
        </w:pPr>
        <w:rPr>
          <w:rFonts w:hint="default"/>
        </w:rPr>
      </w:lvl>
    </w:lvlOverride>
    <w:lvlOverride w:ilvl="2">
      <w:startOverride w:val="1"/>
      <w:lvl w:ilvl="2">
        <w:start w:val="1"/>
        <w:numFmt w:val="lowerRoman"/>
        <w:pStyle w:val="Numbers3"/>
        <w:lvlText w:val="(%3)"/>
        <w:lvlJc w:val="left"/>
        <w:pPr>
          <w:ind w:left="1077" w:hanging="425"/>
        </w:pPr>
        <w:rPr>
          <w:rFonts w:hint="default"/>
        </w:rPr>
      </w:lvl>
    </w:lvlOverride>
    <w:lvlOverride w:ilvl="3">
      <w:startOverride w:val="1"/>
      <w:lvl w:ilvl="3">
        <w:start w:val="1"/>
        <w:numFmt w:val="bullet"/>
        <w:pStyle w:val="Numbers4"/>
        <w:lvlText w:val="-"/>
        <w:lvlJc w:val="left"/>
        <w:pPr>
          <w:ind w:left="1219" w:hanging="139"/>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46">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47">
    <w:abstractNumId w:val="3"/>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48">
    <w:abstractNumId w:val="10"/>
  </w:num>
  <w:num w:numId="49">
    <w:abstractNumId w:val="19"/>
  </w:num>
  <w:num w:numId="50">
    <w:abstractNumId w:val="12"/>
  </w:num>
  <w:num w:numId="51">
    <w:abstractNumId w:val="15"/>
    <w:lvlOverride w:ilvl="0">
      <w:startOverride w:val="1"/>
    </w:lvlOverride>
  </w:num>
  <w:num w:numId="52">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themeColor="text2"/>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themeColor="text2"/>
        </w:rPr>
      </w:lvl>
    </w:lvlOverride>
    <w:lvlOverride w:ilvl="8">
      <w:startOverride w:val="1"/>
      <w:lvl w:ilvl="8">
        <w:start w:val="1"/>
        <w:numFmt w:val="decimal"/>
        <w:lvlText w:val="(%9)"/>
        <w:lvlJc w:val="left"/>
        <w:pPr>
          <w:ind w:left="3240" w:hanging="360"/>
        </w:pPr>
        <w:rPr>
          <w:rFonts w:hint="default"/>
        </w:rPr>
      </w:lvl>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55">
    <w:abstractNumId w:val="2"/>
  </w:num>
  <w:num w:numId="56">
    <w:abstractNumId w:val="7"/>
  </w:num>
  <w:num w:numId="57">
    <w:abstractNumId w:val="1"/>
  </w:num>
  <w:num w:numId="58">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59">
    <w:abstractNumId w:val="3"/>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60">
    <w:abstractNumId w:val="3"/>
    <w:lvlOverride w:ilvl="0">
      <w:lvl w:ilvl="0">
        <w:start w:val="1"/>
        <w:numFmt w:val="decimal"/>
        <w:pStyle w:val="Numbers1"/>
        <w:lvlText w:val="(%1)"/>
        <w:lvlJc w:val="left"/>
        <w:pPr>
          <w:ind w:left="454" w:hanging="454"/>
        </w:pPr>
        <w:rPr>
          <w:rFonts w:hint="default"/>
        </w:rPr>
      </w:lvl>
    </w:lvlOverride>
    <w:lvlOverride w:ilvl="1">
      <w:lvl w:ilvl="1">
        <w:start w:val="1"/>
        <w:numFmt w:val="lowerLetter"/>
        <w:pStyle w:val="Numbers2"/>
        <w:lvlText w:val="(%2)"/>
        <w:lvlJc w:val="left"/>
        <w:pPr>
          <w:ind w:left="765" w:hanging="311"/>
        </w:pPr>
        <w:rPr>
          <w:rFonts w:hint="default"/>
        </w:rPr>
      </w:lvl>
    </w:lvlOverride>
    <w:lvlOverride w:ilvl="2">
      <w:lvl w:ilvl="2">
        <w:start w:val="1"/>
        <w:numFmt w:val="lowerRoman"/>
        <w:pStyle w:val="Numbers3"/>
        <w:lvlText w:val="(%3)"/>
        <w:lvlJc w:val="left"/>
        <w:pPr>
          <w:ind w:left="1191" w:hanging="426"/>
        </w:pPr>
        <w:rPr>
          <w:rFonts w:hint="default"/>
        </w:rPr>
      </w:lvl>
    </w:lvlOverride>
    <w:lvlOverride w:ilvl="3">
      <w:lvl w:ilvl="3">
        <w:start w:val="1"/>
        <w:numFmt w:val="bullet"/>
        <w:pStyle w:val="Numbers4"/>
        <w:lvlText w:val="-"/>
        <w:lvlJc w:val="left"/>
        <w:pPr>
          <w:ind w:left="1332" w:hanging="141"/>
        </w:pPr>
        <w:rPr>
          <w:rFonts w:ascii="Garamond" w:hAnsi="Garamond" w:hint="default"/>
          <w:color w:val="787878"/>
        </w:rPr>
      </w:lvl>
    </w:lvlOverride>
    <w:lvlOverride w:ilvl="4">
      <w:lvl w:ilvl="4">
        <w:start w:val="1"/>
        <w:numFmt w:val="decimal"/>
        <w:lvlText w:val="(%5)"/>
        <w:lvlJc w:val="left"/>
        <w:pPr>
          <w:ind w:left="1800" w:hanging="360"/>
        </w:pPr>
        <w:rPr>
          <w:rFonts w:hint="default"/>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bullet"/>
        <w:lvlText w:val="-"/>
        <w:lvlJc w:val="left"/>
        <w:pPr>
          <w:ind w:left="2880" w:hanging="360"/>
        </w:pPr>
        <w:rPr>
          <w:rFonts w:ascii="Garamond" w:hAnsi="Garamond" w:hint="default"/>
          <w:color w:val="787878"/>
        </w:rPr>
      </w:lvl>
    </w:lvlOverride>
    <w:lvlOverride w:ilvl="8">
      <w:lvl w:ilvl="8">
        <w:start w:val="1"/>
        <w:numFmt w:val="decimal"/>
        <w:lvlText w:val="(%9)"/>
        <w:lvlJc w:val="left"/>
        <w:pPr>
          <w:ind w:left="3240" w:hanging="360"/>
        </w:pPr>
        <w:rPr>
          <w:rFonts w:hint="default"/>
        </w:rPr>
      </w:lvl>
    </w:lvlOverride>
  </w:num>
  <w:num w:numId="61">
    <w:abstractNumId w:val="3"/>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62">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63">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b w:val="0"/>
          <w:bCs/>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64">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 w:numId="65">
    <w:abstractNumId w:val="18"/>
    <w:lvlOverride w:ilvl="0">
      <w:startOverride w:val="1"/>
      <w:lvl w:ilvl="0">
        <w:start w:val="1"/>
        <w:numFmt w:val="decimal"/>
        <w:pStyle w:val="Numbers1"/>
        <w:lvlText w:val="(%1)"/>
        <w:lvlJc w:val="left"/>
        <w:pPr>
          <w:ind w:left="454" w:hanging="454"/>
        </w:pPr>
        <w:rPr>
          <w:rFonts w:hint="default"/>
        </w:rPr>
      </w:lvl>
    </w:lvlOverride>
    <w:lvlOverride w:ilvl="1">
      <w:startOverride w:val="1"/>
      <w:lvl w:ilvl="1">
        <w:start w:val="1"/>
        <w:numFmt w:val="lowerLetter"/>
        <w:pStyle w:val="Numbers2"/>
        <w:lvlText w:val="(%2)"/>
        <w:lvlJc w:val="left"/>
        <w:pPr>
          <w:ind w:left="765" w:hanging="311"/>
        </w:pPr>
        <w:rPr>
          <w:rFonts w:hint="default"/>
          <w:b w:val="0"/>
          <w:bCs/>
        </w:rPr>
      </w:lvl>
    </w:lvlOverride>
    <w:lvlOverride w:ilvl="2">
      <w:startOverride w:val="1"/>
      <w:lvl w:ilvl="2">
        <w:start w:val="1"/>
        <w:numFmt w:val="lowerRoman"/>
        <w:pStyle w:val="Numbers3"/>
        <w:lvlText w:val="(%3)"/>
        <w:lvlJc w:val="left"/>
        <w:pPr>
          <w:ind w:left="1191" w:hanging="426"/>
        </w:pPr>
        <w:rPr>
          <w:rFonts w:hint="default"/>
        </w:rPr>
      </w:lvl>
    </w:lvlOverride>
    <w:lvlOverride w:ilvl="3">
      <w:startOverride w:val="1"/>
      <w:lvl w:ilvl="3">
        <w:start w:val="1"/>
        <w:numFmt w:val="bullet"/>
        <w:pStyle w:val="Numbers4"/>
        <w:lvlText w:val="-"/>
        <w:lvlJc w:val="left"/>
        <w:pPr>
          <w:ind w:left="1332" w:hanging="141"/>
        </w:pPr>
        <w:rPr>
          <w:rFonts w:ascii="Garamond" w:hAnsi="Garamond" w:hint="default"/>
          <w:color w:val="787878"/>
        </w:rPr>
      </w:lvl>
    </w:lvlOverride>
    <w:lvlOverride w:ilvl="4">
      <w:startOverride w:val="1"/>
      <w:lvl w:ilvl="4">
        <w:start w:val="1"/>
        <w:numFmt w:val="decimal"/>
        <w:lvlText w:val="(%5)"/>
        <w:lvlJc w:val="left"/>
        <w:pPr>
          <w:ind w:left="1800" w:hanging="360"/>
        </w:pPr>
        <w:rPr>
          <w:rFonts w:hint="default"/>
        </w:rPr>
      </w:lvl>
    </w:lvlOverride>
    <w:lvlOverride w:ilvl="5">
      <w:startOverride w:val="1"/>
      <w:lvl w:ilvl="5">
        <w:start w:val="1"/>
        <w:numFmt w:val="lowerLetter"/>
        <w:lvlText w:val="(%6)"/>
        <w:lvlJc w:val="left"/>
        <w:pPr>
          <w:ind w:left="2160" w:hanging="360"/>
        </w:pPr>
        <w:rPr>
          <w:rFonts w:hint="default"/>
        </w:rPr>
      </w:lvl>
    </w:lvlOverride>
    <w:lvlOverride w:ilvl="6">
      <w:startOverride w:val="1"/>
      <w:lvl w:ilvl="6">
        <w:start w:val="1"/>
        <w:numFmt w:val="lowerRoman"/>
        <w:lvlText w:val="(%7)"/>
        <w:lvlJc w:val="left"/>
        <w:pPr>
          <w:ind w:left="2520" w:hanging="360"/>
        </w:pPr>
        <w:rPr>
          <w:rFonts w:hint="default"/>
        </w:rPr>
      </w:lvl>
    </w:lvlOverride>
    <w:lvlOverride w:ilvl="7">
      <w:startOverride w:val="1"/>
      <w:lvl w:ilvl="7">
        <w:start w:val="1"/>
        <w:numFmt w:val="bullet"/>
        <w:lvlText w:val="-"/>
        <w:lvlJc w:val="left"/>
        <w:pPr>
          <w:ind w:left="2880" w:hanging="360"/>
        </w:pPr>
        <w:rPr>
          <w:rFonts w:ascii="Garamond" w:hAnsi="Garamond" w:hint="default"/>
          <w:color w:val="787878"/>
        </w:rPr>
      </w:lvl>
    </w:lvlOverride>
    <w:lvlOverride w:ilvl="8">
      <w:startOverride w:val="1"/>
      <w:lvl w:ilvl="8">
        <w:start w:val="1"/>
        <w:numFmt w:val="decimal"/>
        <w:lvlText w:val="(%9)"/>
        <w:lvlJc w:val="left"/>
        <w:pPr>
          <w:ind w:left="3240" w:hanging="36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4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CE"/>
    <w:rsid w:val="00000C56"/>
    <w:rsid w:val="000014DC"/>
    <w:rsid w:val="00001E05"/>
    <w:rsid w:val="00001F8D"/>
    <w:rsid w:val="000038E1"/>
    <w:rsid w:val="00006248"/>
    <w:rsid w:val="00010F58"/>
    <w:rsid w:val="00011EE6"/>
    <w:rsid w:val="000135E4"/>
    <w:rsid w:val="00013809"/>
    <w:rsid w:val="000145AC"/>
    <w:rsid w:val="00015AE4"/>
    <w:rsid w:val="00020C34"/>
    <w:rsid w:val="00021723"/>
    <w:rsid w:val="00021866"/>
    <w:rsid w:val="0002340D"/>
    <w:rsid w:val="000240C0"/>
    <w:rsid w:val="00025161"/>
    <w:rsid w:val="000252C3"/>
    <w:rsid w:val="00025450"/>
    <w:rsid w:val="000266D2"/>
    <w:rsid w:val="00026F39"/>
    <w:rsid w:val="00026FA1"/>
    <w:rsid w:val="0002766A"/>
    <w:rsid w:val="00030C48"/>
    <w:rsid w:val="00031F15"/>
    <w:rsid w:val="00032A53"/>
    <w:rsid w:val="0003446A"/>
    <w:rsid w:val="00034F13"/>
    <w:rsid w:val="00035C07"/>
    <w:rsid w:val="00035CD6"/>
    <w:rsid w:val="000367FB"/>
    <w:rsid w:val="00037899"/>
    <w:rsid w:val="00037A83"/>
    <w:rsid w:val="00040FD4"/>
    <w:rsid w:val="000415F7"/>
    <w:rsid w:val="000422B8"/>
    <w:rsid w:val="0004313A"/>
    <w:rsid w:val="00043804"/>
    <w:rsid w:val="00043F92"/>
    <w:rsid w:val="0004487E"/>
    <w:rsid w:val="00044CC4"/>
    <w:rsid w:val="000470CB"/>
    <w:rsid w:val="00047802"/>
    <w:rsid w:val="00050974"/>
    <w:rsid w:val="00051FC1"/>
    <w:rsid w:val="00053646"/>
    <w:rsid w:val="00053A93"/>
    <w:rsid w:val="000546EF"/>
    <w:rsid w:val="000551D7"/>
    <w:rsid w:val="00055B25"/>
    <w:rsid w:val="000562FC"/>
    <w:rsid w:val="00056DDE"/>
    <w:rsid w:val="00060780"/>
    <w:rsid w:val="000610BD"/>
    <w:rsid w:val="0006110C"/>
    <w:rsid w:val="0006152E"/>
    <w:rsid w:val="00061B82"/>
    <w:rsid w:val="00061EE2"/>
    <w:rsid w:val="00062EF3"/>
    <w:rsid w:val="0006563A"/>
    <w:rsid w:val="00066594"/>
    <w:rsid w:val="000676F6"/>
    <w:rsid w:val="00067EEF"/>
    <w:rsid w:val="00067F13"/>
    <w:rsid w:val="000700C5"/>
    <w:rsid w:val="00070A9A"/>
    <w:rsid w:val="000721E9"/>
    <w:rsid w:val="00073D30"/>
    <w:rsid w:val="00074248"/>
    <w:rsid w:val="00074970"/>
    <w:rsid w:val="00077B2F"/>
    <w:rsid w:val="000816BB"/>
    <w:rsid w:val="00081E74"/>
    <w:rsid w:val="0008292A"/>
    <w:rsid w:val="00082A7E"/>
    <w:rsid w:val="00084424"/>
    <w:rsid w:val="00087444"/>
    <w:rsid w:val="000878B6"/>
    <w:rsid w:val="00087A8F"/>
    <w:rsid w:val="00087D80"/>
    <w:rsid w:val="00090AB5"/>
    <w:rsid w:val="00090EDA"/>
    <w:rsid w:val="000913D8"/>
    <w:rsid w:val="00093A6B"/>
    <w:rsid w:val="00094312"/>
    <w:rsid w:val="00095D00"/>
    <w:rsid w:val="000966F8"/>
    <w:rsid w:val="000978F0"/>
    <w:rsid w:val="00097A8E"/>
    <w:rsid w:val="000A010E"/>
    <w:rsid w:val="000A31B6"/>
    <w:rsid w:val="000A32BC"/>
    <w:rsid w:val="000A36B0"/>
    <w:rsid w:val="000A37D2"/>
    <w:rsid w:val="000A7A59"/>
    <w:rsid w:val="000B0740"/>
    <w:rsid w:val="000B2624"/>
    <w:rsid w:val="000B3DB8"/>
    <w:rsid w:val="000B3DBE"/>
    <w:rsid w:val="000B4012"/>
    <w:rsid w:val="000B4EA4"/>
    <w:rsid w:val="000B5DCF"/>
    <w:rsid w:val="000B6C00"/>
    <w:rsid w:val="000B7037"/>
    <w:rsid w:val="000B7125"/>
    <w:rsid w:val="000B7417"/>
    <w:rsid w:val="000B7A4A"/>
    <w:rsid w:val="000C09B5"/>
    <w:rsid w:val="000C09D9"/>
    <w:rsid w:val="000C0BA4"/>
    <w:rsid w:val="000C17B5"/>
    <w:rsid w:val="000C17FA"/>
    <w:rsid w:val="000C18F8"/>
    <w:rsid w:val="000C2536"/>
    <w:rsid w:val="000C4121"/>
    <w:rsid w:val="000C41B8"/>
    <w:rsid w:val="000C5FD0"/>
    <w:rsid w:val="000C67CB"/>
    <w:rsid w:val="000C7CF3"/>
    <w:rsid w:val="000D02C7"/>
    <w:rsid w:val="000D11C2"/>
    <w:rsid w:val="000D1AEE"/>
    <w:rsid w:val="000D33DC"/>
    <w:rsid w:val="000D39D7"/>
    <w:rsid w:val="000D4B9C"/>
    <w:rsid w:val="000D5C61"/>
    <w:rsid w:val="000D6377"/>
    <w:rsid w:val="000D7A5B"/>
    <w:rsid w:val="000D7CA7"/>
    <w:rsid w:val="000D7E02"/>
    <w:rsid w:val="000D7F5B"/>
    <w:rsid w:val="000E0430"/>
    <w:rsid w:val="000E1843"/>
    <w:rsid w:val="000E23B3"/>
    <w:rsid w:val="000E4123"/>
    <w:rsid w:val="000E4D85"/>
    <w:rsid w:val="000E5A3E"/>
    <w:rsid w:val="000E5A95"/>
    <w:rsid w:val="000E5C76"/>
    <w:rsid w:val="000E6108"/>
    <w:rsid w:val="000E63F4"/>
    <w:rsid w:val="000E7344"/>
    <w:rsid w:val="000F01C5"/>
    <w:rsid w:val="000F1156"/>
    <w:rsid w:val="000F1665"/>
    <w:rsid w:val="000F1BFC"/>
    <w:rsid w:val="000F28B8"/>
    <w:rsid w:val="000F2B0A"/>
    <w:rsid w:val="000F3062"/>
    <w:rsid w:val="000F3766"/>
    <w:rsid w:val="000F37A7"/>
    <w:rsid w:val="000F3BD3"/>
    <w:rsid w:val="000F5FA8"/>
    <w:rsid w:val="000F5FCD"/>
    <w:rsid w:val="000F6CEB"/>
    <w:rsid w:val="001028ED"/>
    <w:rsid w:val="001029D5"/>
    <w:rsid w:val="00102E71"/>
    <w:rsid w:val="001040EA"/>
    <w:rsid w:val="0010589E"/>
    <w:rsid w:val="00107CA7"/>
    <w:rsid w:val="0011005B"/>
    <w:rsid w:val="00111536"/>
    <w:rsid w:val="00111F0C"/>
    <w:rsid w:val="0011455B"/>
    <w:rsid w:val="00114936"/>
    <w:rsid w:val="00114986"/>
    <w:rsid w:val="0011693C"/>
    <w:rsid w:val="00116965"/>
    <w:rsid w:val="00121271"/>
    <w:rsid w:val="0012142E"/>
    <w:rsid w:val="00123DBD"/>
    <w:rsid w:val="00124104"/>
    <w:rsid w:val="001248B5"/>
    <w:rsid w:val="00124F0B"/>
    <w:rsid w:val="00126B37"/>
    <w:rsid w:val="00126FB0"/>
    <w:rsid w:val="00127638"/>
    <w:rsid w:val="00127802"/>
    <w:rsid w:val="00127F93"/>
    <w:rsid w:val="00133220"/>
    <w:rsid w:val="0013389A"/>
    <w:rsid w:val="00133B41"/>
    <w:rsid w:val="00133C9C"/>
    <w:rsid w:val="00134A79"/>
    <w:rsid w:val="0013657F"/>
    <w:rsid w:val="00136B1A"/>
    <w:rsid w:val="00136EFC"/>
    <w:rsid w:val="00136F0A"/>
    <w:rsid w:val="00137E51"/>
    <w:rsid w:val="00137FCF"/>
    <w:rsid w:val="001408C1"/>
    <w:rsid w:val="00141218"/>
    <w:rsid w:val="00141378"/>
    <w:rsid w:val="00141D54"/>
    <w:rsid w:val="0014266D"/>
    <w:rsid w:val="00142DA5"/>
    <w:rsid w:val="001437A7"/>
    <w:rsid w:val="00143C4E"/>
    <w:rsid w:val="00143FB7"/>
    <w:rsid w:val="001454BC"/>
    <w:rsid w:val="0014584F"/>
    <w:rsid w:val="00145E2D"/>
    <w:rsid w:val="00145F1E"/>
    <w:rsid w:val="00147971"/>
    <w:rsid w:val="001479DF"/>
    <w:rsid w:val="001501FD"/>
    <w:rsid w:val="00151D22"/>
    <w:rsid w:val="00153F7F"/>
    <w:rsid w:val="001600F6"/>
    <w:rsid w:val="001622CE"/>
    <w:rsid w:val="001623F0"/>
    <w:rsid w:val="00164A07"/>
    <w:rsid w:val="00164B84"/>
    <w:rsid w:val="001702B5"/>
    <w:rsid w:val="001706FB"/>
    <w:rsid w:val="00170DC7"/>
    <w:rsid w:val="00171577"/>
    <w:rsid w:val="001763D4"/>
    <w:rsid w:val="001765AF"/>
    <w:rsid w:val="001776B2"/>
    <w:rsid w:val="001807E1"/>
    <w:rsid w:val="00180813"/>
    <w:rsid w:val="00181F27"/>
    <w:rsid w:val="00182547"/>
    <w:rsid w:val="0018262E"/>
    <w:rsid w:val="0018335E"/>
    <w:rsid w:val="001833D8"/>
    <w:rsid w:val="00183B16"/>
    <w:rsid w:val="00185790"/>
    <w:rsid w:val="00186243"/>
    <w:rsid w:val="00186E65"/>
    <w:rsid w:val="00187326"/>
    <w:rsid w:val="00187B3B"/>
    <w:rsid w:val="00190698"/>
    <w:rsid w:val="00190CC4"/>
    <w:rsid w:val="00191532"/>
    <w:rsid w:val="0019172F"/>
    <w:rsid w:val="00192775"/>
    <w:rsid w:val="00193E9C"/>
    <w:rsid w:val="00194A7E"/>
    <w:rsid w:val="00194BA9"/>
    <w:rsid w:val="00194FDF"/>
    <w:rsid w:val="0019504F"/>
    <w:rsid w:val="0019580E"/>
    <w:rsid w:val="001A1400"/>
    <w:rsid w:val="001A1575"/>
    <w:rsid w:val="001A15FE"/>
    <w:rsid w:val="001A29A3"/>
    <w:rsid w:val="001A4D8C"/>
    <w:rsid w:val="001A5F46"/>
    <w:rsid w:val="001B1336"/>
    <w:rsid w:val="001B1410"/>
    <w:rsid w:val="001B408D"/>
    <w:rsid w:val="001B54CD"/>
    <w:rsid w:val="001B57DD"/>
    <w:rsid w:val="001B5E6D"/>
    <w:rsid w:val="001B6A6F"/>
    <w:rsid w:val="001B7A58"/>
    <w:rsid w:val="001C00E2"/>
    <w:rsid w:val="001C04BC"/>
    <w:rsid w:val="001C12BC"/>
    <w:rsid w:val="001C1779"/>
    <w:rsid w:val="001C1790"/>
    <w:rsid w:val="001C17D0"/>
    <w:rsid w:val="001C2056"/>
    <w:rsid w:val="001C22D3"/>
    <w:rsid w:val="001C36C7"/>
    <w:rsid w:val="001C42E2"/>
    <w:rsid w:val="001C4582"/>
    <w:rsid w:val="001C4DA0"/>
    <w:rsid w:val="001C4EA7"/>
    <w:rsid w:val="001C53B7"/>
    <w:rsid w:val="001C53CE"/>
    <w:rsid w:val="001C5EC3"/>
    <w:rsid w:val="001C646F"/>
    <w:rsid w:val="001C6726"/>
    <w:rsid w:val="001C69BF"/>
    <w:rsid w:val="001C69E0"/>
    <w:rsid w:val="001D03C1"/>
    <w:rsid w:val="001D358A"/>
    <w:rsid w:val="001D3E5C"/>
    <w:rsid w:val="001D4B66"/>
    <w:rsid w:val="001D5D0A"/>
    <w:rsid w:val="001D6F90"/>
    <w:rsid w:val="001D7A5E"/>
    <w:rsid w:val="001E0452"/>
    <w:rsid w:val="001E1CDD"/>
    <w:rsid w:val="001E33D7"/>
    <w:rsid w:val="001E38C3"/>
    <w:rsid w:val="001E51AF"/>
    <w:rsid w:val="001E5685"/>
    <w:rsid w:val="001E59D1"/>
    <w:rsid w:val="001E5C0F"/>
    <w:rsid w:val="001E5F2C"/>
    <w:rsid w:val="001E61F3"/>
    <w:rsid w:val="001E66CE"/>
    <w:rsid w:val="001E78CF"/>
    <w:rsid w:val="001E78F2"/>
    <w:rsid w:val="001E7A6B"/>
    <w:rsid w:val="001F1785"/>
    <w:rsid w:val="001F2302"/>
    <w:rsid w:val="001F26B7"/>
    <w:rsid w:val="001F3A3B"/>
    <w:rsid w:val="001F462D"/>
    <w:rsid w:val="001F49F0"/>
    <w:rsid w:val="001F51E6"/>
    <w:rsid w:val="001F53E1"/>
    <w:rsid w:val="001F6268"/>
    <w:rsid w:val="001F6E22"/>
    <w:rsid w:val="001F785D"/>
    <w:rsid w:val="0020030D"/>
    <w:rsid w:val="002011CA"/>
    <w:rsid w:val="00201F9E"/>
    <w:rsid w:val="00202FF9"/>
    <w:rsid w:val="00204559"/>
    <w:rsid w:val="00204B04"/>
    <w:rsid w:val="002057F1"/>
    <w:rsid w:val="00207435"/>
    <w:rsid w:val="00207DFC"/>
    <w:rsid w:val="0021148B"/>
    <w:rsid w:val="002125AF"/>
    <w:rsid w:val="002129E5"/>
    <w:rsid w:val="00212EBF"/>
    <w:rsid w:val="002142CA"/>
    <w:rsid w:val="002157D6"/>
    <w:rsid w:val="00215E3E"/>
    <w:rsid w:val="00216D2F"/>
    <w:rsid w:val="002174C8"/>
    <w:rsid w:val="0021760E"/>
    <w:rsid w:val="002203F5"/>
    <w:rsid w:val="00220613"/>
    <w:rsid w:val="00221DC2"/>
    <w:rsid w:val="0022246F"/>
    <w:rsid w:val="00223B6A"/>
    <w:rsid w:val="00223B71"/>
    <w:rsid w:val="002244A6"/>
    <w:rsid w:val="00225A34"/>
    <w:rsid w:val="00227523"/>
    <w:rsid w:val="00230D14"/>
    <w:rsid w:val="002311D4"/>
    <w:rsid w:val="002358B4"/>
    <w:rsid w:val="00235CC3"/>
    <w:rsid w:val="00241409"/>
    <w:rsid w:val="002439D2"/>
    <w:rsid w:val="00243FF8"/>
    <w:rsid w:val="002444D7"/>
    <w:rsid w:val="002448F9"/>
    <w:rsid w:val="00244AD1"/>
    <w:rsid w:val="00244CAE"/>
    <w:rsid w:val="00245D0A"/>
    <w:rsid w:val="00245FE4"/>
    <w:rsid w:val="002465C0"/>
    <w:rsid w:val="002469C5"/>
    <w:rsid w:val="0025004A"/>
    <w:rsid w:val="002505D8"/>
    <w:rsid w:val="00251DEA"/>
    <w:rsid w:val="00252628"/>
    <w:rsid w:val="002542DB"/>
    <w:rsid w:val="002543A6"/>
    <w:rsid w:val="00254448"/>
    <w:rsid w:val="0025457D"/>
    <w:rsid w:val="002547A7"/>
    <w:rsid w:val="00256468"/>
    <w:rsid w:val="00257221"/>
    <w:rsid w:val="002573D5"/>
    <w:rsid w:val="002606E5"/>
    <w:rsid w:val="00260FC2"/>
    <w:rsid w:val="00262C98"/>
    <w:rsid w:val="00263F97"/>
    <w:rsid w:val="0026540C"/>
    <w:rsid w:val="002675FF"/>
    <w:rsid w:val="00270991"/>
    <w:rsid w:val="00270B8B"/>
    <w:rsid w:val="002724C7"/>
    <w:rsid w:val="00274139"/>
    <w:rsid w:val="002753BD"/>
    <w:rsid w:val="00275960"/>
    <w:rsid w:val="002762AF"/>
    <w:rsid w:val="00276C1B"/>
    <w:rsid w:val="00280F0E"/>
    <w:rsid w:val="00281658"/>
    <w:rsid w:val="00281663"/>
    <w:rsid w:val="002818A4"/>
    <w:rsid w:val="00281C7F"/>
    <w:rsid w:val="00283537"/>
    <w:rsid w:val="00283769"/>
    <w:rsid w:val="00283830"/>
    <w:rsid w:val="0028431D"/>
    <w:rsid w:val="00284AC9"/>
    <w:rsid w:val="00284E4E"/>
    <w:rsid w:val="002851A3"/>
    <w:rsid w:val="0028532B"/>
    <w:rsid w:val="00285771"/>
    <w:rsid w:val="002865A4"/>
    <w:rsid w:val="002877E5"/>
    <w:rsid w:val="00290790"/>
    <w:rsid w:val="00291E87"/>
    <w:rsid w:val="002938FA"/>
    <w:rsid w:val="00294965"/>
    <w:rsid w:val="00294D0A"/>
    <w:rsid w:val="00296915"/>
    <w:rsid w:val="00296ACE"/>
    <w:rsid w:val="00296FA0"/>
    <w:rsid w:val="00297398"/>
    <w:rsid w:val="0029767C"/>
    <w:rsid w:val="002A00AA"/>
    <w:rsid w:val="002A1591"/>
    <w:rsid w:val="002A1D2D"/>
    <w:rsid w:val="002A3698"/>
    <w:rsid w:val="002A41E1"/>
    <w:rsid w:val="002A4D82"/>
    <w:rsid w:val="002A53B6"/>
    <w:rsid w:val="002A5BB9"/>
    <w:rsid w:val="002A5FF0"/>
    <w:rsid w:val="002A69C5"/>
    <w:rsid w:val="002A7687"/>
    <w:rsid w:val="002A7742"/>
    <w:rsid w:val="002A7C4E"/>
    <w:rsid w:val="002B0C9B"/>
    <w:rsid w:val="002B0F64"/>
    <w:rsid w:val="002B1477"/>
    <w:rsid w:val="002B26E7"/>
    <w:rsid w:val="002B2791"/>
    <w:rsid w:val="002B61B9"/>
    <w:rsid w:val="002B6574"/>
    <w:rsid w:val="002B67D0"/>
    <w:rsid w:val="002B7D4F"/>
    <w:rsid w:val="002C03D5"/>
    <w:rsid w:val="002C1475"/>
    <w:rsid w:val="002C2573"/>
    <w:rsid w:val="002C2EC2"/>
    <w:rsid w:val="002C3106"/>
    <w:rsid w:val="002C311D"/>
    <w:rsid w:val="002C419D"/>
    <w:rsid w:val="002C4475"/>
    <w:rsid w:val="002C4FAF"/>
    <w:rsid w:val="002C54D3"/>
    <w:rsid w:val="002C5951"/>
    <w:rsid w:val="002C5B35"/>
    <w:rsid w:val="002C5E09"/>
    <w:rsid w:val="002C6EC3"/>
    <w:rsid w:val="002C74F6"/>
    <w:rsid w:val="002D05FD"/>
    <w:rsid w:val="002D5A03"/>
    <w:rsid w:val="002E07AD"/>
    <w:rsid w:val="002E0BBA"/>
    <w:rsid w:val="002E0E0A"/>
    <w:rsid w:val="002E1B7E"/>
    <w:rsid w:val="002E3541"/>
    <w:rsid w:val="002E4619"/>
    <w:rsid w:val="002E48F5"/>
    <w:rsid w:val="002E4B4B"/>
    <w:rsid w:val="002E5043"/>
    <w:rsid w:val="002E6692"/>
    <w:rsid w:val="002E7409"/>
    <w:rsid w:val="002F0084"/>
    <w:rsid w:val="002F1960"/>
    <w:rsid w:val="002F285E"/>
    <w:rsid w:val="002F2B0C"/>
    <w:rsid w:val="002F2CE2"/>
    <w:rsid w:val="002F329E"/>
    <w:rsid w:val="002F4346"/>
    <w:rsid w:val="002F57B4"/>
    <w:rsid w:val="002F68FA"/>
    <w:rsid w:val="002F7A40"/>
    <w:rsid w:val="002F7CDE"/>
    <w:rsid w:val="002F7F00"/>
    <w:rsid w:val="00300940"/>
    <w:rsid w:val="0030283B"/>
    <w:rsid w:val="00303B1E"/>
    <w:rsid w:val="00303B5C"/>
    <w:rsid w:val="00304AB6"/>
    <w:rsid w:val="00304B33"/>
    <w:rsid w:val="00304F6A"/>
    <w:rsid w:val="003079E0"/>
    <w:rsid w:val="003102F9"/>
    <w:rsid w:val="003108CE"/>
    <w:rsid w:val="0031171D"/>
    <w:rsid w:val="00311C43"/>
    <w:rsid w:val="00312C5F"/>
    <w:rsid w:val="003131AB"/>
    <w:rsid w:val="00316261"/>
    <w:rsid w:val="0032087B"/>
    <w:rsid w:val="003217BE"/>
    <w:rsid w:val="00321AD3"/>
    <w:rsid w:val="003223AF"/>
    <w:rsid w:val="00322F48"/>
    <w:rsid w:val="003242DE"/>
    <w:rsid w:val="003254E0"/>
    <w:rsid w:val="00325BA3"/>
    <w:rsid w:val="00326148"/>
    <w:rsid w:val="00331082"/>
    <w:rsid w:val="00331277"/>
    <w:rsid w:val="00336F93"/>
    <w:rsid w:val="003374B5"/>
    <w:rsid w:val="00337E79"/>
    <w:rsid w:val="00340031"/>
    <w:rsid w:val="003410AC"/>
    <w:rsid w:val="00341B6C"/>
    <w:rsid w:val="003424D6"/>
    <w:rsid w:val="003437FC"/>
    <w:rsid w:val="00343F5E"/>
    <w:rsid w:val="00344B8E"/>
    <w:rsid w:val="00345214"/>
    <w:rsid w:val="00345D43"/>
    <w:rsid w:val="0034630A"/>
    <w:rsid w:val="00346DA5"/>
    <w:rsid w:val="003471AE"/>
    <w:rsid w:val="0034782B"/>
    <w:rsid w:val="00347D83"/>
    <w:rsid w:val="00350DC1"/>
    <w:rsid w:val="0035121E"/>
    <w:rsid w:val="003527AE"/>
    <w:rsid w:val="0035540A"/>
    <w:rsid w:val="003558E5"/>
    <w:rsid w:val="00355E48"/>
    <w:rsid w:val="003561CF"/>
    <w:rsid w:val="00356FA9"/>
    <w:rsid w:val="00357885"/>
    <w:rsid w:val="00361751"/>
    <w:rsid w:val="00361775"/>
    <w:rsid w:val="00363BBA"/>
    <w:rsid w:val="00364AF5"/>
    <w:rsid w:val="00365A65"/>
    <w:rsid w:val="00366440"/>
    <w:rsid w:val="00370054"/>
    <w:rsid w:val="00370C46"/>
    <w:rsid w:val="00370CEB"/>
    <w:rsid w:val="00370DE5"/>
    <w:rsid w:val="00370FA6"/>
    <w:rsid w:val="003718A8"/>
    <w:rsid w:val="0037194C"/>
    <w:rsid w:val="00373BFF"/>
    <w:rsid w:val="00374EA0"/>
    <w:rsid w:val="0037517B"/>
    <w:rsid w:val="00376B23"/>
    <w:rsid w:val="00376C1E"/>
    <w:rsid w:val="00377553"/>
    <w:rsid w:val="003775CE"/>
    <w:rsid w:val="00377B4B"/>
    <w:rsid w:val="00377DE9"/>
    <w:rsid w:val="00380575"/>
    <w:rsid w:val="00380D7B"/>
    <w:rsid w:val="003814A9"/>
    <w:rsid w:val="00382413"/>
    <w:rsid w:val="00383A1D"/>
    <w:rsid w:val="00384934"/>
    <w:rsid w:val="0038597A"/>
    <w:rsid w:val="00386056"/>
    <w:rsid w:val="00386FE5"/>
    <w:rsid w:val="00387166"/>
    <w:rsid w:val="0038739F"/>
    <w:rsid w:val="00390EDA"/>
    <w:rsid w:val="00392182"/>
    <w:rsid w:val="0039285C"/>
    <w:rsid w:val="003934BF"/>
    <w:rsid w:val="0039496B"/>
    <w:rsid w:val="0039506D"/>
    <w:rsid w:val="00396226"/>
    <w:rsid w:val="00397E1A"/>
    <w:rsid w:val="003A035A"/>
    <w:rsid w:val="003A0747"/>
    <w:rsid w:val="003A0A59"/>
    <w:rsid w:val="003A1032"/>
    <w:rsid w:val="003A1532"/>
    <w:rsid w:val="003A1D4B"/>
    <w:rsid w:val="003A25D8"/>
    <w:rsid w:val="003A2696"/>
    <w:rsid w:val="003A342F"/>
    <w:rsid w:val="003A5847"/>
    <w:rsid w:val="003A6859"/>
    <w:rsid w:val="003A6D09"/>
    <w:rsid w:val="003A7007"/>
    <w:rsid w:val="003A7B47"/>
    <w:rsid w:val="003B068A"/>
    <w:rsid w:val="003B0D28"/>
    <w:rsid w:val="003B1A87"/>
    <w:rsid w:val="003B28AB"/>
    <w:rsid w:val="003B3643"/>
    <w:rsid w:val="003B511F"/>
    <w:rsid w:val="003B55A9"/>
    <w:rsid w:val="003B67D0"/>
    <w:rsid w:val="003B6A7F"/>
    <w:rsid w:val="003B767C"/>
    <w:rsid w:val="003C05BE"/>
    <w:rsid w:val="003C111A"/>
    <w:rsid w:val="003C12C5"/>
    <w:rsid w:val="003C1365"/>
    <w:rsid w:val="003C1744"/>
    <w:rsid w:val="003C321E"/>
    <w:rsid w:val="003C3822"/>
    <w:rsid w:val="003C71F6"/>
    <w:rsid w:val="003C7AD3"/>
    <w:rsid w:val="003D065C"/>
    <w:rsid w:val="003D3271"/>
    <w:rsid w:val="003D365E"/>
    <w:rsid w:val="003D3B1D"/>
    <w:rsid w:val="003D45A2"/>
    <w:rsid w:val="003D47D9"/>
    <w:rsid w:val="003D5CC3"/>
    <w:rsid w:val="003D5DBE"/>
    <w:rsid w:val="003D6D21"/>
    <w:rsid w:val="003D7CA2"/>
    <w:rsid w:val="003E0429"/>
    <w:rsid w:val="003E0598"/>
    <w:rsid w:val="003E09C1"/>
    <w:rsid w:val="003E0E7D"/>
    <w:rsid w:val="003E174A"/>
    <w:rsid w:val="003E36A1"/>
    <w:rsid w:val="003E38D9"/>
    <w:rsid w:val="003E418C"/>
    <w:rsid w:val="003E4470"/>
    <w:rsid w:val="003E4E84"/>
    <w:rsid w:val="003E5BBA"/>
    <w:rsid w:val="003E5C47"/>
    <w:rsid w:val="003E7555"/>
    <w:rsid w:val="003F1BEC"/>
    <w:rsid w:val="003F22D9"/>
    <w:rsid w:val="003F3173"/>
    <w:rsid w:val="003F3978"/>
    <w:rsid w:val="003F3BC8"/>
    <w:rsid w:val="003F3E07"/>
    <w:rsid w:val="003F409A"/>
    <w:rsid w:val="003F426A"/>
    <w:rsid w:val="003F526C"/>
    <w:rsid w:val="003F5C10"/>
    <w:rsid w:val="003F5DD0"/>
    <w:rsid w:val="003F5E08"/>
    <w:rsid w:val="003F6092"/>
    <w:rsid w:val="003F6689"/>
    <w:rsid w:val="003F7652"/>
    <w:rsid w:val="00400FE3"/>
    <w:rsid w:val="0040147E"/>
    <w:rsid w:val="00401E9E"/>
    <w:rsid w:val="00402D98"/>
    <w:rsid w:val="004035D3"/>
    <w:rsid w:val="00403669"/>
    <w:rsid w:val="00404841"/>
    <w:rsid w:val="00404A2D"/>
    <w:rsid w:val="004052F6"/>
    <w:rsid w:val="004057D9"/>
    <w:rsid w:val="004063C3"/>
    <w:rsid w:val="00406E4F"/>
    <w:rsid w:val="0040731C"/>
    <w:rsid w:val="00407B72"/>
    <w:rsid w:val="00410439"/>
    <w:rsid w:val="00410843"/>
    <w:rsid w:val="004115A8"/>
    <w:rsid w:val="00411A1B"/>
    <w:rsid w:val="00412059"/>
    <w:rsid w:val="00412390"/>
    <w:rsid w:val="00412D72"/>
    <w:rsid w:val="00413522"/>
    <w:rsid w:val="00413A15"/>
    <w:rsid w:val="0041611D"/>
    <w:rsid w:val="004168BB"/>
    <w:rsid w:val="00416D81"/>
    <w:rsid w:val="00417D31"/>
    <w:rsid w:val="0042061A"/>
    <w:rsid w:val="0042156B"/>
    <w:rsid w:val="00421D57"/>
    <w:rsid w:val="00422BAB"/>
    <w:rsid w:val="00422CF0"/>
    <w:rsid w:val="0042491D"/>
    <w:rsid w:val="00424F05"/>
    <w:rsid w:val="004310EC"/>
    <w:rsid w:val="00431852"/>
    <w:rsid w:val="00431887"/>
    <w:rsid w:val="00432E36"/>
    <w:rsid w:val="004330F3"/>
    <w:rsid w:val="004332CB"/>
    <w:rsid w:val="0043521A"/>
    <w:rsid w:val="0043633E"/>
    <w:rsid w:val="004368EB"/>
    <w:rsid w:val="004375AE"/>
    <w:rsid w:val="00440A15"/>
    <w:rsid w:val="0044133A"/>
    <w:rsid w:val="00441E79"/>
    <w:rsid w:val="00441F87"/>
    <w:rsid w:val="00442054"/>
    <w:rsid w:val="004423A0"/>
    <w:rsid w:val="00443359"/>
    <w:rsid w:val="00443481"/>
    <w:rsid w:val="00443CB9"/>
    <w:rsid w:val="00444936"/>
    <w:rsid w:val="004459AB"/>
    <w:rsid w:val="00445E9F"/>
    <w:rsid w:val="004462C6"/>
    <w:rsid w:val="0044636E"/>
    <w:rsid w:val="004466FD"/>
    <w:rsid w:val="00447824"/>
    <w:rsid w:val="00447955"/>
    <w:rsid w:val="00450217"/>
    <w:rsid w:val="00450CF3"/>
    <w:rsid w:val="00450F0E"/>
    <w:rsid w:val="00452300"/>
    <w:rsid w:val="0045437F"/>
    <w:rsid w:val="004546B9"/>
    <w:rsid w:val="00455A8F"/>
    <w:rsid w:val="00456901"/>
    <w:rsid w:val="00463BCE"/>
    <w:rsid w:val="004666A1"/>
    <w:rsid w:val="00467A7C"/>
    <w:rsid w:val="004732F2"/>
    <w:rsid w:val="00477A8F"/>
    <w:rsid w:val="0048063B"/>
    <w:rsid w:val="00480A7D"/>
    <w:rsid w:val="00480C9E"/>
    <w:rsid w:val="004820A3"/>
    <w:rsid w:val="00482BDC"/>
    <w:rsid w:val="004832BE"/>
    <w:rsid w:val="00483A58"/>
    <w:rsid w:val="00483BEA"/>
    <w:rsid w:val="0048453F"/>
    <w:rsid w:val="0048608F"/>
    <w:rsid w:val="0048625E"/>
    <w:rsid w:val="004862A6"/>
    <w:rsid w:val="00486A39"/>
    <w:rsid w:val="004914F0"/>
    <w:rsid w:val="004916C5"/>
    <w:rsid w:val="004921F8"/>
    <w:rsid w:val="00493481"/>
    <w:rsid w:val="004934B1"/>
    <w:rsid w:val="0049637E"/>
    <w:rsid w:val="00496422"/>
    <w:rsid w:val="00496AC5"/>
    <w:rsid w:val="00497697"/>
    <w:rsid w:val="004976E9"/>
    <w:rsid w:val="004977CA"/>
    <w:rsid w:val="00497FEE"/>
    <w:rsid w:val="004A0DDE"/>
    <w:rsid w:val="004A1D24"/>
    <w:rsid w:val="004A34A5"/>
    <w:rsid w:val="004A3FE8"/>
    <w:rsid w:val="004A4C47"/>
    <w:rsid w:val="004A5208"/>
    <w:rsid w:val="004A6525"/>
    <w:rsid w:val="004A7D10"/>
    <w:rsid w:val="004B0D0F"/>
    <w:rsid w:val="004B2A86"/>
    <w:rsid w:val="004B3532"/>
    <w:rsid w:val="004B35B6"/>
    <w:rsid w:val="004B36FE"/>
    <w:rsid w:val="004B4C0C"/>
    <w:rsid w:val="004B4DA7"/>
    <w:rsid w:val="004B59E5"/>
    <w:rsid w:val="004B62D9"/>
    <w:rsid w:val="004B68C0"/>
    <w:rsid w:val="004C02FE"/>
    <w:rsid w:val="004C0C6F"/>
    <w:rsid w:val="004C2DEA"/>
    <w:rsid w:val="004C32A2"/>
    <w:rsid w:val="004C32EE"/>
    <w:rsid w:val="004C41D3"/>
    <w:rsid w:val="004C43CC"/>
    <w:rsid w:val="004C4832"/>
    <w:rsid w:val="004C4AF0"/>
    <w:rsid w:val="004C4FE3"/>
    <w:rsid w:val="004C615B"/>
    <w:rsid w:val="004C6B76"/>
    <w:rsid w:val="004C7777"/>
    <w:rsid w:val="004D0201"/>
    <w:rsid w:val="004D08A1"/>
    <w:rsid w:val="004D0F31"/>
    <w:rsid w:val="004D1339"/>
    <w:rsid w:val="004D13CE"/>
    <w:rsid w:val="004D31C7"/>
    <w:rsid w:val="004D34FC"/>
    <w:rsid w:val="004D3CE5"/>
    <w:rsid w:val="004D3D7F"/>
    <w:rsid w:val="004D76F4"/>
    <w:rsid w:val="004D7F17"/>
    <w:rsid w:val="004E0375"/>
    <w:rsid w:val="004E050E"/>
    <w:rsid w:val="004E0CBA"/>
    <w:rsid w:val="004E137D"/>
    <w:rsid w:val="004E1548"/>
    <w:rsid w:val="004E2B6A"/>
    <w:rsid w:val="004E3AAE"/>
    <w:rsid w:val="004E4A0F"/>
    <w:rsid w:val="004E6B7D"/>
    <w:rsid w:val="004E7F37"/>
    <w:rsid w:val="004F0C53"/>
    <w:rsid w:val="004F1E2C"/>
    <w:rsid w:val="004F208F"/>
    <w:rsid w:val="004F347B"/>
    <w:rsid w:val="004F36F1"/>
    <w:rsid w:val="004F3E37"/>
    <w:rsid w:val="004F3E3C"/>
    <w:rsid w:val="004F4089"/>
    <w:rsid w:val="004F436C"/>
    <w:rsid w:val="004F4D64"/>
    <w:rsid w:val="004F4F68"/>
    <w:rsid w:val="004F6EE5"/>
    <w:rsid w:val="004F7B54"/>
    <w:rsid w:val="005007F7"/>
    <w:rsid w:val="00503901"/>
    <w:rsid w:val="00503CBD"/>
    <w:rsid w:val="005051F8"/>
    <w:rsid w:val="00505A56"/>
    <w:rsid w:val="0050672A"/>
    <w:rsid w:val="00507E64"/>
    <w:rsid w:val="005103C6"/>
    <w:rsid w:val="00510C87"/>
    <w:rsid w:val="00511303"/>
    <w:rsid w:val="00511D21"/>
    <w:rsid w:val="00511D8D"/>
    <w:rsid w:val="00511DE6"/>
    <w:rsid w:val="005126E0"/>
    <w:rsid w:val="00514A36"/>
    <w:rsid w:val="0051568E"/>
    <w:rsid w:val="00520329"/>
    <w:rsid w:val="0052037C"/>
    <w:rsid w:val="00520F9C"/>
    <w:rsid w:val="00522EDE"/>
    <w:rsid w:val="005235BC"/>
    <w:rsid w:val="00523F73"/>
    <w:rsid w:val="00524890"/>
    <w:rsid w:val="00524E0D"/>
    <w:rsid w:val="00525244"/>
    <w:rsid w:val="00525492"/>
    <w:rsid w:val="00526141"/>
    <w:rsid w:val="00526F41"/>
    <w:rsid w:val="0053116C"/>
    <w:rsid w:val="0053226A"/>
    <w:rsid w:val="00532D0A"/>
    <w:rsid w:val="005331AA"/>
    <w:rsid w:val="00534C6F"/>
    <w:rsid w:val="00535119"/>
    <w:rsid w:val="0053529A"/>
    <w:rsid w:val="005352E5"/>
    <w:rsid w:val="00537856"/>
    <w:rsid w:val="0054408F"/>
    <w:rsid w:val="00545923"/>
    <w:rsid w:val="00545925"/>
    <w:rsid w:val="0054768C"/>
    <w:rsid w:val="00551837"/>
    <w:rsid w:val="00557762"/>
    <w:rsid w:val="00557A78"/>
    <w:rsid w:val="00557AA0"/>
    <w:rsid w:val="005602AB"/>
    <w:rsid w:val="00560F02"/>
    <w:rsid w:val="00561054"/>
    <w:rsid w:val="005618E7"/>
    <w:rsid w:val="005623F2"/>
    <w:rsid w:val="0056256A"/>
    <w:rsid w:val="0056377C"/>
    <w:rsid w:val="00563C5E"/>
    <w:rsid w:val="00563D2B"/>
    <w:rsid w:val="005649F4"/>
    <w:rsid w:val="00565EAD"/>
    <w:rsid w:val="005665AA"/>
    <w:rsid w:val="00566BE9"/>
    <w:rsid w:val="0056725D"/>
    <w:rsid w:val="00570086"/>
    <w:rsid w:val="00570D25"/>
    <w:rsid w:val="005719BD"/>
    <w:rsid w:val="00573284"/>
    <w:rsid w:val="00573B70"/>
    <w:rsid w:val="00573D7D"/>
    <w:rsid w:val="00574141"/>
    <w:rsid w:val="0057450A"/>
    <w:rsid w:val="0057566B"/>
    <w:rsid w:val="00575B66"/>
    <w:rsid w:val="0057739C"/>
    <w:rsid w:val="00580416"/>
    <w:rsid w:val="00580770"/>
    <w:rsid w:val="00580C10"/>
    <w:rsid w:val="0058331E"/>
    <w:rsid w:val="00583566"/>
    <w:rsid w:val="005841F3"/>
    <w:rsid w:val="0058465D"/>
    <w:rsid w:val="00584B24"/>
    <w:rsid w:val="00585197"/>
    <w:rsid w:val="00585969"/>
    <w:rsid w:val="005872AE"/>
    <w:rsid w:val="0058768D"/>
    <w:rsid w:val="0059017D"/>
    <w:rsid w:val="0059071C"/>
    <w:rsid w:val="00590830"/>
    <w:rsid w:val="00591828"/>
    <w:rsid w:val="0059284D"/>
    <w:rsid w:val="00592EF6"/>
    <w:rsid w:val="005932A4"/>
    <w:rsid w:val="00593A35"/>
    <w:rsid w:val="005964FB"/>
    <w:rsid w:val="00596A43"/>
    <w:rsid w:val="00596B9A"/>
    <w:rsid w:val="00596DC3"/>
    <w:rsid w:val="005A0820"/>
    <w:rsid w:val="005A0A05"/>
    <w:rsid w:val="005A1488"/>
    <w:rsid w:val="005A4B1F"/>
    <w:rsid w:val="005A53D5"/>
    <w:rsid w:val="005A5BE8"/>
    <w:rsid w:val="005A770A"/>
    <w:rsid w:val="005A79CB"/>
    <w:rsid w:val="005B1003"/>
    <w:rsid w:val="005B1EA6"/>
    <w:rsid w:val="005B25AF"/>
    <w:rsid w:val="005B25EA"/>
    <w:rsid w:val="005B25F3"/>
    <w:rsid w:val="005B3EFB"/>
    <w:rsid w:val="005B4779"/>
    <w:rsid w:val="005B5C03"/>
    <w:rsid w:val="005C3046"/>
    <w:rsid w:val="005C3106"/>
    <w:rsid w:val="005C519C"/>
    <w:rsid w:val="005D1C63"/>
    <w:rsid w:val="005D28B1"/>
    <w:rsid w:val="005D4AAA"/>
    <w:rsid w:val="005D61F7"/>
    <w:rsid w:val="005D6235"/>
    <w:rsid w:val="005D6D83"/>
    <w:rsid w:val="005E25F3"/>
    <w:rsid w:val="005E29F0"/>
    <w:rsid w:val="005E2B0E"/>
    <w:rsid w:val="005E30D2"/>
    <w:rsid w:val="005E4840"/>
    <w:rsid w:val="005E52D9"/>
    <w:rsid w:val="005E603E"/>
    <w:rsid w:val="005E685D"/>
    <w:rsid w:val="005E717F"/>
    <w:rsid w:val="005E7C90"/>
    <w:rsid w:val="005F077C"/>
    <w:rsid w:val="005F1FB7"/>
    <w:rsid w:val="005F21B8"/>
    <w:rsid w:val="005F4491"/>
    <w:rsid w:val="005F4DAD"/>
    <w:rsid w:val="005F7EB6"/>
    <w:rsid w:val="0060053D"/>
    <w:rsid w:val="00601B2F"/>
    <w:rsid w:val="00602062"/>
    <w:rsid w:val="00602389"/>
    <w:rsid w:val="00603788"/>
    <w:rsid w:val="006040C0"/>
    <w:rsid w:val="00604596"/>
    <w:rsid w:val="00606252"/>
    <w:rsid w:val="0060631C"/>
    <w:rsid w:val="0060732F"/>
    <w:rsid w:val="00607746"/>
    <w:rsid w:val="00607E90"/>
    <w:rsid w:val="00611650"/>
    <w:rsid w:val="00612EEE"/>
    <w:rsid w:val="006137FF"/>
    <w:rsid w:val="00613BAD"/>
    <w:rsid w:val="00614E26"/>
    <w:rsid w:val="00615179"/>
    <w:rsid w:val="00616EBA"/>
    <w:rsid w:val="00617594"/>
    <w:rsid w:val="0062109F"/>
    <w:rsid w:val="00621CA6"/>
    <w:rsid w:val="006220A0"/>
    <w:rsid w:val="00622F4D"/>
    <w:rsid w:val="006232D5"/>
    <w:rsid w:val="00625444"/>
    <w:rsid w:val="006254D9"/>
    <w:rsid w:val="006276EA"/>
    <w:rsid w:val="0063039F"/>
    <w:rsid w:val="00631C5A"/>
    <w:rsid w:val="00631C6D"/>
    <w:rsid w:val="006320DF"/>
    <w:rsid w:val="00632592"/>
    <w:rsid w:val="00632C08"/>
    <w:rsid w:val="0063438C"/>
    <w:rsid w:val="00634B2A"/>
    <w:rsid w:val="00636863"/>
    <w:rsid w:val="00637526"/>
    <w:rsid w:val="006378BC"/>
    <w:rsid w:val="006403A1"/>
    <w:rsid w:val="00640827"/>
    <w:rsid w:val="006414B3"/>
    <w:rsid w:val="00641C8F"/>
    <w:rsid w:val="00642781"/>
    <w:rsid w:val="00644318"/>
    <w:rsid w:val="00645A24"/>
    <w:rsid w:val="00646AC7"/>
    <w:rsid w:val="00650796"/>
    <w:rsid w:val="00652898"/>
    <w:rsid w:val="00652A81"/>
    <w:rsid w:val="006536ED"/>
    <w:rsid w:val="00653F94"/>
    <w:rsid w:val="00654B62"/>
    <w:rsid w:val="00656652"/>
    <w:rsid w:val="00656696"/>
    <w:rsid w:val="00656B0D"/>
    <w:rsid w:val="00657EED"/>
    <w:rsid w:val="00660286"/>
    <w:rsid w:val="00661C09"/>
    <w:rsid w:val="00661F03"/>
    <w:rsid w:val="00662CD8"/>
    <w:rsid w:val="0066301C"/>
    <w:rsid w:val="00663218"/>
    <w:rsid w:val="00663ADD"/>
    <w:rsid w:val="00663BF1"/>
    <w:rsid w:val="00664242"/>
    <w:rsid w:val="00667284"/>
    <w:rsid w:val="00667B5D"/>
    <w:rsid w:val="0067074A"/>
    <w:rsid w:val="006716B8"/>
    <w:rsid w:val="00672166"/>
    <w:rsid w:val="00672994"/>
    <w:rsid w:val="0067308A"/>
    <w:rsid w:val="00673DEB"/>
    <w:rsid w:val="006748DE"/>
    <w:rsid w:val="006752FB"/>
    <w:rsid w:val="00676D39"/>
    <w:rsid w:val="00677381"/>
    <w:rsid w:val="006774C4"/>
    <w:rsid w:val="00677EA8"/>
    <w:rsid w:val="00680698"/>
    <w:rsid w:val="00681054"/>
    <w:rsid w:val="0068176C"/>
    <w:rsid w:val="00681FC9"/>
    <w:rsid w:val="00682447"/>
    <w:rsid w:val="00682CB6"/>
    <w:rsid w:val="00683766"/>
    <w:rsid w:val="00683DA0"/>
    <w:rsid w:val="00684567"/>
    <w:rsid w:val="00684D18"/>
    <w:rsid w:val="00686164"/>
    <w:rsid w:val="00686B4D"/>
    <w:rsid w:val="00687E2A"/>
    <w:rsid w:val="00690715"/>
    <w:rsid w:val="00691456"/>
    <w:rsid w:val="006914AB"/>
    <w:rsid w:val="00692E0C"/>
    <w:rsid w:val="00692E90"/>
    <w:rsid w:val="00692EC6"/>
    <w:rsid w:val="0069386C"/>
    <w:rsid w:val="00693D6D"/>
    <w:rsid w:val="00694524"/>
    <w:rsid w:val="00694E4A"/>
    <w:rsid w:val="00695BB9"/>
    <w:rsid w:val="00695EA1"/>
    <w:rsid w:val="0069621A"/>
    <w:rsid w:val="00696929"/>
    <w:rsid w:val="006971EE"/>
    <w:rsid w:val="006973B9"/>
    <w:rsid w:val="006A04F4"/>
    <w:rsid w:val="006A0E64"/>
    <w:rsid w:val="006A101E"/>
    <w:rsid w:val="006A206F"/>
    <w:rsid w:val="006A2098"/>
    <w:rsid w:val="006A408C"/>
    <w:rsid w:val="006A46D9"/>
    <w:rsid w:val="006A47A9"/>
    <w:rsid w:val="006A755E"/>
    <w:rsid w:val="006A76E2"/>
    <w:rsid w:val="006A779D"/>
    <w:rsid w:val="006A7A35"/>
    <w:rsid w:val="006B0BD9"/>
    <w:rsid w:val="006B1195"/>
    <w:rsid w:val="006B1798"/>
    <w:rsid w:val="006B186B"/>
    <w:rsid w:val="006B19CA"/>
    <w:rsid w:val="006B1CF7"/>
    <w:rsid w:val="006B3106"/>
    <w:rsid w:val="006B3512"/>
    <w:rsid w:val="006B36CB"/>
    <w:rsid w:val="006B38B1"/>
    <w:rsid w:val="006B3928"/>
    <w:rsid w:val="006B63D1"/>
    <w:rsid w:val="006B67DA"/>
    <w:rsid w:val="006B789B"/>
    <w:rsid w:val="006B7DCC"/>
    <w:rsid w:val="006C0144"/>
    <w:rsid w:val="006C24ED"/>
    <w:rsid w:val="006C2E86"/>
    <w:rsid w:val="006C33D1"/>
    <w:rsid w:val="006C4A41"/>
    <w:rsid w:val="006C55EC"/>
    <w:rsid w:val="006C5BEA"/>
    <w:rsid w:val="006D1442"/>
    <w:rsid w:val="006D4814"/>
    <w:rsid w:val="006D62C5"/>
    <w:rsid w:val="006D68BE"/>
    <w:rsid w:val="006D76AC"/>
    <w:rsid w:val="006D7BBF"/>
    <w:rsid w:val="006E0265"/>
    <w:rsid w:val="006E197B"/>
    <w:rsid w:val="006E333D"/>
    <w:rsid w:val="006E346A"/>
    <w:rsid w:val="006E41EE"/>
    <w:rsid w:val="006E4BF4"/>
    <w:rsid w:val="006E4D7A"/>
    <w:rsid w:val="006E5BB5"/>
    <w:rsid w:val="006E6086"/>
    <w:rsid w:val="006E62F3"/>
    <w:rsid w:val="006E7C7A"/>
    <w:rsid w:val="006F0A9E"/>
    <w:rsid w:val="006F14C4"/>
    <w:rsid w:val="006F14C8"/>
    <w:rsid w:val="006F4193"/>
    <w:rsid w:val="006F4430"/>
    <w:rsid w:val="006F44A5"/>
    <w:rsid w:val="006F4574"/>
    <w:rsid w:val="006F46DF"/>
    <w:rsid w:val="006F49B5"/>
    <w:rsid w:val="006F6445"/>
    <w:rsid w:val="007022D6"/>
    <w:rsid w:val="00703799"/>
    <w:rsid w:val="007042D3"/>
    <w:rsid w:val="007054D1"/>
    <w:rsid w:val="00705C33"/>
    <w:rsid w:val="0070609C"/>
    <w:rsid w:val="00706BED"/>
    <w:rsid w:val="00710DF8"/>
    <w:rsid w:val="00711484"/>
    <w:rsid w:val="007118FF"/>
    <w:rsid w:val="00711A2E"/>
    <w:rsid w:val="007136FC"/>
    <w:rsid w:val="007144BD"/>
    <w:rsid w:val="00714925"/>
    <w:rsid w:val="00714B31"/>
    <w:rsid w:val="00714EBB"/>
    <w:rsid w:val="007170F4"/>
    <w:rsid w:val="007176BF"/>
    <w:rsid w:val="00720DE9"/>
    <w:rsid w:val="00724313"/>
    <w:rsid w:val="00724FC5"/>
    <w:rsid w:val="0072586B"/>
    <w:rsid w:val="0072632A"/>
    <w:rsid w:val="00726549"/>
    <w:rsid w:val="0072738E"/>
    <w:rsid w:val="00727A2B"/>
    <w:rsid w:val="00730114"/>
    <w:rsid w:val="00730313"/>
    <w:rsid w:val="00730659"/>
    <w:rsid w:val="00731C37"/>
    <w:rsid w:val="00732C7C"/>
    <w:rsid w:val="00732FA1"/>
    <w:rsid w:val="007342A8"/>
    <w:rsid w:val="00734583"/>
    <w:rsid w:val="00734671"/>
    <w:rsid w:val="00735519"/>
    <w:rsid w:val="007372CB"/>
    <w:rsid w:val="00737674"/>
    <w:rsid w:val="00737C85"/>
    <w:rsid w:val="00740E01"/>
    <w:rsid w:val="0074147B"/>
    <w:rsid w:val="00741B85"/>
    <w:rsid w:val="00741BF7"/>
    <w:rsid w:val="00741E81"/>
    <w:rsid w:val="00742508"/>
    <w:rsid w:val="00742C6D"/>
    <w:rsid w:val="007439E3"/>
    <w:rsid w:val="00743FA8"/>
    <w:rsid w:val="00745196"/>
    <w:rsid w:val="00745E50"/>
    <w:rsid w:val="00746905"/>
    <w:rsid w:val="00746FC4"/>
    <w:rsid w:val="00747A47"/>
    <w:rsid w:val="00747F7E"/>
    <w:rsid w:val="00751522"/>
    <w:rsid w:val="00751C4D"/>
    <w:rsid w:val="00752C6B"/>
    <w:rsid w:val="00753314"/>
    <w:rsid w:val="007536F1"/>
    <w:rsid w:val="00754501"/>
    <w:rsid w:val="00755A17"/>
    <w:rsid w:val="00755E6F"/>
    <w:rsid w:val="00756ECE"/>
    <w:rsid w:val="00757942"/>
    <w:rsid w:val="007609CE"/>
    <w:rsid w:val="0076148E"/>
    <w:rsid w:val="00762E60"/>
    <w:rsid w:val="00763217"/>
    <w:rsid w:val="007640A4"/>
    <w:rsid w:val="00764358"/>
    <w:rsid w:val="00766135"/>
    <w:rsid w:val="00767DBC"/>
    <w:rsid w:val="00767FFC"/>
    <w:rsid w:val="007708B6"/>
    <w:rsid w:val="00770DC4"/>
    <w:rsid w:val="007714D5"/>
    <w:rsid w:val="007715F5"/>
    <w:rsid w:val="00773D57"/>
    <w:rsid w:val="00774130"/>
    <w:rsid w:val="00774160"/>
    <w:rsid w:val="007744C4"/>
    <w:rsid w:val="00774E3F"/>
    <w:rsid w:val="00775004"/>
    <w:rsid w:val="00775489"/>
    <w:rsid w:val="007775ED"/>
    <w:rsid w:val="007812AA"/>
    <w:rsid w:val="00781F71"/>
    <w:rsid w:val="00783C07"/>
    <w:rsid w:val="007844E3"/>
    <w:rsid w:val="00784DA3"/>
    <w:rsid w:val="007854CE"/>
    <w:rsid w:val="0078683A"/>
    <w:rsid w:val="00787E0A"/>
    <w:rsid w:val="007900D8"/>
    <w:rsid w:val="00790237"/>
    <w:rsid w:val="00790D19"/>
    <w:rsid w:val="007927D9"/>
    <w:rsid w:val="00792D1E"/>
    <w:rsid w:val="00794C42"/>
    <w:rsid w:val="007A1CF9"/>
    <w:rsid w:val="007A3189"/>
    <w:rsid w:val="007A3F37"/>
    <w:rsid w:val="007A4683"/>
    <w:rsid w:val="007A5180"/>
    <w:rsid w:val="007A5A27"/>
    <w:rsid w:val="007A5F4D"/>
    <w:rsid w:val="007A74B5"/>
    <w:rsid w:val="007B029B"/>
    <w:rsid w:val="007B0848"/>
    <w:rsid w:val="007B366C"/>
    <w:rsid w:val="007B395B"/>
    <w:rsid w:val="007B3AB2"/>
    <w:rsid w:val="007B4BB8"/>
    <w:rsid w:val="007B6CC2"/>
    <w:rsid w:val="007B7BD7"/>
    <w:rsid w:val="007B7D08"/>
    <w:rsid w:val="007C0A39"/>
    <w:rsid w:val="007C0C10"/>
    <w:rsid w:val="007C1103"/>
    <w:rsid w:val="007C16C0"/>
    <w:rsid w:val="007C28E2"/>
    <w:rsid w:val="007C3039"/>
    <w:rsid w:val="007C37D8"/>
    <w:rsid w:val="007C3E84"/>
    <w:rsid w:val="007C40ED"/>
    <w:rsid w:val="007C4505"/>
    <w:rsid w:val="007C51B7"/>
    <w:rsid w:val="007C51D0"/>
    <w:rsid w:val="007C6FA7"/>
    <w:rsid w:val="007D0223"/>
    <w:rsid w:val="007D2A89"/>
    <w:rsid w:val="007D2E6B"/>
    <w:rsid w:val="007D2EA4"/>
    <w:rsid w:val="007D370F"/>
    <w:rsid w:val="007D41A0"/>
    <w:rsid w:val="007D4A0E"/>
    <w:rsid w:val="007D4C7B"/>
    <w:rsid w:val="007D4E49"/>
    <w:rsid w:val="007D667C"/>
    <w:rsid w:val="007D75B6"/>
    <w:rsid w:val="007D7A7B"/>
    <w:rsid w:val="007E059B"/>
    <w:rsid w:val="007E1077"/>
    <w:rsid w:val="007E1552"/>
    <w:rsid w:val="007E3145"/>
    <w:rsid w:val="007E3E8B"/>
    <w:rsid w:val="007E4433"/>
    <w:rsid w:val="007E4FA0"/>
    <w:rsid w:val="007E5C5F"/>
    <w:rsid w:val="007E7672"/>
    <w:rsid w:val="007E7DA2"/>
    <w:rsid w:val="007F036B"/>
    <w:rsid w:val="007F0BC2"/>
    <w:rsid w:val="007F1C34"/>
    <w:rsid w:val="007F2202"/>
    <w:rsid w:val="007F3691"/>
    <w:rsid w:val="007F3E14"/>
    <w:rsid w:val="007F4044"/>
    <w:rsid w:val="007F5851"/>
    <w:rsid w:val="007F5B12"/>
    <w:rsid w:val="007F62BE"/>
    <w:rsid w:val="007F661E"/>
    <w:rsid w:val="007F78DF"/>
    <w:rsid w:val="007F79CC"/>
    <w:rsid w:val="00801065"/>
    <w:rsid w:val="00801A93"/>
    <w:rsid w:val="008021E0"/>
    <w:rsid w:val="00802648"/>
    <w:rsid w:val="0080384A"/>
    <w:rsid w:val="008040B1"/>
    <w:rsid w:val="008045F9"/>
    <w:rsid w:val="008048DD"/>
    <w:rsid w:val="00804B80"/>
    <w:rsid w:val="00804EF3"/>
    <w:rsid w:val="008050B0"/>
    <w:rsid w:val="008054BA"/>
    <w:rsid w:val="00806288"/>
    <w:rsid w:val="00806580"/>
    <w:rsid w:val="0080731D"/>
    <w:rsid w:val="008101E9"/>
    <w:rsid w:val="00810D8D"/>
    <w:rsid w:val="00811B2A"/>
    <w:rsid w:val="00813B72"/>
    <w:rsid w:val="0081403E"/>
    <w:rsid w:val="008144EE"/>
    <w:rsid w:val="008153E7"/>
    <w:rsid w:val="0081603F"/>
    <w:rsid w:val="0081692B"/>
    <w:rsid w:val="00816C9F"/>
    <w:rsid w:val="00816DDA"/>
    <w:rsid w:val="0081796F"/>
    <w:rsid w:val="0082029C"/>
    <w:rsid w:val="00820765"/>
    <w:rsid w:val="00820EA9"/>
    <w:rsid w:val="00820F20"/>
    <w:rsid w:val="00821111"/>
    <w:rsid w:val="00821FF1"/>
    <w:rsid w:val="00824204"/>
    <w:rsid w:val="008248BC"/>
    <w:rsid w:val="00824A19"/>
    <w:rsid w:val="00824C41"/>
    <w:rsid w:val="008254A2"/>
    <w:rsid w:val="00825754"/>
    <w:rsid w:val="0082610F"/>
    <w:rsid w:val="00826B52"/>
    <w:rsid w:val="0082775C"/>
    <w:rsid w:val="00827A4F"/>
    <w:rsid w:val="0083026A"/>
    <w:rsid w:val="00830981"/>
    <w:rsid w:val="008330F3"/>
    <w:rsid w:val="00834797"/>
    <w:rsid w:val="00835552"/>
    <w:rsid w:val="00835FAE"/>
    <w:rsid w:val="008363CC"/>
    <w:rsid w:val="0083660F"/>
    <w:rsid w:val="0083791F"/>
    <w:rsid w:val="0084007B"/>
    <w:rsid w:val="00840813"/>
    <w:rsid w:val="00844C2D"/>
    <w:rsid w:val="008451D8"/>
    <w:rsid w:val="008458D4"/>
    <w:rsid w:val="00845A1B"/>
    <w:rsid w:val="00845D00"/>
    <w:rsid w:val="008460C3"/>
    <w:rsid w:val="00846CDD"/>
    <w:rsid w:val="00847A98"/>
    <w:rsid w:val="00850A9B"/>
    <w:rsid w:val="00850EA3"/>
    <w:rsid w:val="00850FF2"/>
    <w:rsid w:val="00851416"/>
    <w:rsid w:val="008546EA"/>
    <w:rsid w:val="008551A7"/>
    <w:rsid w:val="00856156"/>
    <w:rsid w:val="00856D2D"/>
    <w:rsid w:val="008577AF"/>
    <w:rsid w:val="00861390"/>
    <w:rsid w:val="00861732"/>
    <w:rsid w:val="008618FD"/>
    <w:rsid w:val="00862345"/>
    <w:rsid w:val="00862A8C"/>
    <w:rsid w:val="0086357F"/>
    <w:rsid w:val="008642A3"/>
    <w:rsid w:val="00864789"/>
    <w:rsid w:val="00864859"/>
    <w:rsid w:val="00864F14"/>
    <w:rsid w:val="0086626B"/>
    <w:rsid w:val="00866935"/>
    <w:rsid w:val="008672DB"/>
    <w:rsid w:val="00867598"/>
    <w:rsid w:val="0087160B"/>
    <w:rsid w:val="00871806"/>
    <w:rsid w:val="00871E3D"/>
    <w:rsid w:val="008722A0"/>
    <w:rsid w:val="008723D6"/>
    <w:rsid w:val="00872557"/>
    <w:rsid w:val="00872E5D"/>
    <w:rsid w:val="0087320E"/>
    <w:rsid w:val="00873B04"/>
    <w:rsid w:val="008745FF"/>
    <w:rsid w:val="00875129"/>
    <w:rsid w:val="00875974"/>
    <w:rsid w:val="00875C76"/>
    <w:rsid w:val="00877019"/>
    <w:rsid w:val="00880940"/>
    <w:rsid w:val="00880D4D"/>
    <w:rsid w:val="00880FDF"/>
    <w:rsid w:val="0088206F"/>
    <w:rsid w:val="0088281E"/>
    <w:rsid w:val="00883283"/>
    <w:rsid w:val="0088350F"/>
    <w:rsid w:val="008836C6"/>
    <w:rsid w:val="008837AE"/>
    <w:rsid w:val="0088382A"/>
    <w:rsid w:val="00883D35"/>
    <w:rsid w:val="0088451D"/>
    <w:rsid w:val="00884BAE"/>
    <w:rsid w:val="00885776"/>
    <w:rsid w:val="00885994"/>
    <w:rsid w:val="00886ED8"/>
    <w:rsid w:val="00887125"/>
    <w:rsid w:val="00891729"/>
    <w:rsid w:val="008918D2"/>
    <w:rsid w:val="0089287D"/>
    <w:rsid w:val="00895B4B"/>
    <w:rsid w:val="00896798"/>
    <w:rsid w:val="00897241"/>
    <w:rsid w:val="008978B8"/>
    <w:rsid w:val="008A09C9"/>
    <w:rsid w:val="008A11B2"/>
    <w:rsid w:val="008A2A5C"/>
    <w:rsid w:val="008A2FC7"/>
    <w:rsid w:val="008A3253"/>
    <w:rsid w:val="008A3518"/>
    <w:rsid w:val="008A3D5D"/>
    <w:rsid w:val="008A42E9"/>
    <w:rsid w:val="008A4C31"/>
    <w:rsid w:val="008A5069"/>
    <w:rsid w:val="008A53E1"/>
    <w:rsid w:val="008A5E65"/>
    <w:rsid w:val="008A7446"/>
    <w:rsid w:val="008A756D"/>
    <w:rsid w:val="008B02AA"/>
    <w:rsid w:val="008B02D2"/>
    <w:rsid w:val="008B1243"/>
    <w:rsid w:val="008B1484"/>
    <w:rsid w:val="008B14B3"/>
    <w:rsid w:val="008B1B09"/>
    <w:rsid w:val="008B2020"/>
    <w:rsid w:val="008B2F5D"/>
    <w:rsid w:val="008B3BD5"/>
    <w:rsid w:val="008B4A1D"/>
    <w:rsid w:val="008B4BC3"/>
    <w:rsid w:val="008B54A0"/>
    <w:rsid w:val="008B6650"/>
    <w:rsid w:val="008B6B04"/>
    <w:rsid w:val="008C27E4"/>
    <w:rsid w:val="008C3286"/>
    <w:rsid w:val="008C352F"/>
    <w:rsid w:val="008C4765"/>
    <w:rsid w:val="008C585D"/>
    <w:rsid w:val="008C7F34"/>
    <w:rsid w:val="008D0115"/>
    <w:rsid w:val="008D062E"/>
    <w:rsid w:val="008D0D2B"/>
    <w:rsid w:val="008D271C"/>
    <w:rsid w:val="008D51A9"/>
    <w:rsid w:val="008D592E"/>
    <w:rsid w:val="008D645A"/>
    <w:rsid w:val="008E0AB9"/>
    <w:rsid w:val="008E1FEA"/>
    <w:rsid w:val="008E3AB5"/>
    <w:rsid w:val="008E48C4"/>
    <w:rsid w:val="008E4D1B"/>
    <w:rsid w:val="008E693A"/>
    <w:rsid w:val="008E699E"/>
    <w:rsid w:val="008E7C74"/>
    <w:rsid w:val="008F1F65"/>
    <w:rsid w:val="008F3737"/>
    <w:rsid w:val="008F4D00"/>
    <w:rsid w:val="008F55F6"/>
    <w:rsid w:val="008F676F"/>
    <w:rsid w:val="00900160"/>
    <w:rsid w:val="00901134"/>
    <w:rsid w:val="00901197"/>
    <w:rsid w:val="0090130E"/>
    <w:rsid w:val="009032E5"/>
    <w:rsid w:val="00903DD0"/>
    <w:rsid w:val="00904CB0"/>
    <w:rsid w:val="00904EDD"/>
    <w:rsid w:val="0090533E"/>
    <w:rsid w:val="00905426"/>
    <w:rsid w:val="009058F5"/>
    <w:rsid w:val="00907014"/>
    <w:rsid w:val="00907275"/>
    <w:rsid w:val="00907721"/>
    <w:rsid w:val="009079BB"/>
    <w:rsid w:val="0091511A"/>
    <w:rsid w:val="00915DB5"/>
    <w:rsid w:val="00916141"/>
    <w:rsid w:val="00916E8B"/>
    <w:rsid w:val="0091785E"/>
    <w:rsid w:val="00920992"/>
    <w:rsid w:val="00920EB7"/>
    <w:rsid w:val="0092194F"/>
    <w:rsid w:val="00921EED"/>
    <w:rsid w:val="009225D3"/>
    <w:rsid w:val="00922E30"/>
    <w:rsid w:val="00923412"/>
    <w:rsid w:val="00923E15"/>
    <w:rsid w:val="00926C67"/>
    <w:rsid w:val="00930ED0"/>
    <w:rsid w:val="009321CB"/>
    <w:rsid w:val="00932EFA"/>
    <w:rsid w:val="00933F7B"/>
    <w:rsid w:val="00934594"/>
    <w:rsid w:val="009345F1"/>
    <w:rsid w:val="009353C3"/>
    <w:rsid w:val="0093617C"/>
    <w:rsid w:val="00936186"/>
    <w:rsid w:val="0093625F"/>
    <w:rsid w:val="00936EB9"/>
    <w:rsid w:val="00937162"/>
    <w:rsid w:val="0094005E"/>
    <w:rsid w:val="00940CE3"/>
    <w:rsid w:val="009415DC"/>
    <w:rsid w:val="00941710"/>
    <w:rsid w:val="009421FB"/>
    <w:rsid w:val="00942961"/>
    <w:rsid w:val="00942E61"/>
    <w:rsid w:val="0094474A"/>
    <w:rsid w:val="00945BFA"/>
    <w:rsid w:val="0094658B"/>
    <w:rsid w:val="00947C59"/>
    <w:rsid w:val="0095018A"/>
    <w:rsid w:val="009502BA"/>
    <w:rsid w:val="00951722"/>
    <w:rsid w:val="00951E94"/>
    <w:rsid w:val="00952202"/>
    <w:rsid w:val="00953BEA"/>
    <w:rsid w:val="00954808"/>
    <w:rsid w:val="009558C6"/>
    <w:rsid w:val="00956107"/>
    <w:rsid w:val="009565A5"/>
    <w:rsid w:val="009573FB"/>
    <w:rsid w:val="00960B37"/>
    <w:rsid w:val="00961072"/>
    <w:rsid w:val="009625D2"/>
    <w:rsid w:val="00962667"/>
    <w:rsid w:val="00964204"/>
    <w:rsid w:val="009647FE"/>
    <w:rsid w:val="009654EF"/>
    <w:rsid w:val="00966C1A"/>
    <w:rsid w:val="00967D59"/>
    <w:rsid w:val="009707C0"/>
    <w:rsid w:val="00973D7A"/>
    <w:rsid w:val="009755BB"/>
    <w:rsid w:val="0097560C"/>
    <w:rsid w:val="0097773C"/>
    <w:rsid w:val="009777CD"/>
    <w:rsid w:val="00981629"/>
    <w:rsid w:val="009821FE"/>
    <w:rsid w:val="00983948"/>
    <w:rsid w:val="00986BD5"/>
    <w:rsid w:val="00986C38"/>
    <w:rsid w:val="00987006"/>
    <w:rsid w:val="009873F9"/>
    <w:rsid w:val="0098766B"/>
    <w:rsid w:val="00990512"/>
    <w:rsid w:val="00991729"/>
    <w:rsid w:val="00991E7F"/>
    <w:rsid w:val="00992F55"/>
    <w:rsid w:val="00993E18"/>
    <w:rsid w:val="00995147"/>
    <w:rsid w:val="009953B0"/>
    <w:rsid w:val="009A0531"/>
    <w:rsid w:val="009A0872"/>
    <w:rsid w:val="009A0FEB"/>
    <w:rsid w:val="009A21AB"/>
    <w:rsid w:val="009A31B4"/>
    <w:rsid w:val="009A427A"/>
    <w:rsid w:val="009A44E4"/>
    <w:rsid w:val="009A4F97"/>
    <w:rsid w:val="009A52B7"/>
    <w:rsid w:val="009A54AC"/>
    <w:rsid w:val="009A5751"/>
    <w:rsid w:val="009B0BF3"/>
    <w:rsid w:val="009B0D29"/>
    <w:rsid w:val="009B16F2"/>
    <w:rsid w:val="009B225F"/>
    <w:rsid w:val="009B402F"/>
    <w:rsid w:val="009B5347"/>
    <w:rsid w:val="009B5BBE"/>
    <w:rsid w:val="009B6C69"/>
    <w:rsid w:val="009B7DF9"/>
    <w:rsid w:val="009C0237"/>
    <w:rsid w:val="009C04CB"/>
    <w:rsid w:val="009C0B61"/>
    <w:rsid w:val="009C19D6"/>
    <w:rsid w:val="009C1BCB"/>
    <w:rsid w:val="009C24B2"/>
    <w:rsid w:val="009C26DF"/>
    <w:rsid w:val="009C2906"/>
    <w:rsid w:val="009C2C75"/>
    <w:rsid w:val="009C3148"/>
    <w:rsid w:val="009C50D3"/>
    <w:rsid w:val="009C575E"/>
    <w:rsid w:val="009C5DB4"/>
    <w:rsid w:val="009C5FFF"/>
    <w:rsid w:val="009C664D"/>
    <w:rsid w:val="009C7339"/>
    <w:rsid w:val="009C776D"/>
    <w:rsid w:val="009C7B29"/>
    <w:rsid w:val="009D0073"/>
    <w:rsid w:val="009D008C"/>
    <w:rsid w:val="009D0D7B"/>
    <w:rsid w:val="009D1CE2"/>
    <w:rsid w:val="009D38CA"/>
    <w:rsid w:val="009D5696"/>
    <w:rsid w:val="009D6375"/>
    <w:rsid w:val="009D66E0"/>
    <w:rsid w:val="009D6F49"/>
    <w:rsid w:val="009D7978"/>
    <w:rsid w:val="009D7DCD"/>
    <w:rsid w:val="009E0611"/>
    <w:rsid w:val="009E2590"/>
    <w:rsid w:val="009E3524"/>
    <w:rsid w:val="009E3658"/>
    <w:rsid w:val="009E3AEE"/>
    <w:rsid w:val="009E438C"/>
    <w:rsid w:val="009E4607"/>
    <w:rsid w:val="009E4C7C"/>
    <w:rsid w:val="009E4E3E"/>
    <w:rsid w:val="009E61A3"/>
    <w:rsid w:val="009E750F"/>
    <w:rsid w:val="009F45C9"/>
    <w:rsid w:val="009F68B6"/>
    <w:rsid w:val="009F7484"/>
    <w:rsid w:val="009F7875"/>
    <w:rsid w:val="009F7CFB"/>
    <w:rsid w:val="00A006BF"/>
    <w:rsid w:val="00A0183F"/>
    <w:rsid w:val="00A03CEA"/>
    <w:rsid w:val="00A04BD1"/>
    <w:rsid w:val="00A04D96"/>
    <w:rsid w:val="00A05DFA"/>
    <w:rsid w:val="00A0629B"/>
    <w:rsid w:val="00A07691"/>
    <w:rsid w:val="00A07908"/>
    <w:rsid w:val="00A07E80"/>
    <w:rsid w:val="00A11200"/>
    <w:rsid w:val="00A11248"/>
    <w:rsid w:val="00A128CF"/>
    <w:rsid w:val="00A14422"/>
    <w:rsid w:val="00A14633"/>
    <w:rsid w:val="00A159C0"/>
    <w:rsid w:val="00A15C30"/>
    <w:rsid w:val="00A161B1"/>
    <w:rsid w:val="00A16D3F"/>
    <w:rsid w:val="00A16DC7"/>
    <w:rsid w:val="00A174D5"/>
    <w:rsid w:val="00A21C40"/>
    <w:rsid w:val="00A234C2"/>
    <w:rsid w:val="00A24B4B"/>
    <w:rsid w:val="00A24DD2"/>
    <w:rsid w:val="00A253BC"/>
    <w:rsid w:val="00A25A1D"/>
    <w:rsid w:val="00A262EA"/>
    <w:rsid w:val="00A26B88"/>
    <w:rsid w:val="00A27E4E"/>
    <w:rsid w:val="00A30CF2"/>
    <w:rsid w:val="00A32AF8"/>
    <w:rsid w:val="00A33FBD"/>
    <w:rsid w:val="00A350D2"/>
    <w:rsid w:val="00A35E30"/>
    <w:rsid w:val="00A35F1F"/>
    <w:rsid w:val="00A362EE"/>
    <w:rsid w:val="00A37CCE"/>
    <w:rsid w:val="00A41A80"/>
    <w:rsid w:val="00A41CE2"/>
    <w:rsid w:val="00A44339"/>
    <w:rsid w:val="00A4472B"/>
    <w:rsid w:val="00A44A3C"/>
    <w:rsid w:val="00A44CC5"/>
    <w:rsid w:val="00A45752"/>
    <w:rsid w:val="00A45B63"/>
    <w:rsid w:val="00A45F8A"/>
    <w:rsid w:val="00A4604D"/>
    <w:rsid w:val="00A465FE"/>
    <w:rsid w:val="00A50410"/>
    <w:rsid w:val="00A50BE0"/>
    <w:rsid w:val="00A50D66"/>
    <w:rsid w:val="00A50FBE"/>
    <w:rsid w:val="00A514F1"/>
    <w:rsid w:val="00A5163D"/>
    <w:rsid w:val="00A52DD7"/>
    <w:rsid w:val="00A53DAC"/>
    <w:rsid w:val="00A55807"/>
    <w:rsid w:val="00A5591A"/>
    <w:rsid w:val="00A55B72"/>
    <w:rsid w:val="00A55E6D"/>
    <w:rsid w:val="00A55F6F"/>
    <w:rsid w:val="00A576FA"/>
    <w:rsid w:val="00A57FB8"/>
    <w:rsid w:val="00A60B8B"/>
    <w:rsid w:val="00A6125B"/>
    <w:rsid w:val="00A63672"/>
    <w:rsid w:val="00A64FCD"/>
    <w:rsid w:val="00A65425"/>
    <w:rsid w:val="00A66B9D"/>
    <w:rsid w:val="00A67A7B"/>
    <w:rsid w:val="00A7207A"/>
    <w:rsid w:val="00A734A2"/>
    <w:rsid w:val="00A74A09"/>
    <w:rsid w:val="00A74BF4"/>
    <w:rsid w:val="00A750B2"/>
    <w:rsid w:val="00A77CF5"/>
    <w:rsid w:val="00A8136B"/>
    <w:rsid w:val="00A83547"/>
    <w:rsid w:val="00A8459B"/>
    <w:rsid w:val="00A85095"/>
    <w:rsid w:val="00A85168"/>
    <w:rsid w:val="00A90D1B"/>
    <w:rsid w:val="00A90D21"/>
    <w:rsid w:val="00A90F0A"/>
    <w:rsid w:val="00A9147B"/>
    <w:rsid w:val="00A91600"/>
    <w:rsid w:val="00A92CE5"/>
    <w:rsid w:val="00A93A59"/>
    <w:rsid w:val="00A93FC9"/>
    <w:rsid w:val="00A94D60"/>
    <w:rsid w:val="00A955E9"/>
    <w:rsid w:val="00A97D11"/>
    <w:rsid w:val="00AA0858"/>
    <w:rsid w:val="00AA0D3A"/>
    <w:rsid w:val="00AA2668"/>
    <w:rsid w:val="00AA2BF1"/>
    <w:rsid w:val="00AA3820"/>
    <w:rsid w:val="00AA4691"/>
    <w:rsid w:val="00AA5724"/>
    <w:rsid w:val="00AA5E5D"/>
    <w:rsid w:val="00AA73E9"/>
    <w:rsid w:val="00AB025C"/>
    <w:rsid w:val="00AB475A"/>
    <w:rsid w:val="00AB4FA8"/>
    <w:rsid w:val="00AB5B69"/>
    <w:rsid w:val="00AB6A4A"/>
    <w:rsid w:val="00AB6DDA"/>
    <w:rsid w:val="00AB7563"/>
    <w:rsid w:val="00AB7E6D"/>
    <w:rsid w:val="00AC1205"/>
    <w:rsid w:val="00AC223F"/>
    <w:rsid w:val="00AC22D2"/>
    <w:rsid w:val="00AC29E8"/>
    <w:rsid w:val="00AC3B51"/>
    <w:rsid w:val="00AC3C64"/>
    <w:rsid w:val="00AC57A9"/>
    <w:rsid w:val="00AC6165"/>
    <w:rsid w:val="00AC6646"/>
    <w:rsid w:val="00AC690F"/>
    <w:rsid w:val="00AC7EF8"/>
    <w:rsid w:val="00AD0F52"/>
    <w:rsid w:val="00AD2BB8"/>
    <w:rsid w:val="00AD2CD6"/>
    <w:rsid w:val="00AD4B04"/>
    <w:rsid w:val="00AD5479"/>
    <w:rsid w:val="00AD5808"/>
    <w:rsid w:val="00AD5D23"/>
    <w:rsid w:val="00AD61A2"/>
    <w:rsid w:val="00AD646F"/>
    <w:rsid w:val="00AD67CA"/>
    <w:rsid w:val="00AD7647"/>
    <w:rsid w:val="00AD7A58"/>
    <w:rsid w:val="00AD7A78"/>
    <w:rsid w:val="00AD7C99"/>
    <w:rsid w:val="00AD7F72"/>
    <w:rsid w:val="00AE08CC"/>
    <w:rsid w:val="00AE141F"/>
    <w:rsid w:val="00AE1DBB"/>
    <w:rsid w:val="00AE2DD3"/>
    <w:rsid w:val="00AE3DF9"/>
    <w:rsid w:val="00AE6A34"/>
    <w:rsid w:val="00AE74B8"/>
    <w:rsid w:val="00AE7EAA"/>
    <w:rsid w:val="00AF0356"/>
    <w:rsid w:val="00AF0570"/>
    <w:rsid w:val="00AF08F1"/>
    <w:rsid w:val="00AF0B9B"/>
    <w:rsid w:val="00AF1836"/>
    <w:rsid w:val="00AF18AB"/>
    <w:rsid w:val="00AF2779"/>
    <w:rsid w:val="00AF2ED9"/>
    <w:rsid w:val="00AF3B18"/>
    <w:rsid w:val="00B008B0"/>
    <w:rsid w:val="00B01368"/>
    <w:rsid w:val="00B01F02"/>
    <w:rsid w:val="00B02DA9"/>
    <w:rsid w:val="00B043A1"/>
    <w:rsid w:val="00B0455A"/>
    <w:rsid w:val="00B047DC"/>
    <w:rsid w:val="00B05397"/>
    <w:rsid w:val="00B060C2"/>
    <w:rsid w:val="00B06580"/>
    <w:rsid w:val="00B0752B"/>
    <w:rsid w:val="00B07893"/>
    <w:rsid w:val="00B07C69"/>
    <w:rsid w:val="00B10359"/>
    <w:rsid w:val="00B10799"/>
    <w:rsid w:val="00B11E28"/>
    <w:rsid w:val="00B14150"/>
    <w:rsid w:val="00B14B15"/>
    <w:rsid w:val="00B1580F"/>
    <w:rsid w:val="00B15F82"/>
    <w:rsid w:val="00B177E0"/>
    <w:rsid w:val="00B20958"/>
    <w:rsid w:val="00B21554"/>
    <w:rsid w:val="00B216A4"/>
    <w:rsid w:val="00B2215D"/>
    <w:rsid w:val="00B226B3"/>
    <w:rsid w:val="00B22D85"/>
    <w:rsid w:val="00B23240"/>
    <w:rsid w:val="00B24114"/>
    <w:rsid w:val="00B25E6E"/>
    <w:rsid w:val="00B26346"/>
    <w:rsid w:val="00B27388"/>
    <w:rsid w:val="00B27678"/>
    <w:rsid w:val="00B308E7"/>
    <w:rsid w:val="00B31261"/>
    <w:rsid w:val="00B31706"/>
    <w:rsid w:val="00B31B03"/>
    <w:rsid w:val="00B32B0B"/>
    <w:rsid w:val="00B32E93"/>
    <w:rsid w:val="00B33052"/>
    <w:rsid w:val="00B33810"/>
    <w:rsid w:val="00B33DC2"/>
    <w:rsid w:val="00B33DCC"/>
    <w:rsid w:val="00B34846"/>
    <w:rsid w:val="00B34999"/>
    <w:rsid w:val="00B34C4F"/>
    <w:rsid w:val="00B351BC"/>
    <w:rsid w:val="00B35CDD"/>
    <w:rsid w:val="00B35E6C"/>
    <w:rsid w:val="00B362FE"/>
    <w:rsid w:val="00B407E6"/>
    <w:rsid w:val="00B407FF"/>
    <w:rsid w:val="00B40E07"/>
    <w:rsid w:val="00B412CD"/>
    <w:rsid w:val="00B43128"/>
    <w:rsid w:val="00B437AC"/>
    <w:rsid w:val="00B43C2C"/>
    <w:rsid w:val="00B445E2"/>
    <w:rsid w:val="00B44F2B"/>
    <w:rsid w:val="00B459B9"/>
    <w:rsid w:val="00B45EE9"/>
    <w:rsid w:val="00B46E74"/>
    <w:rsid w:val="00B472DB"/>
    <w:rsid w:val="00B522D7"/>
    <w:rsid w:val="00B52C74"/>
    <w:rsid w:val="00B534CD"/>
    <w:rsid w:val="00B53C3A"/>
    <w:rsid w:val="00B53C88"/>
    <w:rsid w:val="00B541B8"/>
    <w:rsid w:val="00B55704"/>
    <w:rsid w:val="00B55EEF"/>
    <w:rsid w:val="00B55FBD"/>
    <w:rsid w:val="00B56CE8"/>
    <w:rsid w:val="00B57DB9"/>
    <w:rsid w:val="00B607DD"/>
    <w:rsid w:val="00B615A7"/>
    <w:rsid w:val="00B61696"/>
    <w:rsid w:val="00B618DB"/>
    <w:rsid w:val="00B6328F"/>
    <w:rsid w:val="00B63686"/>
    <w:rsid w:val="00B638D8"/>
    <w:rsid w:val="00B63984"/>
    <w:rsid w:val="00B63A15"/>
    <w:rsid w:val="00B63FB4"/>
    <w:rsid w:val="00B655FA"/>
    <w:rsid w:val="00B70612"/>
    <w:rsid w:val="00B70BB8"/>
    <w:rsid w:val="00B70C9A"/>
    <w:rsid w:val="00B72016"/>
    <w:rsid w:val="00B7333C"/>
    <w:rsid w:val="00B736A8"/>
    <w:rsid w:val="00B738DF"/>
    <w:rsid w:val="00B73A39"/>
    <w:rsid w:val="00B73BBF"/>
    <w:rsid w:val="00B744B4"/>
    <w:rsid w:val="00B745D1"/>
    <w:rsid w:val="00B74B72"/>
    <w:rsid w:val="00B74F72"/>
    <w:rsid w:val="00B76483"/>
    <w:rsid w:val="00B764FB"/>
    <w:rsid w:val="00B768F4"/>
    <w:rsid w:val="00B8125F"/>
    <w:rsid w:val="00B81F06"/>
    <w:rsid w:val="00B825D3"/>
    <w:rsid w:val="00B830D0"/>
    <w:rsid w:val="00B832DE"/>
    <w:rsid w:val="00B839AA"/>
    <w:rsid w:val="00B849C5"/>
    <w:rsid w:val="00B84F2A"/>
    <w:rsid w:val="00B85499"/>
    <w:rsid w:val="00B87449"/>
    <w:rsid w:val="00B8750A"/>
    <w:rsid w:val="00B87B0D"/>
    <w:rsid w:val="00B87F3A"/>
    <w:rsid w:val="00B901CC"/>
    <w:rsid w:val="00B910A8"/>
    <w:rsid w:val="00B92604"/>
    <w:rsid w:val="00B94B39"/>
    <w:rsid w:val="00B9579B"/>
    <w:rsid w:val="00B95CD0"/>
    <w:rsid w:val="00B95F11"/>
    <w:rsid w:val="00B960F2"/>
    <w:rsid w:val="00B96172"/>
    <w:rsid w:val="00BA0155"/>
    <w:rsid w:val="00BA0CE6"/>
    <w:rsid w:val="00BA1BD3"/>
    <w:rsid w:val="00BA24FE"/>
    <w:rsid w:val="00BA3168"/>
    <w:rsid w:val="00BA42AA"/>
    <w:rsid w:val="00BA5EE7"/>
    <w:rsid w:val="00BA6BCD"/>
    <w:rsid w:val="00BA7CB3"/>
    <w:rsid w:val="00BB09F0"/>
    <w:rsid w:val="00BB3303"/>
    <w:rsid w:val="00BB515E"/>
    <w:rsid w:val="00BB5B13"/>
    <w:rsid w:val="00BB7895"/>
    <w:rsid w:val="00BC093A"/>
    <w:rsid w:val="00BC18AC"/>
    <w:rsid w:val="00BC234D"/>
    <w:rsid w:val="00BC3C67"/>
    <w:rsid w:val="00BC3EAB"/>
    <w:rsid w:val="00BC4ACC"/>
    <w:rsid w:val="00BC4C48"/>
    <w:rsid w:val="00BC68AE"/>
    <w:rsid w:val="00BC7FDF"/>
    <w:rsid w:val="00BD045D"/>
    <w:rsid w:val="00BD12B5"/>
    <w:rsid w:val="00BD2770"/>
    <w:rsid w:val="00BD3426"/>
    <w:rsid w:val="00BD40C2"/>
    <w:rsid w:val="00BD42AF"/>
    <w:rsid w:val="00BD4DDE"/>
    <w:rsid w:val="00BD5BE3"/>
    <w:rsid w:val="00BD6187"/>
    <w:rsid w:val="00BD63D9"/>
    <w:rsid w:val="00BD6769"/>
    <w:rsid w:val="00BD6965"/>
    <w:rsid w:val="00BD6B92"/>
    <w:rsid w:val="00BD7A3B"/>
    <w:rsid w:val="00BE0B56"/>
    <w:rsid w:val="00BE0CFF"/>
    <w:rsid w:val="00BE0E5E"/>
    <w:rsid w:val="00BE1531"/>
    <w:rsid w:val="00BE1B91"/>
    <w:rsid w:val="00BE2125"/>
    <w:rsid w:val="00BE2180"/>
    <w:rsid w:val="00BE6678"/>
    <w:rsid w:val="00BE69A5"/>
    <w:rsid w:val="00BE6A46"/>
    <w:rsid w:val="00BF0546"/>
    <w:rsid w:val="00BF1231"/>
    <w:rsid w:val="00BF22D6"/>
    <w:rsid w:val="00BF35E4"/>
    <w:rsid w:val="00BF4424"/>
    <w:rsid w:val="00BF46C1"/>
    <w:rsid w:val="00BF4F7F"/>
    <w:rsid w:val="00BF5342"/>
    <w:rsid w:val="00BF6BEF"/>
    <w:rsid w:val="00C007D4"/>
    <w:rsid w:val="00C02911"/>
    <w:rsid w:val="00C02F3F"/>
    <w:rsid w:val="00C03683"/>
    <w:rsid w:val="00C04868"/>
    <w:rsid w:val="00C048AD"/>
    <w:rsid w:val="00C04A85"/>
    <w:rsid w:val="00C04B9C"/>
    <w:rsid w:val="00C05434"/>
    <w:rsid w:val="00C06188"/>
    <w:rsid w:val="00C06826"/>
    <w:rsid w:val="00C1004E"/>
    <w:rsid w:val="00C10BC7"/>
    <w:rsid w:val="00C112B8"/>
    <w:rsid w:val="00C115ED"/>
    <w:rsid w:val="00C116B9"/>
    <w:rsid w:val="00C126E9"/>
    <w:rsid w:val="00C14BB1"/>
    <w:rsid w:val="00C15425"/>
    <w:rsid w:val="00C158D2"/>
    <w:rsid w:val="00C15EFC"/>
    <w:rsid w:val="00C17886"/>
    <w:rsid w:val="00C17FA2"/>
    <w:rsid w:val="00C217A8"/>
    <w:rsid w:val="00C21AEA"/>
    <w:rsid w:val="00C22BF6"/>
    <w:rsid w:val="00C244F8"/>
    <w:rsid w:val="00C253B9"/>
    <w:rsid w:val="00C25573"/>
    <w:rsid w:val="00C26B42"/>
    <w:rsid w:val="00C30098"/>
    <w:rsid w:val="00C302AC"/>
    <w:rsid w:val="00C30B2A"/>
    <w:rsid w:val="00C30BBE"/>
    <w:rsid w:val="00C312E1"/>
    <w:rsid w:val="00C31974"/>
    <w:rsid w:val="00C31D51"/>
    <w:rsid w:val="00C322E7"/>
    <w:rsid w:val="00C3250E"/>
    <w:rsid w:val="00C334C6"/>
    <w:rsid w:val="00C33CF1"/>
    <w:rsid w:val="00C35085"/>
    <w:rsid w:val="00C359C7"/>
    <w:rsid w:val="00C36A57"/>
    <w:rsid w:val="00C40992"/>
    <w:rsid w:val="00C421D3"/>
    <w:rsid w:val="00C43880"/>
    <w:rsid w:val="00C43A41"/>
    <w:rsid w:val="00C43F37"/>
    <w:rsid w:val="00C4603A"/>
    <w:rsid w:val="00C47959"/>
    <w:rsid w:val="00C47E09"/>
    <w:rsid w:val="00C50509"/>
    <w:rsid w:val="00C50D1A"/>
    <w:rsid w:val="00C50E26"/>
    <w:rsid w:val="00C51ADB"/>
    <w:rsid w:val="00C51D56"/>
    <w:rsid w:val="00C522EE"/>
    <w:rsid w:val="00C52E10"/>
    <w:rsid w:val="00C537B5"/>
    <w:rsid w:val="00C542A2"/>
    <w:rsid w:val="00C54369"/>
    <w:rsid w:val="00C54FE2"/>
    <w:rsid w:val="00C612CE"/>
    <w:rsid w:val="00C61DC7"/>
    <w:rsid w:val="00C620BA"/>
    <w:rsid w:val="00C623DC"/>
    <w:rsid w:val="00C62F6F"/>
    <w:rsid w:val="00C6309C"/>
    <w:rsid w:val="00C67A44"/>
    <w:rsid w:val="00C67E51"/>
    <w:rsid w:val="00C70E61"/>
    <w:rsid w:val="00C72561"/>
    <w:rsid w:val="00C72EBE"/>
    <w:rsid w:val="00C734C6"/>
    <w:rsid w:val="00C73C25"/>
    <w:rsid w:val="00C73C4B"/>
    <w:rsid w:val="00C7634C"/>
    <w:rsid w:val="00C76E40"/>
    <w:rsid w:val="00C77596"/>
    <w:rsid w:val="00C77757"/>
    <w:rsid w:val="00C77D5D"/>
    <w:rsid w:val="00C812B3"/>
    <w:rsid w:val="00C834C8"/>
    <w:rsid w:val="00C83A14"/>
    <w:rsid w:val="00C84C27"/>
    <w:rsid w:val="00C85C78"/>
    <w:rsid w:val="00C8676A"/>
    <w:rsid w:val="00C86AB7"/>
    <w:rsid w:val="00C87570"/>
    <w:rsid w:val="00C9012C"/>
    <w:rsid w:val="00C9096B"/>
    <w:rsid w:val="00C91562"/>
    <w:rsid w:val="00C9156B"/>
    <w:rsid w:val="00C916B2"/>
    <w:rsid w:val="00C91A99"/>
    <w:rsid w:val="00C92168"/>
    <w:rsid w:val="00C92B40"/>
    <w:rsid w:val="00C934F3"/>
    <w:rsid w:val="00C93F97"/>
    <w:rsid w:val="00C969DF"/>
    <w:rsid w:val="00C96D5B"/>
    <w:rsid w:val="00C97E54"/>
    <w:rsid w:val="00C97FC6"/>
    <w:rsid w:val="00CA1735"/>
    <w:rsid w:val="00CA25A1"/>
    <w:rsid w:val="00CA2794"/>
    <w:rsid w:val="00CA4049"/>
    <w:rsid w:val="00CA7127"/>
    <w:rsid w:val="00CA75DB"/>
    <w:rsid w:val="00CA7D26"/>
    <w:rsid w:val="00CB08E8"/>
    <w:rsid w:val="00CB1477"/>
    <w:rsid w:val="00CB3CCF"/>
    <w:rsid w:val="00CB5179"/>
    <w:rsid w:val="00CB5902"/>
    <w:rsid w:val="00CB6A24"/>
    <w:rsid w:val="00CB79D7"/>
    <w:rsid w:val="00CC00FF"/>
    <w:rsid w:val="00CC0CD2"/>
    <w:rsid w:val="00CC1159"/>
    <w:rsid w:val="00CC12F1"/>
    <w:rsid w:val="00CC1C85"/>
    <w:rsid w:val="00CC1EF7"/>
    <w:rsid w:val="00CC636C"/>
    <w:rsid w:val="00CC63F9"/>
    <w:rsid w:val="00CC720F"/>
    <w:rsid w:val="00CD01C3"/>
    <w:rsid w:val="00CD0C8C"/>
    <w:rsid w:val="00CD22BD"/>
    <w:rsid w:val="00CD364D"/>
    <w:rsid w:val="00CD488A"/>
    <w:rsid w:val="00CD4F82"/>
    <w:rsid w:val="00CD51F3"/>
    <w:rsid w:val="00CD533F"/>
    <w:rsid w:val="00CD54F0"/>
    <w:rsid w:val="00CD5925"/>
    <w:rsid w:val="00CD5EF3"/>
    <w:rsid w:val="00CD6835"/>
    <w:rsid w:val="00CD7505"/>
    <w:rsid w:val="00CD7CD3"/>
    <w:rsid w:val="00CE01E7"/>
    <w:rsid w:val="00CE0772"/>
    <w:rsid w:val="00CE4AD2"/>
    <w:rsid w:val="00CE4FD1"/>
    <w:rsid w:val="00CE555F"/>
    <w:rsid w:val="00CE557A"/>
    <w:rsid w:val="00CE5D9E"/>
    <w:rsid w:val="00CE6116"/>
    <w:rsid w:val="00CE662D"/>
    <w:rsid w:val="00CE6E82"/>
    <w:rsid w:val="00CE7ABC"/>
    <w:rsid w:val="00CE7F84"/>
    <w:rsid w:val="00CF14DC"/>
    <w:rsid w:val="00CF199E"/>
    <w:rsid w:val="00CF2F04"/>
    <w:rsid w:val="00CF357A"/>
    <w:rsid w:val="00CF671A"/>
    <w:rsid w:val="00CF6F90"/>
    <w:rsid w:val="00CF7835"/>
    <w:rsid w:val="00CF7B25"/>
    <w:rsid w:val="00D00248"/>
    <w:rsid w:val="00D01078"/>
    <w:rsid w:val="00D0119D"/>
    <w:rsid w:val="00D011F9"/>
    <w:rsid w:val="00D01548"/>
    <w:rsid w:val="00D0297A"/>
    <w:rsid w:val="00D0429B"/>
    <w:rsid w:val="00D0433F"/>
    <w:rsid w:val="00D0598B"/>
    <w:rsid w:val="00D065AD"/>
    <w:rsid w:val="00D06E2A"/>
    <w:rsid w:val="00D07DE0"/>
    <w:rsid w:val="00D1016A"/>
    <w:rsid w:val="00D10EA3"/>
    <w:rsid w:val="00D11286"/>
    <w:rsid w:val="00D1410C"/>
    <w:rsid w:val="00D15DA8"/>
    <w:rsid w:val="00D173D5"/>
    <w:rsid w:val="00D17664"/>
    <w:rsid w:val="00D223B8"/>
    <w:rsid w:val="00D226C8"/>
    <w:rsid w:val="00D23197"/>
    <w:rsid w:val="00D233A2"/>
    <w:rsid w:val="00D23B93"/>
    <w:rsid w:val="00D2405C"/>
    <w:rsid w:val="00D242A3"/>
    <w:rsid w:val="00D24717"/>
    <w:rsid w:val="00D24F4C"/>
    <w:rsid w:val="00D25032"/>
    <w:rsid w:val="00D2597D"/>
    <w:rsid w:val="00D25A73"/>
    <w:rsid w:val="00D2734D"/>
    <w:rsid w:val="00D31715"/>
    <w:rsid w:val="00D326DB"/>
    <w:rsid w:val="00D327BD"/>
    <w:rsid w:val="00D33BA7"/>
    <w:rsid w:val="00D3428A"/>
    <w:rsid w:val="00D36077"/>
    <w:rsid w:val="00D36112"/>
    <w:rsid w:val="00D36630"/>
    <w:rsid w:val="00D36807"/>
    <w:rsid w:val="00D36FE8"/>
    <w:rsid w:val="00D37CCB"/>
    <w:rsid w:val="00D402AC"/>
    <w:rsid w:val="00D411EB"/>
    <w:rsid w:val="00D4493C"/>
    <w:rsid w:val="00D450C6"/>
    <w:rsid w:val="00D450D8"/>
    <w:rsid w:val="00D452E2"/>
    <w:rsid w:val="00D47554"/>
    <w:rsid w:val="00D47685"/>
    <w:rsid w:val="00D50108"/>
    <w:rsid w:val="00D501A0"/>
    <w:rsid w:val="00D50573"/>
    <w:rsid w:val="00D515A0"/>
    <w:rsid w:val="00D51AAB"/>
    <w:rsid w:val="00D51E2E"/>
    <w:rsid w:val="00D532FB"/>
    <w:rsid w:val="00D54D3A"/>
    <w:rsid w:val="00D56166"/>
    <w:rsid w:val="00D56489"/>
    <w:rsid w:val="00D57C32"/>
    <w:rsid w:val="00D57C6D"/>
    <w:rsid w:val="00D57D86"/>
    <w:rsid w:val="00D57EE6"/>
    <w:rsid w:val="00D57F79"/>
    <w:rsid w:val="00D60349"/>
    <w:rsid w:val="00D604EF"/>
    <w:rsid w:val="00D60D14"/>
    <w:rsid w:val="00D6193E"/>
    <w:rsid w:val="00D61D28"/>
    <w:rsid w:val="00D64644"/>
    <w:rsid w:val="00D64910"/>
    <w:rsid w:val="00D653B1"/>
    <w:rsid w:val="00D65955"/>
    <w:rsid w:val="00D66642"/>
    <w:rsid w:val="00D66D4D"/>
    <w:rsid w:val="00D73079"/>
    <w:rsid w:val="00D73406"/>
    <w:rsid w:val="00D737E7"/>
    <w:rsid w:val="00D73E89"/>
    <w:rsid w:val="00D74DEF"/>
    <w:rsid w:val="00D801C1"/>
    <w:rsid w:val="00D807F3"/>
    <w:rsid w:val="00D80AE1"/>
    <w:rsid w:val="00D80E58"/>
    <w:rsid w:val="00D8288C"/>
    <w:rsid w:val="00D828E9"/>
    <w:rsid w:val="00D83AD1"/>
    <w:rsid w:val="00D85230"/>
    <w:rsid w:val="00D900FE"/>
    <w:rsid w:val="00D904F0"/>
    <w:rsid w:val="00D91378"/>
    <w:rsid w:val="00D919A0"/>
    <w:rsid w:val="00D94710"/>
    <w:rsid w:val="00D97DD8"/>
    <w:rsid w:val="00DA0940"/>
    <w:rsid w:val="00DA17BA"/>
    <w:rsid w:val="00DA1855"/>
    <w:rsid w:val="00DA422F"/>
    <w:rsid w:val="00DA4672"/>
    <w:rsid w:val="00DA4AD2"/>
    <w:rsid w:val="00DA4E60"/>
    <w:rsid w:val="00DA4F1B"/>
    <w:rsid w:val="00DA4F72"/>
    <w:rsid w:val="00DA65CA"/>
    <w:rsid w:val="00DA76DC"/>
    <w:rsid w:val="00DB0C2E"/>
    <w:rsid w:val="00DB41DD"/>
    <w:rsid w:val="00DB42AC"/>
    <w:rsid w:val="00DB51B2"/>
    <w:rsid w:val="00DB558F"/>
    <w:rsid w:val="00DB7DF0"/>
    <w:rsid w:val="00DC0313"/>
    <w:rsid w:val="00DC0EF1"/>
    <w:rsid w:val="00DC0EFF"/>
    <w:rsid w:val="00DC3377"/>
    <w:rsid w:val="00DC43C0"/>
    <w:rsid w:val="00DC4A59"/>
    <w:rsid w:val="00DC60BF"/>
    <w:rsid w:val="00DC7873"/>
    <w:rsid w:val="00DD0E5E"/>
    <w:rsid w:val="00DD1408"/>
    <w:rsid w:val="00DD1D71"/>
    <w:rsid w:val="00DD21A1"/>
    <w:rsid w:val="00DD356D"/>
    <w:rsid w:val="00DD5BC5"/>
    <w:rsid w:val="00DD691C"/>
    <w:rsid w:val="00DD6C7A"/>
    <w:rsid w:val="00DD7E44"/>
    <w:rsid w:val="00DE0348"/>
    <w:rsid w:val="00DE068C"/>
    <w:rsid w:val="00DE1043"/>
    <w:rsid w:val="00DE1E79"/>
    <w:rsid w:val="00DE25D4"/>
    <w:rsid w:val="00DE2CC8"/>
    <w:rsid w:val="00DE3346"/>
    <w:rsid w:val="00DE3708"/>
    <w:rsid w:val="00DE3967"/>
    <w:rsid w:val="00DE5182"/>
    <w:rsid w:val="00DE6039"/>
    <w:rsid w:val="00DE61C2"/>
    <w:rsid w:val="00DE645B"/>
    <w:rsid w:val="00DE6AF3"/>
    <w:rsid w:val="00DF03A7"/>
    <w:rsid w:val="00DF13E3"/>
    <w:rsid w:val="00DF14EE"/>
    <w:rsid w:val="00DF176E"/>
    <w:rsid w:val="00DF17F7"/>
    <w:rsid w:val="00DF335E"/>
    <w:rsid w:val="00DF3DA4"/>
    <w:rsid w:val="00DF3FBB"/>
    <w:rsid w:val="00DF4A9A"/>
    <w:rsid w:val="00DF519C"/>
    <w:rsid w:val="00DF6407"/>
    <w:rsid w:val="00DF73F0"/>
    <w:rsid w:val="00DF7ED8"/>
    <w:rsid w:val="00E01254"/>
    <w:rsid w:val="00E024CE"/>
    <w:rsid w:val="00E02BB5"/>
    <w:rsid w:val="00E02E84"/>
    <w:rsid w:val="00E02F38"/>
    <w:rsid w:val="00E049C4"/>
    <w:rsid w:val="00E06F51"/>
    <w:rsid w:val="00E1153B"/>
    <w:rsid w:val="00E12C21"/>
    <w:rsid w:val="00E12E71"/>
    <w:rsid w:val="00E131E2"/>
    <w:rsid w:val="00E140C1"/>
    <w:rsid w:val="00E144B3"/>
    <w:rsid w:val="00E1581A"/>
    <w:rsid w:val="00E15A4C"/>
    <w:rsid w:val="00E15BF4"/>
    <w:rsid w:val="00E15D36"/>
    <w:rsid w:val="00E16628"/>
    <w:rsid w:val="00E2003F"/>
    <w:rsid w:val="00E2083C"/>
    <w:rsid w:val="00E20E3A"/>
    <w:rsid w:val="00E229BC"/>
    <w:rsid w:val="00E23AC1"/>
    <w:rsid w:val="00E246EF"/>
    <w:rsid w:val="00E263D3"/>
    <w:rsid w:val="00E266EE"/>
    <w:rsid w:val="00E26A76"/>
    <w:rsid w:val="00E27446"/>
    <w:rsid w:val="00E276B5"/>
    <w:rsid w:val="00E3068C"/>
    <w:rsid w:val="00E30D49"/>
    <w:rsid w:val="00E312C9"/>
    <w:rsid w:val="00E3236F"/>
    <w:rsid w:val="00E32571"/>
    <w:rsid w:val="00E32EE3"/>
    <w:rsid w:val="00E339F3"/>
    <w:rsid w:val="00E3463F"/>
    <w:rsid w:val="00E34729"/>
    <w:rsid w:val="00E34BC7"/>
    <w:rsid w:val="00E355E6"/>
    <w:rsid w:val="00E36690"/>
    <w:rsid w:val="00E36E0E"/>
    <w:rsid w:val="00E4055C"/>
    <w:rsid w:val="00E40FE2"/>
    <w:rsid w:val="00E41EA1"/>
    <w:rsid w:val="00E42157"/>
    <w:rsid w:val="00E42A78"/>
    <w:rsid w:val="00E43380"/>
    <w:rsid w:val="00E43FDF"/>
    <w:rsid w:val="00E44080"/>
    <w:rsid w:val="00E461E2"/>
    <w:rsid w:val="00E46EE9"/>
    <w:rsid w:val="00E47251"/>
    <w:rsid w:val="00E513FA"/>
    <w:rsid w:val="00E5240E"/>
    <w:rsid w:val="00E537FD"/>
    <w:rsid w:val="00E54063"/>
    <w:rsid w:val="00E54359"/>
    <w:rsid w:val="00E556BE"/>
    <w:rsid w:val="00E5613D"/>
    <w:rsid w:val="00E56F02"/>
    <w:rsid w:val="00E5792E"/>
    <w:rsid w:val="00E57A7E"/>
    <w:rsid w:val="00E60860"/>
    <w:rsid w:val="00E60B88"/>
    <w:rsid w:val="00E6384C"/>
    <w:rsid w:val="00E6485F"/>
    <w:rsid w:val="00E65AC9"/>
    <w:rsid w:val="00E704A3"/>
    <w:rsid w:val="00E71BF2"/>
    <w:rsid w:val="00E725BA"/>
    <w:rsid w:val="00E72D33"/>
    <w:rsid w:val="00E72F8C"/>
    <w:rsid w:val="00E732BA"/>
    <w:rsid w:val="00E75ACB"/>
    <w:rsid w:val="00E76D73"/>
    <w:rsid w:val="00E76FA2"/>
    <w:rsid w:val="00E771DB"/>
    <w:rsid w:val="00E775E8"/>
    <w:rsid w:val="00E77C86"/>
    <w:rsid w:val="00E81228"/>
    <w:rsid w:val="00E8206D"/>
    <w:rsid w:val="00E82110"/>
    <w:rsid w:val="00E8328E"/>
    <w:rsid w:val="00E83FAD"/>
    <w:rsid w:val="00E84012"/>
    <w:rsid w:val="00E84B0B"/>
    <w:rsid w:val="00E85AD7"/>
    <w:rsid w:val="00E867E5"/>
    <w:rsid w:val="00E87B95"/>
    <w:rsid w:val="00E90087"/>
    <w:rsid w:val="00E912F4"/>
    <w:rsid w:val="00E921EB"/>
    <w:rsid w:val="00E93B42"/>
    <w:rsid w:val="00E94C61"/>
    <w:rsid w:val="00E94F9E"/>
    <w:rsid w:val="00E95F4E"/>
    <w:rsid w:val="00E95FDD"/>
    <w:rsid w:val="00E96640"/>
    <w:rsid w:val="00E97210"/>
    <w:rsid w:val="00E973BA"/>
    <w:rsid w:val="00EA0064"/>
    <w:rsid w:val="00EA0724"/>
    <w:rsid w:val="00EA0B00"/>
    <w:rsid w:val="00EA10D4"/>
    <w:rsid w:val="00EA22E9"/>
    <w:rsid w:val="00EA26D2"/>
    <w:rsid w:val="00EA28AE"/>
    <w:rsid w:val="00EA4A5C"/>
    <w:rsid w:val="00EA5066"/>
    <w:rsid w:val="00EA7703"/>
    <w:rsid w:val="00EA7AE8"/>
    <w:rsid w:val="00EA7DE0"/>
    <w:rsid w:val="00EA7EA2"/>
    <w:rsid w:val="00EB00F9"/>
    <w:rsid w:val="00EB0635"/>
    <w:rsid w:val="00EB0AAA"/>
    <w:rsid w:val="00EB192C"/>
    <w:rsid w:val="00EB1947"/>
    <w:rsid w:val="00EB1D71"/>
    <w:rsid w:val="00EB2245"/>
    <w:rsid w:val="00EB283D"/>
    <w:rsid w:val="00EB2EBC"/>
    <w:rsid w:val="00EB35A2"/>
    <w:rsid w:val="00EB463B"/>
    <w:rsid w:val="00EB6414"/>
    <w:rsid w:val="00EB7DED"/>
    <w:rsid w:val="00EC00EA"/>
    <w:rsid w:val="00EC0EEE"/>
    <w:rsid w:val="00EC0F82"/>
    <w:rsid w:val="00EC1D87"/>
    <w:rsid w:val="00EC3B48"/>
    <w:rsid w:val="00EC3F06"/>
    <w:rsid w:val="00EC444C"/>
    <w:rsid w:val="00EC51F9"/>
    <w:rsid w:val="00EC536D"/>
    <w:rsid w:val="00EC5C6F"/>
    <w:rsid w:val="00EC71FB"/>
    <w:rsid w:val="00EC72A5"/>
    <w:rsid w:val="00EC7F39"/>
    <w:rsid w:val="00ED08A7"/>
    <w:rsid w:val="00ED0D75"/>
    <w:rsid w:val="00ED18BD"/>
    <w:rsid w:val="00ED25AA"/>
    <w:rsid w:val="00ED2B2E"/>
    <w:rsid w:val="00ED2E13"/>
    <w:rsid w:val="00ED2E24"/>
    <w:rsid w:val="00ED3062"/>
    <w:rsid w:val="00ED3A46"/>
    <w:rsid w:val="00ED3F82"/>
    <w:rsid w:val="00ED56D7"/>
    <w:rsid w:val="00ED6E80"/>
    <w:rsid w:val="00ED7436"/>
    <w:rsid w:val="00ED7FAB"/>
    <w:rsid w:val="00EE06E9"/>
    <w:rsid w:val="00EE0DFE"/>
    <w:rsid w:val="00EE20DB"/>
    <w:rsid w:val="00EE2213"/>
    <w:rsid w:val="00EE3EDB"/>
    <w:rsid w:val="00EE42F0"/>
    <w:rsid w:val="00EE43AD"/>
    <w:rsid w:val="00EE49F3"/>
    <w:rsid w:val="00EE7E41"/>
    <w:rsid w:val="00EF3690"/>
    <w:rsid w:val="00EF38E0"/>
    <w:rsid w:val="00EF3BB5"/>
    <w:rsid w:val="00EF4688"/>
    <w:rsid w:val="00EF6805"/>
    <w:rsid w:val="00EF774F"/>
    <w:rsid w:val="00EF777E"/>
    <w:rsid w:val="00EF7A9C"/>
    <w:rsid w:val="00F00A81"/>
    <w:rsid w:val="00F01963"/>
    <w:rsid w:val="00F020EE"/>
    <w:rsid w:val="00F03B48"/>
    <w:rsid w:val="00F03CE6"/>
    <w:rsid w:val="00F03FA3"/>
    <w:rsid w:val="00F05057"/>
    <w:rsid w:val="00F05978"/>
    <w:rsid w:val="00F05DE7"/>
    <w:rsid w:val="00F0642C"/>
    <w:rsid w:val="00F068F4"/>
    <w:rsid w:val="00F06E5C"/>
    <w:rsid w:val="00F07DDE"/>
    <w:rsid w:val="00F101D3"/>
    <w:rsid w:val="00F10314"/>
    <w:rsid w:val="00F11117"/>
    <w:rsid w:val="00F125CD"/>
    <w:rsid w:val="00F12991"/>
    <w:rsid w:val="00F14237"/>
    <w:rsid w:val="00F158DC"/>
    <w:rsid w:val="00F17FEE"/>
    <w:rsid w:val="00F20F5B"/>
    <w:rsid w:val="00F26AB4"/>
    <w:rsid w:val="00F30028"/>
    <w:rsid w:val="00F301F8"/>
    <w:rsid w:val="00F3075D"/>
    <w:rsid w:val="00F31043"/>
    <w:rsid w:val="00F31084"/>
    <w:rsid w:val="00F32884"/>
    <w:rsid w:val="00F32964"/>
    <w:rsid w:val="00F331BD"/>
    <w:rsid w:val="00F332C3"/>
    <w:rsid w:val="00F35185"/>
    <w:rsid w:val="00F351FF"/>
    <w:rsid w:val="00F352A6"/>
    <w:rsid w:val="00F37378"/>
    <w:rsid w:val="00F377FE"/>
    <w:rsid w:val="00F4430B"/>
    <w:rsid w:val="00F46821"/>
    <w:rsid w:val="00F47745"/>
    <w:rsid w:val="00F51672"/>
    <w:rsid w:val="00F51C16"/>
    <w:rsid w:val="00F52229"/>
    <w:rsid w:val="00F5341C"/>
    <w:rsid w:val="00F53EFE"/>
    <w:rsid w:val="00F53F52"/>
    <w:rsid w:val="00F54690"/>
    <w:rsid w:val="00F55D0C"/>
    <w:rsid w:val="00F5609B"/>
    <w:rsid w:val="00F56C7C"/>
    <w:rsid w:val="00F5747B"/>
    <w:rsid w:val="00F57ED8"/>
    <w:rsid w:val="00F60332"/>
    <w:rsid w:val="00F618BB"/>
    <w:rsid w:val="00F62D53"/>
    <w:rsid w:val="00F64DF5"/>
    <w:rsid w:val="00F6538B"/>
    <w:rsid w:val="00F656B7"/>
    <w:rsid w:val="00F677E0"/>
    <w:rsid w:val="00F70168"/>
    <w:rsid w:val="00F733A3"/>
    <w:rsid w:val="00F7340C"/>
    <w:rsid w:val="00F7494B"/>
    <w:rsid w:val="00F75037"/>
    <w:rsid w:val="00F75786"/>
    <w:rsid w:val="00F76749"/>
    <w:rsid w:val="00F77298"/>
    <w:rsid w:val="00F7767B"/>
    <w:rsid w:val="00F803CB"/>
    <w:rsid w:val="00F82B34"/>
    <w:rsid w:val="00F831D4"/>
    <w:rsid w:val="00F836C5"/>
    <w:rsid w:val="00F838F2"/>
    <w:rsid w:val="00F83CDC"/>
    <w:rsid w:val="00F83E9E"/>
    <w:rsid w:val="00F84897"/>
    <w:rsid w:val="00F86488"/>
    <w:rsid w:val="00F86687"/>
    <w:rsid w:val="00F868EF"/>
    <w:rsid w:val="00F871CB"/>
    <w:rsid w:val="00F878E9"/>
    <w:rsid w:val="00F87905"/>
    <w:rsid w:val="00F87D95"/>
    <w:rsid w:val="00F90018"/>
    <w:rsid w:val="00F914D6"/>
    <w:rsid w:val="00F92FC3"/>
    <w:rsid w:val="00F93593"/>
    <w:rsid w:val="00F94A89"/>
    <w:rsid w:val="00F96B6E"/>
    <w:rsid w:val="00FA2175"/>
    <w:rsid w:val="00FA2369"/>
    <w:rsid w:val="00FA44A9"/>
    <w:rsid w:val="00FA44E9"/>
    <w:rsid w:val="00FA552F"/>
    <w:rsid w:val="00FA5A7B"/>
    <w:rsid w:val="00FA6395"/>
    <w:rsid w:val="00FA7E30"/>
    <w:rsid w:val="00FB30C2"/>
    <w:rsid w:val="00FB3A2F"/>
    <w:rsid w:val="00FB471E"/>
    <w:rsid w:val="00FB4E4C"/>
    <w:rsid w:val="00FB521D"/>
    <w:rsid w:val="00FB6AC3"/>
    <w:rsid w:val="00FB7070"/>
    <w:rsid w:val="00FC1B15"/>
    <w:rsid w:val="00FC33A8"/>
    <w:rsid w:val="00FC348C"/>
    <w:rsid w:val="00FC527F"/>
    <w:rsid w:val="00FC556C"/>
    <w:rsid w:val="00FC58F4"/>
    <w:rsid w:val="00FD0CF6"/>
    <w:rsid w:val="00FD2277"/>
    <w:rsid w:val="00FD385D"/>
    <w:rsid w:val="00FD4544"/>
    <w:rsid w:val="00FD5088"/>
    <w:rsid w:val="00FD6471"/>
    <w:rsid w:val="00FE0925"/>
    <w:rsid w:val="00FE0A19"/>
    <w:rsid w:val="00FE0EDE"/>
    <w:rsid w:val="00FE36DB"/>
    <w:rsid w:val="00FE452E"/>
    <w:rsid w:val="00FE64CF"/>
    <w:rsid w:val="00FE7DBB"/>
    <w:rsid w:val="00FF09BD"/>
    <w:rsid w:val="00FF12C7"/>
    <w:rsid w:val="00FF24F6"/>
    <w:rsid w:val="00FF4C44"/>
    <w:rsid w:val="00FF5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1"/>
    </o:shapelayout>
  </w:shapeDefaults>
  <w:decimalSymbol w:val="."/>
  <w:listSeparator w:val=","/>
  <w14:docId w14:val="614F340E"/>
  <w15:docId w15:val="{A36D8576-C164-470F-9E18-805DFB4E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Garamond" w:hAnsi="Courier" w:cs="Times New Roman"/>
        <w:lang w:val="en-GB" w:eastAsia="en-GB" w:bidi="ar-SA"/>
      </w:rPr>
    </w:rPrDefault>
    <w:pPrDefault/>
  </w:docDefaults>
  <w:latentStyles w:defLockedState="0" w:defUIPriority="99" w:defSemiHidden="0" w:defUnhideWhenUsed="0" w:defQFormat="0" w:count="376">
    <w:lsdException w:name="heading 1" w:uiPriority="9" w:qFormat="1"/>
    <w:lsdException w:name="heading 2" w:uiPriority="4" w:qFormat="1"/>
    <w:lsdException w:name="heading 3" w:uiPriority="4" w:qFormat="1"/>
    <w:lsdException w:name="heading 4" w:uiPriority="4" w:qFormat="1"/>
    <w:lsdException w:name="heading 5" w:semiHidden="1" w:uiPriority="5" w:qFormat="1"/>
    <w:lsdException w:name="heading 6" w:semiHidden="1" w:uiPriority="5" w:qFormat="1"/>
    <w:lsdException w:name="heading 7" w:semiHidden="1" w:uiPriority="5" w:unhideWhenUsed="1" w:qFormat="1"/>
    <w:lsdException w:name="heading 8" w:semiHidden="1" w:uiPriority="5" w:unhideWhenUsed="1" w:qFormat="1"/>
    <w:lsdException w:name="heading 9" w:semiHidden="1" w:uiPriority="5"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BF4424"/>
    <w:pPr>
      <w:spacing w:line="264" w:lineRule="atLeast"/>
    </w:pPr>
    <w:rPr>
      <w:rFonts w:ascii="Garamond" w:hAnsi="Garamond"/>
      <w:color w:val="000000"/>
      <w:spacing w:val="-2"/>
      <w:sz w:val="22"/>
      <w:lang w:val="en-AU" w:eastAsia="en-US"/>
    </w:rPr>
  </w:style>
  <w:style w:type="paragraph" w:styleId="Heading1">
    <w:name w:val="heading 1"/>
    <w:next w:val="BodyCopy"/>
    <w:link w:val="Heading1Char"/>
    <w:uiPriority w:val="9"/>
    <w:qFormat/>
    <w:rsid w:val="00BF4424"/>
    <w:pPr>
      <w:keepNext/>
      <w:keepLines/>
      <w:pageBreakBefore/>
      <w:numPr>
        <w:numId w:val="18"/>
      </w:numPr>
      <w:spacing w:line="560" w:lineRule="exact"/>
      <w:outlineLvl w:val="0"/>
    </w:pPr>
    <w:rPr>
      <w:rFonts w:ascii="Franklin Gothic Book" w:eastAsia="Times New Roman" w:hAnsi="Franklin Gothic Book"/>
      <w:b/>
      <w:bCs/>
      <w:caps/>
      <w:color w:val="000000"/>
      <w:sz w:val="52"/>
      <w:szCs w:val="28"/>
      <w:lang w:val="en-AU" w:eastAsia="en-US"/>
    </w:rPr>
  </w:style>
  <w:style w:type="paragraph" w:styleId="Heading2">
    <w:name w:val="heading 2"/>
    <w:next w:val="BodyCopy"/>
    <w:link w:val="Heading2Char"/>
    <w:uiPriority w:val="4"/>
    <w:qFormat/>
    <w:rsid w:val="00BF4424"/>
    <w:pPr>
      <w:keepNext/>
      <w:keepLines/>
      <w:numPr>
        <w:ilvl w:val="1"/>
        <w:numId w:val="18"/>
      </w:numPr>
      <w:spacing w:before="369" w:after="170" w:line="384" w:lineRule="atLeast"/>
      <w:ind w:left="992"/>
      <w:outlineLvl w:val="1"/>
    </w:pPr>
    <w:rPr>
      <w:rFonts w:ascii="Franklin Gothic Book" w:eastAsia="Times New Roman" w:hAnsi="Franklin Gothic Book"/>
      <w:b/>
      <w:bCs/>
      <w:caps/>
      <w:color w:val="000000"/>
      <w:spacing w:val="-3"/>
      <w:sz w:val="32"/>
      <w:szCs w:val="26"/>
      <w:u w:val="single"/>
      <w:lang w:val="en-AU" w:eastAsia="en-US"/>
    </w:rPr>
  </w:style>
  <w:style w:type="paragraph" w:styleId="Heading3">
    <w:name w:val="heading 3"/>
    <w:next w:val="BodyCopy"/>
    <w:link w:val="Heading3Char"/>
    <w:uiPriority w:val="4"/>
    <w:qFormat/>
    <w:rsid w:val="00BF4424"/>
    <w:pPr>
      <w:keepNext/>
      <w:keepLines/>
      <w:numPr>
        <w:ilvl w:val="2"/>
        <w:numId w:val="18"/>
      </w:numPr>
      <w:spacing w:before="284" w:after="142" w:line="336" w:lineRule="atLeast"/>
      <w:outlineLvl w:val="2"/>
    </w:pPr>
    <w:rPr>
      <w:rFonts w:ascii="Franklin Gothic Demi" w:eastAsia="Times New Roman" w:hAnsi="Franklin Gothic Demi"/>
      <w:bCs/>
      <w:color w:val="000000"/>
      <w:spacing w:val="-6"/>
      <w:sz w:val="28"/>
      <w:lang w:val="en-AU" w:eastAsia="en-US"/>
    </w:rPr>
  </w:style>
  <w:style w:type="paragraph" w:styleId="Heading4">
    <w:name w:val="heading 4"/>
    <w:next w:val="BodyCopy"/>
    <w:link w:val="Heading4Char"/>
    <w:uiPriority w:val="4"/>
    <w:qFormat/>
    <w:rsid w:val="00BF4424"/>
    <w:pPr>
      <w:keepNext/>
      <w:keepLines/>
      <w:spacing w:before="170" w:after="113" w:line="288" w:lineRule="atLeast"/>
      <w:outlineLvl w:val="3"/>
    </w:pPr>
    <w:rPr>
      <w:rFonts w:ascii="Franklin Gothic Book" w:eastAsia="Times New Roman" w:hAnsi="Franklin Gothic Book"/>
      <w:bCs/>
      <w:iCs/>
      <w:color w:val="000000"/>
      <w:spacing w:val="-3"/>
      <w:sz w:val="24"/>
      <w:lang w:val="en-AU" w:eastAsia="en-US"/>
    </w:rPr>
  </w:style>
  <w:style w:type="paragraph" w:styleId="Heading5">
    <w:name w:val="heading 5"/>
    <w:next w:val="BodyText"/>
    <w:link w:val="Heading5Char"/>
    <w:uiPriority w:val="5"/>
    <w:semiHidden/>
    <w:qFormat/>
    <w:rsid w:val="00BF4424"/>
    <w:pPr>
      <w:keepNext/>
      <w:keepLines/>
      <w:spacing w:before="200"/>
      <w:outlineLvl w:val="4"/>
    </w:pPr>
    <w:rPr>
      <w:rFonts w:ascii="Franklin Gothic Book" w:eastAsia="Times New Roman" w:hAnsi="Franklin Gothic Book"/>
      <w:color w:val="7F7800"/>
      <w:lang w:val="en-AU" w:eastAsia="en-US"/>
    </w:rPr>
  </w:style>
  <w:style w:type="paragraph" w:styleId="Heading6">
    <w:name w:val="heading 6"/>
    <w:next w:val="BodyText"/>
    <w:link w:val="Heading6Char"/>
    <w:uiPriority w:val="5"/>
    <w:semiHidden/>
    <w:qFormat/>
    <w:rsid w:val="00BF4424"/>
    <w:pPr>
      <w:keepNext/>
      <w:keepLines/>
      <w:spacing w:before="200"/>
      <w:outlineLvl w:val="5"/>
    </w:pPr>
    <w:rPr>
      <w:rFonts w:ascii="Franklin Gothic Book" w:eastAsia="Times New Roman" w:hAnsi="Franklin Gothic Book"/>
      <w:i/>
      <w:iCs/>
      <w:color w:val="7F7800"/>
      <w:lang w:val="en-AU" w:eastAsia="en-US"/>
    </w:rPr>
  </w:style>
  <w:style w:type="paragraph" w:styleId="Heading7">
    <w:name w:val="heading 7"/>
    <w:next w:val="BodyText"/>
    <w:link w:val="Heading7Char"/>
    <w:uiPriority w:val="5"/>
    <w:semiHidden/>
    <w:qFormat/>
    <w:rsid w:val="00BF4424"/>
    <w:pPr>
      <w:keepNext/>
      <w:keepLines/>
      <w:spacing w:before="200"/>
      <w:outlineLvl w:val="6"/>
    </w:pPr>
    <w:rPr>
      <w:rFonts w:ascii="Franklin Gothic Book" w:eastAsia="Times New Roman" w:hAnsi="Franklin Gothic Book"/>
      <w:i/>
      <w:iCs/>
      <w:color w:val="404040"/>
      <w:lang w:val="en-AU" w:eastAsia="en-US"/>
    </w:rPr>
  </w:style>
  <w:style w:type="paragraph" w:styleId="Heading8">
    <w:name w:val="heading 8"/>
    <w:next w:val="BodyText"/>
    <w:link w:val="Heading8Char"/>
    <w:uiPriority w:val="5"/>
    <w:semiHidden/>
    <w:qFormat/>
    <w:rsid w:val="00BF4424"/>
    <w:pPr>
      <w:keepNext/>
      <w:keepLines/>
      <w:spacing w:before="200"/>
      <w:outlineLvl w:val="7"/>
    </w:pPr>
    <w:rPr>
      <w:rFonts w:ascii="Franklin Gothic Book" w:eastAsia="Times New Roman" w:hAnsi="Franklin Gothic Book"/>
      <w:color w:val="404040"/>
      <w:lang w:val="en-AU" w:eastAsia="en-US"/>
    </w:rPr>
  </w:style>
  <w:style w:type="paragraph" w:styleId="Heading9">
    <w:name w:val="heading 9"/>
    <w:next w:val="BodyText"/>
    <w:link w:val="Heading9Char"/>
    <w:uiPriority w:val="5"/>
    <w:semiHidden/>
    <w:rsid w:val="00BF4424"/>
    <w:pPr>
      <w:keepNext/>
      <w:keepLines/>
      <w:pBdr>
        <w:bottom w:val="single" w:sz="4" w:space="14" w:color="FFF200"/>
      </w:pBdr>
      <w:spacing w:line="336" w:lineRule="atLeast"/>
      <w:outlineLvl w:val="8"/>
    </w:pPr>
    <w:rPr>
      <w:rFonts w:ascii="Franklin Gothic Book" w:eastAsia="Times New Roman" w:hAnsi="Franklin Gothic Book"/>
      <w:iCs/>
      <w:caps/>
      <w:color w:val="000000"/>
      <w:spacing w:val="-3"/>
      <w:sz w:val="28"/>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F4424"/>
    <w:rPr>
      <w:rFonts w:ascii="Tahoma" w:hAnsi="Tahoma" w:cs="Tahoma"/>
      <w:sz w:val="16"/>
      <w:szCs w:val="16"/>
    </w:rPr>
  </w:style>
  <w:style w:type="character" w:customStyle="1" w:styleId="BalloonTextChar">
    <w:name w:val="Balloon Text Char"/>
    <w:link w:val="BalloonText"/>
    <w:uiPriority w:val="99"/>
    <w:semiHidden/>
    <w:rsid w:val="00BF4424"/>
    <w:rPr>
      <w:rFonts w:ascii="Tahoma" w:hAnsi="Tahoma" w:cs="Tahoma"/>
      <w:color w:val="000000"/>
      <w:spacing w:val="-2"/>
      <w:sz w:val="16"/>
      <w:szCs w:val="16"/>
    </w:rPr>
  </w:style>
  <w:style w:type="table" w:styleId="TableGrid">
    <w:name w:val="Table Grid"/>
    <w:aliases w:val="CV"/>
    <w:basedOn w:val="TableNormal"/>
    <w:uiPriority w:val="59"/>
    <w:rsid w:val="00BF4424"/>
    <w:rPr>
      <w:rFonts w:ascii="Arial" w:hAnsi="Arial"/>
    </w:rPr>
    <w:tblPr>
      <w:tblCellMar>
        <w:left w:w="0" w:type="dxa"/>
        <w:right w:w="0" w:type="dxa"/>
      </w:tblCellMar>
    </w:tblPr>
  </w:style>
  <w:style w:type="character" w:customStyle="1" w:styleId="Heading1Char">
    <w:name w:val="Heading 1 Char"/>
    <w:link w:val="Heading1"/>
    <w:uiPriority w:val="9"/>
    <w:rsid w:val="00BF4424"/>
    <w:rPr>
      <w:rFonts w:ascii="Franklin Gothic Book" w:eastAsia="Times New Roman" w:hAnsi="Franklin Gothic Book" w:cs="Times New Roman"/>
      <w:b/>
      <w:bCs/>
      <w:caps/>
      <w:color w:val="000000"/>
      <w:sz w:val="52"/>
      <w:szCs w:val="28"/>
    </w:rPr>
  </w:style>
  <w:style w:type="paragraph" w:styleId="Footer">
    <w:name w:val="footer"/>
    <w:link w:val="FooterChar"/>
    <w:uiPriority w:val="99"/>
    <w:semiHidden/>
    <w:rsid w:val="00BF4424"/>
    <w:pPr>
      <w:tabs>
        <w:tab w:val="center" w:pos="4513"/>
        <w:tab w:val="right" w:pos="9026"/>
      </w:tabs>
    </w:pPr>
    <w:rPr>
      <w:rFonts w:ascii="Garamond" w:hAnsi="Garamond"/>
      <w:lang w:val="en-AU" w:eastAsia="en-US"/>
    </w:rPr>
  </w:style>
  <w:style w:type="character" w:customStyle="1" w:styleId="FooterChar">
    <w:name w:val="Footer Char"/>
    <w:link w:val="Footer"/>
    <w:uiPriority w:val="99"/>
    <w:semiHidden/>
    <w:rsid w:val="00BF4424"/>
    <w:rPr>
      <w:rFonts w:ascii="Garamond" w:hAnsi="Garamond"/>
    </w:rPr>
  </w:style>
  <w:style w:type="paragraph" w:styleId="Header">
    <w:name w:val="header"/>
    <w:link w:val="HeaderChar"/>
    <w:uiPriority w:val="99"/>
    <w:semiHidden/>
    <w:rsid w:val="00BF4424"/>
    <w:pPr>
      <w:tabs>
        <w:tab w:val="center" w:pos="4513"/>
        <w:tab w:val="right" w:pos="9026"/>
      </w:tabs>
    </w:pPr>
    <w:rPr>
      <w:rFonts w:ascii="Garamond" w:hAnsi="Garamond"/>
      <w:lang w:val="en-AU" w:eastAsia="en-US"/>
    </w:rPr>
  </w:style>
  <w:style w:type="character" w:customStyle="1" w:styleId="HeaderChar">
    <w:name w:val="Header Char"/>
    <w:link w:val="Header"/>
    <w:uiPriority w:val="99"/>
    <w:semiHidden/>
    <w:rsid w:val="00BF4424"/>
    <w:rPr>
      <w:rFonts w:ascii="Garamond" w:hAnsi="Garamond"/>
    </w:rPr>
  </w:style>
  <w:style w:type="character" w:customStyle="1" w:styleId="Heading2Char">
    <w:name w:val="Heading 2 Char"/>
    <w:link w:val="Heading2"/>
    <w:uiPriority w:val="4"/>
    <w:rsid w:val="00BF4424"/>
    <w:rPr>
      <w:rFonts w:ascii="Franklin Gothic Book" w:eastAsia="Times New Roman" w:hAnsi="Franklin Gothic Book" w:cs="Times New Roman"/>
      <w:b/>
      <w:bCs/>
      <w:caps/>
      <w:color w:val="000000"/>
      <w:spacing w:val="-3"/>
      <w:sz w:val="32"/>
      <w:szCs w:val="26"/>
      <w:u w:val="single"/>
    </w:rPr>
  </w:style>
  <w:style w:type="paragraph" w:styleId="BodyText">
    <w:name w:val="Body Text"/>
    <w:link w:val="BodyTextChar"/>
    <w:uiPriority w:val="99"/>
    <w:semiHidden/>
    <w:rsid w:val="00BF4424"/>
    <w:pPr>
      <w:spacing w:after="120"/>
    </w:pPr>
    <w:rPr>
      <w:rFonts w:ascii="Garamond" w:hAnsi="Garamond"/>
      <w:lang w:val="en-AU" w:eastAsia="en-US"/>
    </w:rPr>
  </w:style>
  <w:style w:type="character" w:customStyle="1" w:styleId="BodyTextChar">
    <w:name w:val="Body Text Char"/>
    <w:link w:val="BodyText"/>
    <w:uiPriority w:val="99"/>
    <w:semiHidden/>
    <w:rsid w:val="00BF4424"/>
    <w:rPr>
      <w:rFonts w:ascii="Garamond" w:hAnsi="Garamond"/>
    </w:rPr>
  </w:style>
  <w:style w:type="character" w:customStyle="1" w:styleId="Heading3Char">
    <w:name w:val="Heading 3 Char"/>
    <w:link w:val="Heading3"/>
    <w:uiPriority w:val="4"/>
    <w:rsid w:val="00BF4424"/>
    <w:rPr>
      <w:rFonts w:ascii="Franklin Gothic Demi" w:eastAsia="Times New Roman" w:hAnsi="Franklin Gothic Demi" w:cs="Times New Roman"/>
      <w:bCs/>
      <w:color w:val="000000"/>
      <w:spacing w:val="-6"/>
      <w:sz w:val="28"/>
    </w:rPr>
  </w:style>
  <w:style w:type="character" w:customStyle="1" w:styleId="Heading4Char">
    <w:name w:val="Heading 4 Char"/>
    <w:link w:val="Heading4"/>
    <w:uiPriority w:val="4"/>
    <w:rsid w:val="00BF4424"/>
    <w:rPr>
      <w:rFonts w:ascii="Franklin Gothic Book" w:eastAsia="Times New Roman" w:hAnsi="Franklin Gothic Book" w:cs="Times New Roman"/>
      <w:bCs/>
      <w:iCs/>
      <w:color w:val="000000"/>
      <w:spacing w:val="-3"/>
      <w:sz w:val="24"/>
    </w:rPr>
  </w:style>
  <w:style w:type="paragraph" w:styleId="Subtitle">
    <w:name w:val="Subtitle"/>
    <w:link w:val="SubtitleChar"/>
    <w:uiPriority w:val="99"/>
    <w:semiHidden/>
    <w:qFormat/>
    <w:rsid w:val="00BF4424"/>
    <w:pPr>
      <w:numPr>
        <w:ilvl w:val="1"/>
      </w:numPr>
    </w:pPr>
    <w:rPr>
      <w:rFonts w:ascii="Franklin Gothic Book" w:eastAsia="Times New Roman" w:hAnsi="Franklin Gothic Book"/>
      <w:iCs/>
      <w:color w:val="FFF200"/>
      <w:sz w:val="24"/>
      <w:szCs w:val="24"/>
      <w:lang w:val="en-AU" w:eastAsia="en-US"/>
    </w:rPr>
  </w:style>
  <w:style w:type="character" w:customStyle="1" w:styleId="SubtitleChar">
    <w:name w:val="Subtitle Char"/>
    <w:link w:val="Subtitle"/>
    <w:uiPriority w:val="99"/>
    <w:semiHidden/>
    <w:rsid w:val="00BF4424"/>
    <w:rPr>
      <w:rFonts w:ascii="Franklin Gothic Book" w:eastAsia="Times New Roman" w:hAnsi="Franklin Gothic Book" w:cs="Times New Roman"/>
      <w:iCs/>
      <w:color w:val="FFF200"/>
      <w:sz w:val="24"/>
      <w:szCs w:val="24"/>
    </w:rPr>
  </w:style>
  <w:style w:type="paragraph" w:styleId="Title">
    <w:name w:val="Title"/>
    <w:link w:val="TitleChar"/>
    <w:uiPriority w:val="99"/>
    <w:semiHidden/>
    <w:qFormat/>
    <w:rsid w:val="00BF4424"/>
    <w:pPr>
      <w:pBdr>
        <w:bottom w:val="single" w:sz="8" w:space="4" w:color="FFF200"/>
      </w:pBdr>
      <w:spacing w:after="300"/>
      <w:contextualSpacing/>
    </w:pPr>
    <w:rPr>
      <w:rFonts w:ascii="Franklin Gothic Book" w:eastAsia="Times New Roman" w:hAnsi="Franklin Gothic Book"/>
      <w:color w:val="595959"/>
      <w:kern w:val="28"/>
      <w:sz w:val="52"/>
      <w:szCs w:val="52"/>
      <w:lang w:val="en-AU" w:eastAsia="en-US"/>
    </w:rPr>
  </w:style>
  <w:style w:type="character" w:customStyle="1" w:styleId="TitleChar">
    <w:name w:val="Title Char"/>
    <w:link w:val="Title"/>
    <w:uiPriority w:val="99"/>
    <w:semiHidden/>
    <w:rsid w:val="00BF4424"/>
    <w:rPr>
      <w:rFonts w:ascii="Franklin Gothic Book" w:eastAsia="Times New Roman" w:hAnsi="Franklin Gothic Book" w:cs="Times New Roman"/>
      <w:color w:val="595959"/>
      <w:kern w:val="28"/>
      <w:sz w:val="52"/>
      <w:szCs w:val="52"/>
    </w:rPr>
  </w:style>
  <w:style w:type="paragraph" w:styleId="Caption">
    <w:name w:val="caption"/>
    <w:next w:val="BodyText"/>
    <w:uiPriority w:val="14"/>
    <w:qFormat/>
    <w:rsid w:val="00BF4424"/>
    <w:pPr>
      <w:keepNext/>
      <w:keepLines/>
      <w:spacing w:before="170" w:after="85" w:line="200" w:lineRule="exact"/>
      <w:jc w:val="center"/>
    </w:pPr>
    <w:rPr>
      <w:rFonts w:ascii="Franklin Gothic Demi" w:hAnsi="Franklin Gothic Demi"/>
      <w:bCs/>
      <w:color w:val="000000"/>
      <w:sz w:val="17"/>
      <w:szCs w:val="18"/>
      <w:lang w:val="en-AU" w:eastAsia="en-US"/>
    </w:rPr>
  </w:style>
  <w:style w:type="paragraph" w:styleId="Date">
    <w:name w:val="Date"/>
    <w:link w:val="DateChar"/>
    <w:uiPriority w:val="99"/>
    <w:semiHidden/>
    <w:rsid w:val="00BF4424"/>
    <w:rPr>
      <w:rFonts w:ascii="Garamond" w:hAnsi="Garamond"/>
      <w:lang w:val="en-AU" w:eastAsia="en-US"/>
    </w:rPr>
  </w:style>
  <w:style w:type="character" w:customStyle="1" w:styleId="DateChar">
    <w:name w:val="Date Char"/>
    <w:link w:val="Date"/>
    <w:uiPriority w:val="99"/>
    <w:semiHidden/>
    <w:rsid w:val="00BF4424"/>
    <w:rPr>
      <w:rFonts w:ascii="Garamond" w:hAnsi="Garamond"/>
    </w:rPr>
  </w:style>
  <w:style w:type="paragraph" w:styleId="EndnoteText">
    <w:name w:val="endnote text"/>
    <w:link w:val="EndnoteTextChar"/>
    <w:uiPriority w:val="99"/>
    <w:semiHidden/>
    <w:rsid w:val="00BF4424"/>
    <w:rPr>
      <w:rFonts w:ascii="Garamond" w:hAnsi="Garamond"/>
      <w:lang w:val="en-AU" w:eastAsia="en-US"/>
    </w:rPr>
  </w:style>
  <w:style w:type="character" w:customStyle="1" w:styleId="EndnoteTextChar">
    <w:name w:val="Endnote Text Char"/>
    <w:link w:val="EndnoteText"/>
    <w:uiPriority w:val="99"/>
    <w:semiHidden/>
    <w:rsid w:val="00BF4424"/>
    <w:rPr>
      <w:rFonts w:ascii="Garamond" w:hAnsi="Garamond"/>
    </w:rPr>
  </w:style>
  <w:style w:type="paragraph" w:styleId="FootnoteText">
    <w:name w:val="footnote text"/>
    <w:link w:val="FootnoteTextChar"/>
    <w:uiPriority w:val="39"/>
    <w:semiHidden/>
    <w:rsid w:val="00BF4424"/>
    <w:pPr>
      <w:spacing w:line="192" w:lineRule="atLeast"/>
    </w:pPr>
    <w:rPr>
      <w:rFonts w:ascii="Garamond" w:hAnsi="Garamond"/>
      <w:i/>
      <w:color w:val="787878"/>
      <w:sz w:val="16"/>
      <w:lang w:val="en-AU" w:eastAsia="en-US"/>
    </w:rPr>
  </w:style>
  <w:style w:type="character" w:customStyle="1" w:styleId="FootnoteTextChar">
    <w:name w:val="Footnote Text Char"/>
    <w:link w:val="FootnoteText"/>
    <w:uiPriority w:val="39"/>
    <w:semiHidden/>
    <w:rsid w:val="00BF4424"/>
    <w:rPr>
      <w:rFonts w:ascii="Garamond" w:hAnsi="Garamond"/>
      <w:i/>
      <w:color w:val="787878"/>
      <w:sz w:val="16"/>
    </w:rPr>
  </w:style>
  <w:style w:type="paragraph" w:styleId="Quote">
    <w:name w:val="Quote"/>
    <w:basedOn w:val="BodyCopy"/>
    <w:next w:val="BodyCopy"/>
    <w:link w:val="QuoteChar"/>
    <w:qFormat/>
    <w:rsid w:val="00BF4424"/>
    <w:pPr>
      <w:ind w:left="284" w:right="284"/>
    </w:pPr>
    <w:rPr>
      <w:rFonts w:ascii="Times New Roman" w:hAnsi="Times New Roman"/>
      <w:i/>
      <w:iCs/>
      <w:sz w:val="20"/>
    </w:rPr>
  </w:style>
  <w:style w:type="character" w:customStyle="1" w:styleId="QuoteChar">
    <w:name w:val="Quote Char"/>
    <w:link w:val="Quote"/>
    <w:rsid w:val="00BF4424"/>
    <w:rPr>
      <w:rFonts w:ascii="Times New Roman" w:hAnsi="Times New Roman"/>
      <w:i/>
      <w:iCs/>
      <w:color w:val="000000"/>
      <w:spacing w:val="-2"/>
    </w:rPr>
  </w:style>
  <w:style w:type="paragraph" w:styleId="TableofFigures">
    <w:name w:val="table of figures"/>
    <w:uiPriority w:val="99"/>
    <w:semiHidden/>
    <w:rsid w:val="00BF4424"/>
    <w:rPr>
      <w:rFonts w:ascii="Garamond" w:hAnsi="Garamond"/>
      <w:lang w:val="en-AU" w:eastAsia="en-US"/>
    </w:rPr>
  </w:style>
  <w:style w:type="paragraph" w:styleId="TOC1">
    <w:name w:val="toc 1"/>
    <w:uiPriority w:val="39"/>
    <w:rsid w:val="00BF4424"/>
    <w:pPr>
      <w:tabs>
        <w:tab w:val="center" w:pos="6804"/>
      </w:tabs>
      <w:spacing w:after="180" w:line="280" w:lineRule="atLeast"/>
      <w:ind w:left="397" w:right="1021"/>
      <w:contextualSpacing/>
    </w:pPr>
    <w:rPr>
      <w:rFonts w:ascii="Franklin Gothic Book" w:hAnsi="Franklin Gothic Book"/>
      <w:caps/>
      <w:color w:val="000000"/>
      <w:spacing w:val="-2"/>
      <w:sz w:val="22"/>
      <w:lang w:val="en-AU" w:eastAsia="en-US"/>
    </w:rPr>
  </w:style>
  <w:style w:type="paragraph" w:styleId="TOC2">
    <w:name w:val="toc 2"/>
    <w:uiPriority w:val="39"/>
    <w:rsid w:val="00BF4424"/>
    <w:pPr>
      <w:tabs>
        <w:tab w:val="left" w:pos="397"/>
        <w:tab w:val="center" w:pos="6804"/>
      </w:tabs>
      <w:spacing w:before="180" w:line="360" w:lineRule="atLeast"/>
      <w:ind w:left="397" w:right="1021" w:hanging="397"/>
    </w:pPr>
    <w:rPr>
      <w:rFonts w:ascii="Franklin Gothic Book" w:hAnsi="Franklin Gothic Book"/>
      <w:caps/>
      <w:color w:val="000000"/>
      <w:spacing w:val="-2"/>
      <w:sz w:val="28"/>
      <w:u w:val="single"/>
      <w:lang w:val="en-AU" w:eastAsia="en-US"/>
    </w:rPr>
  </w:style>
  <w:style w:type="paragraph" w:styleId="TOC3">
    <w:name w:val="toc 3"/>
    <w:uiPriority w:val="39"/>
    <w:rsid w:val="00034F13"/>
    <w:pPr>
      <w:tabs>
        <w:tab w:val="left" w:pos="964"/>
        <w:tab w:val="center" w:pos="6804"/>
      </w:tabs>
      <w:spacing w:before="80" w:line="280" w:lineRule="atLeast"/>
      <w:ind w:left="794" w:right="1021" w:hanging="397"/>
      <w:contextualSpacing/>
    </w:pPr>
    <w:rPr>
      <w:rFonts w:ascii="Franklin Gothic Demi" w:hAnsi="Franklin Gothic Demi"/>
      <w:caps/>
      <w:color w:val="000000"/>
      <w:lang w:val="en-AU" w:eastAsia="en-US"/>
    </w:rPr>
  </w:style>
  <w:style w:type="paragraph" w:styleId="TOCHeading">
    <w:name w:val="TOC Heading"/>
    <w:basedOn w:val="Heading1"/>
    <w:next w:val="BodyText"/>
    <w:uiPriority w:val="99"/>
    <w:semiHidden/>
    <w:qFormat/>
    <w:rsid w:val="00BF4424"/>
    <w:pPr>
      <w:framePr w:wrap="around" w:hAnchor="text"/>
      <w:outlineLvl w:val="9"/>
    </w:pPr>
  </w:style>
  <w:style w:type="character" w:customStyle="1" w:styleId="Heading5Char">
    <w:name w:val="Heading 5 Char"/>
    <w:link w:val="Heading5"/>
    <w:uiPriority w:val="5"/>
    <w:semiHidden/>
    <w:rsid w:val="00BF4424"/>
    <w:rPr>
      <w:rFonts w:ascii="Franklin Gothic Book" w:eastAsia="Times New Roman" w:hAnsi="Franklin Gothic Book" w:cs="Times New Roman"/>
      <w:color w:val="7F7800"/>
    </w:rPr>
  </w:style>
  <w:style w:type="character" w:customStyle="1" w:styleId="Heading6Char">
    <w:name w:val="Heading 6 Char"/>
    <w:link w:val="Heading6"/>
    <w:uiPriority w:val="5"/>
    <w:semiHidden/>
    <w:rsid w:val="00BF4424"/>
    <w:rPr>
      <w:rFonts w:ascii="Franklin Gothic Book" w:eastAsia="Times New Roman" w:hAnsi="Franklin Gothic Book" w:cs="Times New Roman"/>
      <w:i/>
      <w:iCs/>
      <w:color w:val="7F7800"/>
    </w:rPr>
  </w:style>
  <w:style w:type="character" w:customStyle="1" w:styleId="Heading7Char">
    <w:name w:val="Heading 7 Char"/>
    <w:link w:val="Heading7"/>
    <w:uiPriority w:val="5"/>
    <w:semiHidden/>
    <w:rsid w:val="00BF4424"/>
    <w:rPr>
      <w:rFonts w:ascii="Franklin Gothic Book" w:eastAsia="Times New Roman" w:hAnsi="Franklin Gothic Book" w:cs="Times New Roman"/>
      <w:i/>
      <w:iCs/>
      <w:color w:val="404040"/>
    </w:rPr>
  </w:style>
  <w:style w:type="character" w:customStyle="1" w:styleId="Heading8Char">
    <w:name w:val="Heading 8 Char"/>
    <w:link w:val="Heading8"/>
    <w:uiPriority w:val="5"/>
    <w:semiHidden/>
    <w:rsid w:val="00BF4424"/>
    <w:rPr>
      <w:rFonts w:ascii="Franklin Gothic Book" w:eastAsia="Times New Roman" w:hAnsi="Franklin Gothic Book" w:cs="Times New Roman"/>
      <w:color w:val="404040"/>
    </w:rPr>
  </w:style>
  <w:style w:type="character" w:customStyle="1" w:styleId="Heading9Char">
    <w:name w:val="Heading 9 Char"/>
    <w:link w:val="Heading9"/>
    <w:uiPriority w:val="5"/>
    <w:semiHidden/>
    <w:rsid w:val="00BF4424"/>
    <w:rPr>
      <w:rFonts w:ascii="Franklin Gothic Book" w:eastAsia="Times New Roman" w:hAnsi="Franklin Gothic Book" w:cs="Times New Roman"/>
      <w:iCs/>
      <w:caps/>
      <w:color w:val="000000"/>
      <w:spacing w:val="-3"/>
      <w:sz w:val="28"/>
    </w:rPr>
  </w:style>
  <w:style w:type="numbering" w:customStyle="1" w:styleId="Headings">
    <w:name w:val="Headings"/>
    <w:basedOn w:val="NoList"/>
    <w:uiPriority w:val="99"/>
    <w:rsid w:val="00BF4424"/>
    <w:pPr>
      <w:numPr>
        <w:numId w:val="1"/>
      </w:numPr>
    </w:pPr>
  </w:style>
  <w:style w:type="paragraph" w:customStyle="1" w:styleId="Bullets2">
    <w:name w:val="Bullets 2"/>
    <w:basedOn w:val="Bullets1"/>
    <w:qFormat/>
    <w:rsid w:val="00BF4424"/>
    <w:pPr>
      <w:numPr>
        <w:ilvl w:val="1"/>
      </w:numPr>
    </w:pPr>
  </w:style>
  <w:style w:type="paragraph" w:customStyle="1" w:styleId="BodyCopy">
    <w:name w:val="Body Copy"/>
    <w:link w:val="BodyCopyChar"/>
    <w:qFormat/>
    <w:rsid w:val="00BF4424"/>
    <w:pPr>
      <w:spacing w:before="85" w:after="85" w:line="264" w:lineRule="atLeast"/>
    </w:pPr>
    <w:rPr>
      <w:rFonts w:ascii="Garamond" w:hAnsi="Garamond"/>
      <w:color w:val="000000"/>
      <w:spacing w:val="-2"/>
      <w:sz w:val="22"/>
      <w:lang w:val="en-AU" w:eastAsia="en-US"/>
    </w:rPr>
  </w:style>
  <w:style w:type="character" w:styleId="FootnoteReference">
    <w:name w:val="footnote reference"/>
    <w:uiPriority w:val="99"/>
    <w:semiHidden/>
    <w:rsid w:val="00BF4424"/>
    <w:rPr>
      <w:vertAlign w:val="superscript"/>
    </w:rPr>
  </w:style>
  <w:style w:type="numbering" w:customStyle="1" w:styleId="Bullets">
    <w:name w:val="Bullets"/>
    <w:basedOn w:val="NoList"/>
    <w:uiPriority w:val="99"/>
    <w:rsid w:val="00BF4424"/>
    <w:pPr>
      <w:numPr>
        <w:numId w:val="2"/>
      </w:numPr>
    </w:pPr>
  </w:style>
  <w:style w:type="paragraph" w:customStyle="1" w:styleId="Bullets1">
    <w:name w:val="Bullets 1"/>
    <w:basedOn w:val="BodyCopy"/>
    <w:qFormat/>
    <w:rsid w:val="00565EAD"/>
    <w:pPr>
      <w:numPr>
        <w:numId w:val="8"/>
      </w:numPr>
      <w:spacing w:before="20" w:after="20"/>
      <w:ind w:left="170"/>
    </w:pPr>
  </w:style>
  <w:style w:type="numbering" w:customStyle="1" w:styleId="Numbers">
    <w:name w:val="Numbers"/>
    <w:basedOn w:val="Bullets"/>
    <w:uiPriority w:val="99"/>
    <w:rsid w:val="00BF4424"/>
    <w:pPr>
      <w:numPr>
        <w:numId w:val="3"/>
      </w:numPr>
    </w:pPr>
  </w:style>
  <w:style w:type="paragraph" w:customStyle="1" w:styleId="Numbers1">
    <w:name w:val="Numbers 1"/>
    <w:basedOn w:val="Bullets1"/>
    <w:qFormat/>
    <w:rsid w:val="00BF4424"/>
    <w:pPr>
      <w:numPr>
        <w:numId w:val="37"/>
      </w:numPr>
    </w:pPr>
  </w:style>
  <w:style w:type="table" w:customStyle="1" w:styleId="HMATable">
    <w:name w:val="HMA Table"/>
    <w:basedOn w:val="TableNormal"/>
    <w:uiPriority w:val="99"/>
    <w:rsid w:val="00BF4424"/>
    <w:tblPr>
      <w:tblBorders>
        <w:top w:val="single" w:sz="4" w:space="0" w:color="4B4B4B"/>
        <w:left w:val="single" w:sz="4" w:space="0" w:color="FFFFFF"/>
        <w:bottom w:val="single" w:sz="4" w:space="0" w:color="4B4B4B"/>
        <w:right w:val="single" w:sz="4" w:space="0" w:color="FFFFFF"/>
        <w:insideH w:val="single" w:sz="4" w:space="0" w:color="4B4B4B"/>
        <w:insideV w:val="single" w:sz="4" w:space="0" w:color="FFFFFF"/>
      </w:tblBorders>
      <w:tblCellMar>
        <w:left w:w="0" w:type="dxa"/>
        <w:right w:w="0" w:type="dxa"/>
      </w:tblCellMar>
    </w:tblPr>
    <w:tcPr>
      <w:shd w:val="clear" w:color="auto" w:fill="DCDCDC"/>
    </w:tcPr>
    <w:tblStylePr w:type="firstRow">
      <w:rPr>
        <w:rFonts w:ascii="Franklin Gothic Book" w:hAnsi="Franklin Gothic Book"/>
        <w:b w:val="0"/>
      </w:rPr>
      <w:tblPr/>
      <w:tcPr>
        <w:shd w:val="clear" w:color="auto" w:fill="BEBEBE"/>
      </w:tcPr>
    </w:tblStylePr>
    <w:tblStylePr w:type="lastRow">
      <w:rPr>
        <w:rFonts w:ascii="Garamond" w:hAnsi="Garamond"/>
        <w:b/>
      </w:rPr>
    </w:tblStylePr>
    <w:tblStylePr w:type="firstCol">
      <w:rPr>
        <w:rFonts w:ascii="Garamond" w:hAnsi="Garamond"/>
        <w:b/>
      </w:rPr>
    </w:tblStylePr>
    <w:tblStylePr w:type="neCell">
      <w:rPr>
        <w:b w:val="0"/>
      </w:rPr>
    </w:tblStylePr>
    <w:tblStylePr w:type="nwCell">
      <w:rPr>
        <w:b w:val="0"/>
      </w:rPr>
    </w:tblStylePr>
  </w:style>
  <w:style w:type="paragraph" w:customStyle="1" w:styleId="SectionTitle">
    <w:name w:val="Section Title"/>
    <w:basedOn w:val="BodyCopy"/>
    <w:next w:val="BodyCopy"/>
    <w:uiPriority w:val="5"/>
    <w:qFormat/>
    <w:rsid w:val="00BF4424"/>
    <w:pPr>
      <w:numPr>
        <w:numId w:val="13"/>
      </w:numPr>
      <w:shd w:val="clear" w:color="auto" w:fill="FFF200"/>
      <w:spacing w:before="520" w:line="384" w:lineRule="atLeast"/>
    </w:pPr>
    <w:rPr>
      <w:rFonts w:ascii="Franklin Gothic Book" w:hAnsi="Franklin Gothic Book"/>
      <w:caps/>
      <w:sz w:val="32"/>
    </w:rPr>
  </w:style>
  <w:style w:type="numbering" w:customStyle="1" w:styleId="Sections">
    <w:name w:val="Sections"/>
    <w:basedOn w:val="NoList"/>
    <w:uiPriority w:val="99"/>
    <w:rsid w:val="00BF4424"/>
    <w:pPr>
      <w:numPr>
        <w:numId w:val="4"/>
      </w:numPr>
    </w:pPr>
  </w:style>
  <w:style w:type="paragraph" w:customStyle="1" w:styleId="TableColumnHeading">
    <w:name w:val="Table Column Heading"/>
    <w:uiPriority w:val="17"/>
    <w:qFormat/>
    <w:rsid w:val="00BF4424"/>
    <w:pPr>
      <w:keepNext/>
      <w:spacing w:line="264" w:lineRule="atLeast"/>
      <w:ind w:left="57" w:right="57"/>
    </w:pPr>
    <w:rPr>
      <w:rFonts w:ascii="Franklin Gothic Book" w:hAnsi="Franklin Gothic Book"/>
      <w:color w:val="000000"/>
      <w:spacing w:val="-2"/>
      <w:sz w:val="22"/>
      <w:lang w:val="en-AU" w:eastAsia="en-US"/>
    </w:rPr>
  </w:style>
  <w:style w:type="character" w:customStyle="1" w:styleId="Superscript">
    <w:name w:val="Superscript"/>
    <w:uiPriority w:val="22"/>
    <w:qFormat/>
    <w:rsid w:val="00BF4424"/>
    <w:rPr>
      <w:vertAlign w:val="superscript"/>
    </w:rPr>
  </w:style>
  <w:style w:type="paragraph" w:customStyle="1" w:styleId="TableCopy">
    <w:name w:val="Table Copy"/>
    <w:uiPriority w:val="14"/>
    <w:qFormat/>
    <w:rsid w:val="00BF4424"/>
    <w:pPr>
      <w:spacing w:line="240" w:lineRule="atLeast"/>
      <w:ind w:left="57" w:right="57"/>
    </w:pPr>
    <w:rPr>
      <w:rFonts w:ascii="Garamond" w:hAnsi="Garamond"/>
      <w:color w:val="000000"/>
      <w:spacing w:val="-2"/>
      <w:lang w:val="en-AU" w:eastAsia="en-US"/>
    </w:rPr>
  </w:style>
  <w:style w:type="paragraph" w:customStyle="1" w:styleId="RecommendationsTableHeading">
    <w:name w:val="Recommendations Table Heading"/>
    <w:basedOn w:val="KeyFindingsTableHeading"/>
    <w:uiPriority w:val="21"/>
    <w:rsid w:val="00BF4424"/>
    <w:pPr>
      <w:spacing w:line="216" w:lineRule="atLeast"/>
    </w:pPr>
  </w:style>
  <w:style w:type="paragraph" w:customStyle="1" w:styleId="TableNotes">
    <w:name w:val="Table Notes"/>
    <w:basedOn w:val="BodyCopy"/>
    <w:uiPriority w:val="21"/>
    <w:qFormat/>
    <w:rsid w:val="00BF4424"/>
    <w:pPr>
      <w:tabs>
        <w:tab w:val="left" w:pos="227"/>
      </w:tabs>
      <w:spacing w:after="170" w:line="158" w:lineRule="atLeast"/>
      <w:contextualSpacing/>
    </w:pPr>
    <w:rPr>
      <w:i/>
      <w:sz w:val="14"/>
    </w:rPr>
  </w:style>
  <w:style w:type="paragraph" w:customStyle="1" w:styleId="MissionStatementHeading">
    <w:name w:val="Mission Statement Heading"/>
    <w:uiPriority w:val="24"/>
    <w:rsid w:val="00BF4424"/>
    <w:pPr>
      <w:framePr w:hSpace="181" w:wrap="notBeside" w:vAnchor="text" w:hAnchor="margin" w:y="6096"/>
      <w:spacing w:after="480" w:line="480" w:lineRule="exact"/>
    </w:pPr>
    <w:rPr>
      <w:rFonts w:ascii="Franklin Gothic Book" w:hAnsi="Franklin Gothic Book"/>
      <w:color w:val="787878"/>
      <w:sz w:val="48"/>
      <w:u w:val="single"/>
      <w:lang w:val="en-AU" w:eastAsia="en-US"/>
    </w:rPr>
  </w:style>
  <w:style w:type="paragraph" w:customStyle="1" w:styleId="MissionStatementBody">
    <w:name w:val="Mission Statement Body"/>
    <w:next w:val="BodyCopy"/>
    <w:uiPriority w:val="24"/>
    <w:rsid w:val="00BF4424"/>
    <w:pPr>
      <w:framePr w:wrap="notBeside" w:vAnchor="text" w:hAnchor="text" w:y="1"/>
      <w:spacing w:line="540" w:lineRule="exact"/>
    </w:pPr>
    <w:rPr>
      <w:rFonts w:ascii="Franklin Gothic Book" w:hAnsi="Franklin Gothic Book"/>
      <w:i/>
      <w:color w:val="787878"/>
      <w:sz w:val="48"/>
      <w:lang w:val="en-AU" w:eastAsia="en-US"/>
    </w:rPr>
  </w:style>
  <w:style w:type="character" w:customStyle="1" w:styleId="BodyCopyChar">
    <w:name w:val="Body Copy Char"/>
    <w:link w:val="BodyCopy"/>
    <w:rsid w:val="00BF4424"/>
    <w:rPr>
      <w:rFonts w:ascii="Garamond" w:hAnsi="Garamond"/>
      <w:color w:val="000000"/>
      <w:spacing w:val="-2"/>
      <w:sz w:val="22"/>
    </w:rPr>
  </w:style>
  <w:style w:type="character" w:styleId="PlaceholderText">
    <w:name w:val="Placeholder Text"/>
    <w:uiPriority w:val="99"/>
    <w:semiHidden/>
    <w:rsid w:val="00BF4424"/>
    <w:rPr>
      <w:color w:val="808080"/>
    </w:rPr>
  </w:style>
  <w:style w:type="paragraph" w:customStyle="1" w:styleId="DocumentInfo">
    <w:name w:val="Document Info"/>
    <w:link w:val="DocumentInfoChar"/>
    <w:uiPriority w:val="34"/>
    <w:rsid w:val="00BF4424"/>
    <w:pPr>
      <w:spacing w:line="288" w:lineRule="exact"/>
    </w:pPr>
    <w:rPr>
      <w:rFonts w:ascii="Franklin Gothic Book" w:hAnsi="Franklin Gothic Book"/>
      <w:caps/>
      <w:color w:val="000000"/>
      <w:spacing w:val="-2"/>
      <w:sz w:val="24"/>
      <w:lang w:val="en-AU" w:eastAsia="en-US"/>
    </w:rPr>
  </w:style>
  <w:style w:type="character" w:customStyle="1" w:styleId="DocumentInfoChar">
    <w:name w:val="Document Info Char"/>
    <w:link w:val="DocumentInfo"/>
    <w:uiPriority w:val="34"/>
    <w:rsid w:val="00BF4424"/>
    <w:rPr>
      <w:rFonts w:ascii="Franklin Gothic Book" w:hAnsi="Franklin Gothic Book"/>
      <w:caps/>
      <w:color w:val="000000"/>
      <w:spacing w:val="-2"/>
      <w:sz w:val="24"/>
    </w:rPr>
  </w:style>
  <w:style w:type="paragraph" w:customStyle="1" w:styleId="DocumentTitle">
    <w:name w:val="Document Title"/>
    <w:link w:val="DocumentTitleChar"/>
    <w:uiPriority w:val="34"/>
    <w:rsid w:val="00BF4424"/>
    <w:pPr>
      <w:spacing w:after="284" w:line="432" w:lineRule="exact"/>
    </w:pPr>
    <w:rPr>
      <w:rFonts w:ascii="Franklin Gothic Demi" w:hAnsi="Franklin Gothic Demi"/>
      <w:color w:val="000000"/>
      <w:spacing w:val="-4"/>
      <w:sz w:val="36"/>
      <w:lang w:val="en-AU" w:eastAsia="en-US"/>
    </w:rPr>
  </w:style>
  <w:style w:type="character" w:customStyle="1" w:styleId="DocumentTitleChar">
    <w:name w:val="Document Title Char"/>
    <w:link w:val="DocumentTitle"/>
    <w:uiPriority w:val="34"/>
    <w:rsid w:val="00BF4424"/>
    <w:rPr>
      <w:rFonts w:ascii="Franklin Gothic Demi" w:hAnsi="Franklin Gothic Demi"/>
      <w:color w:val="000000"/>
      <w:spacing w:val="-4"/>
      <w:sz w:val="36"/>
    </w:rPr>
  </w:style>
  <w:style w:type="paragraph" w:customStyle="1" w:styleId="DocumentPublishDate">
    <w:name w:val="Document Publish Date"/>
    <w:next w:val="BodyCopy"/>
    <w:link w:val="DocumentPublishDateChar"/>
    <w:uiPriority w:val="35"/>
    <w:rsid w:val="00BF4424"/>
    <w:pPr>
      <w:spacing w:line="264" w:lineRule="exact"/>
    </w:pPr>
    <w:rPr>
      <w:rFonts w:ascii="Garamond" w:hAnsi="Garamond"/>
      <w:caps/>
      <w:color w:val="000000"/>
      <w:spacing w:val="-2"/>
      <w:sz w:val="22"/>
      <w:lang w:val="en-AU" w:eastAsia="en-US"/>
    </w:rPr>
  </w:style>
  <w:style w:type="character" w:customStyle="1" w:styleId="DocumentPublishDateChar">
    <w:name w:val="Document Publish Date Char"/>
    <w:link w:val="DocumentPublishDate"/>
    <w:uiPriority w:val="35"/>
    <w:rsid w:val="00BF4424"/>
    <w:rPr>
      <w:rFonts w:ascii="Garamond" w:hAnsi="Garamond"/>
      <w:caps/>
      <w:color w:val="000000"/>
      <w:spacing w:val="-2"/>
      <w:sz w:val="22"/>
    </w:rPr>
  </w:style>
  <w:style w:type="paragraph" w:customStyle="1" w:styleId="HeaderText">
    <w:name w:val="Header Text"/>
    <w:next w:val="BodyCopy"/>
    <w:link w:val="HeaderTextChar"/>
    <w:uiPriority w:val="34"/>
    <w:semiHidden/>
    <w:qFormat/>
    <w:rsid w:val="00BF4424"/>
    <w:pPr>
      <w:spacing w:line="144" w:lineRule="exact"/>
    </w:pPr>
    <w:rPr>
      <w:rFonts w:ascii="Franklin Gothic Demi" w:hAnsi="Franklin Gothic Demi"/>
      <w:caps/>
      <w:color w:val="000000"/>
      <w:spacing w:val="-2"/>
      <w:sz w:val="12"/>
      <w:lang w:val="en-AU" w:eastAsia="en-US"/>
    </w:rPr>
  </w:style>
  <w:style w:type="character" w:customStyle="1" w:styleId="HeaderTextChar">
    <w:name w:val="Header Text Char"/>
    <w:link w:val="HeaderText"/>
    <w:uiPriority w:val="34"/>
    <w:semiHidden/>
    <w:rsid w:val="00BF4424"/>
    <w:rPr>
      <w:rFonts w:ascii="Franklin Gothic Demi" w:hAnsi="Franklin Gothic Demi"/>
      <w:caps/>
      <w:color w:val="000000"/>
      <w:spacing w:val="-2"/>
      <w:sz w:val="12"/>
    </w:rPr>
  </w:style>
  <w:style w:type="paragraph" w:customStyle="1" w:styleId="HeaderSecondaryText">
    <w:name w:val="Header Secondary Text"/>
    <w:link w:val="HeaderSecondaryTextChar"/>
    <w:uiPriority w:val="34"/>
    <w:semiHidden/>
    <w:qFormat/>
    <w:rsid w:val="00BF4424"/>
    <w:pPr>
      <w:spacing w:line="144" w:lineRule="exact"/>
    </w:pPr>
    <w:rPr>
      <w:rFonts w:ascii="Franklin Gothic Book" w:eastAsia="Times New Roman" w:hAnsi="Franklin Gothic Book"/>
      <w:bCs/>
      <w:iCs/>
      <w:color w:val="787878"/>
      <w:spacing w:val="-3"/>
      <w:sz w:val="12"/>
      <w:lang w:val="en-AU" w:eastAsia="en-US"/>
    </w:rPr>
  </w:style>
  <w:style w:type="character" w:customStyle="1" w:styleId="HeaderSecondaryTextChar">
    <w:name w:val="Header Secondary Text Char"/>
    <w:link w:val="HeaderSecondaryText"/>
    <w:uiPriority w:val="34"/>
    <w:semiHidden/>
    <w:rsid w:val="00BF4424"/>
    <w:rPr>
      <w:rFonts w:ascii="Franklin Gothic Book" w:eastAsia="Times New Roman" w:hAnsi="Franklin Gothic Book" w:cs="Times New Roman"/>
      <w:bCs/>
      <w:iCs/>
      <w:color w:val="787878"/>
      <w:spacing w:val="-3"/>
      <w:sz w:val="12"/>
    </w:rPr>
  </w:style>
  <w:style w:type="paragraph" w:customStyle="1" w:styleId="PullQuote">
    <w:name w:val="Pull Quote"/>
    <w:next w:val="BodyCopy"/>
    <w:link w:val="PullQuoteChar"/>
    <w:uiPriority w:val="24"/>
    <w:qFormat/>
    <w:rsid w:val="00BF4424"/>
    <w:pPr>
      <w:pageBreakBefore/>
      <w:spacing w:after="440" w:line="672" w:lineRule="exact"/>
    </w:pPr>
    <w:rPr>
      <w:rFonts w:ascii="Franklin Gothic Book" w:hAnsi="Franklin Gothic Book"/>
      <w:color w:val="787878"/>
      <w:spacing w:val="-6"/>
      <w:sz w:val="56"/>
      <w:lang w:val="en-AU" w:eastAsia="en-US"/>
    </w:rPr>
  </w:style>
  <w:style w:type="character" w:customStyle="1" w:styleId="PullQuoteChar">
    <w:name w:val="Pull Quote Char"/>
    <w:link w:val="PullQuote"/>
    <w:uiPriority w:val="24"/>
    <w:rsid w:val="00BF4424"/>
    <w:rPr>
      <w:rFonts w:ascii="Franklin Gothic Book" w:hAnsi="Franklin Gothic Book"/>
      <w:color w:val="787878"/>
      <w:spacing w:val="-6"/>
      <w:sz w:val="56"/>
    </w:rPr>
  </w:style>
  <w:style w:type="paragraph" w:customStyle="1" w:styleId="PullQuoteReference">
    <w:name w:val="Pull Quote Reference"/>
    <w:next w:val="BodyCopy"/>
    <w:link w:val="PullQuoteReferenceChar"/>
    <w:uiPriority w:val="24"/>
    <w:qFormat/>
    <w:rsid w:val="00BF4424"/>
    <w:pPr>
      <w:spacing w:line="288" w:lineRule="atLeast"/>
    </w:pPr>
    <w:rPr>
      <w:rFonts w:ascii="Garamond" w:hAnsi="Garamond"/>
      <w:i/>
      <w:color w:val="787878"/>
      <w:spacing w:val="-2"/>
      <w:sz w:val="24"/>
      <w:lang w:val="en-AU" w:eastAsia="en-US"/>
    </w:rPr>
  </w:style>
  <w:style w:type="character" w:customStyle="1" w:styleId="PullQuoteReferenceChar">
    <w:name w:val="Pull Quote Reference Char"/>
    <w:link w:val="PullQuoteReference"/>
    <w:uiPriority w:val="24"/>
    <w:rsid w:val="00BF4424"/>
    <w:rPr>
      <w:rFonts w:ascii="Garamond" w:hAnsi="Garamond"/>
      <w:i/>
      <w:color w:val="787878"/>
      <w:spacing w:val="-2"/>
      <w:sz w:val="24"/>
    </w:rPr>
  </w:style>
  <w:style w:type="paragraph" w:customStyle="1" w:styleId="BoxHeading">
    <w:name w:val="Box Heading"/>
    <w:basedOn w:val="TableColumnHeading"/>
    <w:next w:val="BoxCopy"/>
    <w:uiPriority w:val="23"/>
    <w:qFormat/>
    <w:rsid w:val="00BF4424"/>
    <w:pPr>
      <w:spacing w:before="113" w:after="60" w:line="288" w:lineRule="atLeast"/>
      <w:ind w:left="0" w:right="0"/>
    </w:pPr>
    <w:rPr>
      <w:sz w:val="24"/>
    </w:rPr>
  </w:style>
  <w:style w:type="paragraph" w:customStyle="1" w:styleId="BoxCopy">
    <w:name w:val="Box Copy"/>
    <w:basedOn w:val="TableCopy"/>
    <w:uiPriority w:val="23"/>
    <w:qFormat/>
    <w:rsid w:val="00BF4424"/>
    <w:pPr>
      <w:spacing w:before="60" w:after="60"/>
      <w:ind w:left="0" w:right="0"/>
    </w:pPr>
  </w:style>
  <w:style w:type="paragraph" w:customStyle="1" w:styleId="SectionPageTitle">
    <w:name w:val="Section Page Title"/>
    <w:next w:val="BodyCopy"/>
    <w:link w:val="SectionPageTitleChar"/>
    <w:uiPriority w:val="24"/>
    <w:qFormat/>
    <w:rsid w:val="00BF4424"/>
    <w:pPr>
      <w:numPr>
        <w:numId w:val="12"/>
      </w:numPr>
      <w:tabs>
        <w:tab w:val="left" w:pos="7513"/>
      </w:tabs>
      <w:spacing w:line="624" w:lineRule="atLeast"/>
    </w:pPr>
    <w:rPr>
      <w:rFonts w:ascii="Franklin Gothic Book" w:hAnsi="Franklin Gothic Book"/>
      <w:caps/>
      <w:color w:val="787878"/>
      <w:sz w:val="52"/>
      <w:u w:val="single"/>
      <w:lang w:val="en-AU" w:eastAsia="en-US"/>
    </w:rPr>
  </w:style>
  <w:style w:type="character" w:customStyle="1" w:styleId="SectionPageTitleChar">
    <w:name w:val="Section Page Title Char"/>
    <w:link w:val="SectionPageTitle"/>
    <w:uiPriority w:val="24"/>
    <w:rsid w:val="00BF4424"/>
    <w:rPr>
      <w:rFonts w:ascii="Franklin Gothic Book" w:hAnsi="Franklin Gothic Book"/>
      <w:caps/>
      <w:color w:val="787878"/>
      <w:sz w:val="52"/>
      <w:u w:val="single"/>
    </w:rPr>
  </w:style>
  <w:style w:type="numbering" w:customStyle="1" w:styleId="TableBullets">
    <w:name w:val="Table Bullets"/>
    <w:basedOn w:val="NoList"/>
    <w:uiPriority w:val="99"/>
    <w:rsid w:val="00BF4424"/>
    <w:pPr>
      <w:numPr>
        <w:numId w:val="6"/>
      </w:numPr>
    </w:pPr>
  </w:style>
  <w:style w:type="paragraph" w:styleId="TOC5">
    <w:name w:val="toc 5"/>
    <w:basedOn w:val="TOC1"/>
    <w:next w:val="BodyCopy"/>
    <w:uiPriority w:val="39"/>
    <w:rsid w:val="00BF4424"/>
    <w:pPr>
      <w:tabs>
        <w:tab w:val="left" w:pos="794"/>
      </w:tabs>
      <w:spacing w:before="240" w:after="240"/>
      <w:ind w:left="1361" w:hanging="1361"/>
      <w:contextualSpacing w:val="0"/>
    </w:pPr>
    <w:rPr>
      <w:sz w:val="36"/>
    </w:rPr>
  </w:style>
  <w:style w:type="table" w:customStyle="1" w:styleId="AbbreviationsTable">
    <w:name w:val="Abbreviations Table"/>
    <w:basedOn w:val="TableGrid"/>
    <w:uiPriority w:val="99"/>
    <w:rsid w:val="00BF4424"/>
    <w:tblPr>
      <w:tblStyleColBandSize w:val="1"/>
      <w:tblBorders>
        <w:top w:val="single" w:sz="4" w:space="0" w:color="000000"/>
        <w:bottom w:val="single" w:sz="4" w:space="0" w:color="000000"/>
        <w:insideH w:val="single" w:sz="4" w:space="0" w:color="000000"/>
      </w:tblBorders>
    </w:tblPr>
    <w:tcPr>
      <w:vAlign w:val="center"/>
    </w:tcPr>
    <w:tblStylePr w:type="firstCol">
      <w:tblPr/>
      <w:tcPr>
        <w:tcBorders>
          <w:right w:val="single" w:sz="48" w:space="0" w:color="FFFFFF"/>
        </w:tcBorders>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paragraph" w:customStyle="1" w:styleId="Abbreviations1">
    <w:name w:val="Abbreviations 1"/>
    <w:link w:val="Abbreviations1Char"/>
    <w:uiPriority w:val="24"/>
    <w:rsid w:val="00BF4424"/>
    <w:pPr>
      <w:spacing w:before="60" w:after="60" w:line="220" w:lineRule="atLeast"/>
    </w:pPr>
    <w:rPr>
      <w:rFonts w:ascii="Franklin Gothic Book" w:hAnsi="Franklin Gothic Book"/>
      <w:color w:val="000000"/>
      <w:sz w:val="18"/>
      <w:lang w:val="en-AU" w:eastAsia="en-US"/>
    </w:rPr>
  </w:style>
  <w:style w:type="character" w:customStyle="1" w:styleId="Abbreviations1Char">
    <w:name w:val="Abbreviations 1 Char"/>
    <w:link w:val="Abbreviations1"/>
    <w:uiPriority w:val="24"/>
    <w:rsid w:val="00BF4424"/>
    <w:rPr>
      <w:rFonts w:ascii="Franklin Gothic Book" w:hAnsi="Franklin Gothic Book"/>
      <w:color w:val="000000"/>
      <w:sz w:val="18"/>
    </w:rPr>
  </w:style>
  <w:style w:type="paragraph" w:customStyle="1" w:styleId="Abbreviations2definition">
    <w:name w:val="Abbreviations 2 (definition)"/>
    <w:link w:val="Abbreviations2definitionChar"/>
    <w:uiPriority w:val="24"/>
    <w:rsid w:val="00BF4424"/>
    <w:pPr>
      <w:spacing w:before="60" w:after="60" w:line="288" w:lineRule="atLeast"/>
      <w:ind w:left="57"/>
    </w:pPr>
    <w:rPr>
      <w:rFonts w:ascii="Garamond" w:hAnsi="Garamond"/>
      <w:color w:val="000000"/>
      <w:sz w:val="22"/>
      <w:lang w:val="en-AU" w:eastAsia="en-US"/>
    </w:rPr>
  </w:style>
  <w:style w:type="character" w:customStyle="1" w:styleId="Abbreviations2definitionChar">
    <w:name w:val="Abbreviations 2 (definition) Char"/>
    <w:link w:val="Abbreviations2definition"/>
    <w:uiPriority w:val="24"/>
    <w:rsid w:val="00BF4424"/>
    <w:rPr>
      <w:rFonts w:ascii="Garamond" w:hAnsi="Garamond"/>
      <w:color w:val="000000"/>
      <w:sz w:val="22"/>
    </w:rPr>
  </w:style>
  <w:style w:type="paragraph" w:styleId="TOC4">
    <w:name w:val="toc 4"/>
    <w:next w:val="BodyCopy"/>
    <w:uiPriority w:val="39"/>
    <w:rsid w:val="00BF4424"/>
    <w:pPr>
      <w:tabs>
        <w:tab w:val="left" w:pos="1644"/>
        <w:tab w:val="center" w:pos="6804"/>
      </w:tabs>
      <w:spacing w:line="280" w:lineRule="atLeast"/>
      <w:ind w:left="1644" w:right="1021" w:hanging="680"/>
    </w:pPr>
    <w:rPr>
      <w:rFonts w:ascii="Franklin Gothic Book" w:hAnsi="Franklin Gothic Book"/>
      <w:noProof/>
      <w:color w:val="000000"/>
      <w:spacing w:val="-2"/>
      <w:lang w:val="en-AU" w:eastAsia="en-US"/>
    </w:rPr>
  </w:style>
  <w:style w:type="paragraph" w:customStyle="1" w:styleId="FooterDocumentTitle">
    <w:name w:val="Footer Document Title"/>
    <w:link w:val="FooterDocumentTitleChar"/>
    <w:uiPriority w:val="34"/>
    <w:qFormat/>
    <w:rsid w:val="00BF4424"/>
    <w:pPr>
      <w:spacing w:line="168" w:lineRule="exact"/>
      <w:jc w:val="right"/>
    </w:pPr>
    <w:rPr>
      <w:rFonts w:ascii="Franklin Gothic Book" w:hAnsi="Franklin Gothic Book"/>
      <w:color w:val="000000"/>
      <w:spacing w:val="-2"/>
      <w:sz w:val="14"/>
      <w:lang w:val="en-AU" w:eastAsia="en-US"/>
    </w:rPr>
  </w:style>
  <w:style w:type="character" w:customStyle="1" w:styleId="FooterDocumentTitleChar">
    <w:name w:val="Footer Document Title Char"/>
    <w:link w:val="FooterDocumentTitle"/>
    <w:uiPriority w:val="34"/>
    <w:rsid w:val="00BF4424"/>
    <w:rPr>
      <w:rFonts w:ascii="Franklin Gothic Book" w:hAnsi="Franklin Gothic Book"/>
      <w:color w:val="000000"/>
      <w:spacing w:val="-2"/>
      <w:sz w:val="14"/>
    </w:rPr>
  </w:style>
  <w:style w:type="paragraph" w:customStyle="1" w:styleId="FooterProjectTitle">
    <w:name w:val="Footer Project Title"/>
    <w:link w:val="FooterProjectTitleChar"/>
    <w:uiPriority w:val="34"/>
    <w:qFormat/>
    <w:rsid w:val="00BF4424"/>
    <w:pPr>
      <w:spacing w:line="168" w:lineRule="exact"/>
    </w:pPr>
    <w:rPr>
      <w:rFonts w:ascii="Franklin Gothic Demi" w:hAnsi="Franklin Gothic Demi"/>
      <w:color w:val="000000"/>
      <w:spacing w:val="-2"/>
      <w:sz w:val="14"/>
      <w:lang w:val="en-AU" w:eastAsia="en-US"/>
    </w:rPr>
  </w:style>
  <w:style w:type="character" w:customStyle="1" w:styleId="FooterProjectTitleChar">
    <w:name w:val="Footer Project Title Char"/>
    <w:link w:val="FooterProjectTitle"/>
    <w:uiPriority w:val="34"/>
    <w:rsid w:val="00BF4424"/>
    <w:rPr>
      <w:rFonts w:ascii="Franklin Gothic Demi" w:hAnsi="Franklin Gothic Demi"/>
      <w:color w:val="000000"/>
      <w:spacing w:val="-2"/>
      <w:sz w:val="14"/>
    </w:rPr>
  </w:style>
  <w:style w:type="paragraph" w:customStyle="1" w:styleId="HeaderSectionTitle">
    <w:name w:val="Header Section Title"/>
    <w:link w:val="HeaderSectionTitleChar"/>
    <w:uiPriority w:val="34"/>
    <w:semiHidden/>
    <w:qFormat/>
    <w:rsid w:val="00BF4424"/>
    <w:pPr>
      <w:spacing w:after="227" w:line="336" w:lineRule="exact"/>
    </w:pPr>
    <w:rPr>
      <w:rFonts w:ascii="Franklin Gothic Book" w:eastAsia="Times New Roman" w:hAnsi="Franklin Gothic Book"/>
      <w:iCs/>
      <w:caps/>
      <w:noProof/>
      <w:color w:val="000000"/>
      <w:spacing w:val="-3"/>
      <w:sz w:val="28"/>
      <w:lang w:val="en-AU" w:eastAsia="en-US"/>
    </w:rPr>
  </w:style>
  <w:style w:type="character" w:customStyle="1" w:styleId="HeaderSectionTitleChar">
    <w:name w:val="Header Section Title Char"/>
    <w:link w:val="HeaderSectionTitle"/>
    <w:uiPriority w:val="34"/>
    <w:semiHidden/>
    <w:rsid w:val="00BF4424"/>
    <w:rPr>
      <w:rFonts w:ascii="Franklin Gothic Book" w:eastAsia="Times New Roman" w:hAnsi="Franklin Gothic Book" w:cs="Times New Roman"/>
      <w:iCs/>
      <w:caps/>
      <w:noProof/>
      <w:color w:val="000000"/>
      <w:spacing w:val="-3"/>
      <w:sz w:val="28"/>
    </w:rPr>
  </w:style>
  <w:style w:type="paragraph" w:customStyle="1" w:styleId="TOCTitle">
    <w:name w:val="TOC Title"/>
    <w:basedOn w:val="Normal"/>
    <w:next w:val="BodyCopy"/>
    <w:link w:val="TOCTitleChar"/>
    <w:uiPriority w:val="39"/>
    <w:rsid w:val="00BF4424"/>
    <w:pPr>
      <w:keepNext/>
      <w:keepLines/>
      <w:pageBreakBefore/>
      <w:spacing w:line="560" w:lineRule="exact"/>
    </w:pPr>
    <w:rPr>
      <w:rFonts w:ascii="Franklin Gothic Book" w:eastAsia="Times New Roman" w:hAnsi="Franklin Gothic Book"/>
      <w:b/>
      <w:bCs/>
      <w:caps/>
      <w:spacing w:val="0"/>
      <w:sz w:val="52"/>
      <w:szCs w:val="28"/>
    </w:rPr>
  </w:style>
  <w:style w:type="character" w:customStyle="1" w:styleId="TOCTitleChar">
    <w:name w:val="TOC Title Char"/>
    <w:link w:val="TOCTitle"/>
    <w:uiPriority w:val="39"/>
    <w:rsid w:val="00BF4424"/>
    <w:rPr>
      <w:rFonts w:ascii="Franklin Gothic Book" w:eastAsia="Times New Roman" w:hAnsi="Franklin Gothic Book" w:cs="Times New Roman"/>
      <w:b/>
      <w:bCs/>
      <w:caps/>
      <w:color w:val="000000"/>
      <w:sz w:val="52"/>
      <w:szCs w:val="28"/>
    </w:rPr>
  </w:style>
  <w:style w:type="paragraph" w:customStyle="1" w:styleId="Bullets3">
    <w:name w:val="Bullets 3"/>
    <w:basedOn w:val="Bullets1"/>
    <w:rsid w:val="00BF4424"/>
    <w:pPr>
      <w:numPr>
        <w:ilvl w:val="2"/>
      </w:numPr>
    </w:pPr>
  </w:style>
  <w:style w:type="character" w:customStyle="1" w:styleId="SectionPageDemi">
    <w:name w:val="Section Page Demi"/>
    <w:uiPriority w:val="1"/>
    <w:semiHidden/>
    <w:rsid w:val="00BF4424"/>
    <w:rPr>
      <w:rFonts w:ascii="Franklin Gothic Demi" w:hAnsi="Franklin Gothic Demi"/>
      <w:b/>
    </w:rPr>
  </w:style>
  <w:style w:type="paragraph" w:customStyle="1" w:styleId="Bullets4">
    <w:name w:val="Bullets 4"/>
    <w:basedOn w:val="Bullets1"/>
    <w:rsid w:val="00BF4424"/>
    <w:pPr>
      <w:numPr>
        <w:ilvl w:val="3"/>
      </w:numPr>
    </w:pPr>
  </w:style>
  <w:style w:type="paragraph" w:customStyle="1" w:styleId="Numbers2">
    <w:name w:val="Numbers 2"/>
    <w:basedOn w:val="Numbers1"/>
    <w:qFormat/>
    <w:rsid w:val="00BF4424"/>
    <w:pPr>
      <w:numPr>
        <w:ilvl w:val="1"/>
      </w:numPr>
    </w:pPr>
  </w:style>
  <w:style w:type="paragraph" w:customStyle="1" w:styleId="Numbers3">
    <w:name w:val="Numbers 3"/>
    <w:basedOn w:val="Numbers1"/>
    <w:rsid w:val="00BF4424"/>
    <w:pPr>
      <w:numPr>
        <w:ilvl w:val="2"/>
      </w:numPr>
    </w:pPr>
  </w:style>
  <w:style w:type="paragraph" w:customStyle="1" w:styleId="Numbers4">
    <w:name w:val="Numbers 4"/>
    <w:basedOn w:val="Numbers1"/>
    <w:rsid w:val="00BF4424"/>
    <w:pPr>
      <w:numPr>
        <w:ilvl w:val="3"/>
      </w:numPr>
    </w:pPr>
  </w:style>
  <w:style w:type="character" w:styleId="Hyperlink">
    <w:name w:val="Hyperlink"/>
    <w:hidden/>
    <w:uiPriority w:val="99"/>
    <w:rsid w:val="002F329E"/>
    <w:rPr>
      <w:color w:val="787878"/>
      <w:u w:val="single"/>
    </w:rPr>
  </w:style>
  <w:style w:type="paragraph" w:customStyle="1" w:styleId="RecommendationsTableLeftColumn">
    <w:name w:val="Recommendations Table Left Column"/>
    <w:basedOn w:val="KeyFindingsTableLeftColumn"/>
    <w:uiPriority w:val="21"/>
    <w:rsid w:val="00BF4424"/>
    <w:pPr>
      <w:spacing w:line="240" w:lineRule="atLeast"/>
    </w:pPr>
  </w:style>
  <w:style w:type="paragraph" w:customStyle="1" w:styleId="TableColumnHeadingsmall">
    <w:name w:val="Table Column Heading (small)"/>
    <w:basedOn w:val="TableColumnHeading"/>
    <w:uiPriority w:val="20"/>
    <w:rsid w:val="00BF4424"/>
    <w:pPr>
      <w:spacing w:line="180" w:lineRule="atLeast"/>
    </w:pPr>
    <w:rPr>
      <w:sz w:val="14"/>
    </w:rPr>
  </w:style>
  <w:style w:type="paragraph" w:customStyle="1" w:styleId="TableCopysmall">
    <w:name w:val="Table Copy (small)"/>
    <w:basedOn w:val="TableCopy"/>
    <w:uiPriority w:val="17"/>
    <w:qFormat/>
    <w:rsid w:val="00BF4424"/>
    <w:pPr>
      <w:spacing w:line="166" w:lineRule="atLeast"/>
    </w:pPr>
    <w:rPr>
      <w:sz w:val="14"/>
    </w:rPr>
  </w:style>
  <w:style w:type="table" w:customStyle="1" w:styleId="Recommendations">
    <w:name w:val="Recommendations"/>
    <w:basedOn w:val="TableNormal"/>
    <w:uiPriority w:val="99"/>
    <w:rsid w:val="00BF4424"/>
    <w:tblPr>
      <w:tblBorders>
        <w:bottom w:val="single" w:sz="4" w:space="0" w:color="000000"/>
        <w:insideH w:val="single" w:sz="4" w:space="0" w:color="000000"/>
      </w:tblBorders>
      <w:tblCellMar>
        <w:left w:w="0" w:type="dxa"/>
        <w:right w:w="0" w:type="dxa"/>
      </w:tblCellMar>
    </w:tblPr>
    <w:tblStylePr w:type="firstRow">
      <w:tblPr/>
      <w:tcPr>
        <w:tcBorders>
          <w:top w:val="single" w:sz="4" w:space="0" w:color="4B4B4B"/>
          <w:left w:val="nil"/>
          <w:bottom w:val="single" w:sz="4" w:space="0" w:color="4B4B4B"/>
          <w:right w:val="nil"/>
          <w:insideH w:val="nil"/>
          <w:insideV w:val="nil"/>
          <w:tl2br w:val="nil"/>
          <w:tr2bl w:val="nil"/>
        </w:tcBorders>
        <w:shd w:val="clear" w:color="auto" w:fill="BEBEBE"/>
      </w:tcPr>
    </w:tblStylePr>
    <w:tblStylePr w:type="firstCol">
      <w:tblPr/>
      <w:tcPr>
        <w:shd w:val="clear" w:color="auto" w:fill="DCDCDC"/>
      </w:tcPr>
    </w:tblStylePr>
  </w:style>
  <w:style w:type="paragraph" w:customStyle="1" w:styleId="KeyFindingsTableHeading">
    <w:name w:val="Key Findings Table Heading"/>
    <w:basedOn w:val="BodyCopy"/>
    <w:uiPriority w:val="21"/>
    <w:rsid w:val="00BF4424"/>
    <w:pPr>
      <w:keepNext/>
      <w:spacing w:before="60" w:after="60" w:line="250" w:lineRule="atLeast"/>
      <w:ind w:left="142" w:right="142"/>
    </w:pPr>
    <w:rPr>
      <w:rFonts w:ascii="Franklin Gothic Book" w:hAnsi="Franklin Gothic Book"/>
      <w:caps/>
      <w:sz w:val="18"/>
    </w:rPr>
  </w:style>
  <w:style w:type="paragraph" w:customStyle="1" w:styleId="KeyFindingsTableLeftColumn">
    <w:name w:val="Key Findings Table Left Column"/>
    <w:basedOn w:val="KeyFindingsTableHeading"/>
    <w:uiPriority w:val="21"/>
    <w:rsid w:val="00BF4424"/>
    <w:pPr>
      <w:keepNext w:val="0"/>
      <w:spacing w:line="264" w:lineRule="atLeast"/>
    </w:pPr>
    <w:rPr>
      <w:caps w:val="0"/>
      <w:sz w:val="20"/>
    </w:rPr>
  </w:style>
  <w:style w:type="paragraph" w:customStyle="1" w:styleId="KeyFindingsTableCopy">
    <w:name w:val="Key Findings Table Copy"/>
    <w:basedOn w:val="TableCopy"/>
    <w:uiPriority w:val="21"/>
    <w:rsid w:val="00BF4424"/>
    <w:pPr>
      <w:spacing w:before="60" w:after="60" w:line="264" w:lineRule="atLeast"/>
      <w:ind w:left="142"/>
    </w:pPr>
    <w:rPr>
      <w:sz w:val="22"/>
    </w:rPr>
  </w:style>
  <w:style w:type="table" w:customStyle="1" w:styleId="KeyFindings">
    <w:name w:val="Key Findings"/>
    <w:basedOn w:val="TableNormal"/>
    <w:uiPriority w:val="99"/>
    <w:rsid w:val="00BF4424"/>
    <w:tblPr>
      <w:tblBorders>
        <w:bottom w:val="single" w:sz="4" w:space="0" w:color="787878"/>
        <w:insideH w:val="single" w:sz="4" w:space="0" w:color="787878"/>
      </w:tblBorders>
      <w:tblCellMar>
        <w:left w:w="0" w:type="dxa"/>
        <w:right w:w="0" w:type="dxa"/>
      </w:tblCellMar>
    </w:tblPr>
    <w:tcPr>
      <w:shd w:val="clear" w:color="auto" w:fill="DCDCDC"/>
    </w:tcPr>
    <w:tblStylePr w:type="firstRow">
      <w:tblPr/>
      <w:tcPr>
        <w:shd w:val="clear" w:color="auto" w:fill="BEBEBE"/>
      </w:tcPr>
    </w:tblStylePr>
  </w:style>
  <w:style w:type="paragraph" w:customStyle="1" w:styleId="RecommendationsTableCopy">
    <w:name w:val="Recommendations Table Copy"/>
    <w:basedOn w:val="KeyFindingsTableCopy"/>
    <w:uiPriority w:val="21"/>
    <w:rsid w:val="00BF4424"/>
  </w:style>
  <w:style w:type="character" w:customStyle="1" w:styleId="Captionnotbold">
    <w:name w:val="Caption (not bold)"/>
    <w:uiPriority w:val="14"/>
    <w:rsid w:val="00BF4424"/>
    <w:rPr>
      <w:rFonts w:ascii="Franklin Gothic Book" w:hAnsi="Franklin Gothic Book"/>
      <w:b w:val="0"/>
      <w:color w:val="000000"/>
    </w:rPr>
  </w:style>
  <w:style w:type="paragraph" w:customStyle="1" w:styleId="ESHeading1">
    <w:name w:val="ES Heading 1"/>
    <w:basedOn w:val="Heading1"/>
    <w:next w:val="BodyCopy"/>
    <w:uiPriority w:val="5"/>
    <w:qFormat/>
    <w:rsid w:val="00BF4424"/>
    <w:pPr>
      <w:framePr w:wrap="around" w:vAnchor="page" w:hAnchor="page" w:x="568" w:y="982"/>
      <w:numPr>
        <w:numId w:val="0"/>
      </w:numPr>
    </w:pPr>
  </w:style>
  <w:style w:type="paragraph" w:customStyle="1" w:styleId="ESHeading2">
    <w:name w:val="ES Heading 2"/>
    <w:basedOn w:val="Heading2"/>
    <w:next w:val="BodyCopy"/>
    <w:uiPriority w:val="5"/>
    <w:qFormat/>
    <w:rsid w:val="00BF4424"/>
    <w:pPr>
      <w:numPr>
        <w:ilvl w:val="0"/>
        <w:numId w:val="0"/>
      </w:numPr>
      <w:outlineLvl w:val="9"/>
    </w:pPr>
  </w:style>
  <w:style w:type="paragraph" w:customStyle="1" w:styleId="ESHeading3">
    <w:name w:val="ES Heading 3"/>
    <w:basedOn w:val="Heading3"/>
    <w:next w:val="BodyCopy"/>
    <w:uiPriority w:val="5"/>
    <w:qFormat/>
    <w:rsid w:val="00BF4424"/>
    <w:pPr>
      <w:numPr>
        <w:ilvl w:val="0"/>
        <w:numId w:val="0"/>
      </w:numPr>
      <w:outlineLvl w:val="9"/>
    </w:pPr>
  </w:style>
  <w:style w:type="paragraph" w:styleId="TOC6">
    <w:name w:val="toc 6"/>
    <w:basedOn w:val="TOC3"/>
    <w:next w:val="BodyCopy"/>
    <w:uiPriority w:val="39"/>
    <w:rsid w:val="00BF4424"/>
    <w:pPr>
      <w:tabs>
        <w:tab w:val="clear" w:pos="964"/>
        <w:tab w:val="left" w:pos="1474"/>
      </w:tabs>
      <w:spacing w:after="100"/>
      <w:contextualSpacing w:val="0"/>
    </w:pPr>
    <w:rPr>
      <w:caps w:val="0"/>
      <w:noProof/>
    </w:rPr>
  </w:style>
  <w:style w:type="numbering" w:customStyle="1" w:styleId="TableNumbers">
    <w:name w:val="Table Numbers"/>
    <w:basedOn w:val="TableBullets"/>
    <w:uiPriority w:val="99"/>
    <w:rsid w:val="00BF4424"/>
    <w:pPr>
      <w:numPr>
        <w:numId w:val="7"/>
      </w:numPr>
    </w:pPr>
  </w:style>
  <w:style w:type="paragraph" w:customStyle="1" w:styleId="Recommendation">
    <w:name w:val="Recommendation"/>
    <w:basedOn w:val="BodyCopy"/>
    <w:next w:val="BodyCopy"/>
    <w:uiPriority w:val="21"/>
    <w:qFormat/>
    <w:rsid w:val="00BF4424"/>
    <w:pPr>
      <w:numPr>
        <w:numId w:val="10"/>
      </w:numPr>
      <w:tabs>
        <w:tab w:val="left" w:pos="2041"/>
        <w:tab w:val="left" w:pos="2155"/>
        <w:tab w:val="left" w:pos="2268"/>
      </w:tabs>
    </w:pPr>
  </w:style>
  <w:style w:type="paragraph" w:customStyle="1" w:styleId="TableBullets1">
    <w:name w:val="Table Bullets 1"/>
    <w:basedOn w:val="TableCopy"/>
    <w:uiPriority w:val="15"/>
    <w:qFormat/>
    <w:rsid w:val="00BF4424"/>
    <w:pPr>
      <w:numPr>
        <w:numId w:val="16"/>
      </w:numPr>
    </w:pPr>
  </w:style>
  <w:style w:type="paragraph" w:customStyle="1" w:styleId="TableBullets2">
    <w:name w:val="Table Bullets 2"/>
    <w:basedOn w:val="TableCopy"/>
    <w:uiPriority w:val="15"/>
    <w:qFormat/>
    <w:rsid w:val="00BF4424"/>
    <w:pPr>
      <w:numPr>
        <w:ilvl w:val="1"/>
        <w:numId w:val="16"/>
      </w:numPr>
    </w:pPr>
  </w:style>
  <w:style w:type="paragraph" w:customStyle="1" w:styleId="TableBulletssmall1">
    <w:name w:val="Table Bullets (small) 1"/>
    <w:basedOn w:val="TableCopysmall"/>
    <w:uiPriority w:val="18"/>
    <w:qFormat/>
    <w:rsid w:val="00BF4424"/>
    <w:pPr>
      <w:numPr>
        <w:ilvl w:val="4"/>
        <w:numId w:val="16"/>
      </w:numPr>
    </w:pPr>
  </w:style>
  <w:style w:type="paragraph" w:customStyle="1" w:styleId="TableBulletssmall2">
    <w:name w:val="Table Bullets (small) 2"/>
    <w:basedOn w:val="TableCopysmall"/>
    <w:uiPriority w:val="18"/>
    <w:qFormat/>
    <w:rsid w:val="00BF4424"/>
    <w:pPr>
      <w:numPr>
        <w:ilvl w:val="5"/>
        <w:numId w:val="16"/>
      </w:numPr>
    </w:pPr>
  </w:style>
  <w:style w:type="paragraph" w:customStyle="1" w:styleId="TableNumbers1">
    <w:name w:val="Table Numbers 1"/>
    <w:basedOn w:val="TableCopy"/>
    <w:uiPriority w:val="15"/>
    <w:qFormat/>
    <w:rsid w:val="00BF4424"/>
    <w:pPr>
      <w:numPr>
        <w:numId w:val="17"/>
      </w:numPr>
    </w:pPr>
  </w:style>
  <w:style w:type="paragraph" w:customStyle="1" w:styleId="TableNumbers2">
    <w:name w:val="Table Numbers 2"/>
    <w:basedOn w:val="TableCopy"/>
    <w:uiPriority w:val="15"/>
    <w:qFormat/>
    <w:rsid w:val="00BF4424"/>
    <w:pPr>
      <w:numPr>
        <w:ilvl w:val="1"/>
        <w:numId w:val="17"/>
      </w:numPr>
    </w:pPr>
  </w:style>
  <w:style w:type="paragraph" w:customStyle="1" w:styleId="TableNumberssmall1">
    <w:name w:val="Table Numbers (small) 1"/>
    <w:basedOn w:val="TableCopysmall"/>
    <w:uiPriority w:val="18"/>
    <w:qFormat/>
    <w:rsid w:val="00BF4424"/>
    <w:pPr>
      <w:numPr>
        <w:ilvl w:val="4"/>
        <w:numId w:val="17"/>
      </w:numPr>
    </w:pPr>
  </w:style>
  <w:style w:type="paragraph" w:customStyle="1" w:styleId="TableNumberssmall2">
    <w:name w:val="Table Numbers (small) 2"/>
    <w:basedOn w:val="TableCopysmall"/>
    <w:uiPriority w:val="18"/>
    <w:qFormat/>
    <w:rsid w:val="00BF4424"/>
    <w:pPr>
      <w:numPr>
        <w:ilvl w:val="5"/>
        <w:numId w:val="17"/>
      </w:numPr>
    </w:pPr>
  </w:style>
  <w:style w:type="paragraph" w:customStyle="1" w:styleId="KeyFinding">
    <w:name w:val="Key Finding"/>
    <w:basedOn w:val="Recommendation"/>
    <w:next w:val="BodyCopy"/>
    <w:uiPriority w:val="21"/>
    <w:qFormat/>
    <w:rsid w:val="003814A9"/>
    <w:pPr>
      <w:numPr>
        <w:numId w:val="11"/>
      </w:numPr>
      <w:pBdr>
        <w:top w:val="single" w:sz="4" w:space="4" w:color="787878"/>
        <w:left w:val="single" w:sz="4" w:space="4" w:color="DCDCDC"/>
        <w:bottom w:val="single" w:sz="4" w:space="4" w:color="787878"/>
        <w:right w:val="single" w:sz="4" w:space="4" w:color="DCDCDC"/>
      </w:pBdr>
      <w:shd w:val="clear" w:color="auto" w:fill="DCDCDC"/>
      <w:tabs>
        <w:tab w:val="clear" w:pos="2041"/>
        <w:tab w:val="clear" w:pos="2155"/>
        <w:tab w:val="clear" w:pos="2268"/>
        <w:tab w:val="left" w:pos="1559"/>
      </w:tabs>
      <w:spacing w:before="113" w:after="113"/>
      <w:ind w:left="1559" w:right="113" w:hanging="1446"/>
    </w:pPr>
  </w:style>
  <w:style w:type="paragraph" w:customStyle="1" w:styleId="650E97733753414DBFCDE381257316533">
    <w:name w:val="650E97733753414DBFCDE381257316533"/>
    <w:hidden/>
    <w:semiHidden/>
    <w:rsid w:val="007C0A39"/>
    <w:pPr>
      <w:spacing w:line="264" w:lineRule="atLeast"/>
    </w:pPr>
    <w:rPr>
      <w:rFonts w:ascii="Garamond" w:hAnsi="Garamond"/>
      <w:color w:val="787878"/>
      <w:spacing w:val="-2"/>
      <w:sz w:val="22"/>
      <w:lang w:val="en-AU" w:eastAsia="en-US"/>
    </w:rPr>
  </w:style>
  <w:style w:type="paragraph" w:customStyle="1" w:styleId="BodyCopyIndented">
    <w:name w:val="Body Copy Indented"/>
    <w:basedOn w:val="BodyCopy"/>
    <w:qFormat/>
    <w:rsid w:val="00BF4424"/>
    <w:pPr>
      <w:ind w:left="454"/>
    </w:pPr>
  </w:style>
  <w:style w:type="paragraph" w:customStyle="1" w:styleId="StrategicDirection">
    <w:name w:val="Strategic Direction"/>
    <w:basedOn w:val="KeyFinding"/>
    <w:next w:val="BodyCopy"/>
    <w:uiPriority w:val="21"/>
    <w:rsid w:val="00CC00FF"/>
    <w:pPr>
      <w:numPr>
        <w:numId w:val="15"/>
      </w:numPr>
      <w:pBdr>
        <w:bottom w:val="single" w:sz="4" w:space="4" w:color="4B4B4B"/>
      </w:pBdr>
      <w:shd w:val="clear" w:color="auto" w:fill="FFF200"/>
      <w:tabs>
        <w:tab w:val="clear" w:pos="1559"/>
        <w:tab w:val="left" w:pos="1814"/>
      </w:tabs>
      <w:ind w:left="1814" w:hanging="1701"/>
    </w:pPr>
  </w:style>
  <w:style w:type="table" w:customStyle="1" w:styleId="Style1">
    <w:name w:val="Style1"/>
    <w:basedOn w:val="Recommendations"/>
    <w:uiPriority w:val="99"/>
    <w:rsid w:val="00BF4424"/>
    <w:tblPr/>
    <w:tblStylePr w:type="firstRow">
      <w:tblPr/>
      <w:tcPr>
        <w:tcBorders>
          <w:top w:val="single" w:sz="4" w:space="0" w:color="787878"/>
          <w:left w:val="nil"/>
          <w:bottom w:val="single" w:sz="4" w:space="0" w:color="787878"/>
          <w:right w:val="nil"/>
          <w:insideH w:val="nil"/>
          <w:insideV w:val="nil"/>
          <w:tl2br w:val="nil"/>
          <w:tr2bl w:val="nil"/>
        </w:tcBorders>
        <w:shd w:val="clear" w:color="auto" w:fill="FFF200"/>
      </w:tcPr>
    </w:tblStylePr>
    <w:tblStylePr w:type="firstCol">
      <w:tblPr/>
      <w:tcPr>
        <w:shd w:val="clear" w:color="auto" w:fill="FFFFFF"/>
      </w:tcPr>
    </w:tblStylePr>
  </w:style>
  <w:style w:type="paragraph" w:customStyle="1" w:styleId="StrategicDirectionsTableLeftColumn">
    <w:name w:val="Strategic Directions Table Left Column"/>
    <w:basedOn w:val="RecommendationsTableLeftColumn"/>
    <w:uiPriority w:val="21"/>
    <w:rsid w:val="00BF4424"/>
  </w:style>
  <w:style w:type="paragraph" w:customStyle="1" w:styleId="StrategicDirectionsTableCopy">
    <w:name w:val="Strategic Directions Table Copy"/>
    <w:basedOn w:val="RecommendationsTableCopy"/>
    <w:uiPriority w:val="21"/>
    <w:rsid w:val="00BF4424"/>
  </w:style>
  <w:style w:type="paragraph" w:customStyle="1" w:styleId="StrategicDirectionsTableHeading">
    <w:name w:val="Strategic Directions Table Heading"/>
    <w:basedOn w:val="RecommendationsTableHeading"/>
    <w:uiPriority w:val="21"/>
    <w:rsid w:val="00BF4424"/>
  </w:style>
  <w:style w:type="paragraph" w:customStyle="1" w:styleId="HeadingAppendix2">
    <w:name w:val="Heading Appendix 2"/>
    <w:basedOn w:val="Heading1"/>
    <w:next w:val="Normal"/>
    <w:link w:val="HeadingAppendix2CharChar"/>
    <w:rsid w:val="00BF4424"/>
    <w:pPr>
      <w:keepLines w:val="0"/>
      <w:pageBreakBefore w:val="0"/>
      <w:numPr>
        <w:numId w:val="9"/>
      </w:numPr>
      <w:spacing w:before="360" w:after="120" w:line="240" w:lineRule="auto"/>
    </w:pPr>
    <w:rPr>
      <w:rFonts w:cs="Arial"/>
      <w:b w:val="0"/>
      <w:color w:val="auto"/>
      <w:kern w:val="32"/>
      <w:sz w:val="32"/>
      <w:szCs w:val="24"/>
      <w:u w:val="single"/>
    </w:rPr>
  </w:style>
  <w:style w:type="character" w:customStyle="1" w:styleId="HeadingAppendix2CharChar">
    <w:name w:val="Heading Appendix 2 Char Char"/>
    <w:link w:val="HeadingAppendix2"/>
    <w:rsid w:val="00BF4424"/>
    <w:rPr>
      <w:rFonts w:ascii="Franklin Gothic Book" w:eastAsia="Times New Roman" w:hAnsi="Franklin Gothic Book" w:cs="Arial"/>
      <w:bCs/>
      <w:caps/>
      <w:kern w:val="32"/>
      <w:sz w:val="32"/>
      <w:szCs w:val="24"/>
      <w:u w:val="single"/>
    </w:rPr>
  </w:style>
  <w:style w:type="paragraph" w:customStyle="1" w:styleId="StageHeading">
    <w:name w:val="Stage Heading"/>
    <w:basedOn w:val="Normal"/>
    <w:next w:val="Normal"/>
    <w:rsid w:val="00BF4424"/>
    <w:pPr>
      <w:keepNext/>
      <w:numPr>
        <w:numId w:val="14"/>
      </w:numPr>
      <w:tabs>
        <w:tab w:val="left" w:pos="1701"/>
      </w:tabs>
      <w:spacing w:before="360" w:after="120" w:line="240" w:lineRule="auto"/>
      <w:jc w:val="both"/>
    </w:pPr>
    <w:rPr>
      <w:rFonts w:ascii="Franklin Gothic Book" w:eastAsia="Times New Roman" w:hAnsi="Franklin Gothic Book"/>
      <w:caps/>
      <w:color w:val="auto"/>
      <w:spacing w:val="0"/>
      <w:sz w:val="32"/>
      <w:szCs w:val="24"/>
      <w:u w:val="single"/>
    </w:rPr>
  </w:style>
  <w:style w:type="paragraph" w:customStyle="1" w:styleId="B62F7A7DF74646E485171A8AA5594CF41">
    <w:name w:val="B62F7A7DF74646E485171A8AA5594CF41"/>
    <w:hidden/>
    <w:semiHidden/>
    <w:rsid w:val="00735519"/>
    <w:rPr>
      <w:rFonts w:ascii="Garamond" w:hAnsi="Garamond"/>
      <w:lang w:val="en-AU" w:eastAsia="en-US"/>
    </w:rPr>
  </w:style>
  <w:style w:type="table" w:styleId="LightGrid-Accent6">
    <w:name w:val="Light Grid Accent 6"/>
    <w:basedOn w:val="TableNormal"/>
    <w:uiPriority w:val="62"/>
    <w:rsid w:val="00463BCE"/>
    <w:tblPr>
      <w:tblStyleRowBandSize w:val="1"/>
      <w:tblStyleColBandSize w:val="1"/>
      <w:tblBorders>
        <w:top w:val="single" w:sz="8" w:space="0" w:color="DCDCDC"/>
        <w:left w:val="single" w:sz="8" w:space="0" w:color="DCDCDC"/>
        <w:bottom w:val="single" w:sz="8" w:space="0" w:color="DCDCDC"/>
        <w:right w:val="single" w:sz="8" w:space="0" w:color="DCDCDC"/>
        <w:insideH w:val="single" w:sz="8" w:space="0" w:color="DCDCDC"/>
        <w:insideV w:val="single" w:sz="8" w:space="0" w:color="DCDCDC"/>
      </w:tblBorders>
    </w:tblPr>
    <w:tblStylePr w:type="firstRow">
      <w:pPr>
        <w:spacing w:before="0" w:after="0" w:line="240" w:lineRule="auto"/>
      </w:pPr>
      <w:rPr>
        <w:rFonts w:ascii="Franklin Gothic Book" w:eastAsia="Times New Roman" w:hAnsi="Franklin Gothic Book" w:cs="Times New Roman"/>
        <w:b/>
        <w:bCs/>
      </w:rPr>
      <w:tblPr/>
      <w:tcPr>
        <w:tcBorders>
          <w:top w:val="single" w:sz="8" w:space="0" w:color="DCDCDC"/>
          <w:left w:val="single" w:sz="8" w:space="0" w:color="DCDCDC"/>
          <w:bottom w:val="single" w:sz="18" w:space="0" w:color="DCDCDC"/>
          <w:right w:val="single" w:sz="8" w:space="0" w:color="DCDCDC"/>
          <w:insideH w:val="nil"/>
          <w:insideV w:val="single" w:sz="8" w:space="0" w:color="DCDCDC"/>
        </w:tcBorders>
      </w:tcPr>
    </w:tblStylePr>
    <w:tblStylePr w:type="lastRow">
      <w:pPr>
        <w:spacing w:before="0" w:after="0" w:line="240" w:lineRule="auto"/>
      </w:pPr>
      <w:rPr>
        <w:rFonts w:ascii="Franklin Gothic Book" w:eastAsia="Times New Roman" w:hAnsi="Franklin Gothic Book" w:cs="Times New Roman"/>
        <w:b/>
        <w:bCs/>
      </w:rPr>
      <w:tblPr/>
      <w:tcPr>
        <w:tcBorders>
          <w:top w:val="double" w:sz="6" w:space="0" w:color="DCDCDC"/>
          <w:left w:val="single" w:sz="8" w:space="0" w:color="DCDCDC"/>
          <w:bottom w:val="single" w:sz="8" w:space="0" w:color="DCDCDC"/>
          <w:right w:val="single" w:sz="8" w:space="0" w:color="DCDCDC"/>
          <w:insideH w:val="nil"/>
          <w:insideV w:val="single" w:sz="8" w:space="0" w:color="DCDCDC"/>
        </w:tcBorders>
      </w:tcPr>
    </w:tblStylePr>
    <w:tblStylePr w:type="firstCol">
      <w:rPr>
        <w:rFonts w:ascii="Franklin Gothic Book" w:eastAsia="Times New Roman" w:hAnsi="Franklin Gothic Book" w:cs="Times New Roman"/>
        <w:b/>
        <w:bCs/>
      </w:rPr>
    </w:tblStylePr>
    <w:tblStylePr w:type="lastCol">
      <w:rPr>
        <w:rFonts w:ascii="Franklin Gothic Book" w:eastAsia="Times New Roman" w:hAnsi="Franklin Gothic Book" w:cs="Times New Roman"/>
        <w:b/>
        <w:bCs/>
      </w:rPr>
      <w:tblPr/>
      <w:tcPr>
        <w:tcBorders>
          <w:top w:val="single" w:sz="8" w:space="0" w:color="DCDCDC"/>
          <w:left w:val="single" w:sz="8" w:space="0" w:color="DCDCDC"/>
          <w:bottom w:val="single" w:sz="8" w:space="0" w:color="DCDCDC"/>
          <w:right w:val="single" w:sz="8" w:space="0" w:color="DCDCDC"/>
        </w:tcBorders>
      </w:tcPr>
    </w:tblStylePr>
    <w:tblStylePr w:type="band1Vert">
      <w:tblPr/>
      <w:tcPr>
        <w:tcBorders>
          <w:top w:val="single" w:sz="8" w:space="0" w:color="DCDCDC"/>
          <w:left w:val="single" w:sz="8" w:space="0" w:color="DCDCDC"/>
          <w:bottom w:val="single" w:sz="8" w:space="0" w:color="DCDCDC"/>
          <w:right w:val="single" w:sz="8" w:space="0" w:color="DCDCDC"/>
        </w:tcBorders>
        <w:shd w:val="clear" w:color="auto" w:fill="F6F6F6"/>
      </w:tcPr>
    </w:tblStylePr>
    <w:tblStylePr w:type="band1Horz">
      <w:tblPr/>
      <w:tcPr>
        <w:tcBorders>
          <w:top w:val="single" w:sz="8" w:space="0" w:color="DCDCDC"/>
          <w:left w:val="single" w:sz="8" w:space="0" w:color="DCDCDC"/>
          <w:bottom w:val="single" w:sz="8" w:space="0" w:color="DCDCDC"/>
          <w:right w:val="single" w:sz="8" w:space="0" w:color="DCDCDC"/>
          <w:insideV w:val="single" w:sz="8" w:space="0" w:color="DCDCDC"/>
        </w:tcBorders>
        <w:shd w:val="clear" w:color="auto" w:fill="F6F6F6"/>
      </w:tcPr>
    </w:tblStylePr>
    <w:tblStylePr w:type="band2Horz">
      <w:tblPr/>
      <w:tcPr>
        <w:tcBorders>
          <w:top w:val="single" w:sz="8" w:space="0" w:color="DCDCDC"/>
          <w:left w:val="single" w:sz="8" w:space="0" w:color="DCDCDC"/>
          <w:bottom w:val="single" w:sz="8" w:space="0" w:color="DCDCDC"/>
          <w:right w:val="single" w:sz="8" w:space="0" w:color="DCDCDC"/>
          <w:insideV w:val="single" w:sz="8" w:space="0" w:color="DCDCDC"/>
        </w:tcBorders>
      </w:tcPr>
    </w:tblStylePr>
  </w:style>
  <w:style w:type="paragraph" w:customStyle="1" w:styleId="ProjImpleBullet">
    <w:name w:val="Proj Imple Bullet"/>
    <w:basedOn w:val="Bullets1"/>
    <w:uiPriority w:val="99"/>
    <w:rsid w:val="002157D6"/>
    <w:pPr>
      <w:pBdr>
        <w:top w:val="single" w:sz="4" w:space="1" w:color="6E6E6E"/>
        <w:bottom w:val="single" w:sz="4" w:space="1" w:color="6E6E6E"/>
      </w:pBdr>
      <w:shd w:val="clear" w:color="auto" w:fill="FFFCCC"/>
      <w:tabs>
        <w:tab w:val="left" w:pos="284"/>
      </w:tabs>
      <w:spacing w:before="113" w:after="113"/>
      <w:ind w:left="397" w:right="113" w:hanging="284"/>
    </w:pPr>
  </w:style>
  <w:style w:type="paragraph" w:customStyle="1" w:styleId="Projectimplication">
    <w:name w:val="Project implication"/>
    <w:basedOn w:val="BodyCopy"/>
    <w:uiPriority w:val="99"/>
    <w:rsid w:val="002157D6"/>
    <w:pPr>
      <w:pBdr>
        <w:top w:val="single" w:sz="4" w:space="1" w:color="6E6E6E"/>
        <w:bottom w:val="single" w:sz="4" w:space="1" w:color="6E6E6E"/>
      </w:pBdr>
      <w:shd w:val="clear" w:color="auto" w:fill="FFFCCC"/>
      <w:spacing w:before="113" w:after="113"/>
      <w:ind w:left="113" w:right="113"/>
    </w:pPr>
  </w:style>
  <w:style w:type="paragraph" w:styleId="ListParagraph">
    <w:name w:val="List Paragraph"/>
    <w:basedOn w:val="Normal"/>
    <w:uiPriority w:val="1"/>
    <w:qFormat/>
    <w:rsid w:val="00C72561"/>
    <w:pPr>
      <w:spacing w:after="200" w:line="276" w:lineRule="auto"/>
      <w:ind w:left="720"/>
      <w:contextualSpacing/>
    </w:pPr>
    <w:rPr>
      <w:color w:val="auto"/>
      <w:spacing w:val="0"/>
      <w:szCs w:val="22"/>
    </w:rPr>
  </w:style>
  <w:style w:type="character" w:customStyle="1" w:styleId="Mention1">
    <w:name w:val="Mention1"/>
    <w:uiPriority w:val="99"/>
    <w:semiHidden/>
    <w:unhideWhenUsed/>
    <w:rsid w:val="001B408D"/>
    <w:rPr>
      <w:color w:val="2B579A"/>
      <w:shd w:val="clear" w:color="auto" w:fill="E6E6E6"/>
    </w:rPr>
  </w:style>
  <w:style w:type="paragraph" w:styleId="Bibliography">
    <w:name w:val="Bibliography"/>
    <w:basedOn w:val="Normal"/>
    <w:next w:val="Normal"/>
    <w:uiPriority w:val="99"/>
    <w:unhideWhenUsed/>
    <w:rsid w:val="003775CE"/>
  </w:style>
  <w:style w:type="table" w:customStyle="1" w:styleId="TableGrid21">
    <w:name w:val="Table Grid21"/>
    <w:basedOn w:val="TableNormal"/>
    <w:uiPriority w:val="59"/>
    <w:rsid w:val="00BF4424"/>
    <w:rPr>
      <w:rFonts w:ascii="Arial" w:hAnsi="Arial"/>
    </w:rPr>
    <w:tblPr>
      <w:tblCellMar>
        <w:left w:w="0" w:type="dxa"/>
        <w:right w:w="0" w:type="dxa"/>
      </w:tblCellMar>
    </w:tblPr>
  </w:style>
  <w:style w:type="character" w:styleId="CommentReference">
    <w:name w:val="annotation reference"/>
    <w:uiPriority w:val="99"/>
    <w:semiHidden/>
    <w:unhideWhenUsed/>
    <w:rsid w:val="00BA3168"/>
    <w:rPr>
      <w:sz w:val="16"/>
      <w:szCs w:val="16"/>
    </w:rPr>
  </w:style>
  <w:style w:type="paragraph" w:styleId="CommentText">
    <w:name w:val="annotation text"/>
    <w:basedOn w:val="Normal"/>
    <w:link w:val="CommentTextChar"/>
    <w:uiPriority w:val="99"/>
    <w:unhideWhenUsed/>
    <w:rsid w:val="00BA3168"/>
    <w:pPr>
      <w:spacing w:line="240" w:lineRule="auto"/>
    </w:pPr>
    <w:rPr>
      <w:sz w:val="20"/>
    </w:rPr>
  </w:style>
  <w:style w:type="character" w:customStyle="1" w:styleId="CommentTextChar">
    <w:name w:val="Comment Text Char"/>
    <w:link w:val="CommentText"/>
    <w:uiPriority w:val="99"/>
    <w:rsid w:val="00BA3168"/>
    <w:rPr>
      <w:rFonts w:ascii="Garamond" w:hAnsi="Garamond"/>
      <w:color w:val="000000"/>
      <w:spacing w:val="-2"/>
    </w:rPr>
  </w:style>
  <w:style w:type="paragraph" w:styleId="CommentSubject">
    <w:name w:val="annotation subject"/>
    <w:basedOn w:val="CommentText"/>
    <w:next w:val="CommentText"/>
    <w:link w:val="CommentSubjectChar"/>
    <w:uiPriority w:val="99"/>
    <w:semiHidden/>
    <w:unhideWhenUsed/>
    <w:rsid w:val="00BA3168"/>
    <w:rPr>
      <w:b/>
      <w:bCs/>
    </w:rPr>
  </w:style>
  <w:style w:type="character" w:customStyle="1" w:styleId="CommentSubjectChar">
    <w:name w:val="Comment Subject Char"/>
    <w:link w:val="CommentSubject"/>
    <w:uiPriority w:val="99"/>
    <w:semiHidden/>
    <w:rsid w:val="00BA3168"/>
    <w:rPr>
      <w:rFonts w:ascii="Garamond" w:hAnsi="Garamond"/>
      <w:b/>
      <w:bCs/>
      <w:color w:val="000000"/>
      <w:spacing w:val="-2"/>
    </w:rPr>
  </w:style>
  <w:style w:type="character" w:styleId="FollowedHyperlink">
    <w:name w:val="FollowedHyperlink"/>
    <w:uiPriority w:val="99"/>
    <w:semiHidden/>
    <w:unhideWhenUsed/>
    <w:rsid w:val="006414B3"/>
    <w:rPr>
      <w:color w:val="BEBEBE"/>
      <w:u w:val="single"/>
    </w:rPr>
  </w:style>
  <w:style w:type="paragraph" w:styleId="Revision">
    <w:name w:val="Revision"/>
    <w:hidden/>
    <w:uiPriority w:val="99"/>
    <w:semiHidden/>
    <w:rsid w:val="0019580E"/>
    <w:rPr>
      <w:rFonts w:ascii="Garamond" w:hAnsi="Garamond"/>
      <w:color w:val="000000"/>
      <w:spacing w:val="-2"/>
      <w:sz w:val="22"/>
      <w:lang w:val="en-AU" w:eastAsia="en-US"/>
    </w:rPr>
  </w:style>
  <w:style w:type="paragraph" w:styleId="TOC7">
    <w:name w:val="toc 7"/>
    <w:basedOn w:val="Normal"/>
    <w:next w:val="Normal"/>
    <w:autoRedefine/>
    <w:uiPriority w:val="39"/>
    <w:unhideWhenUsed/>
    <w:rsid w:val="000E63F4"/>
    <w:pPr>
      <w:spacing w:after="100" w:line="259" w:lineRule="auto"/>
      <w:ind w:left="1320"/>
    </w:pPr>
    <w:rPr>
      <w:rFonts w:eastAsia="Times New Roman"/>
      <w:color w:val="auto"/>
      <w:spacing w:val="0"/>
      <w:szCs w:val="22"/>
      <w:lang w:val="en-GB" w:eastAsia="en-GB"/>
    </w:rPr>
  </w:style>
  <w:style w:type="paragraph" w:styleId="TOC8">
    <w:name w:val="toc 8"/>
    <w:basedOn w:val="Normal"/>
    <w:next w:val="Normal"/>
    <w:autoRedefine/>
    <w:uiPriority w:val="39"/>
    <w:unhideWhenUsed/>
    <w:rsid w:val="000E63F4"/>
    <w:pPr>
      <w:spacing w:after="100" w:line="259" w:lineRule="auto"/>
      <w:ind w:left="1540"/>
    </w:pPr>
    <w:rPr>
      <w:rFonts w:eastAsia="Times New Roman"/>
      <w:color w:val="auto"/>
      <w:spacing w:val="0"/>
      <w:szCs w:val="22"/>
      <w:lang w:val="en-GB" w:eastAsia="en-GB"/>
    </w:rPr>
  </w:style>
  <w:style w:type="paragraph" w:styleId="TOC9">
    <w:name w:val="toc 9"/>
    <w:basedOn w:val="Normal"/>
    <w:next w:val="Normal"/>
    <w:autoRedefine/>
    <w:uiPriority w:val="39"/>
    <w:unhideWhenUsed/>
    <w:rsid w:val="000E63F4"/>
    <w:pPr>
      <w:spacing w:after="100" w:line="259" w:lineRule="auto"/>
      <w:ind w:left="1760"/>
    </w:pPr>
    <w:rPr>
      <w:rFonts w:eastAsia="Times New Roman"/>
      <w:color w:val="auto"/>
      <w:spacing w:val="0"/>
      <w:szCs w:val="22"/>
      <w:lang w:val="en-GB" w:eastAsia="en-GB"/>
    </w:rPr>
  </w:style>
  <w:style w:type="character" w:customStyle="1" w:styleId="UnresolvedMention1">
    <w:name w:val="Unresolved Mention1"/>
    <w:uiPriority w:val="99"/>
    <w:semiHidden/>
    <w:unhideWhenUsed/>
    <w:rsid w:val="000E63F4"/>
    <w:rPr>
      <w:color w:val="605E5C"/>
      <w:shd w:val="clear" w:color="auto" w:fill="E1DFDD"/>
    </w:rPr>
  </w:style>
  <w:style w:type="character" w:customStyle="1" w:styleId="UnresolvedMention2">
    <w:name w:val="Unresolved Mention2"/>
    <w:basedOn w:val="DefaultParagraphFont"/>
    <w:uiPriority w:val="99"/>
    <w:semiHidden/>
    <w:unhideWhenUsed/>
    <w:rsid w:val="00077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769">
      <w:bodyDiv w:val="1"/>
      <w:marLeft w:val="0"/>
      <w:marRight w:val="0"/>
      <w:marTop w:val="0"/>
      <w:marBottom w:val="0"/>
      <w:divBdr>
        <w:top w:val="none" w:sz="0" w:space="0" w:color="auto"/>
        <w:left w:val="none" w:sz="0" w:space="0" w:color="auto"/>
        <w:bottom w:val="none" w:sz="0" w:space="0" w:color="auto"/>
        <w:right w:val="none" w:sz="0" w:space="0" w:color="auto"/>
      </w:divBdr>
    </w:div>
    <w:div w:id="3367743">
      <w:bodyDiv w:val="1"/>
      <w:marLeft w:val="0"/>
      <w:marRight w:val="0"/>
      <w:marTop w:val="0"/>
      <w:marBottom w:val="0"/>
      <w:divBdr>
        <w:top w:val="none" w:sz="0" w:space="0" w:color="auto"/>
        <w:left w:val="none" w:sz="0" w:space="0" w:color="auto"/>
        <w:bottom w:val="none" w:sz="0" w:space="0" w:color="auto"/>
        <w:right w:val="none" w:sz="0" w:space="0" w:color="auto"/>
      </w:divBdr>
    </w:div>
    <w:div w:id="3436505">
      <w:bodyDiv w:val="1"/>
      <w:marLeft w:val="0"/>
      <w:marRight w:val="0"/>
      <w:marTop w:val="0"/>
      <w:marBottom w:val="0"/>
      <w:divBdr>
        <w:top w:val="none" w:sz="0" w:space="0" w:color="auto"/>
        <w:left w:val="none" w:sz="0" w:space="0" w:color="auto"/>
        <w:bottom w:val="none" w:sz="0" w:space="0" w:color="auto"/>
        <w:right w:val="none" w:sz="0" w:space="0" w:color="auto"/>
      </w:divBdr>
    </w:div>
    <w:div w:id="4015833">
      <w:bodyDiv w:val="1"/>
      <w:marLeft w:val="0"/>
      <w:marRight w:val="0"/>
      <w:marTop w:val="0"/>
      <w:marBottom w:val="0"/>
      <w:divBdr>
        <w:top w:val="none" w:sz="0" w:space="0" w:color="auto"/>
        <w:left w:val="none" w:sz="0" w:space="0" w:color="auto"/>
        <w:bottom w:val="none" w:sz="0" w:space="0" w:color="auto"/>
        <w:right w:val="none" w:sz="0" w:space="0" w:color="auto"/>
      </w:divBdr>
    </w:div>
    <w:div w:id="4987032">
      <w:bodyDiv w:val="1"/>
      <w:marLeft w:val="0"/>
      <w:marRight w:val="0"/>
      <w:marTop w:val="0"/>
      <w:marBottom w:val="0"/>
      <w:divBdr>
        <w:top w:val="none" w:sz="0" w:space="0" w:color="auto"/>
        <w:left w:val="none" w:sz="0" w:space="0" w:color="auto"/>
        <w:bottom w:val="none" w:sz="0" w:space="0" w:color="auto"/>
        <w:right w:val="none" w:sz="0" w:space="0" w:color="auto"/>
      </w:divBdr>
    </w:div>
    <w:div w:id="5913606">
      <w:bodyDiv w:val="1"/>
      <w:marLeft w:val="0"/>
      <w:marRight w:val="0"/>
      <w:marTop w:val="0"/>
      <w:marBottom w:val="0"/>
      <w:divBdr>
        <w:top w:val="none" w:sz="0" w:space="0" w:color="auto"/>
        <w:left w:val="none" w:sz="0" w:space="0" w:color="auto"/>
        <w:bottom w:val="none" w:sz="0" w:space="0" w:color="auto"/>
        <w:right w:val="none" w:sz="0" w:space="0" w:color="auto"/>
      </w:divBdr>
    </w:div>
    <w:div w:id="6030466">
      <w:bodyDiv w:val="1"/>
      <w:marLeft w:val="0"/>
      <w:marRight w:val="0"/>
      <w:marTop w:val="0"/>
      <w:marBottom w:val="0"/>
      <w:divBdr>
        <w:top w:val="none" w:sz="0" w:space="0" w:color="auto"/>
        <w:left w:val="none" w:sz="0" w:space="0" w:color="auto"/>
        <w:bottom w:val="none" w:sz="0" w:space="0" w:color="auto"/>
        <w:right w:val="none" w:sz="0" w:space="0" w:color="auto"/>
      </w:divBdr>
    </w:div>
    <w:div w:id="6445367">
      <w:bodyDiv w:val="1"/>
      <w:marLeft w:val="0"/>
      <w:marRight w:val="0"/>
      <w:marTop w:val="0"/>
      <w:marBottom w:val="0"/>
      <w:divBdr>
        <w:top w:val="none" w:sz="0" w:space="0" w:color="auto"/>
        <w:left w:val="none" w:sz="0" w:space="0" w:color="auto"/>
        <w:bottom w:val="none" w:sz="0" w:space="0" w:color="auto"/>
        <w:right w:val="none" w:sz="0" w:space="0" w:color="auto"/>
      </w:divBdr>
    </w:div>
    <w:div w:id="6906845">
      <w:bodyDiv w:val="1"/>
      <w:marLeft w:val="0"/>
      <w:marRight w:val="0"/>
      <w:marTop w:val="0"/>
      <w:marBottom w:val="0"/>
      <w:divBdr>
        <w:top w:val="none" w:sz="0" w:space="0" w:color="auto"/>
        <w:left w:val="none" w:sz="0" w:space="0" w:color="auto"/>
        <w:bottom w:val="none" w:sz="0" w:space="0" w:color="auto"/>
        <w:right w:val="none" w:sz="0" w:space="0" w:color="auto"/>
      </w:divBdr>
    </w:div>
    <w:div w:id="7610975">
      <w:bodyDiv w:val="1"/>
      <w:marLeft w:val="0"/>
      <w:marRight w:val="0"/>
      <w:marTop w:val="0"/>
      <w:marBottom w:val="0"/>
      <w:divBdr>
        <w:top w:val="none" w:sz="0" w:space="0" w:color="auto"/>
        <w:left w:val="none" w:sz="0" w:space="0" w:color="auto"/>
        <w:bottom w:val="none" w:sz="0" w:space="0" w:color="auto"/>
        <w:right w:val="none" w:sz="0" w:space="0" w:color="auto"/>
      </w:divBdr>
    </w:div>
    <w:div w:id="8067660">
      <w:bodyDiv w:val="1"/>
      <w:marLeft w:val="0"/>
      <w:marRight w:val="0"/>
      <w:marTop w:val="0"/>
      <w:marBottom w:val="0"/>
      <w:divBdr>
        <w:top w:val="none" w:sz="0" w:space="0" w:color="auto"/>
        <w:left w:val="none" w:sz="0" w:space="0" w:color="auto"/>
        <w:bottom w:val="none" w:sz="0" w:space="0" w:color="auto"/>
        <w:right w:val="none" w:sz="0" w:space="0" w:color="auto"/>
      </w:divBdr>
    </w:div>
    <w:div w:id="9840680">
      <w:bodyDiv w:val="1"/>
      <w:marLeft w:val="0"/>
      <w:marRight w:val="0"/>
      <w:marTop w:val="0"/>
      <w:marBottom w:val="0"/>
      <w:divBdr>
        <w:top w:val="none" w:sz="0" w:space="0" w:color="auto"/>
        <w:left w:val="none" w:sz="0" w:space="0" w:color="auto"/>
        <w:bottom w:val="none" w:sz="0" w:space="0" w:color="auto"/>
        <w:right w:val="none" w:sz="0" w:space="0" w:color="auto"/>
      </w:divBdr>
    </w:div>
    <w:div w:id="9840878">
      <w:bodyDiv w:val="1"/>
      <w:marLeft w:val="0"/>
      <w:marRight w:val="0"/>
      <w:marTop w:val="0"/>
      <w:marBottom w:val="0"/>
      <w:divBdr>
        <w:top w:val="none" w:sz="0" w:space="0" w:color="auto"/>
        <w:left w:val="none" w:sz="0" w:space="0" w:color="auto"/>
        <w:bottom w:val="none" w:sz="0" w:space="0" w:color="auto"/>
        <w:right w:val="none" w:sz="0" w:space="0" w:color="auto"/>
      </w:divBdr>
    </w:div>
    <w:div w:id="12080215">
      <w:bodyDiv w:val="1"/>
      <w:marLeft w:val="0"/>
      <w:marRight w:val="0"/>
      <w:marTop w:val="0"/>
      <w:marBottom w:val="0"/>
      <w:divBdr>
        <w:top w:val="none" w:sz="0" w:space="0" w:color="auto"/>
        <w:left w:val="none" w:sz="0" w:space="0" w:color="auto"/>
        <w:bottom w:val="none" w:sz="0" w:space="0" w:color="auto"/>
        <w:right w:val="none" w:sz="0" w:space="0" w:color="auto"/>
      </w:divBdr>
    </w:div>
    <w:div w:id="12731364">
      <w:bodyDiv w:val="1"/>
      <w:marLeft w:val="0"/>
      <w:marRight w:val="0"/>
      <w:marTop w:val="0"/>
      <w:marBottom w:val="0"/>
      <w:divBdr>
        <w:top w:val="none" w:sz="0" w:space="0" w:color="auto"/>
        <w:left w:val="none" w:sz="0" w:space="0" w:color="auto"/>
        <w:bottom w:val="none" w:sz="0" w:space="0" w:color="auto"/>
        <w:right w:val="none" w:sz="0" w:space="0" w:color="auto"/>
      </w:divBdr>
    </w:div>
    <w:div w:id="13653029">
      <w:bodyDiv w:val="1"/>
      <w:marLeft w:val="0"/>
      <w:marRight w:val="0"/>
      <w:marTop w:val="0"/>
      <w:marBottom w:val="0"/>
      <w:divBdr>
        <w:top w:val="none" w:sz="0" w:space="0" w:color="auto"/>
        <w:left w:val="none" w:sz="0" w:space="0" w:color="auto"/>
        <w:bottom w:val="none" w:sz="0" w:space="0" w:color="auto"/>
        <w:right w:val="none" w:sz="0" w:space="0" w:color="auto"/>
      </w:divBdr>
    </w:div>
    <w:div w:id="14770812">
      <w:bodyDiv w:val="1"/>
      <w:marLeft w:val="0"/>
      <w:marRight w:val="0"/>
      <w:marTop w:val="0"/>
      <w:marBottom w:val="0"/>
      <w:divBdr>
        <w:top w:val="none" w:sz="0" w:space="0" w:color="auto"/>
        <w:left w:val="none" w:sz="0" w:space="0" w:color="auto"/>
        <w:bottom w:val="none" w:sz="0" w:space="0" w:color="auto"/>
        <w:right w:val="none" w:sz="0" w:space="0" w:color="auto"/>
      </w:divBdr>
    </w:div>
    <w:div w:id="16392729">
      <w:bodyDiv w:val="1"/>
      <w:marLeft w:val="0"/>
      <w:marRight w:val="0"/>
      <w:marTop w:val="0"/>
      <w:marBottom w:val="0"/>
      <w:divBdr>
        <w:top w:val="none" w:sz="0" w:space="0" w:color="auto"/>
        <w:left w:val="none" w:sz="0" w:space="0" w:color="auto"/>
        <w:bottom w:val="none" w:sz="0" w:space="0" w:color="auto"/>
        <w:right w:val="none" w:sz="0" w:space="0" w:color="auto"/>
      </w:divBdr>
    </w:div>
    <w:div w:id="16853807">
      <w:bodyDiv w:val="1"/>
      <w:marLeft w:val="0"/>
      <w:marRight w:val="0"/>
      <w:marTop w:val="0"/>
      <w:marBottom w:val="0"/>
      <w:divBdr>
        <w:top w:val="none" w:sz="0" w:space="0" w:color="auto"/>
        <w:left w:val="none" w:sz="0" w:space="0" w:color="auto"/>
        <w:bottom w:val="none" w:sz="0" w:space="0" w:color="auto"/>
        <w:right w:val="none" w:sz="0" w:space="0" w:color="auto"/>
      </w:divBdr>
    </w:div>
    <w:div w:id="18356675">
      <w:bodyDiv w:val="1"/>
      <w:marLeft w:val="0"/>
      <w:marRight w:val="0"/>
      <w:marTop w:val="0"/>
      <w:marBottom w:val="0"/>
      <w:divBdr>
        <w:top w:val="none" w:sz="0" w:space="0" w:color="auto"/>
        <w:left w:val="none" w:sz="0" w:space="0" w:color="auto"/>
        <w:bottom w:val="none" w:sz="0" w:space="0" w:color="auto"/>
        <w:right w:val="none" w:sz="0" w:space="0" w:color="auto"/>
      </w:divBdr>
    </w:div>
    <w:div w:id="18699963">
      <w:bodyDiv w:val="1"/>
      <w:marLeft w:val="0"/>
      <w:marRight w:val="0"/>
      <w:marTop w:val="0"/>
      <w:marBottom w:val="0"/>
      <w:divBdr>
        <w:top w:val="none" w:sz="0" w:space="0" w:color="auto"/>
        <w:left w:val="none" w:sz="0" w:space="0" w:color="auto"/>
        <w:bottom w:val="none" w:sz="0" w:space="0" w:color="auto"/>
        <w:right w:val="none" w:sz="0" w:space="0" w:color="auto"/>
      </w:divBdr>
    </w:div>
    <w:div w:id="19361979">
      <w:bodyDiv w:val="1"/>
      <w:marLeft w:val="0"/>
      <w:marRight w:val="0"/>
      <w:marTop w:val="0"/>
      <w:marBottom w:val="0"/>
      <w:divBdr>
        <w:top w:val="none" w:sz="0" w:space="0" w:color="auto"/>
        <w:left w:val="none" w:sz="0" w:space="0" w:color="auto"/>
        <w:bottom w:val="none" w:sz="0" w:space="0" w:color="auto"/>
        <w:right w:val="none" w:sz="0" w:space="0" w:color="auto"/>
      </w:divBdr>
    </w:div>
    <w:div w:id="21782109">
      <w:bodyDiv w:val="1"/>
      <w:marLeft w:val="0"/>
      <w:marRight w:val="0"/>
      <w:marTop w:val="0"/>
      <w:marBottom w:val="0"/>
      <w:divBdr>
        <w:top w:val="none" w:sz="0" w:space="0" w:color="auto"/>
        <w:left w:val="none" w:sz="0" w:space="0" w:color="auto"/>
        <w:bottom w:val="none" w:sz="0" w:space="0" w:color="auto"/>
        <w:right w:val="none" w:sz="0" w:space="0" w:color="auto"/>
      </w:divBdr>
    </w:div>
    <w:div w:id="23137551">
      <w:bodyDiv w:val="1"/>
      <w:marLeft w:val="0"/>
      <w:marRight w:val="0"/>
      <w:marTop w:val="0"/>
      <w:marBottom w:val="0"/>
      <w:divBdr>
        <w:top w:val="none" w:sz="0" w:space="0" w:color="auto"/>
        <w:left w:val="none" w:sz="0" w:space="0" w:color="auto"/>
        <w:bottom w:val="none" w:sz="0" w:space="0" w:color="auto"/>
        <w:right w:val="none" w:sz="0" w:space="0" w:color="auto"/>
      </w:divBdr>
    </w:div>
    <w:div w:id="23140868">
      <w:bodyDiv w:val="1"/>
      <w:marLeft w:val="0"/>
      <w:marRight w:val="0"/>
      <w:marTop w:val="0"/>
      <w:marBottom w:val="0"/>
      <w:divBdr>
        <w:top w:val="none" w:sz="0" w:space="0" w:color="auto"/>
        <w:left w:val="none" w:sz="0" w:space="0" w:color="auto"/>
        <w:bottom w:val="none" w:sz="0" w:space="0" w:color="auto"/>
        <w:right w:val="none" w:sz="0" w:space="0" w:color="auto"/>
      </w:divBdr>
    </w:div>
    <w:div w:id="23219488">
      <w:bodyDiv w:val="1"/>
      <w:marLeft w:val="0"/>
      <w:marRight w:val="0"/>
      <w:marTop w:val="0"/>
      <w:marBottom w:val="0"/>
      <w:divBdr>
        <w:top w:val="none" w:sz="0" w:space="0" w:color="auto"/>
        <w:left w:val="none" w:sz="0" w:space="0" w:color="auto"/>
        <w:bottom w:val="none" w:sz="0" w:space="0" w:color="auto"/>
        <w:right w:val="none" w:sz="0" w:space="0" w:color="auto"/>
      </w:divBdr>
    </w:div>
    <w:div w:id="23412148">
      <w:bodyDiv w:val="1"/>
      <w:marLeft w:val="0"/>
      <w:marRight w:val="0"/>
      <w:marTop w:val="0"/>
      <w:marBottom w:val="0"/>
      <w:divBdr>
        <w:top w:val="none" w:sz="0" w:space="0" w:color="auto"/>
        <w:left w:val="none" w:sz="0" w:space="0" w:color="auto"/>
        <w:bottom w:val="none" w:sz="0" w:space="0" w:color="auto"/>
        <w:right w:val="none" w:sz="0" w:space="0" w:color="auto"/>
      </w:divBdr>
    </w:div>
    <w:div w:id="23873247">
      <w:bodyDiv w:val="1"/>
      <w:marLeft w:val="0"/>
      <w:marRight w:val="0"/>
      <w:marTop w:val="0"/>
      <w:marBottom w:val="0"/>
      <w:divBdr>
        <w:top w:val="none" w:sz="0" w:space="0" w:color="auto"/>
        <w:left w:val="none" w:sz="0" w:space="0" w:color="auto"/>
        <w:bottom w:val="none" w:sz="0" w:space="0" w:color="auto"/>
        <w:right w:val="none" w:sz="0" w:space="0" w:color="auto"/>
      </w:divBdr>
    </w:div>
    <w:div w:id="24410451">
      <w:bodyDiv w:val="1"/>
      <w:marLeft w:val="0"/>
      <w:marRight w:val="0"/>
      <w:marTop w:val="0"/>
      <w:marBottom w:val="0"/>
      <w:divBdr>
        <w:top w:val="none" w:sz="0" w:space="0" w:color="auto"/>
        <w:left w:val="none" w:sz="0" w:space="0" w:color="auto"/>
        <w:bottom w:val="none" w:sz="0" w:space="0" w:color="auto"/>
        <w:right w:val="none" w:sz="0" w:space="0" w:color="auto"/>
      </w:divBdr>
    </w:div>
    <w:div w:id="24597381">
      <w:bodyDiv w:val="1"/>
      <w:marLeft w:val="0"/>
      <w:marRight w:val="0"/>
      <w:marTop w:val="0"/>
      <w:marBottom w:val="0"/>
      <w:divBdr>
        <w:top w:val="none" w:sz="0" w:space="0" w:color="auto"/>
        <w:left w:val="none" w:sz="0" w:space="0" w:color="auto"/>
        <w:bottom w:val="none" w:sz="0" w:space="0" w:color="auto"/>
        <w:right w:val="none" w:sz="0" w:space="0" w:color="auto"/>
      </w:divBdr>
    </w:div>
    <w:div w:id="24721832">
      <w:bodyDiv w:val="1"/>
      <w:marLeft w:val="0"/>
      <w:marRight w:val="0"/>
      <w:marTop w:val="0"/>
      <w:marBottom w:val="0"/>
      <w:divBdr>
        <w:top w:val="none" w:sz="0" w:space="0" w:color="auto"/>
        <w:left w:val="none" w:sz="0" w:space="0" w:color="auto"/>
        <w:bottom w:val="none" w:sz="0" w:space="0" w:color="auto"/>
        <w:right w:val="none" w:sz="0" w:space="0" w:color="auto"/>
      </w:divBdr>
    </w:div>
    <w:div w:id="25570384">
      <w:bodyDiv w:val="1"/>
      <w:marLeft w:val="0"/>
      <w:marRight w:val="0"/>
      <w:marTop w:val="0"/>
      <w:marBottom w:val="0"/>
      <w:divBdr>
        <w:top w:val="none" w:sz="0" w:space="0" w:color="auto"/>
        <w:left w:val="none" w:sz="0" w:space="0" w:color="auto"/>
        <w:bottom w:val="none" w:sz="0" w:space="0" w:color="auto"/>
        <w:right w:val="none" w:sz="0" w:space="0" w:color="auto"/>
      </w:divBdr>
    </w:div>
    <w:div w:id="26487882">
      <w:bodyDiv w:val="1"/>
      <w:marLeft w:val="0"/>
      <w:marRight w:val="0"/>
      <w:marTop w:val="0"/>
      <w:marBottom w:val="0"/>
      <w:divBdr>
        <w:top w:val="none" w:sz="0" w:space="0" w:color="auto"/>
        <w:left w:val="none" w:sz="0" w:space="0" w:color="auto"/>
        <w:bottom w:val="none" w:sz="0" w:space="0" w:color="auto"/>
        <w:right w:val="none" w:sz="0" w:space="0" w:color="auto"/>
      </w:divBdr>
    </w:div>
    <w:div w:id="26878316">
      <w:bodyDiv w:val="1"/>
      <w:marLeft w:val="0"/>
      <w:marRight w:val="0"/>
      <w:marTop w:val="0"/>
      <w:marBottom w:val="0"/>
      <w:divBdr>
        <w:top w:val="none" w:sz="0" w:space="0" w:color="auto"/>
        <w:left w:val="none" w:sz="0" w:space="0" w:color="auto"/>
        <w:bottom w:val="none" w:sz="0" w:space="0" w:color="auto"/>
        <w:right w:val="none" w:sz="0" w:space="0" w:color="auto"/>
      </w:divBdr>
    </w:div>
    <w:div w:id="27686132">
      <w:bodyDiv w:val="1"/>
      <w:marLeft w:val="0"/>
      <w:marRight w:val="0"/>
      <w:marTop w:val="0"/>
      <w:marBottom w:val="0"/>
      <w:divBdr>
        <w:top w:val="none" w:sz="0" w:space="0" w:color="auto"/>
        <w:left w:val="none" w:sz="0" w:space="0" w:color="auto"/>
        <w:bottom w:val="none" w:sz="0" w:space="0" w:color="auto"/>
        <w:right w:val="none" w:sz="0" w:space="0" w:color="auto"/>
      </w:divBdr>
    </w:div>
    <w:div w:id="27951100">
      <w:bodyDiv w:val="1"/>
      <w:marLeft w:val="0"/>
      <w:marRight w:val="0"/>
      <w:marTop w:val="0"/>
      <w:marBottom w:val="0"/>
      <w:divBdr>
        <w:top w:val="none" w:sz="0" w:space="0" w:color="auto"/>
        <w:left w:val="none" w:sz="0" w:space="0" w:color="auto"/>
        <w:bottom w:val="none" w:sz="0" w:space="0" w:color="auto"/>
        <w:right w:val="none" w:sz="0" w:space="0" w:color="auto"/>
      </w:divBdr>
    </w:div>
    <w:div w:id="27997301">
      <w:bodyDiv w:val="1"/>
      <w:marLeft w:val="0"/>
      <w:marRight w:val="0"/>
      <w:marTop w:val="0"/>
      <w:marBottom w:val="0"/>
      <w:divBdr>
        <w:top w:val="none" w:sz="0" w:space="0" w:color="auto"/>
        <w:left w:val="none" w:sz="0" w:space="0" w:color="auto"/>
        <w:bottom w:val="none" w:sz="0" w:space="0" w:color="auto"/>
        <w:right w:val="none" w:sz="0" w:space="0" w:color="auto"/>
      </w:divBdr>
    </w:div>
    <w:div w:id="30426293">
      <w:bodyDiv w:val="1"/>
      <w:marLeft w:val="0"/>
      <w:marRight w:val="0"/>
      <w:marTop w:val="0"/>
      <w:marBottom w:val="0"/>
      <w:divBdr>
        <w:top w:val="none" w:sz="0" w:space="0" w:color="auto"/>
        <w:left w:val="none" w:sz="0" w:space="0" w:color="auto"/>
        <w:bottom w:val="none" w:sz="0" w:space="0" w:color="auto"/>
        <w:right w:val="none" w:sz="0" w:space="0" w:color="auto"/>
      </w:divBdr>
    </w:div>
    <w:div w:id="30883357">
      <w:bodyDiv w:val="1"/>
      <w:marLeft w:val="0"/>
      <w:marRight w:val="0"/>
      <w:marTop w:val="0"/>
      <w:marBottom w:val="0"/>
      <w:divBdr>
        <w:top w:val="none" w:sz="0" w:space="0" w:color="auto"/>
        <w:left w:val="none" w:sz="0" w:space="0" w:color="auto"/>
        <w:bottom w:val="none" w:sz="0" w:space="0" w:color="auto"/>
        <w:right w:val="none" w:sz="0" w:space="0" w:color="auto"/>
      </w:divBdr>
    </w:div>
    <w:div w:id="31927582">
      <w:bodyDiv w:val="1"/>
      <w:marLeft w:val="0"/>
      <w:marRight w:val="0"/>
      <w:marTop w:val="0"/>
      <w:marBottom w:val="0"/>
      <w:divBdr>
        <w:top w:val="none" w:sz="0" w:space="0" w:color="auto"/>
        <w:left w:val="none" w:sz="0" w:space="0" w:color="auto"/>
        <w:bottom w:val="none" w:sz="0" w:space="0" w:color="auto"/>
        <w:right w:val="none" w:sz="0" w:space="0" w:color="auto"/>
      </w:divBdr>
    </w:div>
    <w:div w:id="32389125">
      <w:bodyDiv w:val="1"/>
      <w:marLeft w:val="0"/>
      <w:marRight w:val="0"/>
      <w:marTop w:val="0"/>
      <w:marBottom w:val="0"/>
      <w:divBdr>
        <w:top w:val="none" w:sz="0" w:space="0" w:color="auto"/>
        <w:left w:val="none" w:sz="0" w:space="0" w:color="auto"/>
        <w:bottom w:val="none" w:sz="0" w:space="0" w:color="auto"/>
        <w:right w:val="none" w:sz="0" w:space="0" w:color="auto"/>
      </w:divBdr>
    </w:div>
    <w:div w:id="32585926">
      <w:bodyDiv w:val="1"/>
      <w:marLeft w:val="0"/>
      <w:marRight w:val="0"/>
      <w:marTop w:val="0"/>
      <w:marBottom w:val="0"/>
      <w:divBdr>
        <w:top w:val="none" w:sz="0" w:space="0" w:color="auto"/>
        <w:left w:val="none" w:sz="0" w:space="0" w:color="auto"/>
        <w:bottom w:val="none" w:sz="0" w:space="0" w:color="auto"/>
        <w:right w:val="none" w:sz="0" w:space="0" w:color="auto"/>
      </w:divBdr>
    </w:div>
    <w:div w:id="35855006">
      <w:bodyDiv w:val="1"/>
      <w:marLeft w:val="0"/>
      <w:marRight w:val="0"/>
      <w:marTop w:val="0"/>
      <w:marBottom w:val="0"/>
      <w:divBdr>
        <w:top w:val="none" w:sz="0" w:space="0" w:color="auto"/>
        <w:left w:val="none" w:sz="0" w:space="0" w:color="auto"/>
        <w:bottom w:val="none" w:sz="0" w:space="0" w:color="auto"/>
        <w:right w:val="none" w:sz="0" w:space="0" w:color="auto"/>
      </w:divBdr>
    </w:div>
    <w:div w:id="39792854">
      <w:bodyDiv w:val="1"/>
      <w:marLeft w:val="0"/>
      <w:marRight w:val="0"/>
      <w:marTop w:val="0"/>
      <w:marBottom w:val="0"/>
      <w:divBdr>
        <w:top w:val="none" w:sz="0" w:space="0" w:color="auto"/>
        <w:left w:val="none" w:sz="0" w:space="0" w:color="auto"/>
        <w:bottom w:val="none" w:sz="0" w:space="0" w:color="auto"/>
        <w:right w:val="none" w:sz="0" w:space="0" w:color="auto"/>
      </w:divBdr>
    </w:div>
    <w:div w:id="39942766">
      <w:bodyDiv w:val="1"/>
      <w:marLeft w:val="0"/>
      <w:marRight w:val="0"/>
      <w:marTop w:val="0"/>
      <w:marBottom w:val="0"/>
      <w:divBdr>
        <w:top w:val="none" w:sz="0" w:space="0" w:color="auto"/>
        <w:left w:val="none" w:sz="0" w:space="0" w:color="auto"/>
        <w:bottom w:val="none" w:sz="0" w:space="0" w:color="auto"/>
        <w:right w:val="none" w:sz="0" w:space="0" w:color="auto"/>
      </w:divBdr>
    </w:div>
    <w:div w:id="40978164">
      <w:bodyDiv w:val="1"/>
      <w:marLeft w:val="0"/>
      <w:marRight w:val="0"/>
      <w:marTop w:val="0"/>
      <w:marBottom w:val="0"/>
      <w:divBdr>
        <w:top w:val="none" w:sz="0" w:space="0" w:color="auto"/>
        <w:left w:val="none" w:sz="0" w:space="0" w:color="auto"/>
        <w:bottom w:val="none" w:sz="0" w:space="0" w:color="auto"/>
        <w:right w:val="none" w:sz="0" w:space="0" w:color="auto"/>
      </w:divBdr>
    </w:div>
    <w:div w:id="41296005">
      <w:bodyDiv w:val="1"/>
      <w:marLeft w:val="0"/>
      <w:marRight w:val="0"/>
      <w:marTop w:val="0"/>
      <w:marBottom w:val="0"/>
      <w:divBdr>
        <w:top w:val="none" w:sz="0" w:space="0" w:color="auto"/>
        <w:left w:val="none" w:sz="0" w:space="0" w:color="auto"/>
        <w:bottom w:val="none" w:sz="0" w:space="0" w:color="auto"/>
        <w:right w:val="none" w:sz="0" w:space="0" w:color="auto"/>
      </w:divBdr>
    </w:div>
    <w:div w:id="44456121">
      <w:bodyDiv w:val="1"/>
      <w:marLeft w:val="0"/>
      <w:marRight w:val="0"/>
      <w:marTop w:val="0"/>
      <w:marBottom w:val="0"/>
      <w:divBdr>
        <w:top w:val="none" w:sz="0" w:space="0" w:color="auto"/>
        <w:left w:val="none" w:sz="0" w:space="0" w:color="auto"/>
        <w:bottom w:val="none" w:sz="0" w:space="0" w:color="auto"/>
        <w:right w:val="none" w:sz="0" w:space="0" w:color="auto"/>
      </w:divBdr>
    </w:div>
    <w:div w:id="44961345">
      <w:bodyDiv w:val="1"/>
      <w:marLeft w:val="0"/>
      <w:marRight w:val="0"/>
      <w:marTop w:val="0"/>
      <w:marBottom w:val="0"/>
      <w:divBdr>
        <w:top w:val="none" w:sz="0" w:space="0" w:color="auto"/>
        <w:left w:val="none" w:sz="0" w:space="0" w:color="auto"/>
        <w:bottom w:val="none" w:sz="0" w:space="0" w:color="auto"/>
        <w:right w:val="none" w:sz="0" w:space="0" w:color="auto"/>
      </w:divBdr>
    </w:div>
    <w:div w:id="45222222">
      <w:bodyDiv w:val="1"/>
      <w:marLeft w:val="0"/>
      <w:marRight w:val="0"/>
      <w:marTop w:val="0"/>
      <w:marBottom w:val="0"/>
      <w:divBdr>
        <w:top w:val="none" w:sz="0" w:space="0" w:color="auto"/>
        <w:left w:val="none" w:sz="0" w:space="0" w:color="auto"/>
        <w:bottom w:val="none" w:sz="0" w:space="0" w:color="auto"/>
        <w:right w:val="none" w:sz="0" w:space="0" w:color="auto"/>
      </w:divBdr>
    </w:div>
    <w:div w:id="45841429">
      <w:bodyDiv w:val="1"/>
      <w:marLeft w:val="0"/>
      <w:marRight w:val="0"/>
      <w:marTop w:val="0"/>
      <w:marBottom w:val="0"/>
      <w:divBdr>
        <w:top w:val="none" w:sz="0" w:space="0" w:color="auto"/>
        <w:left w:val="none" w:sz="0" w:space="0" w:color="auto"/>
        <w:bottom w:val="none" w:sz="0" w:space="0" w:color="auto"/>
        <w:right w:val="none" w:sz="0" w:space="0" w:color="auto"/>
      </w:divBdr>
    </w:div>
    <w:div w:id="46758428">
      <w:bodyDiv w:val="1"/>
      <w:marLeft w:val="0"/>
      <w:marRight w:val="0"/>
      <w:marTop w:val="0"/>
      <w:marBottom w:val="0"/>
      <w:divBdr>
        <w:top w:val="none" w:sz="0" w:space="0" w:color="auto"/>
        <w:left w:val="none" w:sz="0" w:space="0" w:color="auto"/>
        <w:bottom w:val="none" w:sz="0" w:space="0" w:color="auto"/>
        <w:right w:val="none" w:sz="0" w:space="0" w:color="auto"/>
      </w:divBdr>
    </w:div>
    <w:div w:id="47919835">
      <w:bodyDiv w:val="1"/>
      <w:marLeft w:val="0"/>
      <w:marRight w:val="0"/>
      <w:marTop w:val="0"/>
      <w:marBottom w:val="0"/>
      <w:divBdr>
        <w:top w:val="none" w:sz="0" w:space="0" w:color="auto"/>
        <w:left w:val="none" w:sz="0" w:space="0" w:color="auto"/>
        <w:bottom w:val="none" w:sz="0" w:space="0" w:color="auto"/>
        <w:right w:val="none" w:sz="0" w:space="0" w:color="auto"/>
      </w:divBdr>
    </w:div>
    <w:div w:id="48119570">
      <w:bodyDiv w:val="1"/>
      <w:marLeft w:val="0"/>
      <w:marRight w:val="0"/>
      <w:marTop w:val="0"/>
      <w:marBottom w:val="0"/>
      <w:divBdr>
        <w:top w:val="none" w:sz="0" w:space="0" w:color="auto"/>
        <w:left w:val="none" w:sz="0" w:space="0" w:color="auto"/>
        <w:bottom w:val="none" w:sz="0" w:space="0" w:color="auto"/>
        <w:right w:val="none" w:sz="0" w:space="0" w:color="auto"/>
      </w:divBdr>
    </w:div>
    <w:div w:id="48235060">
      <w:bodyDiv w:val="1"/>
      <w:marLeft w:val="0"/>
      <w:marRight w:val="0"/>
      <w:marTop w:val="0"/>
      <w:marBottom w:val="0"/>
      <w:divBdr>
        <w:top w:val="none" w:sz="0" w:space="0" w:color="auto"/>
        <w:left w:val="none" w:sz="0" w:space="0" w:color="auto"/>
        <w:bottom w:val="none" w:sz="0" w:space="0" w:color="auto"/>
        <w:right w:val="none" w:sz="0" w:space="0" w:color="auto"/>
      </w:divBdr>
    </w:div>
    <w:div w:id="51512328">
      <w:bodyDiv w:val="1"/>
      <w:marLeft w:val="0"/>
      <w:marRight w:val="0"/>
      <w:marTop w:val="0"/>
      <w:marBottom w:val="0"/>
      <w:divBdr>
        <w:top w:val="none" w:sz="0" w:space="0" w:color="auto"/>
        <w:left w:val="none" w:sz="0" w:space="0" w:color="auto"/>
        <w:bottom w:val="none" w:sz="0" w:space="0" w:color="auto"/>
        <w:right w:val="none" w:sz="0" w:space="0" w:color="auto"/>
      </w:divBdr>
    </w:div>
    <w:div w:id="52394657">
      <w:bodyDiv w:val="1"/>
      <w:marLeft w:val="0"/>
      <w:marRight w:val="0"/>
      <w:marTop w:val="0"/>
      <w:marBottom w:val="0"/>
      <w:divBdr>
        <w:top w:val="none" w:sz="0" w:space="0" w:color="auto"/>
        <w:left w:val="none" w:sz="0" w:space="0" w:color="auto"/>
        <w:bottom w:val="none" w:sz="0" w:space="0" w:color="auto"/>
        <w:right w:val="none" w:sz="0" w:space="0" w:color="auto"/>
      </w:divBdr>
    </w:div>
    <w:div w:id="54593384">
      <w:bodyDiv w:val="1"/>
      <w:marLeft w:val="0"/>
      <w:marRight w:val="0"/>
      <w:marTop w:val="0"/>
      <w:marBottom w:val="0"/>
      <w:divBdr>
        <w:top w:val="none" w:sz="0" w:space="0" w:color="auto"/>
        <w:left w:val="none" w:sz="0" w:space="0" w:color="auto"/>
        <w:bottom w:val="none" w:sz="0" w:space="0" w:color="auto"/>
        <w:right w:val="none" w:sz="0" w:space="0" w:color="auto"/>
      </w:divBdr>
    </w:div>
    <w:div w:id="55127278">
      <w:bodyDiv w:val="1"/>
      <w:marLeft w:val="0"/>
      <w:marRight w:val="0"/>
      <w:marTop w:val="0"/>
      <w:marBottom w:val="0"/>
      <w:divBdr>
        <w:top w:val="none" w:sz="0" w:space="0" w:color="auto"/>
        <w:left w:val="none" w:sz="0" w:space="0" w:color="auto"/>
        <w:bottom w:val="none" w:sz="0" w:space="0" w:color="auto"/>
        <w:right w:val="none" w:sz="0" w:space="0" w:color="auto"/>
      </w:divBdr>
    </w:div>
    <w:div w:id="56588161">
      <w:bodyDiv w:val="1"/>
      <w:marLeft w:val="0"/>
      <w:marRight w:val="0"/>
      <w:marTop w:val="0"/>
      <w:marBottom w:val="0"/>
      <w:divBdr>
        <w:top w:val="none" w:sz="0" w:space="0" w:color="auto"/>
        <w:left w:val="none" w:sz="0" w:space="0" w:color="auto"/>
        <w:bottom w:val="none" w:sz="0" w:space="0" w:color="auto"/>
        <w:right w:val="none" w:sz="0" w:space="0" w:color="auto"/>
      </w:divBdr>
    </w:div>
    <w:div w:id="56830198">
      <w:bodyDiv w:val="1"/>
      <w:marLeft w:val="0"/>
      <w:marRight w:val="0"/>
      <w:marTop w:val="0"/>
      <w:marBottom w:val="0"/>
      <w:divBdr>
        <w:top w:val="none" w:sz="0" w:space="0" w:color="auto"/>
        <w:left w:val="none" w:sz="0" w:space="0" w:color="auto"/>
        <w:bottom w:val="none" w:sz="0" w:space="0" w:color="auto"/>
        <w:right w:val="none" w:sz="0" w:space="0" w:color="auto"/>
      </w:divBdr>
    </w:div>
    <w:div w:id="57673662">
      <w:bodyDiv w:val="1"/>
      <w:marLeft w:val="0"/>
      <w:marRight w:val="0"/>
      <w:marTop w:val="0"/>
      <w:marBottom w:val="0"/>
      <w:divBdr>
        <w:top w:val="none" w:sz="0" w:space="0" w:color="auto"/>
        <w:left w:val="none" w:sz="0" w:space="0" w:color="auto"/>
        <w:bottom w:val="none" w:sz="0" w:space="0" w:color="auto"/>
        <w:right w:val="none" w:sz="0" w:space="0" w:color="auto"/>
      </w:divBdr>
    </w:div>
    <w:div w:id="58791030">
      <w:bodyDiv w:val="1"/>
      <w:marLeft w:val="0"/>
      <w:marRight w:val="0"/>
      <w:marTop w:val="0"/>
      <w:marBottom w:val="0"/>
      <w:divBdr>
        <w:top w:val="none" w:sz="0" w:space="0" w:color="auto"/>
        <w:left w:val="none" w:sz="0" w:space="0" w:color="auto"/>
        <w:bottom w:val="none" w:sz="0" w:space="0" w:color="auto"/>
        <w:right w:val="none" w:sz="0" w:space="0" w:color="auto"/>
      </w:divBdr>
    </w:div>
    <w:div w:id="58868827">
      <w:bodyDiv w:val="1"/>
      <w:marLeft w:val="0"/>
      <w:marRight w:val="0"/>
      <w:marTop w:val="0"/>
      <w:marBottom w:val="0"/>
      <w:divBdr>
        <w:top w:val="none" w:sz="0" w:space="0" w:color="auto"/>
        <w:left w:val="none" w:sz="0" w:space="0" w:color="auto"/>
        <w:bottom w:val="none" w:sz="0" w:space="0" w:color="auto"/>
        <w:right w:val="none" w:sz="0" w:space="0" w:color="auto"/>
      </w:divBdr>
    </w:div>
    <w:div w:id="58989218">
      <w:bodyDiv w:val="1"/>
      <w:marLeft w:val="0"/>
      <w:marRight w:val="0"/>
      <w:marTop w:val="0"/>
      <w:marBottom w:val="0"/>
      <w:divBdr>
        <w:top w:val="none" w:sz="0" w:space="0" w:color="auto"/>
        <w:left w:val="none" w:sz="0" w:space="0" w:color="auto"/>
        <w:bottom w:val="none" w:sz="0" w:space="0" w:color="auto"/>
        <w:right w:val="none" w:sz="0" w:space="0" w:color="auto"/>
      </w:divBdr>
    </w:div>
    <w:div w:id="59257322">
      <w:bodyDiv w:val="1"/>
      <w:marLeft w:val="0"/>
      <w:marRight w:val="0"/>
      <w:marTop w:val="0"/>
      <w:marBottom w:val="0"/>
      <w:divBdr>
        <w:top w:val="none" w:sz="0" w:space="0" w:color="auto"/>
        <w:left w:val="none" w:sz="0" w:space="0" w:color="auto"/>
        <w:bottom w:val="none" w:sz="0" w:space="0" w:color="auto"/>
        <w:right w:val="none" w:sz="0" w:space="0" w:color="auto"/>
      </w:divBdr>
    </w:div>
    <w:div w:id="61297375">
      <w:bodyDiv w:val="1"/>
      <w:marLeft w:val="0"/>
      <w:marRight w:val="0"/>
      <w:marTop w:val="0"/>
      <w:marBottom w:val="0"/>
      <w:divBdr>
        <w:top w:val="none" w:sz="0" w:space="0" w:color="auto"/>
        <w:left w:val="none" w:sz="0" w:space="0" w:color="auto"/>
        <w:bottom w:val="none" w:sz="0" w:space="0" w:color="auto"/>
        <w:right w:val="none" w:sz="0" w:space="0" w:color="auto"/>
      </w:divBdr>
    </w:div>
    <w:div w:id="62727428">
      <w:bodyDiv w:val="1"/>
      <w:marLeft w:val="0"/>
      <w:marRight w:val="0"/>
      <w:marTop w:val="0"/>
      <w:marBottom w:val="0"/>
      <w:divBdr>
        <w:top w:val="none" w:sz="0" w:space="0" w:color="auto"/>
        <w:left w:val="none" w:sz="0" w:space="0" w:color="auto"/>
        <w:bottom w:val="none" w:sz="0" w:space="0" w:color="auto"/>
        <w:right w:val="none" w:sz="0" w:space="0" w:color="auto"/>
      </w:divBdr>
    </w:div>
    <w:div w:id="64687150">
      <w:bodyDiv w:val="1"/>
      <w:marLeft w:val="0"/>
      <w:marRight w:val="0"/>
      <w:marTop w:val="0"/>
      <w:marBottom w:val="0"/>
      <w:divBdr>
        <w:top w:val="none" w:sz="0" w:space="0" w:color="auto"/>
        <w:left w:val="none" w:sz="0" w:space="0" w:color="auto"/>
        <w:bottom w:val="none" w:sz="0" w:space="0" w:color="auto"/>
        <w:right w:val="none" w:sz="0" w:space="0" w:color="auto"/>
      </w:divBdr>
    </w:div>
    <w:div w:id="64692727">
      <w:bodyDiv w:val="1"/>
      <w:marLeft w:val="0"/>
      <w:marRight w:val="0"/>
      <w:marTop w:val="0"/>
      <w:marBottom w:val="0"/>
      <w:divBdr>
        <w:top w:val="none" w:sz="0" w:space="0" w:color="auto"/>
        <w:left w:val="none" w:sz="0" w:space="0" w:color="auto"/>
        <w:bottom w:val="none" w:sz="0" w:space="0" w:color="auto"/>
        <w:right w:val="none" w:sz="0" w:space="0" w:color="auto"/>
      </w:divBdr>
    </w:div>
    <w:div w:id="64911847">
      <w:bodyDiv w:val="1"/>
      <w:marLeft w:val="0"/>
      <w:marRight w:val="0"/>
      <w:marTop w:val="0"/>
      <w:marBottom w:val="0"/>
      <w:divBdr>
        <w:top w:val="none" w:sz="0" w:space="0" w:color="auto"/>
        <w:left w:val="none" w:sz="0" w:space="0" w:color="auto"/>
        <w:bottom w:val="none" w:sz="0" w:space="0" w:color="auto"/>
        <w:right w:val="none" w:sz="0" w:space="0" w:color="auto"/>
      </w:divBdr>
    </w:div>
    <w:div w:id="65349602">
      <w:bodyDiv w:val="1"/>
      <w:marLeft w:val="0"/>
      <w:marRight w:val="0"/>
      <w:marTop w:val="0"/>
      <w:marBottom w:val="0"/>
      <w:divBdr>
        <w:top w:val="none" w:sz="0" w:space="0" w:color="auto"/>
        <w:left w:val="none" w:sz="0" w:space="0" w:color="auto"/>
        <w:bottom w:val="none" w:sz="0" w:space="0" w:color="auto"/>
        <w:right w:val="none" w:sz="0" w:space="0" w:color="auto"/>
      </w:divBdr>
    </w:div>
    <w:div w:id="68038432">
      <w:bodyDiv w:val="1"/>
      <w:marLeft w:val="0"/>
      <w:marRight w:val="0"/>
      <w:marTop w:val="0"/>
      <w:marBottom w:val="0"/>
      <w:divBdr>
        <w:top w:val="none" w:sz="0" w:space="0" w:color="auto"/>
        <w:left w:val="none" w:sz="0" w:space="0" w:color="auto"/>
        <w:bottom w:val="none" w:sz="0" w:space="0" w:color="auto"/>
        <w:right w:val="none" w:sz="0" w:space="0" w:color="auto"/>
      </w:divBdr>
    </w:div>
    <w:div w:id="68845454">
      <w:bodyDiv w:val="1"/>
      <w:marLeft w:val="0"/>
      <w:marRight w:val="0"/>
      <w:marTop w:val="0"/>
      <w:marBottom w:val="0"/>
      <w:divBdr>
        <w:top w:val="none" w:sz="0" w:space="0" w:color="auto"/>
        <w:left w:val="none" w:sz="0" w:space="0" w:color="auto"/>
        <w:bottom w:val="none" w:sz="0" w:space="0" w:color="auto"/>
        <w:right w:val="none" w:sz="0" w:space="0" w:color="auto"/>
      </w:divBdr>
    </w:div>
    <w:div w:id="70004133">
      <w:bodyDiv w:val="1"/>
      <w:marLeft w:val="0"/>
      <w:marRight w:val="0"/>
      <w:marTop w:val="0"/>
      <w:marBottom w:val="0"/>
      <w:divBdr>
        <w:top w:val="none" w:sz="0" w:space="0" w:color="auto"/>
        <w:left w:val="none" w:sz="0" w:space="0" w:color="auto"/>
        <w:bottom w:val="none" w:sz="0" w:space="0" w:color="auto"/>
        <w:right w:val="none" w:sz="0" w:space="0" w:color="auto"/>
      </w:divBdr>
    </w:div>
    <w:div w:id="71585997">
      <w:bodyDiv w:val="1"/>
      <w:marLeft w:val="0"/>
      <w:marRight w:val="0"/>
      <w:marTop w:val="0"/>
      <w:marBottom w:val="0"/>
      <w:divBdr>
        <w:top w:val="none" w:sz="0" w:space="0" w:color="auto"/>
        <w:left w:val="none" w:sz="0" w:space="0" w:color="auto"/>
        <w:bottom w:val="none" w:sz="0" w:space="0" w:color="auto"/>
        <w:right w:val="none" w:sz="0" w:space="0" w:color="auto"/>
      </w:divBdr>
    </w:div>
    <w:div w:id="73824743">
      <w:bodyDiv w:val="1"/>
      <w:marLeft w:val="0"/>
      <w:marRight w:val="0"/>
      <w:marTop w:val="0"/>
      <w:marBottom w:val="0"/>
      <w:divBdr>
        <w:top w:val="none" w:sz="0" w:space="0" w:color="auto"/>
        <w:left w:val="none" w:sz="0" w:space="0" w:color="auto"/>
        <w:bottom w:val="none" w:sz="0" w:space="0" w:color="auto"/>
        <w:right w:val="none" w:sz="0" w:space="0" w:color="auto"/>
      </w:divBdr>
    </w:div>
    <w:div w:id="74715488">
      <w:bodyDiv w:val="1"/>
      <w:marLeft w:val="0"/>
      <w:marRight w:val="0"/>
      <w:marTop w:val="0"/>
      <w:marBottom w:val="0"/>
      <w:divBdr>
        <w:top w:val="none" w:sz="0" w:space="0" w:color="auto"/>
        <w:left w:val="none" w:sz="0" w:space="0" w:color="auto"/>
        <w:bottom w:val="none" w:sz="0" w:space="0" w:color="auto"/>
        <w:right w:val="none" w:sz="0" w:space="0" w:color="auto"/>
      </w:divBdr>
    </w:div>
    <w:div w:id="76488123">
      <w:bodyDiv w:val="1"/>
      <w:marLeft w:val="0"/>
      <w:marRight w:val="0"/>
      <w:marTop w:val="0"/>
      <w:marBottom w:val="0"/>
      <w:divBdr>
        <w:top w:val="none" w:sz="0" w:space="0" w:color="auto"/>
        <w:left w:val="none" w:sz="0" w:space="0" w:color="auto"/>
        <w:bottom w:val="none" w:sz="0" w:space="0" w:color="auto"/>
        <w:right w:val="none" w:sz="0" w:space="0" w:color="auto"/>
      </w:divBdr>
    </w:div>
    <w:div w:id="77291323">
      <w:bodyDiv w:val="1"/>
      <w:marLeft w:val="0"/>
      <w:marRight w:val="0"/>
      <w:marTop w:val="0"/>
      <w:marBottom w:val="0"/>
      <w:divBdr>
        <w:top w:val="none" w:sz="0" w:space="0" w:color="auto"/>
        <w:left w:val="none" w:sz="0" w:space="0" w:color="auto"/>
        <w:bottom w:val="none" w:sz="0" w:space="0" w:color="auto"/>
        <w:right w:val="none" w:sz="0" w:space="0" w:color="auto"/>
      </w:divBdr>
    </w:div>
    <w:div w:id="77365027">
      <w:bodyDiv w:val="1"/>
      <w:marLeft w:val="0"/>
      <w:marRight w:val="0"/>
      <w:marTop w:val="0"/>
      <w:marBottom w:val="0"/>
      <w:divBdr>
        <w:top w:val="none" w:sz="0" w:space="0" w:color="auto"/>
        <w:left w:val="none" w:sz="0" w:space="0" w:color="auto"/>
        <w:bottom w:val="none" w:sz="0" w:space="0" w:color="auto"/>
        <w:right w:val="none" w:sz="0" w:space="0" w:color="auto"/>
      </w:divBdr>
    </w:div>
    <w:div w:id="78016849">
      <w:bodyDiv w:val="1"/>
      <w:marLeft w:val="0"/>
      <w:marRight w:val="0"/>
      <w:marTop w:val="0"/>
      <w:marBottom w:val="0"/>
      <w:divBdr>
        <w:top w:val="none" w:sz="0" w:space="0" w:color="auto"/>
        <w:left w:val="none" w:sz="0" w:space="0" w:color="auto"/>
        <w:bottom w:val="none" w:sz="0" w:space="0" w:color="auto"/>
        <w:right w:val="none" w:sz="0" w:space="0" w:color="auto"/>
      </w:divBdr>
    </w:div>
    <w:div w:id="79569001">
      <w:bodyDiv w:val="1"/>
      <w:marLeft w:val="0"/>
      <w:marRight w:val="0"/>
      <w:marTop w:val="0"/>
      <w:marBottom w:val="0"/>
      <w:divBdr>
        <w:top w:val="none" w:sz="0" w:space="0" w:color="auto"/>
        <w:left w:val="none" w:sz="0" w:space="0" w:color="auto"/>
        <w:bottom w:val="none" w:sz="0" w:space="0" w:color="auto"/>
        <w:right w:val="none" w:sz="0" w:space="0" w:color="auto"/>
      </w:divBdr>
    </w:div>
    <w:div w:id="80490800">
      <w:bodyDiv w:val="1"/>
      <w:marLeft w:val="0"/>
      <w:marRight w:val="0"/>
      <w:marTop w:val="0"/>
      <w:marBottom w:val="0"/>
      <w:divBdr>
        <w:top w:val="none" w:sz="0" w:space="0" w:color="auto"/>
        <w:left w:val="none" w:sz="0" w:space="0" w:color="auto"/>
        <w:bottom w:val="none" w:sz="0" w:space="0" w:color="auto"/>
        <w:right w:val="none" w:sz="0" w:space="0" w:color="auto"/>
      </w:divBdr>
    </w:div>
    <w:div w:id="80837112">
      <w:bodyDiv w:val="1"/>
      <w:marLeft w:val="0"/>
      <w:marRight w:val="0"/>
      <w:marTop w:val="0"/>
      <w:marBottom w:val="0"/>
      <w:divBdr>
        <w:top w:val="none" w:sz="0" w:space="0" w:color="auto"/>
        <w:left w:val="none" w:sz="0" w:space="0" w:color="auto"/>
        <w:bottom w:val="none" w:sz="0" w:space="0" w:color="auto"/>
        <w:right w:val="none" w:sz="0" w:space="0" w:color="auto"/>
      </w:divBdr>
    </w:div>
    <w:div w:id="81068049">
      <w:bodyDiv w:val="1"/>
      <w:marLeft w:val="0"/>
      <w:marRight w:val="0"/>
      <w:marTop w:val="0"/>
      <w:marBottom w:val="0"/>
      <w:divBdr>
        <w:top w:val="none" w:sz="0" w:space="0" w:color="auto"/>
        <w:left w:val="none" w:sz="0" w:space="0" w:color="auto"/>
        <w:bottom w:val="none" w:sz="0" w:space="0" w:color="auto"/>
        <w:right w:val="none" w:sz="0" w:space="0" w:color="auto"/>
      </w:divBdr>
    </w:div>
    <w:div w:id="82336002">
      <w:bodyDiv w:val="1"/>
      <w:marLeft w:val="0"/>
      <w:marRight w:val="0"/>
      <w:marTop w:val="0"/>
      <w:marBottom w:val="0"/>
      <w:divBdr>
        <w:top w:val="none" w:sz="0" w:space="0" w:color="auto"/>
        <w:left w:val="none" w:sz="0" w:space="0" w:color="auto"/>
        <w:bottom w:val="none" w:sz="0" w:space="0" w:color="auto"/>
        <w:right w:val="none" w:sz="0" w:space="0" w:color="auto"/>
      </w:divBdr>
    </w:div>
    <w:div w:id="82804120">
      <w:bodyDiv w:val="1"/>
      <w:marLeft w:val="0"/>
      <w:marRight w:val="0"/>
      <w:marTop w:val="0"/>
      <w:marBottom w:val="0"/>
      <w:divBdr>
        <w:top w:val="none" w:sz="0" w:space="0" w:color="auto"/>
        <w:left w:val="none" w:sz="0" w:space="0" w:color="auto"/>
        <w:bottom w:val="none" w:sz="0" w:space="0" w:color="auto"/>
        <w:right w:val="none" w:sz="0" w:space="0" w:color="auto"/>
      </w:divBdr>
    </w:div>
    <w:div w:id="82916202">
      <w:bodyDiv w:val="1"/>
      <w:marLeft w:val="0"/>
      <w:marRight w:val="0"/>
      <w:marTop w:val="0"/>
      <w:marBottom w:val="0"/>
      <w:divBdr>
        <w:top w:val="none" w:sz="0" w:space="0" w:color="auto"/>
        <w:left w:val="none" w:sz="0" w:space="0" w:color="auto"/>
        <w:bottom w:val="none" w:sz="0" w:space="0" w:color="auto"/>
        <w:right w:val="none" w:sz="0" w:space="0" w:color="auto"/>
      </w:divBdr>
    </w:div>
    <w:div w:id="83842470">
      <w:bodyDiv w:val="1"/>
      <w:marLeft w:val="0"/>
      <w:marRight w:val="0"/>
      <w:marTop w:val="0"/>
      <w:marBottom w:val="0"/>
      <w:divBdr>
        <w:top w:val="none" w:sz="0" w:space="0" w:color="auto"/>
        <w:left w:val="none" w:sz="0" w:space="0" w:color="auto"/>
        <w:bottom w:val="none" w:sz="0" w:space="0" w:color="auto"/>
        <w:right w:val="none" w:sz="0" w:space="0" w:color="auto"/>
      </w:divBdr>
    </w:div>
    <w:div w:id="83918074">
      <w:bodyDiv w:val="1"/>
      <w:marLeft w:val="0"/>
      <w:marRight w:val="0"/>
      <w:marTop w:val="0"/>
      <w:marBottom w:val="0"/>
      <w:divBdr>
        <w:top w:val="none" w:sz="0" w:space="0" w:color="auto"/>
        <w:left w:val="none" w:sz="0" w:space="0" w:color="auto"/>
        <w:bottom w:val="none" w:sz="0" w:space="0" w:color="auto"/>
        <w:right w:val="none" w:sz="0" w:space="0" w:color="auto"/>
      </w:divBdr>
    </w:div>
    <w:div w:id="84347834">
      <w:bodyDiv w:val="1"/>
      <w:marLeft w:val="0"/>
      <w:marRight w:val="0"/>
      <w:marTop w:val="0"/>
      <w:marBottom w:val="0"/>
      <w:divBdr>
        <w:top w:val="none" w:sz="0" w:space="0" w:color="auto"/>
        <w:left w:val="none" w:sz="0" w:space="0" w:color="auto"/>
        <w:bottom w:val="none" w:sz="0" w:space="0" w:color="auto"/>
        <w:right w:val="none" w:sz="0" w:space="0" w:color="auto"/>
      </w:divBdr>
    </w:div>
    <w:div w:id="84350689">
      <w:bodyDiv w:val="1"/>
      <w:marLeft w:val="0"/>
      <w:marRight w:val="0"/>
      <w:marTop w:val="0"/>
      <w:marBottom w:val="0"/>
      <w:divBdr>
        <w:top w:val="none" w:sz="0" w:space="0" w:color="auto"/>
        <w:left w:val="none" w:sz="0" w:space="0" w:color="auto"/>
        <w:bottom w:val="none" w:sz="0" w:space="0" w:color="auto"/>
        <w:right w:val="none" w:sz="0" w:space="0" w:color="auto"/>
      </w:divBdr>
    </w:div>
    <w:div w:id="85005701">
      <w:bodyDiv w:val="1"/>
      <w:marLeft w:val="0"/>
      <w:marRight w:val="0"/>
      <w:marTop w:val="0"/>
      <w:marBottom w:val="0"/>
      <w:divBdr>
        <w:top w:val="none" w:sz="0" w:space="0" w:color="auto"/>
        <w:left w:val="none" w:sz="0" w:space="0" w:color="auto"/>
        <w:bottom w:val="none" w:sz="0" w:space="0" w:color="auto"/>
        <w:right w:val="none" w:sz="0" w:space="0" w:color="auto"/>
      </w:divBdr>
    </w:div>
    <w:div w:id="85882090">
      <w:bodyDiv w:val="1"/>
      <w:marLeft w:val="0"/>
      <w:marRight w:val="0"/>
      <w:marTop w:val="0"/>
      <w:marBottom w:val="0"/>
      <w:divBdr>
        <w:top w:val="none" w:sz="0" w:space="0" w:color="auto"/>
        <w:left w:val="none" w:sz="0" w:space="0" w:color="auto"/>
        <w:bottom w:val="none" w:sz="0" w:space="0" w:color="auto"/>
        <w:right w:val="none" w:sz="0" w:space="0" w:color="auto"/>
      </w:divBdr>
    </w:div>
    <w:div w:id="87040657">
      <w:bodyDiv w:val="1"/>
      <w:marLeft w:val="0"/>
      <w:marRight w:val="0"/>
      <w:marTop w:val="0"/>
      <w:marBottom w:val="0"/>
      <w:divBdr>
        <w:top w:val="none" w:sz="0" w:space="0" w:color="auto"/>
        <w:left w:val="none" w:sz="0" w:space="0" w:color="auto"/>
        <w:bottom w:val="none" w:sz="0" w:space="0" w:color="auto"/>
        <w:right w:val="none" w:sz="0" w:space="0" w:color="auto"/>
      </w:divBdr>
    </w:div>
    <w:div w:id="87627451">
      <w:bodyDiv w:val="1"/>
      <w:marLeft w:val="0"/>
      <w:marRight w:val="0"/>
      <w:marTop w:val="0"/>
      <w:marBottom w:val="0"/>
      <w:divBdr>
        <w:top w:val="none" w:sz="0" w:space="0" w:color="auto"/>
        <w:left w:val="none" w:sz="0" w:space="0" w:color="auto"/>
        <w:bottom w:val="none" w:sz="0" w:space="0" w:color="auto"/>
        <w:right w:val="none" w:sz="0" w:space="0" w:color="auto"/>
      </w:divBdr>
    </w:div>
    <w:div w:id="89090329">
      <w:bodyDiv w:val="1"/>
      <w:marLeft w:val="0"/>
      <w:marRight w:val="0"/>
      <w:marTop w:val="0"/>
      <w:marBottom w:val="0"/>
      <w:divBdr>
        <w:top w:val="none" w:sz="0" w:space="0" w:color="auto"/>
        <w:left w:val="none" w:sz="0" w:space="0" w:color="auto"/>
        <w:bottom w:val="none" w:sz="0" w:space="0" w:color="auto"/>
        <w:right w:val="none" w:sz="0" w:space="0" w:color="auto"/>
      </w:divBdr>
    </w:div>
    <w:div w:id="89549706">
      <w:bodyDiv w:val="1"/>
      <w:marLeft w:val="0"/>
      <w:marRight w:val="0"/>
      <w:marTop w:val="0"/>
      <w:marBottom w:val="0"/>
      <w:divBdr>
        <w:top w:val="none" w:sz="0" w:space="0" w:color="auto"/>
        <w:left w:val="none" w:sz="0" w:space="0" w:color="auto"/>
        <w:bottom w:val="none" w:sz="0" w:space="0" w:color="auto"/>
        <w:right w:val="none" w:sz="0" w:space="0" w:color="auto"/>
      </w:divBdr>
    </w:div>
    <w:div w:id="90198321">
      <w:bodyDiv w:val="1"/>
      <w:marLeft w:val="0"/>
      <w:marRight w:val="0"/>
      <w:marTop w:val="0"/>
      <w:marBottom w:val="0"/>
      <w:divBdr>
        <w:top w:val="none" w:sz="0" w:space="0" w:color="auto"/>
        <w:left w:val="none" w:sz="0" w:space="0" w:color="auto"/>
        <w:bottom w:val="none" w:sz="0" w:space="0" w:color="auto"/>
        <w:right w:val="none" w:sz="0" w:space="0" w:color="auto"/>
      </w:divBdr>
    </w:div>
    <w:div w:id="90275307">
      <w:bodyDiv w:val="1"/>
      <w:marLeft w:val="0"/>
      <w:marRight w:val="0"/>
      <w:marTop w:val="0"/>
      <w:marBottom w:val="0"/>
      <w:divBdr>
        <w:top w:val="none" w:sz="0" w:space="0" w:color="auto"/>
        <w:left w:val="none" w:sz="0" w:space="0" w:color="auto"/>
        <w:bottom w:val="none" w:sz="0" w:space="0" w:color="auto"/>
        <w:right w:val="none" w:sz="0" w:space="0" w:color="auto"/>
      </w:divBdr>
    </w:div>
    <w:div w:id="90395698">
      <w:bodyDiv w:val="1"/>
      <w:marLeft w:val="0"/>
      <w:marRight w:val="0"/>
      <w:marTop w:val="0"/>
      <w:marBottom w:val="0"/>
      <w:divBdr>
        <w:top w:val="none" w:sz="0" w:space="0" w:color="auto"/>
        <w:left w:val="none" w:sz="0" w:space="0" w:color="auto"/>
        <w:bottom w:val="none" w:sz="0" w:space="0" w:color="auto"/>
        <w:right w:val="none" w:sz="0" w:space="0" w:color="auto"/>
      </w:divBdr>
    </w:div>
    <w:div w:id="90588330">
      <w:bodyDiv w:val="1"/>
      <w:marLeft w:val="0"/>
      <w:marRight w:val="0"/>
      <w:marTop w:val="0"/>
      <w:marBottom w:val="0"/>
      <w:divBdr>
        <w:top w:val="none" w:sz="0" w:space="0" w:color="auto"/>
        <w:left w:val="none" w:sz="0" w:space="0" w:color="auto"/>
        <w:bottom w:val="none" w:sz="0" w:space="0" w:color="auto"/>
        <w:right w:val="none" w:sz="0" w:space="0" w:color="auto"/>
      </w:divBdr>
    </w:div>
    <w:div w:id="90660251">
      <w:bodyDiv w:val="1"/>
      <w:marLeft w:val="0"/>
      <w:marRight w:val="0"/>
      <w:marTop w:val="0"/>
      <w:marBottom w:val="0"/>
      <w:divBdr>
        <w:top w:val="none" w:sz="0" w:space="0" w:color="auto"/>
        <w:left w:val="none" w:sz="0" w:space="0" w:color="auto"/>
        <w:bottom w:val="none" w:sz="0" w:space="0" w:color="auto"/>
        <w:right w:val="none" w:sz="0" w:space="0" w:color="auto"/>
      </w:divBdr>
    </w:div>
    <w:div w:id="90711546">
      <w:bodyDiv w:val="1"/>
      <w:marLeft w:val="0"/>
      <w:marRight w:val="0"/>
      <w:marTop w:val="0"/>
      <w:marBottom w:val="0"/>
      <w:divBdr>
        <w:top w:val="none" w:sz="0" w:space="0" w:color="auto"/>
        <w:left w:val="none" w:sz="0" w:space="0" w:color="auto"/>
        <w:bottom w:val="none" w:sz="0" w:space="0" w:color="auto"/>
        <w:right w:val="none" w:sz="0" w:space="0" w:color="auto"/>
      </w:divBdr>
    </w:div>
    <w:div w:id="91049606">
      <w:bodyDiv w:val="1"/>
      <w:marLeft w:val="0"/>
      <w:marRight w:val="0"/>
      <w:marTop w:val="0"/>
      <w:marBottom w:val="0"/>
      <w:divBdr>
        <w:top w:val="none" w:sz="0" w:space="0" w:color="auto"/>
        <w:left w:val="none" w:sz="0" w:space="0" w:color="auto"/>
        <w:bottom w:val="none" w:sz="0" w:space="0" w:color="auto"/>
        <w:right w:val="none" w:sz="0" w:space="0" w:color="auto"/>
      </w:divBdr>
    </w:div>
    <w:div w:id="92282034">
      <w:bodyDiv w:val="1"/>
      <w:marLeft w:val="0"/>
      <w:marRight w:val="0"/>
      <w:marTop w:val="0"/>
      <w:marBottom w:val="0"/>
      <w:divBdr>
        <w:top w:val="none" w:sz="0" w:space="0" w:color="auto"/>
        <w:left w:val="none" w:sz="0" w:space="0" w:color="auto"/>
        <w:bottom w:val="none" w:sz="0" w:space="0" w:color="auto"/>
        <w:right w:val="none" w:sz="0" w:space="0" w:color="auto"/>
      </w:divBdr>
    </w:div>
    <w:div w:id="92937851">
      <w:bodyDiv w:val="1"/>
      <w:marLeft w:val="0"/>
      <w:marRight w:val="0"/>
      <w:marTop w:val="0"/>
      <w:marBottom w:val="0"/>
      <w:divBdr>
        <w:top w:val="none" w:sz="0" w:space="0" w:color="auto"/>
        <w:left w:val="none" w:sz="0" w:space="0" w:color="auto"/>
        <w:bottom w:val="none" w:sz="0" w:space="0" w:color="auto"/>
        <w:right w:val="none" w:sz="0" w:space="0" w:color="auto"/>
      </w:divBdr>
    </w:div>
    <w:div w:id="94254268">
      <w:bodyDiv w:val="1"/>
      <w:marLeft w:val="0"/>
      <w:marRight w:val="0"/>
      <w:marTop w:val="0"/>
      <w:marBottom w:val="0"/>
      <w:divBdr>
        <w:top w:val="none" w:sz="0" w:space="0" w:color="auto"/>
        <w:left w:val="none" w:sz="0" w:space="0" w:color="auto"/>
        <w:bottom w:val="none" w:sz="0" w:space="0" w:color="auto"/>
        <w:right w:val="none" w:sz="0" w:space="0" w:color="auto"/>
      </w:divBdr>
    </w:div>
    <w:div w:id="95105660">
      <w:bodyDiv w:val="1"/>
      <w:marLeft w:val="0"/>
      <w:marRight w:val="0"/>
      <w:marTop w:val="0"/>
      <w:marBottom w:val="0"/>
      <w:divBdr>
        <w:top w:val="none" w:sz="0" w:space="0" w:color="auto"/>
        <w:left w:val="none" w:sz="0" w:space="0" w:color="auto"/>
        <w:bottom w:val="none" w:sz="0" w:space="0" w:color="auto"/>
        <w:right w:val="none" w:sz="0" w:space="0" w:color="auto"/>
      </w:divBdr>
    </w:div>
    <w:div w:id="96609901">
      <w:bodyDiv w:val="1"/>
      <w:marLeft w:val="0"/>
      <w:marRight w:val="0"/>
      <w:marTop w:val="0"/>
      <w:marBottom w:val="0"/>
      <w:divBdr>
        <w:top w:val="none" w:sz="0" w:space="0" w:color="auto"/>
        <w:left w:val="none" w:sz="0" w:space="0" w:color="auto"/>
        <w:bottom w:val="none" w:sz="0" w:space="0" w:color="auto"/>
        <w:right w:val="none" w:sz="0" w:space="0" w:color="auto"/>
      </w:divBdr>
    </w:div>
    <w:div w:id="97146229">
      <w:bodyDiv w:val="1"/>
      <w:marLeft w:val="0"/>
      <w:marRight w:val="0"/>
      <w:marTop w:val="0"/>
      <w:marBottom w:val="0"/>
      <w:divBdr>
        <w:top w:val="none" w:sz="0" w:space="0" w:color="auto"/>
        <w:left w:val="none" w:sz="0" w:space="0" w:color="auto"/>
        <w:bottom w:val="none" w:sz="0" w:space="0" w:color="auto"/>
        <w:right w:val="none" w:sz="0" w:space="0" w:color="auto"/>
      </w:divBdr>
    </w:div>
    <w:div w:id="98642168">
      <w:bodyDiv w:val="1"/>
      <w:marLeft w:val="0"/>
      <w:marRight w:val="0"/>
      <w:marTop w:val="0"/>
      <w:marBottom w:val="0"/>
      <w:divBdr>
        <w:top w:val="none" w:sz="0" w:space="0" w:color="auto"/>
        <w:left w:val="none" w:sz="0" w:space="0" w:color="auto"/>
        <w:bottom w:val="none" w:sz="0" w:space="0" w:color="auto"/>
        <w:right w:val="none" w:sz="0" w:space="0" w:color="auto"/>
      </w:divBdr>
    </w:div>
    <w:div w:id="99299027">
      <w:bodyDiv w:val="1"/>
      <w:marLeft w:val="0"/>
      <w:marRight w:val="0"/>
      <w:marTop w:val="0"/>
      <w:marBottom w:val="0"/>
      <w:divBdr>
        <w:top w:val="none" w:sz="0" w:space="0" w:color="auto"/>
        <w:left w:val="none" w:sz="0" w:space="0" w:color="auto"/>
        <w:bottom w:val="none" w:sz="0" w:space="0" w:color="auto"/>
        <w:right w:val="none" w:sz="0" w:space="0" w:color="auto"/>
      </w:divBdr>
    </w:div>
    <w:div w:id="99377329">
      <w:bodyDiv w:val="1"/>
      <w:marLeft w:val="0"/>
      <w:marRight w:val="0"/>
      <w:marTop w:val="0"/>
      <w:marBottom w:val="0"/>
      <w:divBdr>
        <w:top w:val="none" w:sz="0" w:space="0" w:color="auto"/>
        <w:left w:val="none" w:sz="0" w:space="0" w:color="auto"/>
        <w:bottom w:val="none" w:sz="0" w:space="0" w:color="auto"/>
        <w:right w:val="none" w:sz="0" w:space="0" w:color="auto"/>
      </w:divBdr>
    </w:div>
    <w:div w:id="99763032">
      <w:bodyDiv w:val="1"/>
      <w:marLeft w:val="0"/>
      <w:marRight w:val="0"/>
      <w:marTop w:val="0"/>
      <w:marBottom w:val="0"/>
      <w:divBdr>
        <w:top w:val="none" w:sz="0" w:space="0" w:color="auto"/>
        <w:left w:val="none" w:sz="0" w:space="0" w:color="auto"/>
        <w:bottom w:val="none" w:sz="0" w:space="0" w:color="auto"/>
        <w:right w:val="none" w:sz="0" w:space="0" w:color="auto"/>
      </w:divBdr>
    </w:div>
    <w:div w:id="101459687">
      <w:bodyDiv w:val="1"/>
      <w:marLeft w:val="0"/>
      <w:marRight w:val="0"/>
      <w:marTop w:val="0"/>
      <w:marBottom w:val="0"/>
      <w:divBdr>
        <w:top w:val="none" w:sz="0" w:space="0" w:color="auto"/>
        <w:left w:val="none" w:sz="0" w:space="0" w:color="auto"/>
        <w:bottom w:val="none" w:sz="0" w:space="0" w:color="auto"/>
        <w:right w:val="none" w:sz="0" w:space="0" w:color="auto"/>
      </w:divBdr>
    </w:div>
    <w:div w:id="101539040">
      <w:bodyDiv w:val="1"/>
      <w:marLeft w:val="0"/>
      <w:marRight w:val="0"/>
      <w:marTop w:val="0"/>
      <w:marBottom w:val="0"/>
      <w:divBdr>
        <w:top w:val="none" w:sz="0" w:space="0" w:color="auto"/>
        <w:left w:val="none" w:sz="0" w:space="0" w:color="auto"/>
        <w:bottom w:val="none" w:sz="0" w:space="0" w:color="auto"/>
        <w:right w:val="none" w:sz="0" w:space="0" w:color="auto"/>
      </w:divBdr>
    </w:div>
    <w:div w:id="102194275">
      <w:bodyDiv w:val="1"/>
      <w:marLeft w:val="0"/>
      <w:marRight w:val="0"/>
      <w:marTop w:val="0"/>
      <w:marBottom w:val="0"/>
      <w:divBdr>
        <w:top w:val="none" w:sz="0" w:space="0" w:color="auto"/>
        <w:left w:val="none" w:sz="0" w:space="0" w:color="auto"/>
        <w:bottom w:val="none" w:sz="0" w:space="0" w:color="auto"/>
        <w:right w:val="none" w:sz="0" w:space="0" w:color="auto"/>
      </w:divBdr>
    </w:div>
    <w:div w:id="102726944">
      <w:bodyDiv w:val="1"/>
      <w:marLeft w:val="0"/>
      <w:marRight w:val="0"/>
      <w:marTop w:val="0"/>
      <w:marBottom w:val="0"/>
      <w:divBdr>
        <w:top w:val="none" w:sz="0" w:space="0" w:color="auto"/>
        <w:left w:val="none" w:sz="0" w:space="0" w:color="auto"/>
        <w:bottom w:val="none" w:sz="0" w:space="0" w:color="auto"/>
        <w:right w:val="none" w:sz="0" w:space="0" w:color="auto"/>
      </w:divBdr>
    </w:div>
    <w:div w:id="104882761">
      <w:bodyDiv w:val="1"/>
      <w:marLeft w:val="0"/>
      <w:marRight w:val="0"/>
      <w:marTop w:val="0"/>
      <w:marBottom w:val="0"/>
      <w:divBdr>
        <w:top w:val="none" w:sz="0" w:space="0" w:color="auto"/>
        <w:left w:val="none" w:sz="0" w:space="0" w:color="auto"/>
        <w:bottom w:val="none" w:sz="0" w:space="0" w:color="auto"/>
        <w:right w:val="none" w:sz="0" w:space="0" w:color="auto"/>
      </w:divBdr>
    </w:div>
    <w:div w:id="105195226">
      <w:bodyDiv w:val="1"/>
      <w:marLeft w:val="0"/>
      <w:marRight w:val="0"/>
      <w:marTop w:val="0"/>
      <w:marBottom w:val="0"/>
      <w:divBdr>
        <w:top w:val="none" w:sz="0" w:space="0" w:color="auto"/>
        <w:left w:val="none" w:sz="0" w:space="0" w:color="auto"/>
        <w:bottom w:val="none" w:sz="0" w:space="0" w:color="auto"/>
        <w:right w:val="none" w:sz="0" w:space="0" w:color="auto"/>
      </w:divBdr>
    </w:div>
    <w:div w:id="105346470">
      <w:bodyDiv w:val="1"/>
      <w:marLeft w:val="0"/>
      <w:marRight w:val="0"/>
      <w:marTop w:val="0"/>
      <w:marBottom w:val="0"/>
      <w:divBdr>
        <w:top w:val="none" w:sz="0" w:space="0" w:color="auto"/>
        <w:left w:val="none" w:sz="0" w:space="0" w:color="auto"/>
        <w:bottom w:val="none" w:sz="0" w:space="0" w:color="auto"/>
        <w:right w:val="none" w:sz="0" w:space="0" w:color="auto"/>
      </w:divBdr>
    </w:div>
    <w:div w:id="106312780">
      <w:bodyDiv w:val="1"/>
      <w:marLeft w:val="0"/>
      <w:marRight w:val="0"/>
      <w:marTop w:val="0"/>
      <w:marBottom w:val="0"/>
      <w:divBdr>
        <w:top w:val="none" w:sz="0" w:space="0" w:color="auto"/>
        <w:left w:val="none" w:sz="0" w:space="0" w:color="auto"/>
        <w:bottom w:val="none" w:sz="0" w:space="0" w:color="auto"/>
        <w:right w:val="none" w:sz="0" w:space="0" w:color="auto"/>
      </w:divBdr>
    </w:div>
    <w:div w:id="106773294">
      <w:bodyDiv w:val="1"/>
      <w:marLeft w:val="0"/>
      <w:marRight w:val="0"/>
      <w:marTop w:val="0"/>
      <w:marBottom w:val="0"/>
      <w:divBdr>
        <w:top w:val="none" w:sz="0" w:space="0" w:color="auto"/>
        <w:left w:val="none" w:sz="0" w:space="0" w:color="auto"/>
        <w:bottom w:val="none" w:sz="0" w:space="0" w:color="auto"/>
        <w:right w:val="none" w:sz="0" w:space="0" w:color="auto"/>
      </w:divBdr>
    </w:div>
    <w:div w:id="106892732">
      <w:bodyDiv w:val="1"/>
      <w:marLeft w:val="0"/>
      <w:marRight w:val="0"/>
      <w:marTop w:val="0"/>
      <w:marBottom w:val="0"/>
      <w:divBdr>
        <w:top w:val="none" w:sz="0" w:space="0" w:color="auto"/>
        <w:left w:val="none" w:sz="0" w:space="0" w:color="auto"/>
        <w:bottom w:val="none" w:sz="0" w:space="0" w:color="auto"/>
        <w:right w:val="none" w:sz="0" w:space="0" w:color="auto"/>
      </w:divBdr>
    </w:div>
    <w:div w:id="107045602">
      <w:bodyDiv w:val="1"/>
      <w:marLeft w:val="0"/>
      <w:marRight w:val="0"/>
      <w:marTop w:val="0"/>
      <w:marBottom w:val="0"/>
      <w:divBdr>
        <w:top w:val="none" w:sz="0" w:space="0" w:color="auto"/>
        <w:left w:val="none" w:sz="0" w:space="0" w:color="auto"/>
        <w:bottom w:val="none" w:sz="0" w:space="0" w:color="auto"/>
        <w:right w:val="none" w:sz="0" w:space="0" w:color="auto"/>
      </w:divBdr>
    </w:div>
    <w:div w:id="107160618">
      <w:bodyDiv w:val="1"/>
      <w:marLeft w:val="0"/>
      <w:marRight w:val="0"/>
      <w:marTop w:val="0"/>
      <w:marBottom w:val="0"/>
      <w:divBdr>
        <w:top w:val="none" w:sz="0" w:space="0" w:color="auto"/>
        <w:left w:val="none" w:sz="0" w:space="0" w:color="auto"/>
        <w:bottom w:val="none" w:sz="0" w:space="0" w:color="auto"/>
        <w:right w:val="none" w:sz="0" w:space="0" w:color="auto"/>
      </w:divBdr>
    </w:div>
    <w:div w:id="107167801">
      <w:bodyDiv w:val="1"/>
      <w:marLeft w:val="0"/>
      <w:marRight w:val="0"/>
      <w:marTop w:val="0"/>
      <w:marBottom w:val="0"/>
      <w:divBdr>
        <w:top w:val="none" w:sz="0" w:space="0" w:color="auto"/>
        <w:left w:val="none" w:sz="0" w:space="0" w:color="auto"/>
        <w:bottom w:val="none" w:sz="0" w:space="0" w:color="auto"/>
        <w:right w:val="none" w:sz="0" w:space="0" w:color="auto"/>
      </w:divBdr>
    </w:div>
    <w:div w:id="108740013">
      <w:bodyDiv w:val="1"/>
      <w:marLeft w:val="0"/>
      <w:marRight w:val="0"/>
      <w:marTop w:val="0"/>
      <w:marBottom w:val="0"/>
      <w:divBdr>
        <w:top w:val="none" w:sz="0" w:space="0" w:color="auto"/>
        <w:left w:val="none" w:sz="0" w:space="0" w:color="auto"/>
        <w:bottom w:val="none" w:sz="0" w:space="0" w:color="auto"/>
        <w:right w:val="none" w:sz="0" w:space="0" w:color="auto"/>
      </w:divBdr>
    </w:div>
    <w:div w:id="108741639">
      <w:bodyDiv w:val="1"/>
      <w:marLeft w:val="0"/>
      <w:marRight w:val="0"/>
      <w:marTop w:val="0"/>
      <w:marBottom w:val="0"/>
      <w:divBdr>
        <w:top w:val="none" w:sz="0" w:space="0" w:color="auto"/>
        <w:left w:val="none" w:sz="0" w:space="0" w:color="auto"/>
        <w:bottom w:val="none" w:sz="0" w:space="0" w:color="auto"/>
        <w:right w:val="none" w:sz="0" w:space="0" w:color="auto"/>
      </w:divBdr>
    </w:div>
    <w:div w:id="108817616">
      <w:bodyDiv w:val="1"/>
      <w:marLeft w:val="0"/>
      <w:marRight w:val="0"/>
      <w:marTop w:val="0"/>
      <w:marBottom w:val="0"/>
      <w:divBdr>
        <w:top w:val="none" w:sz="0" w:space="0" w:color="auto"/>
        <w:left w:val="none" w:sz="0" w:space="0" w:color="auto"/>
        <w:bottom w:val="none" w:sz="0" w:space="0" w:color="auto"/>
        <w:right w:val="none" w:sz="0" w:space="0" w:color="auto"/>
      </w:divBdr>
    </w:div>
    <w:div w:id="109933705">
      <w:bodyDiv w:val="1"/>
      <w:marLeft w:val="0"/>
      <w:marRight w:val="0"/>
      <w:marTop w:val="0"/>
      <w:marBottom w:val="0"/>
      <w:divBdr>
        <w:top w:val="none" w:sz="0" w:space="0" w:color="auto"/>
        <w:left w:val="none" w:sz="0" w:space="0" w:color="auto"/>
        <w:bottom w:val="none" w:sz="0" w:space="0" w:color="auto"/>
        <w:right w:val="none" w:sz="0" w:space="0" w:color="auto"/>
      </w:divBdr>
    </w:div>
    <w:div w:id="110133150">
      <w:bodyDiv w:val="1"/>
      <w:marLeft w:val="0"/>
      <w:marRight w:val="0"/>
      <w:marTop w:val="0"/>
      <w:marBottom w:val="0"/>
      <w:divBdr>
        <w:top w:val="none" w:sz="0" w:space="0" w:color="auto"/>
        <w:left w:val="none" w:sz="0" w:space="0" w:color="auto"/>
        <w:bottom w:val="none" w:sz="0" w:space="0" w:color="auto"/>
        <w:right w:val="none" w:sz="0" w:space="0" w:color="auto"/>
      </w:divBdr>
    </w:div>
    <w:div w:id="113596013">
      <w:bodyDiv w:val="1"/>
      <w:marLeft w:val="0"/>
      <w:marRight w:val="0"/>
      <w:marTop w:val="0"/>
      <w:marBottom w:val="0"/>
      <w:divBdr>
        <w:top w:val="none" w:sz="0" w:space="0" w:color="auto"/>
        <w:left w:val="none" w:sz="0" w:space="0" w:color="auto"/>
        <w:bottom w:val="none" w:sz="0" w:space="0" w:color="auto"/>
        <w:right w:val="none" w:sz="0" w:space="0" w:color="auto"/>
      </w:divBdr>
    </w:div>
    <w:div w:id="113717493">
      <w:bodyDiv w:val="1"/>
      <w:marLeft w:val="0"/>
      <w:marRight w:val="0"/>
      <w:marTop w:val="0"/>
      <w:marBottom w:val="0"/>
      <w:divBdr>
        <w:top w:val="none" w:sz="0" w:space="0" w:color="auto"/>
        <w:left w:val="none" w:sz="0" w:space="0" w:color="auto"/>
        <w:bottom w:val="none" w:sz="0" w:space="0" w:color="auto"/>
        <w:right w:val="none" w:sz="0" w:space="0" w:color="auto"/>
      </w:divBdr>
    </w:div>
    <w:div w:id="113914528">
      <w:bodyDiv w:val="1"/>
      <w:marLeft w:val="0"/>
      <w:marRight w:val="0"/>
      <w:marTop w:val="0"/>
      <w:marBottom w:val="0"/>
      <w:divBdr>
        <w:top w:val="none" w:sz="0" w:space="0" w:color="auto"/>
        <w:left w:val="none" w:sz="0" w:space="0" w:color="auto"/>
        <w:bottom w:val="none" w:sz="0" w:space="0" w:color="auto"/>
        <w:right w:val="none" w:sz="0" w:space="0" w:color="auto"/>
      </w:divBdr>
    </w:div>
    <w:div w:id="114637335">
      <w:bodyDiv w:val="1"/>
      <w:marLeft w:val="0"/>
      <w:marRight w:val="0"/>
      <w:marTop w:val="0"/>
      <w:marBottom w:val="0"/>
      <w:divBdr>
        <w:top w:val="none" w:sz="0" w:space="0" w:color="auto"/>
        <w:left w:val="none" w:sz="0" w:space="0" w:color="auto"/>
        <w:bottom w:val="none" w:sz="0" w:space="0" w:color="auto"/>
        <w:right w:val="none" w:sz="0" w:space="0" w:color="auto"/>
      </w:divBdr>
    </w:div>
    <w:div w:id="114712208">
      <w:bodyDiv w:val="1"/>
      <w:marLeft w:val="0"/>
      <w:marRight w:val="0"/>
      <w:marTop w:val="0"/>
      <w:marBottom w:val="0"/>
      <w:divBdr>
        <w:top w:val="none" w:sz="0" w:space="0" w:color="auto"/>
        <w:left w:val="none" w:sz="0" w:space="0" w:color="auto"/>
        <w:bottom w:val="none" w:sz="0" w:space="0" w:color="auto"/>
        <w:right w:val="none" w:sz="0" w:space="0" w:color="auto"/>
      </w:divBdr>
    </w:div>
    <w:div w:id="115566045">
      <w:bodyDiv w:val="1"/>
      <w:marLeft w:val="0"/>
      <w:marRight w:val="0"/>
      <w:marTop w:val="0"/>
      <w:marBottom w:val="0"/>
      <w:divBdr>
        <w:top w:val="none" w:sz="0" w:space="0" w:color="auto"/>
        <w:left w:val="none" w:sz="0" w:space="0" w:color="auto"/>
        <w:bottom w:val="none" w:sz="0" w:space="0" w:color="auto"/>
        <w:right w:val="none" w:sz="0" w:space="0" w:color="auto"/>
      </w:divBdr>
    </w:div>
    <w:div w:id="116141147">
      <w:bodyDiv w:val="1"/>
      <w:marLeft w:val="0"/>
      <w:marRight w:val="0"/>
      <w:marTop w:val="0"/>
      <w:marBottom w:val="0"/>
      <w:divBdr>
        <w:top w:val="none" w:sz="0" w:space="0" w:color="auto"/>
        <w:left w:val="none" w:sz="0" w:space="0" w:color="auto"/>
        <w:bottom w:val="none" w:sz="0" w:space="0" w:color="auto"/>
        <w:right w:val="none" w:sz="0" w:space="0" w:color="auto"/>
      </w:divBdr>
    </w:div>
    <w:div w:id="116340592">
      <w:bodyDiv w:val="1"/>
      <w:marLeft w:val="0"/>
      <w:marRight w:val="0"/>
      <w:marTop w:val="0"/>
      <w:marBottom w:val="0"/>
      <w:divBdr>
        <w:top w:val="none" w:sz="0" w:space="0" w:color="auto"/>
        <w:left w:val="none" w:sz="0" w:space="0" w:color="auto"/>
        <w:bottom w:val="none" w:sz="0" w:space="0" w:color="auto"/>
        <w:right w:val="none" w:sz="0" w:space="0" w:color="auto"/>
      </w:divBdr>
    </w:div>
    <w:div w:id="117797098">
      <w:bodyDiv w:val="1"/>
      <w:marLeft w:val="0"/>
      <w:marRight w:val="0"/>
      <w:marTop w:val="0"/>
      <w:marBottom w:val="0"/>
      <w:divBdr>
        <w:top w:val="none" w:sz="0" w:space="0" w:color="auto"/>
        <w:left w:val="none" w:sz="0" w:space="0" w:color="auto"/>
        <w:bottom w:val="none" w:sz="0" w:space="0" w:color="auto"/>
        <w:right w:val="none" w:sz="0" w:space="0" w:color="auto"/>
      </w:divBdr>
    </w:div>
    <w:div w:id="118230932">
      <w:bodyDiv w:val="1"/>
      <w:marLeft w:val="0"/>
      <w:marRight w:val="0"/>
      <w:marTop w:val="0"/>
      <w:marBottom w:val="0"/>
      <w:divBdr>
        <w:top w:val="none" w:sz="0" w:space="0" w:color="auto"/>
        <w:left w:val="none" w:sz="0" w:space="0" w:color="auto"/>
        <w:bottom w:val="none" w:sz="0" w:space="0" w:color="auto"/>
        <w:right w:val="none" w:sz="0" w:space="0" w:color="auto"/>
      </w:divBdr>
    </w:div>
    <w:div w:id="121578750">
      <w:bodyDiv w:val="1"/>
      <w:marLeft w:val="0"/>
      <w:marRight w:val="0"/>
      <w:marTop w:val="0"/>
      <w:marBottom w:val="0"/>
      <w:divBdr>
        <w:top w:val="none" w:sz="0" w:space="0" w:color="auto"/>
        <w:left w:val="none" w:sz="0" w:space="0" w:color="auto"/>
        <w:bottom w:val="none" w:sz="0" w:space="0" w:color="auto"/>
        <w:right w:val="none" w:sz="0" w:space="0" w:color="auto"/>
      </w:divBdr>
    </w:div>
    <w:div w:id="121924627">
      <w:bodyDiv w:val="1"/>
      <w:marLeft w:val="0"/>
      <w:marRight w:val="0"/>
      <w:marTop w:val="0"/>
      <w:marBottom w:val="0"/>
      <w:divBdr>
        <w:top w:val="none" w:sz="0" w:space="0" w:color="auto"/>
        <w:left w:val="none" w:sz="0" w:space="0" w:color="auto"/>
        <w:bottom w:val="none" w:sz="0" w:space="0" w:color="auto"/>
        <w:right w:val="none" w:sz="0" w:space="0" w:color="auto"/>
      </w:divBdr>
    </w:div>
    <w:div w:id="122430126">
      <w:bodyDiv w:val="1"/>
      <w:marLeft w:val="0"/>
      <w:marRight w:val="0"/>
      <w:marTop w:val="0"/>
      <w:marBottom w:val="0"/>
      <w:divBdr>
        <w:top w:val="none" w:sz="0" w:space="0" w:color="auto"/>
        <w:left w:val="none" w:sz="0" w:space="0" w:color="auto"/>
        <w:bottom w:val="none" w:sz="0" w:space="0" w:color="auto"/>
        <w:right w:val="none" w:sz="0" w:space="0" w:color="auto"/>
      </w:divBdr>
    </w:div>
    <w:div w:id="122583137">
      <w:bodyDiv w:val="1"/>
      <w:marLeft w:val="0"/>
      <w:marRight w:val="0"/>
      <w:marTop w:val="0"/>
      <w:marBottom w:val="0"/>
      <w:divBdr>
        <w:top w:val="none" w:sz="0" w:space="0" w:color="auto"/>
        <w:left w:val="none" w:sz="0" w:space="0" w:color="auto"/>
        <w:bottom w:val="none" w:sz="0" w:space="0" w:color="auto"/>
        <w:right w:val="none" w:sz="0" w:space="0" w:color="auto"/>
      </w:divBdr>
    </w:div>
    <w:div w:id="123079916">
      <w:bodyDiv w:val="1"/>
      <w:marLeft w:val="0"/>
      <w:marRight w:val="0"/>
      <w:marTop w:val="0"/>
      <w:marBottom w:val="0"/>
      <w:divBdr>
        <w:top w:val="none" w:sz="0" w:space="0" w:color="auto"/>
        <w:left w:val="none" w:sz="0" w:space="0" w:color="auto"/>
        <w:bottom w:val="none" w:sz="0" w:space="0" w:color="auto"/>
        <w:right w:val="none" w:sz="0" w:space="0" w:color="auto"/>
      </w:divBdr>
    </w:div>
    <w:div w:id="123163868">
      <w:bodyDiv w:val="1"/>
      <w:marLeft w:val="0"/>
      <w:marRight w:val="0"/>
      <w:marTop w:val="0"/>
      <w:marBottom w:val="0"/>
      <w:divBdr>
        <w:top w:val="none" w:sz="0" w:space="0" w:color="auto"/>
        <w:left w:val="none" w:sz="0" w:space="0" w:color="auto"/>
        <w:bottom w:val="none" w:sz="0" w:space="0" w:color="auto"/>
        <w:right w:val="none" w:sz="0" w:space="0" w:color="auto"/>
      </w:divBdr>
    </w:div>
    <w:div w:id="123473472">
      <w:bodyDiv w:val="1"/>
      <w:marLeft w:val="0"/>
      <w:marRight w:val="0"/>
      <w:marTop w:val="0"/>
      <w:marBottom w:val="0"/>
      <w:divBdr>
        <w:top w:val="none" w:sz="0" w:space="0" w:color="auto"/>
        <w:left w:val="none" w:sz="0" w:space="0" w:color="auto"/>
        <w:bottom w:val="none" w:sz="0" w:space="0" w:color="auto"/>
        <w:right w:val="none" w:sz="0" w:space="0" w:color="auto"/>
      </w:divBdr>
    </w:div>
    <w:div w:id="123740777">
      <w:bodyDiv w:val="1"/>
      <w:marLeft w:val="0"/>
      <w:marRight w:val="0"/>
      <w:marTop w:val="0"/>
      <w:marBottom w:val="0"/>
      <w:divBdr>
        <w:top w:val="none" w:sz="0" w:space="0" w:color="auto"/>
        <w:left w:val="none" w:sz="0" w:space="0" w:color="auto"/>
        <w:bottom w:val="none" w:sz="0" w:space="0" w:color="auto"/>
        <w:right w:val="none" w:sz="0" w:space="0" w:color="auto"/>
      </w:divBdr>
    </w:div>
    <w:div w:id="123816761">
      <w:bodyDiv w:val="1"/>
      <w:marLeft w:val="0"/>
      <w:marRight w:val="0"/>
      <w:marTop w:val="0"/>
      <w:marBottom w:val="0"/>
      <w:divBdr>
        <w:top w:val="none" w:sz="0" w:space="0" w:color="auto"/>
        <w:left w:val="none" w:sz="0" w:space="0" w:color="auto"/>
        <w:bottom w:val="none" w:sz="0" w:space="0" w:color="auto"/>
        <w:right w:val="none" w:sz="0" w:space="0" w:color="auto"/>
      </w:divBdr>
    </w:div>
    <w:div w:id="124547778">
      <w:bodyDiv w:val="1"/>
      <w:marLeft w:val="0"/>
      <w:marRight w:val="0"/>
      <w:marTop w:val="0"/>
      <w:marBottom w:val="0"/>
      <w:divBdr>
        <w:top w:val="none" w:sz="0" w:space="0" w:color="auto"/>
        <w:left w:val="none" w:sz="0" w:space="0" w:color="auto"/>
        <w:bottom w:val="none" w:sz="0" w:space="0" w:color="auto"/>
        <w:right w:val="none" w:sz="0" w:space="0" w:color="auto"/>
      </w:divBdr>
    </w:div>
    <w:div w:id="124585827">
      <w:bodyDiv w:val="1"/>
      <w:marLeft w:val="0"/>
      <w:marRight w:val="0"/>
      <w:marTop w:val="0"/>
      <w:marBottom w:val="0"/>
      <w:divBdr>
        <w:top w:val="none" w:sz="0" w:space="0" w:color="auto"/>
        <w:left w:val="none" w:sz="0" w:space="0" w:color="auto"/>
        <w:bottom w:val="none" w:sz="0" w:space="0" w:color="auto"/>
        <w:right w:val="none" w:sz="0" w:space="0" w:color="auto"/>
      </w:divBdr>
    </w:div>
    <w:div w:id="126628544">
      <w:bodyDiv w:val="1"/>
      <w:marLeft w:val="0"/>
      <w:marRight w:val="0"/>
      <w:marTop w:val="0"/>
      <w:marBottom w:val="0"/>
      <w:divBdr>
        <w:top w:val="none" w:sz="0" w:space="0" w:color="auto"/>
        <w:left w:val="none" w:sz="0" w:space="0" w:color="auto"/>
        <w:bottom w:val="none" w:sz="0" w:space="0" w:color="auto"/>
        <w:right w:val="none" w:sz="0" w:space="0" w:color="auto"/>
      </w:divBdr>
    </w:div>
    <w:div w:id="127162416">
      <w:bodyDiv w:val="1"/>
      <w:marLeft w:val="0"/>
      <w:marRight w:val="0"/>
      <w:marTop w:val="0"/>
      <w:marBottom w:val="0"/>
      <w:divBdr>
        <w:top w:val="none" w:sz="0" w:space="0" w:color="auto"/>
        <w:left w:val="none" w:sz="0" w:space="0" w:color="auto"/>
        <w:bottom w:val="none" w:sz="0" w:space="0" w:color="auto"/>
        <w:right w:val="none" w:sz="0" w:space="0" w:color="auto"/>
      </w:divBdr>
    </w:div>
    <w:div w:id="127669033">
      <w:bodyDiv w:val="1"/>
      <w:marLeft w:val="0"/>
      <w:marRight w:val="0"/>
      <w:marTop w:val="0"/>
      <w:marBottom w:val="0"/>
      <w:divBdr>
        <w:top w:val="none" w:sz="0" w:space="0" w:color="auto"/>
        <w:left w:val="none" w:sz="0" w:space="0" w:color="auto"/>
        <w:bottom w:val="none" w:sz="0" w:space="0" w:color="auto"/>
        <w:right w:val="none" w:sz="0" w:space="0" w:color="auto"/>
      </w:divBdr>
    </w:div>
    <w:div w:id="129833145">
      <w:bodyDiv w:val="1"/>
      <w:marLeft w:val="0"/>
      <w:marRight w:val="0"/>
      <w:marTop w:val="0"/>
      <w:marBottom w:val="0"/>
      <w:divBdr>
        <w:top w:val="none" w:sz="0" w:space="0" w:color="auto"/>
        <w:left w:val="none" w:sz="0" w:space="0" w:color="auto"/>
        <w:bottom w:val="none" w:sz="0" w:space="0" w:color="auto"/>
        <w:right w:val="none" w:sz="0" w:space="0" w:color="auto"/>
      </w:divBdr>
    </w:div>
    <w:div w:id="133766929">
      <w:bodyDiv w:val="1"/>
      <w:marLeft w:val="0"/>
      <w:marRight w:val="0"/>
      <w:marTop w:val="0"/>
      <w:marBottom w:val="0"/>
      <w:divBdr>
        <w:top w:val="none" w:sz="0" w:space="0" w:color="auto"/>
        <w:left w:val="none" w:sz="0" w:space="0" w:color="auto"/>
        <w:bottom w:val="none" w:sz="0" w:space="0" w:color="auto"/>
        <w:right w:val="none" w:sz="0" w:space="0" w:color="auto"/>
      </w:divBdr>
    </w:div>
    <w:div w:id="133791281">
      <w:bodyDiv w:val="1"/>
      <w:marLeft w:val="0"/>
      <w:marRight w:val="0"/>
      <w:marTop w:val="0"/>
      <w:marBottom w:val="0"/>
      <w:divBdr>
        <w:top w:val="none" w:sz="0" w:space="0" w:color="auto"/>
        <w:left w:val="none" w:sz="0" w:space="0" w:color="auto"/>
        <w:bottom w:val="none" w:sz="0" w:space="0" w:color="auto"/>
        <w:right w:val="none" w:sz="0" w:space="0" w:color="auto"/>
      </w:divBdr>
    </w:div>
    <w:div w:id="133834397">
      <w:bodyDiv w:val="1"/>
      <w:marLeft w:val="0"/>
      <w:marRight w:val="0"/>
      <w:marTop w:val="0"/>
      <w:marBottom w:val="0"/>
      <w:divBdr>
        <w:top w:val="none" w:sz="0" w:space="0" w:color="auto"/>
        <w:left w:val="none" w:sz="0" w:space="0" w:color="auto"/>
        <w:bottom w:val="none" w:sz="0" w:space="0" w:color="auto"/>
        <w:right w:val="none" w:sz="0" w:space="0" w:color="auto"/>
      </w:divBdr>
    </w:div>
    <w:div w:id="134682009">
      <w:bodyDiv w:val="1"/>
      <w:marLeft w:val="0"/>
      <w:marRight w:val="0"/>
      <w:marTop w:val="0"/>
      <w:marBottom w:val="0"/>
      <w:divBdr>
        <w:top w:val="none" w:sz="0" w:space="0" w:color="auto"/>
        <w:left w:val="none" w:sz="0" w:space="0" w:color="auto"/>
        <w:bottom w:val="none" w:sz="0" w:space="0" w:color="auto"/>
        <w:right w:val="none" w:sz="0" w:space="0" w:color="auto"/>
      </w:divBdr>
    </w:div>
    <w:div w:id="135028314">
      <w:bodyDiv w:val="1"/>
      <w:marLeft w:val="0"/>
      <w:marRight w:val="0"/>
      <w:marTop w:val="0"/>
      <w:marBottom w:val="0"/>
      <w:divBdr>
        <w:top w:val="none" w:sz="0" w:space="0" w:color="auto"/>
        <w:left w:val="none" w:sz="0" w:space="0" w:color="auto"/>
        <w:bottom w:val="none" w:sz="0" w:space="0" w:color="auto"/>
        <w:right w:val="none" w:sz="0" w:space="0" w:color="auto"/>
      </w:divBdr>
    </w:div>
    <w:div w:id="135996545">
      <w:bodyDiv w:val="1"/>
      <w:marLeft w:val="0"/>
      <w:marRight w:val="0"/>
      <w:marTop w:val="0"/>
      <w:marBottom w:val="0"/>
      <w:divBdr>
        <w:top w:val="none" w:sz="0" w:space="0" w:color="auto"/>
        <w:left w:val="none" w:sz="0" w:space="0" w:color="auto"/>
        <w:bottom w:val="none" w:sz="0" w:space="0" w:color="auto"/>
        <w:right w:val="none" w:sz="0" w:space="0" w:color="auto"/>
      </w:divBdr>
    </w:div>
    <w:div w:id="137576586">
      <w:bodyDiv w:val="1"/>
      <w:marLeft w:val="0"/>
      <w:marRight w:val="0"/>
      <w:marTop w:val="0"/>
      <w:marBottom w:val="0"/>
      <w:divBdr>
        <w:top w:val="none" w:sz="0" w:space="0" w:color="auto"/>
        <w:left w:val="none" w:sz="0" w:space="0" w:color="auto"/>
        <w:bottom w:val="none" w:sz="0" w:space="0" w:color="auto"/>
        <w:right w:val="none" w:sz="0" w:space="0" w:color="auto"/>
      </w:divBdr>
    </w:div>
    <w:div w:id="138307944">
      <w:bodyDiv w:val="1"/>
      <w:marLeft w:val="0"/>
      <w:marRight w:val="0"/>
      <w:marTop w:val="0"/>
      <w:marBottom w:val="0"/>
      <w:divBdr>
        <w:top w:val="none" w:sz="0" w:space="0" w:color="auto"/>
        <w:left w:val="none" w:sz="0" w:space="0" w:color="auto"/>
        <w:bottom w:val="none" w:sz="0" w:space="0" w:color="auto"/>
        <w:right w:val="none" w:sz="0" w:space="0" w:color="auto"/>
      </w:divBdr>
    </w:div>
    <w:div w:id="138574755">
      <w:bodyDiv w:val="1"/>
      <w:marLeft w:val="0"/>
      <w:marRight w:val="0"/>
      <w:marTop w:val="0"/>
      <w:marBottom w:val="0"/>
      <w:divBdr>
        <w:top w:val="none" w:sz="0" w:space="0" w:color="auto"/>
        <w:left w:val="none" w:sz="0" w:space="0" w:color="auto"/>
        <w:bottom w:val="none" w:sz="0" w:space="0" w:color="auto"/>
        <w:right w:val="none" w:sz="0" w:space="0" w:color="auto"/>
      </w:divBdr>
    </w:div>
    <w:div w:id="138886901">
      <w:bodyDiv w:val="1"/>
      <w:marLeft w:val="0"/>
      <w:marRight w:val="0"/>
      <w:marTop w:val="0"/>
      <w:marBottom w:val="0"/>
      <w:divBdr>
        <w:top w:val="none" w:sz="0" w:space="0" w:color="auto"/>
        <w:left w:val="none" w:sz="0" w:space="0" w:color="auto"/>
        <w:bottom w:val="none" w:sz="0" w:space="0" w:color="auto"/>
        <w:right w:val="none" w:sz="0" w:space="0" w:color="auto"/>
      </w:divBdr>
    </w:div>
    <w:div w:id="139614619">
      <w:bodyDiv w:val="1"/>
      <w:marLeft w:val="0"/>
      <w:marRight w:val="0"/>
      <w:marTop w:val="0"/>
      <w:marBottom w:val="0"/>
      <w:divBdr>
        <w:top w:val="none" w:sz="0" w:space="0" w:color="auto"/>
        <w:left w:val="none" w:sz="0" w:space="0" w:color="auto"/>
        <w:bottom w:val="none" w:sz="0" w:space="0" w:color="auto"/>
        <w:right w:val="none" w:sz="0" w:space="0" w:color="auto"/>
      </w:divBdr>
    </w:div>
    <w:div w:id="139885303">
      <w:bodyDiv w:val="1"/>
      <w:marLeft w:val="0"/>
      <w:marRight w:val="0"/>
      <w:marTop w:val="0"/>
      <w:marBottom w:val="0"/>
      <w:divBdr>
        <w:top w:val="none" w:sz="0" w:space="0" w:color="auto"/>
        <w:left w:val="none" w:sz="0" w:space="0" w:color="auto"/>
        <w:bottom w:val="none" w:sz="0" w:space="0" w:color="auto"/>
        <w:right w:val="none" w:sz="0" w:space="0" w:color="auto"/>
      </w:divBdr>
    </w:div>
    <w:div w:id="142506150">
      <w:bodyDiv w:val="1"/>
      <w:marLeft w:val="0"/>
      <w:marRight w:val="0"/>
      <w:marTop w:val="0"/>
      <w:marBottom w:val="0"/>
      <w:divBdr>
        <w:top w:val="none" w:sz="0" w:space="0" w:color="auto"/>
        <w:left w:val="none" w:sz="0" w:space="0" w:color="auto"/>
        <w:bottom w:val="none" w:sz="0" w:space="0" w:color="auto"/>
        <w:right w:val="none" w:sz="0" w:space="0" w:color="auto"/>
      </w:divBdr>
    </w:div>
    <w:div w:id="142703554">
      <w:bodyDiv w:val="1"/>
      <w:marLeft w:val="0"/>
      <w:marRight w:val="0"/>
      <w:marTop w:val="0"/>
      <w:marBottom w:val="0"/>
      <w:divBdr>
        <w:top w:val="none" w:sz="0" w:space="0" w:color="auto"/>
        <w:left w:val="none" w:sz="0" w:space="0" w:color="auto"/>
        <w:bottom w:val="none" w:sz="0" w:space="0" w:color="auto"/>
        <w:right w:val="none" w:sz="0" w:space="0" w:color="auto"/>
      </w:divBdr>
    </w:div>
    <w:div w:id="142898027">
      <w:bodyDiv w:val="1"/>
      <w:marLeft w:val="0"/>
      <w:marRight w:val="0"/>
      <w:marTop w:val="0"/>
      <w:marBottom w:val="0"/>
      <w:divBdr>
        <w:top w:val="none" w:sz="0" w:space="0" w:color="auto"/>
        <w:left w:val="none" w:sz="0" w:space="0" w:color="auto"/>
        <w:bottom w:val="none" w:sz="0" w:space="0" w:color="auto"/>
        <w:right w:val="none" w:sz="0" w:space="0" w:color="auto"/>
      </w:divBdr>
    </w:div>
    <w:div w:id="143090771">
      <w:bodyDiv w:val="1"/>
      <w:marLeft w:val="0"/>
      <w:marRight w:val="0"/>
      <w:marTop w:val="0"/>
      <w:marBottom w:val="0"/>
      <w:divBdr>
        <w:top w:val="none" w:sz="0" w:space="0" w:color="auto"/>
        <w:left w:val="none" w:sz="0" w:space="0" w:color="auto"/>
        <w:bottom w:val="none" w:sz="0" w:space="0" w:color="auto"/>
        <w:right w:val="none" w:sz="0" w:space="0" w:color="auto"/>
      </w:divBdr>
    </w:div>
    <w:div w:id="144708714">
      <w:bodyDiv w:val="1"/>
      <w:marLeft w:val="0"/>
      <w:marRight w:val="0"/>
      <w:marTop w:val="0"/>
      <w:marBottom w:val="0"/>
      <w:divBdr>
        <w:top w:val="none" w:sz="0" w:space="0" w:color="auto"/>
        <w:left w:val="none" w:sz="0" w:space="0" w:color="auto"/>
        <w:bottom w:val="none" w:sz="0" w:space="0" w:color="auto"/>
        <w:right w:val="none" w:sz="0" w:space="0" w:color="auto"/>
      </w:divBdr>
    </w:div>
    <w:div w:id="146174465">
      <w:bodyDiv w:val="1"/>
      <w:marLeft w:val="0"/>
      <w:marRight w:val="0"/>
      <w:marTop w:val="0"/>
      <w:marBottom w:val="0"/>
      <w:divBdr>
        <w:top w:val="none" w:sz="0" w:space="0" w:color="auto"/>
        <w:left w:val="none" w:sz="0" w:space="0" w:color="auto"/>
        <w:bottom w:val="none" w:sz="0" w:space="0" w:color="auto"/>
        <w:right w:val="none" w:sz="0" w:space="0" w:color="auto"/>
      </w:divBdr>
    </w:div>
    <w:div w:id="148374084">
      <w:bodyDiv w:val="1"/>
      <w:marLeft w:val="0"/>
      <w:marRight w:val="0"/>
      <w:marTop w:val="0"/>
      <w:marBottom w:val="0"/>
      <w:divBdr>
        <w:top w:val="none" w:sz="0" w:space="0" w:color="auto"/>
        <w:left w:val="none" w:sz="0" w:space="0" w:color="auto"/>
        <w:bottom w:val="none" w:sz="0" w:space="0" w:color="auto"/>
        <w:right w:val="none" w:sz="0" w:space="0" w:color="auto"/>
      </w:divBdr>
    </w:div>
    <w:div w:id="150215076">
      <w:bodyDiv w:val="1"/>
      <w:marLeft w:val="0"/>
      <w:marRight w:val="0"/>
      <w:marTop w:val="0"/>
      <w:marBottom w:val="0"/>
      <w:divBdr>
        <w:top w:val="none" w:sz="0" w:space="0" w:color="auto"/>
        <w:left w:val="none" w:sz="0" w:space="0" w:color="auto"/>
        <w:bottom w:val="none" w:sz="0" w:space="0" w:color="auto"/>
        <w:right w:val="none" w:sz="0" w:space="0" w:color="auto"/>
      </w:divBdr>
    </w:div>
    <w:div w:id="151483689">
      <w:bodyDiv w:val="1"/>
      <w:marLeft w:val="0"/>
      <w:marRight w:val="0"/>
      <w:marTop w:val="0"/>
      <w:marBottom w:val="0"/>
      <w:divBdr>
        <w:top w:val="none" w:sz="0" w:space="0" w:color="auto"/>
        <w:left w:val="none" w:sz="0" w:space="0" w:color="auto"/>
        <w:bottom w:val="none" w:sz="0" w:space="0" w:color="auto"/>
        <w:right w:val="none" w:sz="0" w:space="0" w:color="auto"/>
      </w:divBdr>
    </w:div>
    <w:div w:id="152181003">
      <w:bodyDiv w:val="1"/>
      <w:marLeft w:val="0"/>
      <w:marRight w:val="0"/>
      <w:marTop w:val="0"/>
      <w:marBottom w:val="0"/>
      <w:divBdr>
        <w:top w:val="none" w:sz="0" w:space="0" w:color="auto"/>
        <w:left w:val="none" w:sz="0" w:space="0" w:color="auto"/>
        <w:bottom w:val="none" w:sz="0" w:space="0" w:color="auto"/>
        <w:right w:val="none" w:sz="0" w:space="0" w:color="auto"/>
      </w:divBdr>
    </w:div>
    <w:div w:id="154540734">
      <w:bodyDiv w:val="1"/>
      <w:marLeft w:val="0"/>
      <w:marRight w:val="0"/>
      <w:marTop w:val="0"/>
      <w:marBottom w:val="0"/>
      <w:divBdr>
        <w:top w:val="none" w:sz="0" w:space="0" w:color="auto"/>
        <w:left w:val="none" w:sz="0" w:space="0" w:color="auto"/>
        <w:bottom w:val="none" w:sz="0" w:space="0" w:color="auto"/>
        <w:right w:val="none" w:sz="0" w:space="0" w:color="auto"/>
      </w:divBdr>
    </w:div>
    <w:div w:id="154805695">
      <w:bodyDiv w:val="1"/>
      <w:marLeft w:val="0"/>
      <w:marRight w:val="0"/>
      <w:marTop w:val="0"/>
      <w:marBottom w:val="0"/>
      <w:divBdr>
        <w:top w:val="none" w:sz="0" w:space="0" w:color="auto"/>
        <w:left w:val="none" w:sz="0" w:space="0" w:color="auto"/>
        <w:bottom w:val="none" w:sz="0" w:space="0" w:color="auto"/>
        <w:right w:val="none" w:sz="0" w:space="0" w:color="auto"/>
      </w:divBdr>
    </w:div>
    <w:div w:id="155582543">
      <w:bodyDiv w:val="1"/>
      <w:marLeft w:val="0"/>
      <w:marRight w:val="0"/>
      <w:marTop w:val="0"/>
      <w:marBottom w:val="0"/>
      <w:divBdr>
        <w:top w:val="none" w:sz="0" w:space="0" w:color="auto"/>
        <w:left w:val="none" w:sz="0" w:space="0" w:color="auto"/>
        <w:bottom w:val="none" w:sz="0" w:space="0" w:color="auto"/>
        <w:right w:val="none" w:sz="0" w:space="0" w:color="auto"/>
      </w:divBdr>
    </w:div>
    <w:div w:id="157810980">
      <w:bodyDiv w:val="1"/>
      <w:marLeft w:val="0"/>
      <w:marRight w:val="0"/>
      <w:marTop w:val="0"/>
      <w:marBottom w:val="0"/>
      <w:divBdr>
        <w:top w:val="none" w:sz="0" w:space="0" w:color="auto"/>
        <w:left w:val="none" w:sz="0" w:space="0" w:color="auto"/>
        <w:bottom w:val="none" w:sz="0" w:space="0" w:color="auto"/>
        <w:right w:val="none" w:sz="0" w:space="0" w:color="auto"/>
      </w:divBdr>
    </w:div>
    <w:div w:id="159662836">
      <w:bodyDiv w:val="1"/>
      <w:marLeft w:val="0"/>
      <w:marRight w:val="0"/>
      <w:marTop w:val="0"/>
      <w:marBottom w:val="0"/>
      <w:divBdr>
        <w:top w:val="none" w:sz="0" w:space="0" w:color="auto"/>
        <w:left w:val="none" w:sz="0" w:space="0" w:color="auto"/>
        <w:bottom w:val="none" w:sz="0" w:space="0" w:color="auto"/>
        <w:right w:val="none" w:sz="0" w:space="0" w:color="auto"/>
      </w:divBdr>
    </w:div>
    <w:div w:id="160240920">
      <w:bodyDiv w:val="1"/>
      <w:marLeft w:val="0"/>
      <w:marRight w:val="0"/>
      <w:marTop w:val="0"/>
      <w:marBottom w:val="0"/>
      <w:divBdr>
        <w:top w:val="none" w:sz="0" w:space="0" w:color="auto"/>
        <w:left w:val="none" w:sz="0" w:space="0" w:color="auto"/>
        <w:bottom w:val="none" w:sz="0" w:space="0" w:color="auto"/>
        <w:right w:val="none" w:sz="0" w:space="0" w:color="auto"/>
      </w:divBdr>
    </w:div>
    <w:div w:id="161167537">
      <w:bodyDiv w:val="1"/>
      <w:marLeft w:val="0"/>
      <w:marRight w:val="0"/>
      <w:marTop w:val="0"/>
      <w:marBottom w:val="0"/>
      <w:divBdr>
        <w:top w:val="none" w:sz="0" w:space="0" w:color="auto"/>
        <w:left w:val="none" w:sz="0" w:space="0" w:color="auto"/>
        <w:bottom w:val="none" w:sz="0" w:space="0" w:color="auto"/>
        <w:right w:val="none" w:sz="0" w:space="0" w:color="auto"/>
      </w:divBdr>
    </w:div>
    <w:div w:id="161697951">
      <w:bodyDiv w:val="1"/>
      <w:marLeft w:val="0"/>
      <w:marRight w:val="0"/>
      <w:marTop w:val="0"/>
      <w:marBottom w:val="0"/>
      <w:divBdr>
        <w:top w:val="none" w:sz="0" w:space="0" w:color="auto"/>
        <w:left w:val="none" w:sz="0" w:space="0" w:color="auto"/>
        <w:bottom w:val="none" w:sz="0" w:space="0" w:color="auto"/>
        <w:right w:val="none" w:sz="0" w:space="0" w:color="auto"/>
      </w:divBdr>
    </w:div>
    <w:div w:id="163399083">
      <w:bodyDiv w:val="1"/>
      <w:marLeft w:val="0"/>
      <w:marRight w:val="0"/>
      <w:marTop w:val="0"/>
      <w:marBottom w:val="0"/>
      <w:divBdr>
        <w:top w:val="none" w:sz="0" w:space="0" w:color="auto"/>
        <w:left w:val="none" w:sz="0" w:space="0" w:color="auto"/>
        <w:bottom w:val="none" w:sz="0" w:space="0" w:color="auto"/>
        <w:right w:val="none" w:sz="0" w:space="0" w:color="auto"/>
      </w:divBdr>
    </w:div>
    <w:div w:id="163860589">
      <w:bodyDiv w:val="1"/>
      <w:marLeft w:val="0"/>
      <w:marRight w:val="0"/>
      <w:marTop w:val="0"/>
      <w:marBottom w:val="0"/>
      <w:divBdr>
        <w:top w:val="none" w:sz="0" w:space="0" w:color="auto"/>
        <w:left w:val="none" w:sz="0" w:space="0" w:color="auto"/>
        <w:bottom w:val="none" w:sz="0" w:space="0" w:color="auto"/>
        <w:right w:val="none" w:sz="0" w:space="0" w:color="auto"/>
      </w:divBdr>
    </w:div>
    <w:div w:id="164326340">
      <w:bodyDiv w:val="1"/>
      <w:marLeft w:val="0"/>
      <w:marRight w:val="0"/>
      <w:marTop w:val="0"/>
      <w:marBottom w:val="0"/>
      <w:divBdr>
        <w:top w:val="none" w:sz="0" w:space="0" w:color="auto"/>
        <w:left w:val="none" w:sz="0" w:space="0" w:color="auto"/>
        <w:bottom w:val="none" w:sz="0" w:space="0" w:color="auto"/>
        <w:right w:val="none" w:sz="0" w:space="0" w:color="auto"/>
      </w:divBdr>
    </w:div>
    <w:div w:id="165750623">
      <w:bodyDiv w:val="1"/>
      <w:marLeft w:val="0"/>
      <w:marRight w:val="0"/>
      <w:marTop w:val="0"/>
      <w:marBottom w:val="0"/>
      <w:divBdr>
        <w:top w:val="none" w:sz="0" w:space="0" w:color="auto"/>
        <w:left w:val="none" w:sz="0" w:space="0" w:color="auto"/>
        <w:bottom w:val="none" w:sz="0" w:space="0" w:color="auto"/>
        <w:right w:val="none" w:sz="0" w:space="0" w:color="auto"/>
      </w:divBdr>
    </w:div>
    <w:div w:id="168184231">
      <w:bodyDiv w:val="1"/>
      <w:marLeft w:val="0"/>
      <w:marRight w:val="0"/>
      <w:marTop w:val="0"/>
      <w:marBottom w:val="0"/>
      <w:divBdr>
        <w:top w:val="none" w:sz="0" w:space="0" w:color="auto"/>
        <w:left w:val="none" w:sz="0" w:space="0" w:color="auto"/>
        <w:bottom w:val="none" w:sz="0" w:space="0" w:color="auto"/>
        <w:right w:val="none" w:sz="0" w:space="0" w:color="auto"/>
      </w:divBdr>
    </w:div>
    <w:div w:id="172771396">
      <w:bodyDiv w:val="1"/>
      <w:marLeft w:val="0"/>
      <w:marRight w:val="0"/>
      <w:marTop w:val="0"/>
      <w:marBottom w:val="0"/>
      <w:divBdr>
        <w:top w:val="none" w:sz="0" w:space="0" w:color="auto"/>
        <w:left w:val="none" w:sz="0" w:space="0" w:color="auto"/>
        <w:bottom w:val="none" w:sz="0" w:space="0" w:color="auto"/>
        <w:right w:val="none" w:sz="0" w:space="0" w:color="auto"/>
      </w:divBdr>
    </w:div>
    <w:div w:id="176700743">
      <w:bodyDiv w:val="1"/>
      <w:marLeft w:val="0"/>
      <w:marRight w:val="0"/>
      <w:marTop w:val="0"/>
      <w:marBottom w:val="0"/>
      <w:divBdr>
        <w:top w:val="none" w:sz="0" w:space="0" w:color="auto"/>
        <w:left w:val="none" w:sz="0" w:space="0" w:color="auto"/>
        <w:bottom w:val="none" w:sz="0" w:space="0" w:color="auto"/>
        <w:right w:val="none" w:sz="0" w:space="0" w:color="auto"/>
      </w:divBdr>
    </w:div>
    <w:div w:id="176887613">
      <w:bodyDiv w:val="1"/>
      <w:marLeft w:val="0"/>
      <w:marRight w:val="0"/>
      <w:marTop w:val="0"/>
      <w:marBottom w:val="0"/>
      <w:divBdr>
        <w:top w:val="none" w:sz="0" w:space="0" w:color="auto"/>
        <w:left w:val="none" w:sz="0" w:space="0" w:color="auto"/>
        <w:bottom w:val="none" w:sz="0" w:space="0" w:color="auto"/>
        <w:right w:val="none" w:sz="0" w:space="0" w:color="auto"/>
      </w:divBdr>
    </w:div>
    <w:div w:id="178013357">
      <w:bodyDiv w:val="1"/>
      <w:marLeft w:val="0"/>
      <w:marRight w:val="0"/>
      <w:marTop w:val="0"/>
      <w:marBottom w:val="0"/>
      <w:divBdr>
        <w:top w:val="none" w:sz="0" w:space="0" w:color="auto"/>
        <w:left w:val="none" w:sz="0" w:space="0" w:color="auto"/>
        <w:bottom w:val="none" w:sz="0" w:space="0" w:color="auto"/>
        <w:right w:val="none" w:sz="0" w:space="0" w:color="auto"/>
      </w:divBdr>
    </w:div>
    <w:div w:id="178200760">
      <w:bodyDiv w:val="1"/>
      <w:marLeft w:val="0"/>
      <w:marRight w:val="0"/>
      <w:marTop w:val="0"/>
      <w:marBottom w:val="0"/>
      <w:divBdr>
        <w:top w:val="none" w:sz="0" w:space="0" w:color="auto"/>
        <w:left w:val="none" w:sz="0" w:space="0" w:color="auto"/>
        <w:bottom w:val="none" w:sz="0" w:space="0" w:color="auto"/>
        <w:right w:val="none" w:sz="0" w:space="0" w:color="auto"/>
      </w:divBdr>
    </w:div>
    <w:div w:id="181167491">
      <w:bodyDiv w:val="1"/>
      <w:marLeft w:val="0"/>
      <w:marRight w:val="0"/>
      <w:marTop w:val="0"/>
      <w:marBottom w:val="0"/>
      <w:divBdr>
        <w:top w:val="none" w:sz="0" w:space="0" w:color="auto"/>
        <w:left w:val="none" w:sz="0" w:space="0" w:color="auto"/>
        <w:bottom w:val="none" w:sz="0" w:space="0" w:color="auto"/>
        <w:right w:val="none" w:sz="0" w:space="0" w:color="auto"/>
      </w:divBdr>
    </w:div>
    <w:div w:id="182518806">
      <w:bodyDiv w:val="1"/>
      <w:marLeft w:val="0"/>
      <w:marRight w:val="0"/>
      <w:marTop w:val="0"/>
      <w:marBottom w:val="0"/>
      <w:divBdr>
        <w:top w:val="none" w:sz="0" w:space="0" w:color="auto"/>
        <w:left w:val="none" w:sz="0" w:space="0" w:color="auto"/>
        <w:bottom w:val="none" w:sz="0" w:space="0" w:color="auto"/>
        <w:right w:val="none" w:sz="0" w:space="0" w:color="auto"/>
      </w:divBdr>
    </w:div>
    <w:div w:id="183205701">
      <w:bodyDiv w:val="1"/>
      <w:marLeft w:val="0"/>
      <w:marRight w:val="0"/>
      <w:marTop w:val="0"/>
      <w:marBottom w:val="0"/>
      <w:divBdr>
        <w:top w:val="none" w:sz="0" w:space="0" w:color="auto"/>
        <w:left w:val="none" w:sz="0" w:space="0" w:color="auto"/>
        <w:bottom w:val="none" w:sz="0" w:space="0" w:color="auto"/>
        <w:right w:val="none" w:sz="0" w:space="0" w:color="auto"/>
      </w:divBdr>
    </w:div>
    <w:div w:id="183979852">
      <w:bodyDiv w:val="1"/>
      <w:marLeft w:val="0"/>
      <w:marRight w:val="0"/>
      <w:marTop w:val="0"/>
      <w:marBottom w:val="0"/>
      <w:divBdr>
        <w:top w:val="none" w:sz="0" w:space="0" w:color="auto"/>
        <w:left w:val="none" w:sz="0" w:space="0" w:color="auto"/>
        <w:bottom w:val="none" w:sz="0" w:space="0" w:color="auto"/>
        <w:right w:val="none" w:sz="0" w:space="0" w:color="auto"/>
      </w:divBdr>
    </w:div>
    <w:div w:id="184028605">
      <w:bodyDiv w:val="1"/>
      <w:marLeft w:val="0"/>
      <w:marRight w:val="0"/>
      <w:marTop w:val="0"/>
      <w:marBottom w:val="0"/>
      <w:divBdr>
        <w:top w:val="none" w:sz="0" w:space="0" w:color="auto"/>
        <w:left w:val="none" w:sz="0" w:space="0" w:color="auto"/>
        <w:bottom w:val="none" w:sz="0" w:space="0" w:color="auto"/>
        <w:right w:val="none" w:sz="0" w:space="0" w:color="auto"/>
      </w:divBdr>
    </w:div>
    <w:div w:id="185096358">
      <w:bodyDiv w:val="1"/>
      <w:marLeft w:val="0"/>
      <w:marRight w:val="0"/>
      <w:marTop w:val="0"/>
      <w:marBottom w:val="0"/>
      <w:divBdr>
        <w:top w:val="none" w:sz="0" w:space="0" w:color="auto"/>
        <w:left w:val="none" w:sz="0" w:space="0" w:color="auto"/>
        <w:bottom w:val="none" w:sz="0" w:space="0" w:color="auto"/>
        <w:right w:val="none" w:sz="0" w:space="0" w:color="auto"/>
      </w:divBdr>
    </w:div>
    <w:div w:id="186598950">
      <w:bodyDiv w:val="1"/>
      <w:marLeft w:val="0"/>
      <w:marRight w:val="0"/>
      <w:marTop w:val="0"/>
      <w:marBottom w:val="0"/>
      <w:divBdr>
        <w:top w:val="none" w:sz="0" w:space="0" w:color="auto"/>
        <w:left w:val="none" w:sz="0" w:space="0" w:color="auto"/>
        <w:bottom w:val="none" w:sz="0" w:space="0" w:color="auto"/>
        <w:right w:val="none" w:sz="0" w:space="0" w:color="auto"/>
      </w:divBdr>
    </w:div>
    <w:div w:id="187061344">
      <w:bodyDiv w:val="1"/>
      <w:marLeft w:val="0"/>
      <w:marRight w:val="0"/>
      <w:marTop w:val="0"/>
      <w:marBottom w:val="0"/>
      <w:divBdr>
        <w:top w:val="none" w:sz="0" w:space="0" w:color="auto"/>
        <w:left w:val="none" w:sz="0" w:space="0" w:color="auto"/>
        <w:bottom w:val="none" w:sz="0" w:space="0" w:color="auto"/>
        <w:right w:val="none" w:sz="0" w:space="0" w:color="auto"/>
      </w:divBdr>
    </w:div>
    <w:div w:id="187376300">
      <w:bodyDiv w:val="1"/>
      <w:marLeft w:val="0"/>
      <w:marRight w:val="0"/>
      <w:marTop w:val="0"/>
      <w:marBottom w:val="0"/>
      <w:divBdr>
        <w:top w:val="none" w:sz="0" w:space="0" w:color="auto"/>
        <w:left w:val="none" w:sz="0" w:space="0" w:color="auto"/>
        <w:bottom w:val="none" w:sz="0" w:space="0" w:color="auto"/>
        <w:right w:val="none" w:sz="0" w:space="0" w:color="auto"/>
      </w:divBdr>
    </w:div>
    <w:div w:id="188564117">
      <w:bodyDiv w:val="1"/>
      <w:marLeft w:val="0"/>
      <w:marRight w:val="0"/>
      <w:marTop w:val="0"/>
      <w:marBottom w:val="0"/>
      <w:divBdr>
        <w:top w:val="none" w:sz="0" w:space="0" w:color="auto"/>
        <w:left w:val="none" w:sz="0" w:space="0" w:color="auto"/>
        <w:bottom w:val="none" w:sz="0" w:space="0" w:color="auto"/>
        <w:right w:val="none" w:sz="0" w:space="0" w:color="auto"/>
      </w:divBdr>
    </w:div>
    <w:div w:id="188841065">
      <w:bodyDiv w:val="1"/>
      <w:marLeft w:val="0"/>
      <w:marRight w:val="0"/>
      <w:marTop w:val="0"/>
      <w:marBottom w:val="0"/>
      <w:divBdr>
        <w:top w:val="none" w:sz="0" w:space="0" w:color="auto"/>
        <w:left w:val="none" w:sz="0" w:space="0" w:color="auto"/>
        <w:bottom w:val="none" w:sz="0" w:space="0" w:color="auto"/>
        <w:right w:val="none" w:sz="0" w:space="0" w:color="auto"/>
      </w:divBdr>
    </w:div>
    <w:div w:id="189344541">
      <w:bodyDiv w:val="1"/>
      <w:marLeft w:val="0"/>
      <w:marRight w:val="0"/>
      <w:marTop w:val="0"/>
      <w:marBottom w:val="0"/>
      <w:divBdr>
        <w:top w:val="none" w:sz="0" w:space="0" w:color="auto"/>
        <w:left w:val="none" w:sz="0" w:space="0" w:color="auto"/>
        <w:bottom w:val="none" w:sz="0" w:space="0" w:color="auto"/>
        <w:right w:val="none" w:sz="0" w:space="0" w:color="auto"/>
      </w:divBdr>
    </w:div>
    <w:div w:id="190339665">
      <w:bodyDiv w:val="1"/>
      <w:marLeft w:val="0"/>
      <w:marRight w:val="0"/>
      <w:marTop w:val="0"/>
      <w:marBottom w:val="0"/>
      <w:divBdr>
        <w:top w:val="none" w:sz="0" w:space="0" w:color="auto"/>
        <w:left w:val="none" w:sz="0" w:space="0" w:color="auto"/>
        <w:bottom w:val="none" w:sz="0" w:space="0" w:color="auto"/>
        <w:right w:val="none" w:sz="0" w:space="0" w:color="auto"/>
      </w:divBdr>
    </w:div>
    <w:div w:id="190343155">
      <w:bodyDiv w:val="1"/>
      <w:marLeft w:val="0"/>
      <w:marRight w:val="0"/>
      <w:marTop w:val="0"/>
      <w:marBottom w:val="0"/>
      <w:divBdr>
        <w:top w:val="none" w:sz="0" w:space="0" w:color="auto"/>
        <w:left w:val="none" w:sz="0" w:space="0" w:color="auto"/>
        <w:bottom w:val="none" w:sz="0" w:space="0" w:color="auto"/>
        <w:right w:val="none" w:sz="0" w:space="0" w:color="auto"/>
      </w:divBdr>
    </w:div>
    <w:div w:id="190651624">
      <w:bodyDiv w:val="1"/>
      <w:marLeft w:val="0"/>
      <w:marRight w:val="0"/>
      <w:marTop w:val="0"/>
      <w:marBottom w:val="0"/>
      <w:divBdr>
        <w:top w:val="none" w:sz="0" w:space="0" w:color="auto"/>
        <w:left w:val="none" w:sz="0" w:space="0" w:color="auto"/>
        <w:bottom w:val="none" w:sz="0" w:space="0" w:color="auto"/>
        <w:right w:val="none" w:sz="0" w:space="0" w:color="auto"/>
      </w:divBdr>
    </w:div>
    <w:div w:id="192308164">
      <w:bodyDiv w:val="1"/>
      <w:marLeft w:val="0"/>
      <w:marRight w:val="0"/>
      <w:marTop w:val="0"/>
      <w:marBottom w:val="0"/>
      <w:divBdr>
        <w:top w:val="none" w:sz="0" w:space="0" w:color="auto"/>
        <w:left w:val="none" w:sz="0" w:space="0" w:color="auto"/>
        <w:bottom w:val="none" w:sz="0" w:space="0" w:color="auto"/>
        <w:right w:val="none" w:sz="0" w:space="0" w:color="auto"/>
      </w:divBdr>
    </w:div>
    <w:div w:id="193078821">
      <w:bodyDiv w:val="1"/>
      <w:marLeft w:val="0"/>
      <w:marRight w:val="0"/>
      <w:marTop w:val="0"/>
      <w:marBottom w:val="0"/>
      <w:divBdr>
        <w:top w:val="none" w:sz="0" w:space="0" w:color="auto"/>
        <w:left w:val="none" w:sz="0" w:space="0" w:color="auto"/>
        <w:bottom w:val="none" w:sz="0" w:space="0" w:color="auto"/>
        <w:right w:val="none" w:sz="0" w:space="0" w:color="auto"/>
      </w:divBdr>
    </w:div>
    <w:div w:id="193613517">
      <w:bodyDiv w:val="1"/>
      <w:marLeft w:val="0"/>
      <w:marRight w:val="0"/>
      <w:marTop w:val="0"/>
      <w:marBottom w:val="0"/>
      <w:divBdr>
        <w:top w:val="none" w:sz="0" w:space="0" w:color="auto"/>
        <w:left w:val="none" w:sz="0" w:space="0" w:color="auto"/>
        <w:bottom w:val="none" w:sz="0" w:space="0" w:color="auto"/>
        <w:right w:val="none" w:sz="0" w:space="0" w:color="auto"/>
      </w:divBdr>
    </w:div>
    <w:div w:id="193618562">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4931596">
      <w:bodyDiv w:val="1"/>
      <w:marLeft w:val="0"/>
      <w:marRight w:val="0"/>
      <w:marTop w:val="0"/>
      <w:marBottom w:val="0"/>
      <w:divBdr>
        <w:top w:val="none" w:sz="0" w:space="0" w:color="auto"/>
        <w:left w:val="none" w:sz="0" w:space="0" w:color="auto"/>
        <w:bottom w:val="none" w:sz="0" w:space="0" w:color="auto"/>
        <w:right w:val="none" w:sz="0" w:space="0" w:color="auto"/>
      </w:divBdr>
    </w:div>
    <w:div w:id="195391832">
      <w:bodyDiv w:val="1"/>
      <w:marLeft w:val="0"/>
      <w:marRight w:val="0"/>
      <w:marTop w:val="0"/>
      <w:marBottom w:val="0"/>
      <w:divBdr>
        <w:top w:val="none" w:sz="0" w:space="0" w:color="auto"/>
        <w:left w:val="none" w:sz="0" w:space="0" w:color="auto"/>
        <w:bottom w:val="none" w:sz="0" w:space="0" w:color="auto"/>
        <w:right w:val="none" w:sz="0" w:space="0" w:color="auto"/>
      </w:divBdr>
    </w:div>
    <w:div w:id="195973797">
      <w:bodyDiv w:val="1"/>
      <w:marLeft w:val="0"/>
      <w:marRight w:val="0"/>
      <w:marTop w:val="0"/>
      <w:marBottom w:val="0"/>
      <w:divBdr>
        <w:top w:val="none" w:sz="0" w:space="0" w:color="auto"/>
        <w:left w:val="none" w:sz="0" w:space="0" w:color="auto"/>
        <w:bottom w:val="none" w:sz="0" w:space="0" w:color="auto"/>
        <w:right w:val="none" w:sz="0" w:space="0" w:color="auto"/>
      </w:divBdr>
    </w:div>
    <w:div w:id="198516414">
      <w:bodyDiv w:val="1"/>
      <w:marLeft w:val="0"/>
      <w:marRight w:val="0"/>
      <w:marTop w:val="0"/>
      <w:marBottom w:val="0"/>
      <w:divBdr>
        <w:top w:val="none" w:sz="0" w:space="0" w:color="auto"/>
        <w:left w:val="none" w:sz="0" w:space="0" w:color="auto"/>
        <w:bottom w:val="none" w:sz="0" w:space="0" w:color="auto"/>
        <w:right w:val="none" w:sz="0" w:space="0" w:color="auto"/>
      </w:divBdr>
    </w:div>
    <w:div w:id="198713731">
      <w:bodyDiv w:val="1"/>
      <w:marLeft w:val="0"/>
      <w:marRight w:val="0"/>
      <w:marTop w:val="0"/>
      <w:marBottom w:val="0"/>
      <w:divBdr>
        <w:top w:val="none" w:sz="0" w:space="0" w:color="auto"/>
        <w:left w:val="none" w:sz="0" w:space="0" w:color="auto"/>
        <w:bottom w:val="none" w:sz="0" w:space="0" w:color="auto"/>
        <w:right w:val="none" w:sz="0" w:space="0" w:color="auto"/>
      </w:divBdr>
    </w:div>
    <w:div w:id="200243744">
      <w:bodyDiv w:val="1"/>
      <w:marLeft w:val="0"/>
      <w:marRight w:val="0"/>
      <w:marTop w:val="0"/>
      <w:marBottom w:val="0"/>
      <w:divBdr>
        <w:top w:val="none" w:sz="0" w:space="0" w:color="auto"/>
        <w:left w:val="none" w:sz="0" w:space="0" w:color="auto"/>
        <w:bottom w:val="none" w:sz="0" w:space="0" w:color="auto"/>
        <w:right w:val="none" w:sz="0" w:space="0" w:color="auto"/>
      </w:divBdr>
    </w:div>
    <w:div w:id="200480367">
      <w:bodyDiv w:val="1"/>
      <w:marLeft w:val="0"/>
      <w:marRight w:val="0"/>
      <w:marTop w:val="0"/>
      <w:marBottom w:val="0"/>
      <w:divBdr>
        <w:top w:val="none" w:sz="0" w:space="0" w:color="auto"/>
        <w:left w:val="none" w:sz="0" w:space="0" w:color="auto"/>
        <w:bottom w:val="none" w:sz="0" w:space="0" w:color="auto"/>
        <w:right w:val="none" w:sz="0" w:space="0" w:color="auto"/>
      </w:divBdr>
    </w:div>
    <w:div w:id="200746678">
      <w:bodyDiv w:val="1"/>
      <w:marLeft w:val="0"/>
      <w:marRight w:val="0"/>
      <w:marTop w:val="0"/>
      <w:marBottom w:val="0"/>
      <w:divBdr>
        <w:top w:val="none" w:sz="0" w:space="0" w:color="auto"/>
        <w:left w:val="none" w:sz="0" w:space="0" w:color="auto"/>
        <w:bottom w:val="none" w:sz="0" w:space="0" w:color="auto"/>
        <w:right w:val="none" w:sz="0" w:space="0" w:color="auto"/>
      </w:divBdr>
    </w:div>
    <w:div w:id="201290365">
      <w:bodyDiv w:val="1"/>
      <w:marLeft w:val="0"/>
      <w:marRight w:val="0"/>
      <w:marTop w:val="0"/>
      <w:marBottom w:val="0"/>
      <w:divBdr>
        <w:top w:val="none" w:sz="0" w:space="0" w:color="auto"/>
        <w:left w:val="none" w:sz="0" w:space="0" w:color="auto"/>
        <w:bottom w:val="none" w:sz="0" w:space="0" w:color="auto"/>
        <w:right w:val="none" w:sz="0" w:space="0" w:color="auto"/>
      </w:divBdr>
    </w:div>
    <w:div w:id="201678565">
      <w:bodyDiv w:val="1"/>
      <w:marLeft w:val="0"/>
      <w:marRight w:val="0"/>
      <w:marTop w:val="0"/>
      <w:marBottom w:val="0"/>
      <w:divBdr>
        <w:top w:val="none" w:sz="0" w:space="0" w:color="auto"/>
        <w:left w:val="none" w:sz="0" w:space="0" w:color="auto"/>
        <w:bottom w:val="none" w:sz="0" w:space="0" w:color="auto"/>
        <w:right w:val="none" w:sz="0" w:space="0" w:color="auto"/>
      </w:divBdr>
    </w:div>
    <w:div w:id="201751723">
      <w:bodyDiv w:val="1"/>
      <w:marLeft w:val="0"/>
      <w:marRight w:val="0"/>
      <w:marTop w:val="0"/>
      <w:marBottom w:val="0"/>
      <w:divBdr>
        <w:top w:val="none" w:sz="0" w:space="0" w:color="auto"/>
        <w:left w:val="none" w:sz="0" w:space="0" w:color="auto"/>
        <w:bottom w:val="none" w:sz="0" w:space="0" w:color="auto"/>
        <w:right w:val="none" w:sz="0" w:space="0" w:color="auto"/>
      </w:divBdr>
    </w:div>
    <w:div w:id="201988633">
      <w:bodyDiv w:val="1"/>
      <w:marLeft w:val="0"/>
      <w:marRight w:val="0"/>
      <w:marTop w:val="0"/>
      <w:marBottom w:val="0"/>
      <w:divBdr>
        <w:top w:val="none" w:sz="0" w:space="0" w:color="auto"/>
        <w:left w:val="none" w:sz="0" w:space="0" w:color="auto"/>
        <w:bottom w:val="none" w:sz="0" w:space="0" w:color="auto"/>
        <w:right w:val="none" w:sz="0" w:space="0" w:color="auto"/>
      </w:divBdr>
    </w:div>
    <w:div w:id="202064949">
      <w:bodyDiv w:val="1"/>
      <w:marLeft w:val="0"/>
      <w:marRight w:val="0"/>
      <w:marTop w:val="0"/>
      <w:marBottom w:val="0"/>
      <w:divBdr>
        <w:top w:val="none" w:sz="0" w:space="0" w:color="auto"/>
        <w:left w:val="none" w:sz="0" w:space="0" w:color="auto"/>
        <w:bottom w:val="none" w:sz="0" w:space="0" w:color="auto"/>
        <w:right w:val="none" w:sz="0" w:space="0" w:color="auto"/>
      </w:divBdr>
    </w:div>
    <w:div w:id="203491955">
      <w:bodyDiv w:val="1"/>
      <w:marLeft w:val="0"/>
      <w:marRight w:val="0"/>
      <w:marTop w:val="0"/>
      <w:marBottom w:val="0"/>
      <w:divBdr>
        <w:top w:val="none" w:sz="0" w:space="0" w:color="auto"/>
        <w:left w:val="none" w:sz="0" w:space="0" w:color="auto"/>
        <w:bottom w:val="none" w:sz="0" w:space="0" w:color="auto"/>
        <w:right w:val="none" w:sz="0" w:space="0" w:color="auto"/>
      </w:divBdr>
    </w:div>
    <w:div w:id="204373803">
      <w:bodyDiv w:val="1"/>
      <w:marLeft w:val="0"/>
      <w:marRight w:val="0"/>
      <w:marTop w:val="0"/>
      <w:marBottom w:val="0"/>
      <w:divBdr>
        <w:top w:val="none" w:sz="0" w:space="0" w:color="auto"/>
        <w:left w:val="none" w:sz="0" w:space="0" w:color="auto"/>
        <w:bottom w:val="none" w:sz="0" w:space="0" w:color="auto"/>
        <w:right w:val="none" w:sz="0" w:space="0" w:color="auto"/>
      </w:divBdr>
    </w:div>
    <w:div w:id="205530489">
      <w:bodyDiv w:val="1"/>
      <w:marLeft w:val="0"/>
      <w:marRight w:val="0"/>
      <w:marTop w:val="0"/>
      <w:marBottom w:val="0"/>
      <w:divBdr>
        <w:top w:val="none" w:sz="0" w:space="0" w:color="auto"/>
        <w:left w:val="none" w:sz="0" w:space="0" w:color="auto"/>
        <w:bottom w:val="none" w:sz="0" w:space="0" w:color="auto"/>
        <w:right w:val="none" w:sz="0" w:space="0" w:color="auto"/>
      </w:divBdr>
    </w:div>
    <w:div w:id="207499535">
      <w:bodyDiv w:val="1"/>
      <w:marLeft w:val="0"/>
      <w:marRight w:val="0"/>
      <w:marTop w:val="0"/>
      <w:marBottom w:val="0"/>
      <w:divBdr>
        <w:top w:val="none" w:sz="0" w:space="0" w:color="auto"/>
        <w:left w:val="none" w:sz="0" w:space="0" w:color="auto"/>
        <w:bottom w:val="none" w:sz="0" w:space="0" w:color="auto"/>
        <w:right w:val="none" w:sz="0" w:space="0" w:color="auto"/>
      </w:divBdr>
    </w:div>
    <w:div w:id="208107658">
      <w:bodyDiv w:val="1"/>
      <w:marLeft w:val="0"/>
      <w:marRight w:val="0"/>
      <w:marTop w:val="0"/>
      <w:marBottom w:val="0"/>
      <w:divBdr>
        <w:top w:val="none" w:sz="0" w:space="0" w:color="auto"/>
        <w:left w:val="none" w:sz="0" w:space="0" w:color="auto"/>
        <w:bottom w:val="none" w:sz="0" w:space="0" w:color="auto"/>
        <w:right w:val="none" w:sz="0" w:space="0" w:color="auto"/>
      </w:divBdr>
    </w:div>
    <w:div w:id="208499686">
      <w:bodyDiv w:val="1"/>
      <w:marLeft w:val="0"/>
      <w:marRight w:val="0"/>
      <w:marTop w:val="0"/>
      <w:marBottom w:val="0"/>
      <w:divBdr>
        <w:top w:val="none" w:sz="0" w:space="0" w:color="auto"/>
        <w:left w:val="none" w:sz="0" w:space="0" w:color="auto"/>
        <w:bottom w:val="none" w:sz="0" w:space="0" w:color="auto"/>
        <w:right w:val="none" w:sz="0" w:space="0" w:color="auto"/>
      </w:divBdr>
    </w:div>
    <w:div w:id="209075041">
      <w:bodyDiv w:val="1"/>
      <w:marLeft w:val="0"/>
      <w:marRight w:val="0"/>
      <w:marTop w:val="0"/>
      <w:marBottom w:val="0"/>
      <w:divBdr>
        <w:top w:val="none" w:sz="0" w:space="0" w:color="auto"/>
        <w:left w:val="none" w:sz="0" w:space="0" w:color="auto"/>
        <w:bottom w:val="none" w:sz="0" w:space="0" w:color="auto"/>
        <w:right w:val="none" w:sz="0" w:space="0" w:color="auto"/>
      </w:divBdr>
    </w:div>
    <w:div w:id="209389451">
      <w:bodyDiv w:val="1"/>
      <w:marLeft w:val="0"/>
      <w:marRight w:val="0"/>
      <w:marTop w:val="0"/>
      <w:marBottom w:val="0"/>
      <w:divBdr>
        <w:top w:val="none" w:sz="0" w:space="0" w:color="auto"/>
        <w:left w:val="none" w:sz="0" w:space="0" w:color="auto"/>
        <w:bottom w:val="none" w:sz="0" w:space="0" w:color="auto"/>
        <w:right w:val="none" w:sz="0" w:space="0" w:color="auto"/>
      </w:divBdr>
    </w:div>
    <w:div w:id="209725915">
      <w:bodyDiv w:val="1"/>
      <w:marLeft w:val="0"/>
      <w:marRight w:val="0"/>
      <w:marTop w:val="0"/>
      <w:marBottom w:val="0"/>
      <w:divBdr>
        <w:top w:val="none" w:sz="0" w:space="0" w:color="auto"/>
        <w:left w:val="none" w:sz="0" w:space="0" w:color="auto"/>
        <w:bottom w:val="none" w:sz="0" w:space="0" w:color="auto"/>
        <w:right w:val="none" w:sz="0" w:space="0" w:color="auto"/>
      </w:divBdr>
    </w:div>
    <w:div w:id="210577476">
      <w:bodyDiv w:val="1"/>
      <w:marLeft w:val="0"/>
      <w:marRight w:val="0"/>
      <w:marTop w:val="0"/>
      <w:marBottom w:val="0"/>
      <w:divBdr>
        <w:top w:val="none" w:sz="0" w:space="0" w:color="auto"/>
        <w:left w:val="none" w:sz="0" w:space="0" w:color="auto"/>
        <w:bottom w:val="none" w:sz="0" w:space="0" w:color="auto"/>
        <w:right w:val="none" w:sz="0" w:space="0" w:color="auto"/>
      </w:divBdr>
    </w:div>
    <w:div w:id="211504597">
      <w:bodyDiv w:val="1"/>
      <w:marLeft w:val="0"/>
      <w:marRight w:val="0"/>
      <w:marTop w:val="0"/>
      <w:marBottom w:val="0"/>
      <w:divBdr>
        <w:top w:val="none" w:sz="0" w:space="0" w:color="auto"/>
        <w:left w:val="none" w:sz="0" w:space="0" w:color="auto"/>
        <w:bottom w:val="none" w:sz="0" w:space="0" w:color="auto"/>
        <w:right w:val="none" w:sz="0" w:space="0" w:color="auto"/>
      </w:divBdr>
    </w:div>
    <w:div w:id="211575096">
      <w:bodyDiv w:val="1"/>
      <w:marLeft w:val="0"/>
      <w:marRight w:val="0"/>
      <w:marTop w:val="0"/>
      <w:marBottom w:val="0"/>
      <w:divBdr>
        <w:top w:val="none" w:sz="0" w:space="0" w:color="auto"/>
        <w:left w:val="none" w:sz="0" w:space="0" w:color="auto"/>
        <w:bottom w:val="none" w:sz="0" w:space="0" w:color="auto"/>
        <w:right w:val="none" w:sz="0" w:space="0" w:color="auto"/>
      </w:divBdr>
    </w:div>
    <w:div w:id="213588555">
      <w:bodyDiv w:val="1"/>
      <w:marLeft w:val="0"/>
      <w:marRight w:val="0"/>
      <w:marTop w:val="0"/>
      <w:marBottom w:val="0"/>
      <w:divBdr>
        <w:top w:val="none" w:sz="0" w:space="0" w:color="auto"/>
        <w:left w:val="none" w:sz="0" w:space="0" w:color="auto"/>
        <w:bottom w:val="none" w:sz="0" w:space="0" w:color="auto"/>
        <w:right w:val="none" w:sz="0" w:space="0" w:color="auto"/>
      </w:divBdr>
    </w:div>
    <w:div w:id="214242402">
      <w:bodyDiv w:val="1"/>
      <w:marLeft w:val="0"/>
      <w:marRight w:val="0"/>
      <w:marTop w:val="0"/>
      <w:marBottom w:val="0"/>
      <w:divBdr>
        <w:top w:val="none" w:sz="0" w:space="0" w:color="auto"/>
        <w:left w:val="none" w:sz="0" w:space="0" w:color="auto"/>
        <w:bottom w:val="none" w:sz="0" w:space="0" w:color="auto"/>
        <w:right w:val="none" w:sz="0" w:space="0" w:color="auto"/>
      </w:divBdr>
    </w:div>
    <w:div w:id="214782567">
      <w:bodyDiv w:val="1"/>
      <w:marLeft w:val="0"/>
      <w:marRight w:val="0"/>
      <w:marTop w:val="0"/>
      <w:marBottom w:val="0"/>
      <w:divBdr>
        <w:top w:val="none" w:sz="0" w:space="0" w:color="auto"/>
        <w:left w:val="none" w:sz="0" w:space="0" w:color="auto"/>
        <w:bottom w:val="none" w:sz="0" w:space="0" w:color="auto"/>
        <w:right w:val="none" w:sz="0" w:space="0" w:color="auto"/>
      </w:divBdr>
    </w:div>
    <w:div w:id="217403099">
      <w:bodyDiv w:val="1"/>
      <w:marLeft w:val="0"/>
      <w:marRight w:val="0"/>
      <w:marTop w:val="0"/>
      <w:marBottom w:val="0"/>
      <w:divBdr>
        <w:top w:val="none" w:sz="0" w:space="0" w:color="auto"/>
        <w:left w:val="none" w:sz="0" w:space="0" w:color="auto"/>
        <w:bottom w:val="none" w:sz="0" w:space="0" w:color="auto"/>
        <w:right w:val="none" w:sz="0" w:space="0" w:color="auto"/>
      </w:divBdr>
    </w:div>
    <w:div w:id="219899982">
      <w:bodyDiv w:val="1"/>
      <w:marLeft w:val="0"/>
      <w:marRight w:val="0"/>
      <w:marTop w:val="0"/>
      <w:marBottom w:val="0"/>
      <w:divBdr>
        <w:top w:val="none" w:sz="0" w:space="0" w:color="auto"/>
        <w:left w:val="none" w:sz="0" w:space="0" w:color="auto"/>
        <w:bottom w:val="none" w:sz="0" w:space="0" w:color="auto"/>
        <w:right w:val="none" w:sz="0" w:space="0" w:color="auto"/>
      </w:divBdr>
    </w:div>
    <w:div w:id="221644840">
      <w:bodyDiv w:val="1"/>
      <w:marLeft w:val="0"/>
      <w:marRight w:val="0"/>
      <w:marTop w:val="0"/>
      <w:marBottom w:val="0"/>
      <w:divBdr>
        <w:top w:val="none" w:sz="0" w:space="0" w:color="auto"/>
        <w:left w:val="none" w:sz="0" w:space="0" w:color="auto"/>
        <w:bottom w:val="none" w:sz="0" w:space="0" w:color="auto"/>
        <w:right w:val="none" w:sz="0" w:space="0" w:color="auto"/>
      </w:divBdr>
    </w:div>
    <w:div w:id="222524945">
      <w:bodyDiv w:val="1"/>
      <w:marLeft w:val="0"/>
      <w:marRight w:val="0"/>
      <w:marTop w:val="0"/>
      <w:marBottom w:val="0"/>
      <w:divBdr>
        <w:top w:val="none" w:sz="0" w:space="0" w:color="auto"/>
        <w:left w:val="none" w:sz="0" w:space="0" w:color="auto"/>
        <w:bottom w:val="none" w:sz="0" w:space="0" w:color="auto"/>
        <w:right w:val="none" w:sz="0" w:space="0" w:color="auto"/>
      </w:divBdr>
    </w:div>
    <w:div w:id="223103483">
      <w:bodyDiv w:val="1"/>
      <w:marLeft w:val="0"/>
      <w:marRight w:val="0"/>
      <w:marTop w:val="0"/>
      <w:marBottom w:val="0"/>
      <w:divBdr>
        <w:top w:val="none" w:sz="0" w:space="0" w:color="auto"/>
        <w:left w:val="none" w:sz="0" w:space="0" w:color="auto"/>
        <w:bottom w:val="none" w:sz="0" w:space="0" w:color="auto"/>
        <w:right w:val="none" w:sz="0" w:space="0" w:color="auto"/>
      </w:divBdr>
    </w:div>
    <w:div w:id="225143759">
      <w:bodyDiv w:val="1"/>
      <w:marLeft w:val="0"/>
      <w:marRight w:val="0"/>
      <w:marTop w:val="0"/>
      <w:marBottom w:val="0"/>
      <w:divBdr>
        <w:top w:val="none" w:sz="0" w:space="0" w:color="auto"/>
        <w:left w:val="none" w:sz="0" w:space="0" w:color="auto"/>
        <w:bottom w:val="none" w:sz="0" w:space="0" w:color="auto"/>
        <w:right w:val="none" w:sz="0" w:space="0" w:color="auto"/>
      </w:divBdr>
    </w:div>
    <w:div w:id="225843997">
      <w:bodyDiv w:val="1"/>
      <w:marLeft w:val="0"/>
      <w:marRight w:val="0"/>
      <w:marTop w:val="0"/>
      <w:marBottom w:val="0"/>
      <w:divBdr>
        <w:top w:val="none" w:sz="0" w:space="0" w:color="auto"/>
        <w:left w:val="none" w:sz="0" w:space="0" w:color="auto"/>
        <w:bottom w:val="none" w:sz="0" w:space="0" w:color="auto"/>
        <w:right w:val="none" w:sz="0" w:space="0" w:color="auto"/>
      </w:divBdr>
    </w:div>
    <w:div w:id="226303011">
      <w:bodyDiv w:val="1"/>
      <w:marLeft w:val="0"/>
      <w:marRight w:val="0"/>
      <w:marTop w:val="0"/>
      <w:marBottom w:val="0"/>
      <w:divBdr>
        <w:top w:val="none" w:sz="0" w:space="0" w:color="auto"/>
        <w:left w:val="none" w:sz="0" w:space="0" w:color="auto"/>
        <w:bottom w:val="none" w:sz="0" w:space="0" w:color="auto"/>
        <w:right w:val="none" w:sz="0" w:space="0" w:color="auto"/>
      </w:divBdr>
    </w:div>
    <w:div w:id="226887715">
      <w:bodyDiv w:val="1"/>
      <w:marLeft w:val="0"/>
      <w:marRight w:val="0"/>
      <w:marTop w:val="0"/>
      <w:marBottom w:val="0"/>
      <w:divBdr>
        <w:top w:val="none" w:sz="0" w:space="0" w:color="auto"/>
        <w:left w:val="none" w:sz="0" w:space="0" w:color="auto"/>
        <w:bottom w:val="none" w:sz="0" w:space="0" w:color="auto"/>
        <w:right w:val="none" w:sz="0" w:space="0" w:color="auto"/>
      </w:divBdr>
    </w:div>
    <w:div w:id="229193276">
      <w:bodyDiv w:val="1"/>
      <w:marLeft w:val="0"/>
      <w:marRight w:val="0"/>
      <w:marTop w:val="0"/>
      <w:marBottom w:val="0"/>
      <w:divBdr>
        <w:top w:val="none" w:sz="0" w:space="0" w:color="auto"/>
        <w:left w:val="none" w:sz="0" w:space="0" w:color="auto"/>
        <w:bottom w:val="none" w:sz="0" w:space="0" w:color="auto"/>
        <w:right w:val="none" w:sz="0" w:space="0" w:color="auto"/>
      </w:divBdr>
    </w:div>
    <w:div w:id="229539168">
      <w:bodyDiv w:val="1"/>
      <w:marLeft w:val="0"/>
      <w:marRight w:val="0"/>
      <w:marTop w:val="0"/>
      <w:marBottom w:val="0"/>
      <w:divBdr>
        <w:top w:val="none" w:sz="0" w:space="0" w:color="auto"/>
        <w:left w:val="none" w:sz="0" w:space="0" w:color="auto"/>
        <w:bottom w:val="none" w:sz="0" w:space="0" w:color="auto"/>
        <w:right w:val="none" w:sz="0" w:space="0" w:color="auto"/>
      </w:divBdr>
    </w:div>
    <w:div w:id="229928176">
      <w:bodyDiv w:val="1"/>
      <w:marLeft w:val="0"/>
      <w:marRight w:val="0"/>
      <w:marTop w:val="0"/>
      <w:marBottom w:val="0"/>
      <w:divBdr>
        <w:top w:val="none" w:sz="0" w:space="0" w:color="auto"/>
        <w:left w:val="none" w:sz="0" w:space="0" w:color="auto"/>
        <w:bottom w:val="none" w:sz="0" w:space="0" w:color="auto"/>
        <w:right w:val="none" w:sz="0" w:space="0" w:color="auto"/>
      </w:divBdr>
    </w:div>
    <w:div w:id="230385816">
      <w:bodyDiv w:val="1"/>
      <w:marLeft w:val="0"/>
      <w:marRight w:val="0"/>
      <w:marTop w:val="0"/>
      <w:marBottom w:val="0"/>
      <w:divBdr>
        <w:top w:val="none" w:sz="0" w:space="0" w:color="auto"/>
        <w:left w:val="none" w:sz="0" w:space="0" w:color="auto"/>
        <w:bottom w:val="none" w:sz="0" w:space="0" w:color="auto"/>
        <w:right w:val="none" w:sz="0" w:space="0" w:color="auto"/>
      </w:divBdr>
    </w:div>
    <w:div w:id="233662714">
      <w:bodyDiv w:val="1"/>
      <w:marLeft w:val="0"/>
      <w:marRight w:val="0"/>
      <w:marTop w:val="0"/>
      <w:marBottom w:val="0"/>
      <w:divBdr>
        <w:top w:val="none" w:sz="0" w:space="0" w:color="auto"/>
        <w:left w:val="none" w:sz="0" w:space="0" w:color="auto"/>
        <w:bottom w:val="none" w:sz="0" w:space="0" w:color="auto"/>
        <w:right w:val="none" w:sz="0" w:space="0" w:color="auto"/>
      </w:divBdr>
    </w:div>
    <w:div w:id="233710646">
      <w:bodyDiv w:val="1"/>
      <w:marLeft w:val="0"/>
      <w:marRight w:val="0"/>
      <w:marTop w:val="0"/>
      <w:marBottom w:val="0"/>
      <w:divBdr>
        <w:top w:val="none" w:sz="0" w:space="0" w:color="auto"/>
        <w:left w:val="none" w:sz="0" w:space="0" w:color="auto"/>
        <w:bottom w:val="none" w:sz="0" w:space="0" w:color="auto"/>
        <w:right w:val="none" w:sz="0" w:space="0" w:color="auto"/>
      </w:divBdr>
    </w:div>
    <w:div w:id="233784296">
      <w:bodyDiv w:val="1"/>
      <w:marLeft w:val="0"/>
      <w:marRight w:val="0"/>
      <w:marTop w:val="0"/>
      <w:marBottom w:val="0"/>
      <w:divBdr>
        <w:top w:val="none" w:sz="0" w:space="0" w:color="auto"/>
        <w:left w:val="none" w:sz="0" w:space="0" w:color="auto"/>
        <w:bottom w:val="none" w:sz="0" w:space="0" w:color="auto"/>
        <w:right w:val="none" w:sz="0" w:space="0" w:color="auto"/>
      </w:divBdr>
    </w:div>
    <w:div w:id="233856449">
      <w:bodyDiv w:val="1"/>
      <w:marLeft w:val="0"/>
      <w:marRight w:val="0"/>
      <w:marTop w:val="0"/>
      <w:marBottom w:val="0"/>
      <w:divBdr>
        <w:top w:val="none" w:sz="0" w:space="0" w:color="auto"/>
        <w:left w:val="none" w:sz="0" w:space="0" w:color="auto"/>
        <w:bottom w:val="none" w:sz="0" w:space="0" w:color="auto"/>
        <w:right w:val="none" w:sz="0" w:space="0" w:color="auto"/>
      </w:divBdr>
    </w:div>
    <w:div w:id="234315944">
      <w:bodyDiv w:val="1"/>
      <w:marLeft w:val="0"/>
      <w:marRight w:val="0"/>
      <w:marTop w:val="0"/>
      <w:marBottom w:val="0"/>
      <w:divBdr>
        <w:top w:val="none" w:sz="0" w:space="0" w:color="auto"/>
        <w:left w:val="none" w:sz="0" w:space="0" w:color="auto"/>
        <w:bottom w:val="none" w:sz="0" w:space="0" w:color="auto"/>
        <w:right w:val="none" w:sz="0" w:space="0" w:color="auto"/>
      </w:divBdr>
    </w:div>
    <w:div w:id="235672762">
      <w:bodyDiv w:val="1"/>
      <w:marLeft w:val="0"/>
      <w:marRight w:val="0"/>
      <w:marTop w:val="0"/>
      <w:marBottom w:val="0"/>
      <w:divBdr>
        <w:top w:val="none" w:sz="0" w:space="0" w:color="auto"/>
        <w:left w:val="none" w:sz="0" w:space="0" w:color="auto"/>
        <w:bottom w:val="none" w:sz="0" w:space="0" w:color="auto"/>
        <w:right w:val="none" w:sz="0" w:space="0" w:color="auto"/>
      </w:divBdr>
    </w:div>
    <w:div w:id="237137033">
      <w:bodyDiv w:val="1"/>
      <w:marLeft w:val="0"/>
      <w:marRight w:val="0"/>
      <w:marTop w:val="0"/>
      <w:marBottom w:val="0"/>
      <w:divBdr>
        <w:top w:val="none" w:sz="0" w:space="0" w:color="auto"/>
        <w:left w:val="none" w:sz="0" w:space="0" w:color="auto"/>
        <w:bottom w:val="none" w:sz="0" w:space="0" w:color="auto"/>
        <w:right w:val="none" w:sz="0" w:space="0" w:color="auto"/>
      </w:divBdr>
    </w:div>
    <w:div w:id="237206640">
      <w:bodyDiv w:val="1"/>
      <w:marLeft w:val="0"/>
      <w:marRight w:val="0"/>
      <w:marTop w:val="0"/>
      <w:marBottom w:val="0"/>
      <w:divBdr>
        <w:top w:val="none" w:sz="0" w:space="0" w:color="auto"/>
        <w:left w:val="none" w:sz="0" w:space="0" w:color="auto"/>
        <w:bottom w:val="none" w:sz="0" w:space="0" w:color="auto"/>
        <w:right w:val="none" w:sz="0" w:space="0" w:color="auto"/>
      </w:divBdr>
    </w:div>
    <w:div w:id="237596886">
      <w:bodyDiv w:val="1"/>
      <w:marLeft w:val="0"/>
      <w:marRight w:val="0"/>
      <w:marTop w:val="0"/>
      <w:marBottom w:val="0"/>
      <w:divBdr>
        <w:top w:val="none" w:sz="0" w:space="0" w:color="auto"/>
        <w:left w:val="none" w:sz="0" w:space="0" w:color="auto"/>
        <w:bottom w:val="none" w:sz="0" w:space="0" w:color="auto"/>
        <w:right w:val="none" w:sz="0" w:space="0" w:color="auto"/>
      </w:divBdr>
    </w:div>
    <w:div w:id="237597207">
      <w:bodyDiv w:val="1"/>
      <w:marLeft w:val="0"/>
      <w:marRight w:val="0"/>
      <w:marTop w:val="0"/>
      <w:marBottom w:val="0"/>
      <w:divBdr>
        <w:top w:val="none" w:sz="0" w:space="0" w:color="auto"/>
        <w:left w:val="none" w:sz="0" w:space="0" w:color="auto"/>
        <w:bottom w:val="none" w:sz="0" w:space="0" w:color="auto"/>
        <w:right w:val="none" w:sz="0" w:space="0" w:color="auto"/>
      </w:divBdr>
    </w:div>
    <w:div w:id="237635793">
      <w:bodyDiv w:val="1"/>
      <w:marLeft w:val="0"/>
      <w:marRight w:val="0"/>
      <w:marTop w:val="0"/>
      <w:marBottom w:val="0"/>
      <w:divBdr>
        <w:top w:val="none" w:sz="0" w:space="0" w:color="auto"/>
        <w:left w:val="none" w:sz="0" w:space="0" w:color="auto"/>
        <w:bottom w:val="none" w:sz="0" w:space="0" w:color="auto"/>
        <w:right w:val="none" w:sz="0" w:space="0" w:color="auto"/>
      </w:divBdr>
    </w:div>
    <w:div w:id="237715468">
      <w:bodyDiv w:val="1"/>
      <w:marLeft w:val="0"/>
      <w:marRight w:val="0"/>
      <w:marTop w:val="0"/>
      <w:marBottom w:val="0"/>
      <w:divBdr>
        <w:top w:val="none" w:sz="0" w:space="0" w:color="auto"/>
        <w:left w:val="none" w:sz="0" w:space="0" w:color="auto"/>
        <w:bottom w:val="none" w:sz="0" w:space="0" w:color="auto"/>
        <w:right w:val="none" w:sz="0" w:space="0" w:color="auto"/>
      </w:divBdr>
    </w:div>
    <w:div w:id="238029668">
      <w:bodyDiv w:val="1"/>
      <w:marLeft w:val="0"/>
      <w:marRight w:val="0"/>
      <w:marTop w:val="0"/>
      <w:marBottom w:val="0"/>
      <w:divBdr>
        <w:top w:val="none" w:sz="0" w:space="0" w:color="auto"/>
        <w:left w:val="none" w:sz="0" w:space="0" w:color="auto"/>
        <w:bottom w:val="none" w:sz="0" w:space="0" w:color="auto"/>
        <w:right w:val="none" w:sz="0" w:space="0" w:color="auto"/>
      </w:divBdr>
    </w:div>
    <w:div w:id="239215929">
      <w:bodyDiv w:val="1"/>
      <w:marLeft w:val="0"/>
      <w:marRight w:val="0"/>
      <w:marTop w:val="0"/>
      <w:marBottom w:val="0"/>
      <w:divBdr>
        <w:top w:val="none" w:sz="0" w:space="0" w:color="auto"/>
        <w:left w:val="none" w:sz="0" w:space="0" w:color="auto"/>
        <w:bottom w:val="none" w:sz="0" w:space="0" w:color="auto"/>
        <w:right w:val="none" w:sz="0" w:space="0" w:color="auto"/>
      </w:divBdr>
    </w:div>
    <w:div w:id="240873778">
      <w:bodyDiv w:val="1"/>
      <w:marLeft w:val="0"/>
      <w:marRight w:val="0"/>
      <w:marTop w:val="0"/>
      <w:marBottom w:val="0"/>
      <w:divBdr>
        <w:top w:val="none" w:sz="0" w:space="0" w:color="auto"/>
        <w:left w:val="none" w:sz="0" w:space="0" w:color="auto"/>
        <w:bottom w:val="none" w:sz="0" w:space="0" w:color="auto"/>
        <w:right w:val="none" w:sz="0" w:space="0" w:color="auto"/>
      </w:divBdr>
    </w:div>
    <w:div w:id="241330186">
      <w:bodyDiv w:val="1"/>
      <w:marLeft w:val="0"/>
      <w:marRight w:val="0"/>
      <w:marTop w:val="0"/>
      <w:marBottom w:val="0"/>
      <w:divBdr>
        <w:top w:val="none" w:sz="0" w:space="0" w:color="auto"/>
        <w:left w:val="none" w:sz="0" w:space="0" w:color="auto"/>
        <w:bottom w:val="none" w:sz="0" w:space="0" w:color="auto"/>
        <w:right w:val="none" w:sz="0" w:space="0" w:color="auto"/>
      </w:divBdr>
    </w:div>
    <w:div w:id="241791528">
      <w:bodyDiv w:val="1"/>
      <w:marLeft w:val="0"/>
      <w:marRight w:val="0"/>
      <w:marTop w:val="0"/>
      <w:marBottom w:val="0"/>
      <w:divBdr>
        <w:top w:val="none" w:sz="0" w:space="0" w:color="auto"/>
        <w:left w:val="none" w:sz="0" w:space="0" w:color="auto"/>
        <w:bottom w:val="none" w:sz="0" w:space="0" w:color="auto"/>
        <w:right w:val="none" w:sz="0" w:space="0" w:color="auto"/>
      </w:divBdr>
    </w:div>
    <w:div w:id="245383021">
      <w:bodyDiv w:val="1"/>
      <w:marLeft w:val="0"/>
      <w:marRight w:val="0"/>
      <w:marTop w:val="0"/>
      <w:marBottom w:val="0"/>
      <w:divBdr>
        <w:top w:val="none" w:sz="0" w:space="0" w:color="auto"/>
        <w:left w:val="none" w:sz="0" w:space="0" w:color="auto"/>
        <w:bottom w:val="none" w:sz="0" w:space="0" w:color="auto"/>
        <w:right w:val="none" w:sz="0" w:space="0" w:color="auto"/>
      </w:divBdr>
    </w:div>
    <w:div w:id="245655120">
      <w:bodyDiv w:val="1"/>
      <w:marLeft w:val="0"/>
      <w:marRight w:val="0"/>
      <w:marTop w:val="0"/>
      <w:marBottom w:val="0"/>
      <w:divBdr>
        <w:top w:val="none" w:sz="0" w:space="0" w:color="auto"/>
        <w:left w:val="none" w:sz="0" w:space="0" w:color="auto"/>
        <w:bottom w:val="none" w:sz="0" w:space="0" w:color="auto"/>
        <w:right w:val="none" w:sz="0" w:space="0" w:color="auto"/>
      </w:divBdr>
    </w:div>
    <w:div w:id="247006877">
      <w:bodyDiv w:val="1"/>
      <w:marLeft w:val="0"/>
      <w:marRight w:val="0"/>
      <w:marTop w:val="0"/>
      <w:marBottom w:val="0"/>
      <w:divBdr>
        <w:top w:val="none" w:sz="0" w:space="0" w:color="auto"/>
        <w:left w:val="none" w:sz="0" w:space="0" w:color="auto"/>
        <w:bottom w:val="none" w:sz="0" w:space="0" w:color="auto"/>
        <w:right w:val="none" w:sz="0" w:space="0" w:color="auto"/>
      </w:divBdr>
    </w:div>
    <w:div w:id="247429763">
      <w:bodyDiv w:val="1"/>
      <w:marLeft w:val="0"/>
      <w:marRight w:val="0"/>
      <w:marTop w:val="0"/>
      <w:marBottom w:val="0"/>
      <w:divBdr>
        <w:top w:val="none" w:sz="0" w:space="0" w:color="auto"/>
        <w:left w:val="none" w:sz="0" w:space="0" w:color="auto"/>
        <w:bottom w:val="none" w:sz="0" w:space="0" w:color="auto"/>
        <w:right w:val="none" w:sz="0" w:space="0" w:color="auto"/>
      </w:divBdr>
    </w:div>
    <w:div w:id="247932065">
      <w:bodyDiv w:val="1"/>
      <w:marLeft w:val="0"/>
      <w:marRight w:val="0"/>
      <w:marTop w:val="0"/>
      <w:marBottom w:val="0"/>
      <w:divBdr>
        <w:top w:val="none" w:sz="0" w:space="0" w:color="auto"/>
        <w:left w:val="none" w:sz="0" w:space="0" w:color="auto"/>
        <w:bottom w:val="none" w:sz="0" w:space="0" w:color="auto"/>
        <w:right w:val="none" w:sz="0" w:space="0" w:color="auto"/>
      </w:divBdr>
    </w:div>
    <w:div w:id="248933212">
      <w:bodyDiv w:val="1"/>
      <w:marLeft w:val="0"/>
      <w:marRight w:val="0"/>
      <w:marTop w:val="0"/>
      <w:marBottom w:val="0"/>
      <w:divBdr>
        <w:top w:val="none" w:sz="0" w:space="0" w:color="auto"/>
        <w:left w:val="none" w:sz="0" w:space="0" w:color="auto"/>
        <w:bottom w:val="none" w:sz="0" w:space="0" w:color="auto"/>
        <w:right w:val="none" w:sz="0" w:space="0" w:color="auto"/>
      </w:divBdr>
    </w:div>
    <w:div w:id="248973351">
      <w:bodyDiv w:val="1"/>
      <w:marLeft w:val="0"/>
      <w:marRight w:val="0"/>
      <w:marTop w:val="0"/>
      <w:marBottom w:val="0"/>
      <w:divBdr>
        <w:top w:val="none" w:sz="0" w:space="0" w:color="auto"/>
        <w:left w:val="none" w:sz="0" w:space="0" w:color="auto"/>
        <w:bottom w:val="none" w:sz="0" w:space="0" w:color="auto"/>
        <w:right w:val="none" w:sz="0" w:space="0" w:color="auto"/>
      </w:divBdr>
    </w:div>
    <w:div w:id="249197064">
      <w:bodyDiv w:val="1"/>
      <w:marLeft w:val="0"/>
      <w:marRight w:val="0"/>
      <w:marTop w:val="0"/>
      <w:marBottom w:val="0"/>
      <w:divBdr>
        <w:top w:val="none" w:sz="0" w:space="0" w:color="auto"/>
        <w:left w:val="none" w:sz="0" w:space="0" w:color="auto"/>
        <w:bottom w:val="none" w:sz="0" w:space="0" w:color="auto"/>
        <w:right w:val="none" w:sz="0" w:space="0" w:color="auto"/>
      </w:divBdr>
    </w:div>
    <w:div w:id="250358136">
      <w:bodyDiv w:val="1"/>
      <w:marLeft w:val="0"/>
      <w:marRight w:val="0"/>
      <w:marTop w:val="0"/>
      <w:marBottom w:val="0"/>
      <w:divBdr>
        <w:top w:val="none" w:sz="0" w:space="0" w:color="auto"/>
        <w:left w:val="none" w:sz="0" w:space="0" w:color="auto"/>
        <w:bottom w:val="none" w:sz="0" w:space="0" w:color="auto"/>
        <w:right w:val="none" w:sz="0" w:space="0" w:color="auto"/>
      </w:divBdr>
    </w:div>
    <w:div w:id="252445652">
      <w:bodyDiv w:val="1"/>
      <w:marLeft w:val="0"/>
      <w:marRight w:val="0"/>
      <w:marTop w:val="0"/>
      <w:marBottom w:val="0"/>
      <w:divBdr>
        <w:top w:val="none" w:sz="0" w:space="0" w:color="auto"/>
        <w:left w:val="none" w:sz="0" w:space="0" w:color="auto"/>
        <w:bottom w:val="none" w:sz="0" w:space="0" w:color="auto"/>
        <w:right w:val="none" w:sz="0" w:space="0" w:color="auto"/>
      </w:divBdr>
    </w:div>
    <w:div w:id="253365885">
      <w:bodyDiv w:val="1"/>
      <w:marLeft w:val="0"/>
      <w:marRight w:val="0"/>
      <w:marTop w:val="0"/>
      <w:marBottom w:val="0"/>
      <w:divBdr>
        <w:top w:val="none" w:sz="0" w:space="0" w:color="auto"/>
        <w:left w:val="none" w:sz="0" w:space="0" w:color="auto"/>
        <w:bottom w:val="none" w:sz="0" w:space="0" w:color="auto"/>
        <w:right w:val="none" w:sz="0" w:space="0" w:color="auto"/>
      </w:divBdr>
    </w:div>
    <w:div w:id="256599874">
      <w:bodyDiv w:val="1"/>
      <w:marLeft w:val="0"/>
      <w:marRight w:val="0"/>
      <w:marTop w:val="0"/>
      <w:marBottom w:val="0"/>
      <w:divBdr>
        <w:top w:val="none" w:sz="0" w:space="0" w:color="auto"/>
        <w:left w:val="none" w:sz="0" w:space="0" w:color="auto"/>
        <w:bottom w:val="none" w:sz="0" w:space="0" w:color="auto"/>
        <w:right w:val="none" w:sz="0" w:space="0" w:color="auto"/>
      </w:divBdr>
    </w:div>
    <w:div w:id="257644942">
      <w:bodyDiv w:val="1"/>
      <w:marLeft w:val="0"/>
      <w:marRight w:val="0"/>
      <w:marTop w:val="0"/>
      <w:marBottom w:val="0"/>
      <w:divBdr>
        <w:top w:val="none" w:sz="0" w:space="0" w:color="auto"/>
        <w:left w:val="none" w:sz="0" w:space="0" w:color="auto"/>
        <w:bottom w:val="none" w:sz="0" w:space="0" w:color="auto"/>
        <w:right w:val="none" w:sz="0" w:space="0" w:color="auto"/>
      </w:divBdr>
    </w:div>
    <w:div w:id="258106205">
      <w:bodyDiv w:val="1"/>
      <w:marLeft w:val="0"/>
      <w:marRight w:val="0"/>
      <w:marTop w:val="0"/>
      <w:marBottom w:val="0"/>
      <w:divBdr>
        <w:top w:val="none" w:sz="0" w:space="0" w:color="auto"/>
        <w:left w:val="none" w:sz="0" w:space="0" w:color="auto"/>
        <w:bottom w:val="none" w:sz="0" w:space="0" w:color="auto"/>
        <w:right w:val="none" w:sz="0" w:space="0" w:color="auto"/>
      </w:divBdr>
    </w:div>
    <w:div w:id="258606129">
      <w:bodyDiv w:val="1"/>
      <w:marLeft w:val="0"/>
      <w:marRight w:val="0"/>
      <w:marTop w:val="0"/>
      <w:marBottom w:val="0"/>
      <w:divBdr>
        <w:top w:val="none" w:sz="0" w:space="0" w:color="auto"/>
        <w:left w:val="none" w:sz="0" w:space="0" w:color="auto"/>
        <w:bottom w:val="none" w:sz="0" w:space="0" w:color="auto"/>
        <w:right w:val="none" w:sz="0" w:space="0" w:color="auto"/>
      </w:divBdr>
    </w:div>
    <w:div w:id="258947169">
      <w:bodyDiv w:val="1"/>
      <w:marLeft w:val="0"/>
      <w:marRight w:val="0"/>
      <w:marTop w:val="0"/>
      <w:marBottom w:val="0"/>
      <w:divBdr>
        <w:top w:val="none" w:sz="0" w:space="0" w:color="auto"/>
        <w:left w:val="none" w:sz="0" w:space="0" w:color="auto"/>
        <w:bottom w:val="none" w:sz="0" w:space="0" w:color="auto"/>
        <w:right w:val="none" w:sz="0" w:space="0" w:color="auto"/>
      </w:divBdr>
    </w:div>
    <w:div w:id="259415752">
      <w:bodyDiv w:val="1"/>
      <w:marLeft w:val="0"/>
      <w:marRight w:val="0"/>
      <w:marTop w:val="0"/>
      <w:marBottom w:val="0"/>
      <w:divBdr>
        <w:top w:val="none" w:sz="0" w:space="0" w:color="auto"/>
        <w:left w:val="none" w:sz="0" w:space="0" w:color="auto"/>
        <w:bottom w:val="none" w:sz="0" w:space="0" w:color="auto"/>
        <w:right w:val="none" w:sz="0" w:space="0" w:color="auto"/>
      </w:divBdr>
    </w:div>
    <w:div w:id="261570949">
      <w:bodyDiv w:val="1"/>
      <w:marLeft w:val="0"/>
      <w:marRight w:val="0"/>
      <w:marTop w:val="0"/>
      <w:marBottom w:val="0"/>
      <w:divBdr>
        <w:top w:val="none" w:sz="0" w:space="0" w:color="auto"/>
        <w:left w:val="none" w:sz="0" w:space="0" w:color="auto"/>
        <w:bottom w:val="none" w:sz="0" w:space="0" w:color="auto"/>
        <w:right w:val="none" w:sz="0" w:space="0" w:color="auto"/>
      </w:divBdr>
    </w:div>
    <w:div w:id="264850625">
      <w:bodyDiv w:val="1"/>
      <w:marLeft w:val="0"/>
      <w:marRight w:val="0"/>
      <w:marTop w:val="0"/>
      <w:marBottom w:val="0"/>
      <w:divBdr>
        <w:top w:val="none" w:sz="0" w:space="0" w:color="auto"/>
        <w:left w:val="none" w:sz="0" w:space="0" w:color="auto"/>
        <w:bottom w:val="none" w:sz="0" w:space="0" w:color="auto"/>
        <w:right w:val="none" w:sz="0" w:space="0" w:color="auto"/>
      </w:divBdr>
    </w:div>
    <w:div w:id="265235929">
      <w:bodyDiv w:val="1"/>
      <w:marLeft w:val="0"/>
      <w:marRight w:val="0"/>
      <w:marTop w:val="0"/>
      <w:marBottom w:val="0"/>
      <w:divBdr>
        <w:top w:val="none" w:sz="0" w:space="0" w:color="auto"/>
        <w:left w:val="none" w:sz="0" w:space="0" w:color="auto"/>
        <w:bottom w:val="none" w:sz="0" w:space="0" w:color="auto"/>
        <w:right w:val="none" w:sz="0" w:space="0" w:color="auto"/>
      </w:divBdr>
    </w:div>
    <w:div w:id="267393044">
      <w:bodyDiv w:val="1"/>
      <w:marLeft w:val="0"/>
      <w:marRight w:val="0"/>
      <w:marTop w:val="0"/>
      <w:marBottom w:val="0"/>
      <w:divBdr>
        <w:top w:val="none" w:sz="0" w:space="0" w:color="auto"/>
        <w:left w:val="none" w:sz="0" w:space="0" w:color="auto"/>
        <w:bottom w:val="none" w:sz="0" w:space="0" w:color="auto"/>
        <w:right w:val="none" w:sz="0" w:space="0" w:color="auto"/>
      </w:divBdr>
    </w:div>
    <w:div w:id="268195584">
      <w:bodyDiv w:val="1"/>
      <w:marLeft w:val="0"/>
      <w:marRight w:val="0"/>
      <w:marTop w:val="0"/>
      <w:marBottom w:val="0"/>
      <w:divBdr>
        <w:top w:val="none" w:sz="0" w:space="0" w:color="auto"/>
        <w:left w:val="none" w:sz="0" w:space="0" w:color="auto"/>
        <w:bottom w:val="none" w:sz="0" w:space="0" w:color="auto"/>
        <w:right w:val="none" w:sz="0" w:space="0" w:color="auto"/>
      </w:divBdr>
    </w:div>
    <w:div w:id="268709524">
      <w:bodyDiv w:val="1"/>
      <w:marLeft w:val="0"/>
      <w:marRight w:val="0"/>
      <w:marTop w:val="0"/>
      <w:marBottom w:val="0"/>
      <w:divBdr>
        <w:top w:val="none" w:sz="0" w:space="0" w:color="auto"/>
        <w:left w:val="none" w:sz="0" w:space="0" w:color="auto"/>
        <w:bottom w:val="none" w:sz="0" w:space="0" w:color="auto"/>
        <w:right w:val="none" w:sz="0" w:space="0" w:color="auto"/>
      </w:divBdr>
    </w:div>
    <w:div w:id="269317587">
      <w:bodyDiv w:val="1"/>
      <w:marLeft w:val="0"/>
      <w:marRight w:val="0"/>
      <w:marTop w:val="0"/>
      <w:marBottom w:val="0"/>
      <w:divBdr>
        <w:top w:val="none" w:sz="0" w:space="0" w:color="auto"/>
        <w:left w:val="none" w:sz="0" w:space="0" w:color="auto"/>
        <w:bottom w:val="none" w:sz="0" w:space="0" w:color="auto"/>
        <w:right w:val="none" w:sz="0" w:space="0" w:color="auto"/>
      </w:divBdr>
    </w:div>
    <w:div w:id="270743512">
      <w:bodyDiv w:val="1"/>
      <w:marLeft w:val="0"/>
      <w:marRight w:val="0"/>
      <w:marTop w:val="0"/>
      <w:marBottom w:val="0"/>
      <w:divBdr>
        <w:top w:val="none" w:sz="0" w:space="0" w:color="auto"/>
        <w:left w:val="none" w:sz="0" w:space="0" w:color="auto"/>
        <w:bottom w:val="none" w:sz="0" w:space="0" w:color="auto"/>
        <w:right w:val="none" w:sz="0" w:space="0" w:color="auto"/>
      </w:divBdr>
    </w:div>
    <w:div w:id="271086161">
      <w:bodyDiv w:val="1"/>
      <w:marLeft w:val="0"/>
      <w:marRight w:val="0"/>
      <w:marTop w:val="0"/>
      <w:marBottom w:val="0"/>
      <w:divBdr>
        <w:top w:val="none" w:sz="0" w:space="0" w:color="auto"/>
        <w:left w:val="none" w:sz="0" w:space="0" w:color="auto"/>
        <w:bottom w:val="none" w:sz="0" w:space="0" w:color="auto"/>
        <w:right w:val="none" w:sz="0" w:space="0" w:color="auto"/>
      </w:divBdr>
    </w:div>
    <w:div w:id="271477895">
      <w:bodyDiv w:val="1"/>
      <w:marLeft w:val="0"/>
      <w:marRight w:val="0"/>
      <w:marTop w:val="0"/>
      <w:marBottom w:val="0"/>
      <w:divBdr>
        <w:top w:val="none" w:sz="0" w:space="0" w:color="auto"/>
        <w:left w:val="none" w:sz="0" w:space="0" w:color="auto"/>
        <w:bottom w:val="none" w:sz="0" w:space="0" w:color="auto"/>
        <w:right w:val="none" w:sz="0" w:space="0" w:color="auto"/>
      </w:divBdr>
    </w:div>
    <w:div w:id="271936070">
      <w:bodyDiv w:val="1"/>
      <w:marLeft w:val="0"/>
      <w:marRight w:val="0"/>
      <w:marTop w:val="0"/>
      <w:marBottom w:val="0"/>
      <w:divBdr>
        <w:top w:val="none" w:sz="0" w:space="0" w:color="auto"/>
        <w:left w:val="none" w:sz="0" w:space="0" w:color="auto"/>
        <w:bottom w:val="none" w:sz="0" w:space="0" w:color="auto"/>
        <w:right w:val="none" w:sz="0" w:space="0" w:color="auto"/>
      </w:divBdr>
    </w:div>
    <w:div w:id="272783853">
      <w:bodyDiv w:val="1"/>
      <w:marLeft w:val="0"/>
      <w:marRight w:val="0"/>
      <w:marTop w:val="0"/>
      <w:marBottom w:val="0"/>
      <w:divBdr>
        <w:top w:val="none" w:sz="0" w:space="0" w:color="auto"/>
        <w:left w:val="none" w:sz="0" w:space="0" w:color="auto"/>
        <w:bottom w:val="none" w:sz="0" w:space="0" w:color="auto"/>
        <w:right w:val="none" w:sz="0" w:space="0" w:color="auto"/>
      </w:divBdr>
    </w:div>
    <w:div w:id="272908054">
      <w:bodyDiv w:val="1"/>
      <w:marLeft w:val="0"/>
      <w:marRight w:val="0"/>
      <w:marTop w:val="0"/>
      <w:marBottom w:val="0"/>
      <w:divBdr>
        <w:top w:val="none" w:sz="0" w:space="0" w:color="auto"/>
        <w:left w:val="none" w:sz="0" w:space="0" w:color="auto"/>
        <w:bottom w:val="none" w:sz="0" w:space="0" w:color="auto"/>
        <w:right w:val="none" w:sz="0" w:space="0" w:color="auto"/>
      </w:divBdr>
    </w:div>
    <w:div w:id="273482309">
      <w:bodyDiv w:val="1"/>
      <w:marLeft w:val="0"/>
      <w:marRight w:val="0"/>
      <w:marTop w:val="0"/>
      <w:marBottom w:val="0"/>
      <w:divBdr>
        <w:top w:val="none" w:sz="0" w:space="0" w:color="auto"/>
        <w:left w:val="none" w:sz="0" w:space="0" w:color="auto"/>
        <w:bottom w:val="none" w:sz="0" w:space="0" w:color="auto"/>
        <w:right w:val="none" w:sz="0" w:space="0" w:color="auto"/>
      </w:divBdr>
    </w:div>
    <w:div w:id="274944945">
      <w:bodyDiv w:val="1"/>
      <w:marLeft w:val="0"/>
      <w:marRight w:val="0"/>
      <w:marTop w:val="0"/>
      <w:marBottom w:val="0"/>
      <w:divBdr>
        <w:top w:val="none" w:sz="0" w:space="0" w:color="auto"/>
        <w:left w:val="none" w:sz="0" w:space="0" w:color="auto"/>
        <w:bottom w:val="none" w:sz="0" w:space="0" w:color="auto"/>
        <w:right w:val="none" w:sz="0" w:space="0" w:color="auto"/>
      </w:divBdr>
    </w:div>
    <w:div w:id="274992445">
      <w:bodyDiv w:val="1"/>
      <w:marLeft w:val="0"/>
      <w:marRight w:val="0"/>
      <w:marTop w:val="0"/>
      <w:marBottom w:val="0"/>
      <w:divBdr>
        <w:top w:val="none" w:sz="0" w:space="0" w:color="auto"/>
        <w:left w:val="none" w:sz="0" w:space="0" w:color="auto"/>
        <w:bottom w:val="none" w:sz="0" w:space="0" w:color="auto"/>
        <w:right w:val="none" w:sz="0" w:space="0" w:color="auto"/>
      </w:divBdr>
    </w:div>
    <w:div w:id="276790504">
      <w:bodyDiv w:val="1"/>
      <w:marLeft w:val="0"/>
      <w:marRight w:val="0"/>
      <w:marTop w:val="0"/>
      <w:marBottom w:val="0"/>
      <w:divBdr>
        <w:top w:val="none" w:sz="0" w:space="0" w:color="auto"/>
        <w:left w:val="none" w:sz="0" w:space="0" w:color="auto"/>
        <w:bottom w:val="none" w:sz="0" w:space="0" w:color="auto"/>
        <w:right w:val="none" w:sz="0" w:space="0" w:color="auto"/>
      </w:divBdr>
    </w:div>
    <w:div w:id="277027368">
      <w:bodyDiv w:val="1"/>
      <w:marLeft w:val="0"/>
      <w:marRight w:val="0"/>
      <w:marTop w:val="0"/>
      <w:marBottom w:val="0"/>
      <w:divBdr>
        <w:top w:val="none" w:sz="0" w:space="0" w:color="auto"/>
        <w:left w:val="none" w:sz="0" w:space="0" w:color="auto"/>
        <w:bottom w:val="none" w:sz="0" w:space="0" w:color="auto"/>
        <w:right w:val="none" w:sz="0" w:space="0" w:color="auto"/>
      </w:divBdr>
    </w:div>
    <w:div w:id="277377636">
      <w:bodyDiv w:val="1"/>
      <w:marLeft w:val="0"/>
      <w:marRight w:val="0"/>
      <w:marTop w:val="0"/>
      <w:marBottom w:val="0"/>
      <w:divBdr>
        <w:top w:val="none" w:sz="0" w:space="0" w:color="auto"/>
        <w:left w:val="none" w:sz="0" w:space="0" w:color="auto"/>
        <w:bottom w:val="none" w:sz="0" w:space="0" w:color="auto"/>
        <w:right w:val="none" w:sz="0" w:space="0" w:color="auto"/>
      </w:divBdr>
    </w:div>
    <w:div w:id="278680323">
      <w:bodyDiv w:val="1"/>
      <w:marLeft w:val="0"/>
      <w:marRight w:val="0"/>
      <w:marTop w:val="0"/>
      <w:marBottom w:val="0"/>
      <w:divBdr>
        <w:top w:val="none" w:sz="0" w:space="0" w:color="auto"/>
        <w:left w:val="none" w:sz="0" w:space="0" w:color="auto"/>
        <w:bottom w:val="none" w:sz="0" w:space="0" w:color="auto"/>
        <w:right w:val="none" w:sz="0" w:space="0" w:color="auto"/>
      </w:divBdr>
    </w:div>
    <w:div w:id="280454843">
      <w:bodyDiv w:val="1"/>
      <w:marLeft w:val="0"/>
      <w:marRight w:val="0"/>
      <w:marTop w:val="0"/>
      <w:marBottom w:val="0"/>
      <w:divBdr>
        <w:top w:val="none" w:sz="0" w:space="0" w:color="auto"/>
        <w:left w:val="none" w:sz="0" w:space="0" w:color="auto"/>
        <w:bottom w:val="none" w:sz="0" w:space="0" w:color="auto"/>
        <w:right w:val="none" w:sz="0" w:space="0" w:color="auto"/>
      </w:divBdr>
    </w:div>
    <w:div w:id="280889162">
      <w:bodyDiv w:val="1"/>
      <w:marLeft w:val="0"/>
      <w:marRight w:val="0"/>
      <w:marTop w:val="0"/>
      <w:marBottom w:val="0"/>
      <w:divBdr>
        <w:top w:val="none" w:sz="0" w:space="0" w:color="auto"/>
        <w:left w:val="none" w:sz="0" w:space="0" w:color="auto"/>
        <w:bottom w:val="none" w:sz="0" w:space="0" w:color="auto"/>
        <w:right w:val="none" w:sz="0" w:space="0" w:color="auto"/>
      </w:divBdr>
    </w:div>
    <w:div w:id="282541179">
      <w:bodyDiv w:val="1"/>
      <w:marLeft w:val="0"/>
      <w:marRight w:val="0"/>
      <w:marTop w:val="0"/>
      <w:marBottom w:val="0"/>
      <w:divBdr>
        <w:top w:val="none" w:sz="0" w:space="0" w:color="auto"/>
        <w:left w:val="none" w:sz="0" w:space="0" w:color="auto"/>
        <w:bottom w:val="none" w:sz="0" w:space="0" w:color="auto"/>
        <w:right w:val="none" w:sz="0" w:space="0" w:color="auto"/>
      </w:divBdr>
    </w:div>
    <w:div w:id="282809632">
      <w:bodyDiv w:val="1"/>
      <w:marLeft w:val="0"/>
      <w:marRight w:val="0"/>
      <w:marTop w:val="0"/>
      <w:marBottom w:val="0"/>
      <w:divBdr>
        <w:top w:val="none" w:sz="0" w:space="0" w:color="auto"/>
        <w:left w:val="none" w:sz="0" w:space="0" w:color="auto"/>
        <w:bottom w:val="none" w:sz="0" w:space="0" w:color="auto"/>
        <w:right w:val="none" w:sz="0" w:space="0" w:color="auto"/>
      </w:divBdr>
    </w:div>
    <w:div w:id="282931473">
      <w:bodyDiv w:val="1"/>
      <w:marLeft w:val="0"/>
      <w:marRight w:val="0"/>
      <w:marTop w:val="0"/>
      <w:marBottom w:val="0"/>
      <w:divBdr>
        <w:top w:val="none" w:sz="0" w:space="0" w:color="auto"/>
        <w:left w:val="none" w:sz="0" w:space="0" w:color="auto"/>
        <w:bottom w:val="none" w:sz="0" w:space="0" w:color="auto"/>
        <w:right w:val="none" w:sz="0" w:space="0" w:color="auto"/>
      </w:divBdr>
    </w:div>
    <w:div w:id="283581307">
      <w:bodyDiv w:val="1"/>
      <w:marLeft w:val="0"/>
      <w:marRight w:val="0"/>
      <w:marTop w:val="0"/>
      <w:marBottom w:val="0"/>
      <w:divBdr>
        <w:top w:val="none" w:sz="0" w:space="0" w:color="auto"/>
        <w:left w:val="none" w:sz="0" w:space="0" w:color="auto"/>
        <w:bottom w:val="none" w:sz="0" w:space="0" w:color="auto"/>
        <w:right w:val="none" w:sz="0" w:space="0" w:color="auto"/>
      </w:divBdr>
    </w:div>
    <w:div w:id="284192788">
      <w:bodyDiv w:val="1"/>
      <w:marLeft w:val="0"/>
      <w:marRight w:val="0"/>
      <w:marTop w:val="0"/>
      <w:marBottom w:val="0"/>
      <w:divBdr>
        <w:top w:val="none" w:sz="0" w:space="0" w:color="auto"/>
        <w:left w:val="none" w:sz="0" w:space="0" w:color="auto"/>
        <w:bottom w:val="none" w:sz="0" w:space="0" w:color="auto"/>
        <w:right w:val="none" w:sz="0" w:space="0" w:color="auto"/>
      </w:divBdr>
    </w:div>
    <w:div w:id="285045256">
      <w:bodyDiv w:val="1"/>
      <w:marLeft w:val="0"/>
      <w:marRight w:val="0"/>
      <w:marTop w:val="0"/>
      <w:marBottom w:val="0"/>
      <w:divBdr>
        <w:top w:val="none" w:sz="0" w:space="0" w:color="auto"/>
        <w:left w:val="none" w:sz="0" w:space="0" w:color="auto"/>
        <w:bottom w:val="none" w:sz="0" w:space="0" w:color="auto"/>
        <w:right w:val="none" w:sz="0" w:space="0" w:color="auto"/>
      </w:divBdr>
    </w:div>
    <w:div w:id="287589299">
      <w:bodyDiv w:val="1"/>
      <w:marLeft w:val="0"/>
      <w:marRight w:val="0"/>
      <w:marTop w:val="0"/>
      <w:marBottom w:val="0"/>
      <w:divBdr>
        <w:top w:val="none" w:sz="0" w:space="0" w:color="auto"/>
        <w:left w:val="none" w:sz="0" w:space="0" w:color="auto"/>
        <w:bottom w:val="none" w:sz="0" w:space="0" w:color="auto"/>
        <w:right w:val="none" w:sz="0" w:space="0" w:color="auto"/>
      </w:divBdr>
    </w:div>
    <w:div w:id="288361584">
      <w:bodyDiv w:val="1"/>
      <w:marLeft w:val="0"/>
      <w:marRight w:val="0"/>
      <w:marTop w:val="0"/>
      <w:marBottom w:val="0"/>
      <w:divBdr>
        <w:top w:val="none" w:sz="0" w:space="0" w:color="auto"/>
        <w:left w:val="none" w:sz="0" w:space="0" w:color="auto"/>
        <w:bottom w:val="none" w:sz="0" w:space="0" w:color="auto"/>
        <w:right w:val="none" w:sz="0" w:space="0" w:color="auto"/>
      </w:divBdr>
    </w:div>
    <w:div w:id="288516197">
      <w:bodyDiv w:val="1"/>
      <w:marLeft w:val="0"/>
      <w:marRight w:val="0"/>
      <w:marTop w:val="0"/>
      <w:marBottom w:val="0"/>
      <w:divBdr>
        <w:top w:val="none" w:sz="0" w:space="0" w:color="auto"/>
        <w:left w:val="none" w:sz="0" w:space="0" w:color="auto"/>
        <w:bottom w:val="none" w:sz="0" w:space="0" w:color="auto"/>
        <w:right w:val="none" w:sz="0" w:space="0" w:color="auto"/>
      </w:divBdr>
    </w:div>
    <w:div w:id="289365828">
      <w:bodyDiv w:val="1"/>
      <w:marLeft w:val="0"/>
      <w:marRight w:val="0"/>
      <w:marTop w:val="0"/>
      <w:marBottom w:val="0"/>
      <w:divBdr>
        <w:top w:val="none" w:sz="0" w:space="0" w:color="auto"/>
        <w:left w:val="none" w:sz="0" w:space="0" w:color="auto"/>
        <w:bottom w:val="none" w:sz="0" w:space="0" w:color="auto"/>
        <w:right w:val="none" w:sz="0" w:space="0" w:color="auto"/>
      </w:divBdr>
    </w:div>
    <w:div w:id="289478406">
      <w:bodyDiv w:val="1"/>
      <w:marLeft w:val="0"/>
      <w:marRight w:val="0"/>
      <w:marTop w:val="0"/>
      <w:marBottom w:val="0"/>
      <w:divBdr>
        <w:top w:val="none" w:sz="0" w:space="0" w:color="auto"/>
        <w:left w:val="none" w:sz="0" w:space="0" w:color="auto"/>
        <w:bottom w:val="none" w:sz="0" w:space="0" w:color="auto"/>
        <w:right w:val="none" w:sz="0" w:space="0" w:color="auto"/>
      </w:divBdr>
    </w:div>
    <w:div w:id="290720085">
      <w:bodyDiv w:val="1"/>
      <w:marLeft w:val="0"/>
      <w:marRight w:val="0"/>
      <w:marTop w:val="0"/>
      <w:marBottom w:val="0"/>
      <w:divBdr>
        <w:top w:val="none" w:sz="0" w:space="0" w:color="auto"/>
        <w:left w:val="none" w:sz="0" w:space="0" w:color="auto"/>
        <w:bottom w:val="none" w:sz="0" w:space="0" w:color="auto"/>
        <w:right w:val="none" w:sz="0" w:space="0" w:color="auto"/>
      </w:divBdr>
    </w:div>
    <w:div w:id="291327759">
      <w:bodyDiv w:val="1"/>
      <w:marLeft w:val="0"/>
      <w:marRight w:val="0"/>
      <w:marTop w:val="0"/>
      <w:marBottom w:val="0"/>
      <w:divBdr>
        <w:top w:val="none" w:sz="0" w:space="0" w:color="auto"/>
        <w:left w:val="none" w:sz="0" w:space="0" w:color="auto"/>
        <w:bottom w:val="none" w:sz="0" w:space="0" w:color="auto"/>
        <w:right w:val="none" w:sz="0" w:space="0" w:color="auto"/>
      </w:divBdr>
    </w:div>
    <w:div w:id="293414786">
      <w:bodyDiv w:val="1"/>
      <w:marLeft w:val="0"/>
      <w:marRight w:val="0"/>
      <w:marTop w:val="0"/>
      <w:marBottom w:val="0"/>
      <w:divBdr>
        <w:top w:val="none" w:sz="0" w:space="0" w:color="auto"/>
        <w:left w:val="none" w:sz="0" w:space="0" w:color="auto"/>
        <w:bottom w:val="none" w:sz="0" w:space="0" w:color="auto"/>
        <w:right w:val="none" w:sz="0" w:space="0" w:color="auto"/>
      </w:divBdr>
    </w:div>
    <w:div w:id="294261188">
      <w:bodyDiv w:val="1"/>
      <w:marLeft w:val="0"/>
      <w:marRight w:val="0"/>
      <w:marTop w:val="0"/>
      <w:marBottom w:val="0"/>
      <w:divBdr>
        <w:top w:val="none" w:sz="0" w:space="0" w:color="auto"/>
        <w:left w:val="none" w:sz="0" w:space="0" w:color="auto"/>
        <w:bottom w:val="none" w:sz="0" w:space="0" w:color="auto"/>
        <w:right w:val="none" w:sz="0" w:space="0" w:color="auto"/>
      </w:divBdr>
    </w:div>
    <w:div w:id="296837244">
      <w:bodyDiv w:val="1"/>
      <w:marLeft w:val="0"/>
      <w:marRight w:val="0"/>
      <w:marTop w:val="0"/>
      <w:marBottom w:val="0"/>
      <w:divBdr>
        <w:top w:val="none" w:sz="0" w:space="0" w:color="auto"/>
        <w:left w:val="none" w:sz="0" w:space="0" w:color="auto"/>
        <w:bottom w:val="none" w:sz="0" w:space="0" w:color="auto"/>
        <w:right w:val="none" w:sz="0" w:space="0" w:color="auto"/>
      </w:divBdr>
    </w:div>
    <w:div w:id="297297648">
      <w:bodyDiv w:val="1"/>
      <w:marLeft w:val="0"/>
      <w:marRight w:val="0"/>
      <w:marTop w:val="0"/>
      <w:marBottom w:val="0"/>
      <w:divBdr>
        <w:top w:val="none" w:sz="0" w:space="0" w:color="auto"/>
        <w:left w:val="none" w:sz="0" w:space="0" w:color="auto"/>
        <w:bottom w:val="none" w:sz="0" w:space="0" w:color="auto"/>
        <w:right w:val="none" w:sz="0" w:space="0" w:color="auto"/>
      </w:divBdr>
    </w:div>
    <w:div w:id="297953847">
      <w:bodyDiv w:val="1"/>
      <w:marLeft w:val="0"/>
      <w:marRight w:val="0"/>
      <w:marTop w:val="0"/>
      <w:marBottom w:val="0"/>
      <w:divBdr>
        <w:top w:val="none" w:sz="0" w:space="0" w:color="auto"/>
        <w:left w:val="none" w:sz="0" w:space="0" w:color="auto"/>
        <w:bottom w:val="none" w:sz="0" w:space="0" w:color="auto"/>
        <w:right w:val="none" w:sz="0" w:space="0" w:color="auto"/>
      </w:divBdr>
    </w:div>
    <w:div w:id="299262091">
      <w:bodyDiv w:val="1"/>
      <w:marLeft w:val="0"/>
      <w:marRight w:val="0"/>
      <w:marTop w:val="0"/>
      <w:marBottom w:val="0"/>
      <w:divBdr>
        <w:top w:val="none" w:sz="0" w:space="0" w:color="auto"/>
        <w:left w:val="none" w:sz="0" w:space="0" w:color="auto"/>
        <w:bottom w:val="none" w:sz="0" w:space="0" w:color="auto"/>
        <w:right w:val="none" w:sz="0" w:space="0" w:color="auto"/>
      </w:divBdr>
    </w:div>
    <w:div w:id="303975235">
      <w:bodyDiv w:val="1"/>
      <w:marLeft w:val="0"/>
      <w:marRight w:val="0"/>
      <w:marTop w:val="0"/>
      <w:marBottom w:val="0"/>
      <w:divBdr>
        <w:top w:val="none" w:sz="0" w:space="0" w:color="auto"/>
        <w:left w:val="none" w:sz="0" w:space="0" w:color="auto"/>
        <w:bottom w:val="none" w:sz="0" w:space="0" w:color="auto"/>
        <w:right w:val="none" w:sz="0" w:space="0" w:color="auto"/>
      </w:divBdr>
    </w:div>
    <w:div w:id="307131174">
      <w:bodyDiv w:val="1"/>
      <w:marLeft w:val="0"/>
      <w:marRight w:val="0"/>
      <w:marTop w:val="0"/>
      <w:marBottom w:val="0"/>
      <w:divBdr>
        <w:top w:val="none" w:sz="0" w:space="0" w:color="auto"/>
        <w:left w:val="none" w:sz="0" w:space="0" w:color="auto"/>
        <w:bottom w:val="none" w:sz="0" w:space="0" w:color="auto"/>
        <w:right w:val="none" w:sz="0" w:space="0" w:color="auto"/>
      </w:divBdr>
    </w:div>
    <w:div w:id="307173551">
      <w:bodyDiv w:val="1"/>
      <w:marLeft w:val="0"/>
      <w:marRight w:val="0"/>
      <w:marTop w:val="0"/>
      <w:marBottom w:val="0"/>
      <w:divBdr>
        <w:top w:val="none" w:sz="0" w:space="0" w:color="auto"/>
        <w:left w:val="none" w:sz="0" w:space="0" w:color="auto"/>
        <w:bottom w:val="none" w:sz="0" w:space="0" w:color="auto"/>
        <w:right w:val="none" w:sz="0" w:space="0" w:color="auto"/>
      </w:divBdr>
    </w:div>
    <w:div w:id="308362788">
      <w:bodyDiv w:val="1"/>
      <w:marLeft w:val="0"/>
      <w:marRight w:val="0"/>
      <w:marTop w:val="0"/>
      <w:marBottom w:val="0"/>
      <w:divBdr>
        <w:top w:val="none" w:sz="0" w:space="0" w:color="auto"/>
        <w:left w:val="none" w:sz="0" w:space="0" w:color="auto"/>
        <w:bottom w:val="none" w:sz="0" w:space="0" w:color="auto"/>
        <w:right w:val="none" w:sz="0" w:space="0" w:color="auto"/>
      </w:divBdr>
    </w:div>
    <w:div w:id="308676802">
      <w:bodyDiv w:val="1"/>
      <w:marLeft w:val="0"/>
      <w:marRight w:val="0"/>
      <w:marTop w:val="0"/>
      <w:marBottom w:val="0"/>
      <w:divBdr>
        <w:top w:val="none" w:sz="0" w:space="0" w:color="auto"/>
        <w:left w:val="none" w:sz="0" w:space="0" w:color="auto"/>
        <w:bottom w:val="none" w:sz="0" w:space="0" w:color="auto"/>
        <w:right w:val="none" w:sz="0" w:space="0" w:color="auto"/>
      </w:divBdr>
    </w:div>
    <w:div w:id="309024682">
      <w:bodyDiv w:val="1"/>
      <w:marLeft w:val="0"/>
      <w:marRight w:val="0"/>
      <w:marTop w:val="0"/>
      <w:marBottom w:val="0"/>
      <w:divBdr>
        <w:top w:val="none" w:sz="0" w:space="0" w:color="auto"/>
        <w:left w:val="none" w:sz="0" w:space="0" w:color="auto"/>
        <w:bottom w:val="none" w:sz="0" w:space="0" w:color="auto"/>
        <w:right w:val="none" w:sz="0" w:space="0" w:color="auto"/>
      </w:divBdr>
    </w:div>
    <w:div w:id="309526849">
      <w:bodyDiv w:val="1"/>
      <w:marLeft w:val="0"/>
      <w:marRight w:val="0"/>
      <w:marTop w:val="0"/>
      <w:marBottom w:val="0"/>
      <w:divBdr>
        <w:top w:val="none" w:sz="0" w:space="0" w:color="auto"/>
        <w:left w:val="none" w:sz="0" w:space="0" w:color="auto"/>
        <w:bottom w:val="none" w:sz="0" w:space="0" w:color="auto"/>
        <w:right w:val="none" w:sz="0" w:space="0" w:color="auto"/>
      </w:divBdr>
    </w:div>
    <w:div w:id="309987353">
      <w:bodyDiv w:val="1"/>
      <w:marLeft w:val="0"/>
      <w:marRight w:val="0"/>
      <w:marTop w:val="0"/>
      <w:marBottom w:val="0"/>
      <w:divBdr>
        <w:top w:val="none" w:sz="0" w:space="0" w:color="auto"/>
        <w:left w:val="none" w:sz="0" w:space="0" w:color="auto"/>
        <w:bottom w:val="none" w:sz="0" w:space="0" w:color="auto"/>
        <w:right w:val="none" w:sz="0" w:space="0" w:color="auto"/>
      </w:divBdr>
    </w:div>
    <w:div w:id="310135484">
      <w:bodyDiv w:val="1"/>
      <w:marLeft w:val="0"/>
      <w:marRight w:val="0"/>
      <w:marTop w:val="0"/>
      <w:marBottom w:val="0"/>
      <w:divBdr>
        <w:top w:val="none" w:sz="0" w:space="0" w:color="auto"/>
        <w:left w:val="none" w:sz="0" w:space="0" w:color="auto"/>
        <w:bottom w:val="none" w:sz="0" w:space="0" w:color="auto"/>
        <w:right w:val="none" w:sz="0" w:space="0" w:color="auto"/>
      </w:divBdr>
    </w:div>
    <w:div w:id="310401318">
      <w:bodyDiv w:val="1"/>
      <w:marLeft w:val="0"/>
      <w:marRight w:val="0"/>
      <w:marTop w:val="0"/>
      <w:marBottom w:val="0"/>
      <w:divBdr>
        <w:top w:val="none" w:sz="0" w:space="0" w:color="auto"/>
        <w:left w:val="none" w:sz="0" w:space="0" w:color="auto"/>
        <w:bottom w:val="none" w:sz="0" w:space="0" w:color="auto"/>
        <w:right w:val="none" w:sz="0" w:space="0" w:color="auto"/>
      </w:divBdr>
    </w:div>
    <w:div w:id="310444688">
      <w:bodyDiv w:val="1"/>
      <w:marLeft w:val="0"/>
      <w:marRight w:val="0"/>
      <w:marTop w:val="0"/>
      <w:marBottom w:val="0"/>
      <w:divBdr>
        <w:top w:val="none" w:sz="0" w:space="0" w:color="auto"/>
        <w:left w:val="none" w:sz="0" w:space="0" w:color="auto"/>
        <w:bottom w:val="none" w:sz="0" w:space="0" w:color="auto"/>
        <w:right w:val="none" w:sz="0" w:space="0" w:color="auto"/>
      </w:divBdr>
    </w:div>
    <w:div w:id="311251413">
      <w:bodyDiv w:val="1"/>
      <w:marLeft w:val="0"/>
      <w:marRight w:val="0"/>
      <w:marTop w:val="0"/>
      <w:marBottom w:val="0"/>
      <w:divBdr>
        <w:top w:val="none" w:sz="0" w:space="0" w:color="auto"/>
        <w:left w:val="none" w:sz="0" w:space="0" w:color="auto"/>
        <w:bottom w:val="none" w:sz="0" w:space="0" w:color="auto"/>
        <w:right w:val="none" w:sz="0" w:space="0" w:color="auto"/>
      </w:divBdr>
    </w:div>
    <w:div w:id="311983923">
      <w:bodyDiv w:val="1"/>
      <w:marLeft w:val="0"/>
      <w:marRight w:val="0"/>
      <w:marTop w:val="0"/>
      <w:marBottom w:val="0"/>
      <w:divBdr>
        <w:top w:val="none" w:sz="0" w:space="0" w:color="auto"/>
        <w:left w:val="none" w:sz="0" w:space="0" w:color="auto"/>
        <w:bottom w:val="none" w:sz="0" w:space="0" w:color="auto"/>
        <w:right w:val="none" w:sz="0" w:space="0" w:color="auto"/>
      </w:divBdr>
    </w:div>
    <w:div w:id="312487827">
      <w:bodyDiv w:val="1"/>
      <w:marLeft w:val="0"/>
      <w:marRight w:val="0"/>
      <w:marTop w:val="0"/>
      <w:marBottom w:val="0"/>
      <w:divBdr>
        <w:top w:val="none" w:sz="0" w:space="0" w:color="auto"/>
        <w:left w:val="none" w:sz="0" w:space="0" w:color="auto"/>
        <w:bottom w:val="none" w:sz="0" w:space="0" w:color="auto"/>
        <w:right w:val="none" w:sz="0" w:space="0" w:color="auto"/>
      </w:divBdr>
    </w:div>
    <w:div w:id="312757033">
      <w:bodyDiv w:val="1"/>
      <w:marLeft w:val="0"/>
      <w:marRight w:val="0"/>
      <w:marTop w:val="0"/>
      <w:marBottom w:val="0"/>
      <w:divBdr>
        <w:top w:val="none" w:sz="0" w:space="0" w:color="auto"/>
        <w:left w:val="none" w:sz="0" w:space="0" w:color="auto"/>
        <w:bottom w:val="none" w:sz="0" w:space="0" w:color="auto"/>
        <w:right w:val="none" w:sz="0" w:space="0" w:color="auto"/>
      </w:divBdr>
    </w:div>
    <w:div w:id="313797446">
      <w:bodyDiv w:val="1"/>
      <w:marLeft w:val="0"/>
      <w:marRight w:val="0"/>
      <w:marTop w:val="0"/>
      <w:marBottom w:val="0"/>
      <w:divBdr>
        <w:top w:val="none" w:sz="0" w:space="0" w:color="auto"/>
        <w:left w:val="none" w:sz="0" w:space="0" w:color="auto"/>
        <w:bottom w:val="none" w:sz="0" w:space="0" w:color="auto"/>
        <w:right w:val="none" w:sz="0" w:space="0" w:color="auto"/>
      </w:divBdr>
    </w:div>
    <w:div w:id="314531609">
      <w:bodyDiv w:val="1"/>
      <w:marLeft w:val="0"/>
      <w:marRight w:val="0"/>
      <w:marTop w:val="0"/>
      <w:marBottom w:val="0"/>
      <w:divBdr>
        <w:top w:val="none" w:sz="0" w:space="0" w:color="auto"/>
        <w:left w:val="none" w:sz="0" w:space="0" w:color="auto"/>
        <w:bottom w:val="none" w:sz="0" w:space="0" w:color="auto"/>
        <w:right w:val="none" w:sz="0" w:space="0" w:color="auto"/>
      </w:divBdr>
    </w:div>
    <w:div w:id="315379679">
      <w:bodyDiv w:val="1"/>
      <w:marLeft w:val="0"/>
      <w:marRight w:val="0"/>
      <w:marTop w:val="0"/>
      <w:marBottom w:val="0"/>
      <w:divBdr>
        <w:top w:val="none" w:sz="0" w:space="0" w:color="auto"/>
        <w:left w:val="none" w:sz="0" w:space="0" w:color="auto"/>
        <w:bottom w:val="none" w:sz="0" w:space="0" w:color="auto"/>
        <w:right w:val="none" w:sz="0" w:space="0" w:color="auto"/>
      </w:divBdr>
    </w:div>
    <w:div w:id="316080758">
      <w:bodyDiv w:val="1"/>
      <w:marLeft w:val="0"/>
      <w:marRight w:val="0"/>
      <w:marTop w:val="0"/>
      <w:marBottom w:val="0"/>
      <w:divBdr>
        <w:top w:val="none" w:sz="0" w:space="0" w:color="auto"/>
        <w:left w:val="none" w:sz="0" w:space="0" w:color="auto"/>
        <w:bottom w:val="none" w:sz="0" w:space="0" w:color="auto"/>
        <w:right w:val="none" w:sz="0" w:space="0" w:color="auto"/>
      </w:divBdr>
    </w:div>
    <w:div w:id="317878586">
      <w:bodyDiv w:val="1"/>
      <w:marLeft w:val="0"/>
      <w:marRight w:val="0"/>
      <w:marTop w:val="0"/>
      <w:marBottom w:val="0"/>
      <w:divBdr>
        <w:top w:val="none" w:sz="0" w:space="0" w:color="auto"/>
        <w:left w:val="none" w:sz="0" w:space="0" w:color="auto"/>
        <w:bottom w:val="none" w:sz="0" w:space="0" w:color="auto"/>
        <w:right w:val="none" w:sz="0" w:space="0" w:color="auto"/>
      </w:divBdr>
    </w:div>
    <w:div w:id="317996104">
      <w:bodyDiv w:val="1"/>
      <w:marLeft w:val="0"/>
      <w:marRight w:val="0"/>
      <w:marTop w:val="0"/>
      <w:marBottom w:val="0"/>
      <w:divBdr>
        <w:top w:val="none" w:sz="0" w:space="0" w:color="auto"/>
        <w:left w:val="none" w:sz="0" w:space="0" w:color="auto"/>
        <w:bottom w:val="none" w:sz="0" w:space="0" w:color="auto"/>
        <w:right w:val="none" w:sz="0" w:space="0" w:color="auto"/>
      </w:divBdr>
    </w:div>
    <w:div w:id="319432820">
      <w:bodyDiv w:val="1"/>
      <w:marLeft w:val="0"/>
      <w:marRight w:val="0"/>
      <w:marTop w:val="0"/>
      <w:marBottom w:val="0"/>
      <w:divBdr>
        <w:top w:val="none" w:sz="0" w:space="0" w:color="auto"/>
        <w:left w:val="none" w:sz="0" w:space="0" w:color="auto"/>
        <w:bottom w:val="none" w:sz="0" w:space="0" w:color="auto"/>
        <w:right w:val="none" w:sz="0" w:space="0" w:color="auto"/>
      </w:divBdr>
    </w:div>
    <w:div w:id="319578790">
      <w:bodyDiv w:val="1"/>
      <w:marLeft w:val="0"/>
      <w:marRight w:val="0"/>
      <w:marTop w:val="0"/>
      <w:marBottom w:val="0"/>
      <w:divBdr>
        <w:top w:val="none" w:sz="0" w:space="0" w:color="auto"/>
        <w:left w:val="none" w:sz="0" w:space="0" w:color="auto"/>
        <w:bottom w:val="none" w:sz="0" w:space="0" w:color="auto"/>
        <w:right w:val="none" w:sz="0" w:space="0" w:color="auto"/>
      </w:divBdr>
    </w:div>
    <w:div w:id="319891015">
      <w:bodyDiv w:val="1"/>
      <w:marLeft w:val="0"/>
      <w:marRight w:val="0"/>
      <w:marTop w:val="0"/>
      <w:marBottom w:val="0"/>
      <w:divBdr>
        <w:top w:val="none" w:sz="0" w:space="0" w:color="auto"/>
        <w:left w:val="none" w:sz="0" w:space="0" w:color="auto"/>
        <w:bottom w:val="none" w:sz="0" w:space="0" w:color="auto"/>
        <w:right w:val="none" w:sz="0" w:space="0" w:color="auto"/>
      </w:divBdr>
    </w:div>
    <w:div w:id="322048753">
      <w:bodyDiv w:val="1"/>
      <w:marLeft w:val="0"/>
      <w:marRight w:val="0"/>
      <w:marTop w:val="0"/>
      <w:marBottom w:val="0"/>
      <w:divBdr>
        <w:top w:val="none" w:sz="0" w:space="0" w:color="auto"/>
        <w:left w:val="none" w:sz="0" w:space="0" w:color="auto"/>
        <w:bottom w:val="none" w:sz="0" w:space="0" w:color="auto"/>
        <w:right w:val="none" w:sz="0" w:space="0" w:color="auto"/>
      </w:divBdr>
    </w:div>
    <w:div w:id="323826465">
      <w:bodyDiv w:val="1"/>
      <w:marLeft w:val="0"/>
      <w:marRight w:val="0"/>
      <w:marTop w:val="0"/>
      <w:marBottom w:val="0"/>
      <w:divBdr>
        <w:top w:val="none" w:sz="0" w:space="0" w:color="auto"/>
        <w:left w:val="none" w:sz="0" w:space="0" w:color="auto"/>
        <w:bottom w:val="none" w:sz="0" w:space="0" w:color="auto"/>
        <w:right w:val="none" w:sz="0" w:space="0" w:color="auto"/>
      </w:divBdr>
    </w:div>
    <w:div w:id="323827028">
      <w:bodyDiv w:val="1"/>
      <w:marLeft w:val="0"/>
      <w:marRight w:val="0"/>
      <w:marTop w:val="0"/>
      <w:marBottom w:val="0"/>
      <w:divBdr>
        <w:top w:val="none" w:sz="0" w:space="0" w:color="auto"/>
        <w:left w:val="none" w:sz="0" w:space="0" w:color="auto"/>
        <w:bottom w:val="none" w:sz="0" w:space="0" w:color="auto"/>
        <w:right w:val="none" w:sz="0" w:space="0" w:color="auto"/>
      </w:divBdr>
    </w:div>
    <w:div w:id="323973704">
      <w:bodyDiv w:val="1"/>
      <w:marLeft w:val="0"/>
      <w:marRight w:val="0"/>
      <w:marTop w:val="0"/>
      <w:marBottom w:val="0"/>
      <w:divBdr>
        <w:top w:val="none" w:sz="0" w:space="0" w:color="auto"/>
        <w:left w:val="none" w:sz="0" w:space="0" w:color="auto"/>
        <w:bottom w:val="none" w:sz="0" w:space="0" w:color="auto"/>
        <w:right w:val="none" w:sz="0" w:space="0" w:color="auto"/>
      </w:divBdr>
    </w:div>
    <w:div w:id="325399543">
      <w:bodyDiv w:val="1"/>
      <w:marLeft w:val="0"/>
      <w:marRight w:val="0"/>
      <w:marTop w:val="0"/>
      <w:marBottom w:val="0"/>
      <w:divBdr>
        <w:top w:val="none" w:sz="0" w:space="0" w:color="auto"/>
        <w:left w:val="none" w:sz="0" w:space="0" w:color="auto"/>
        <w:bottom w:val="none" w:sz="0" w:space="0" w:color="auto"/>
        <w:right w:val="none" w:sz="0" w:space="0" w:color="auto"/>
      </w:divBdr>
    </w:div>
    <w:div w:id="325940653">
      <w:bodyDiv w:val="1"/>
      <w:marLeft w:val="0"/>
      <w:marRight w:val="0"/>
      <w:marTop w:val="0"/>
      <w:marBottom w:val="0"/>
      <w:divBdr>
        <w:top w:val="none" w:sz="0" w:space="0" w:color="auto"/>
        <w:left w:val="none" w:sz="0" w:space="0" w:color="auto"/>
        <w:bottom w:val="none" w:sz="0" w:space="0" w:color="auto"/>
        <w:right w:val="none" w:sz="0" w:space="0" w:color="auto"/>
      </w:divBdr>
    </w:div>
    <w:div w:id="326442557">
      <w:bodyDiv w:val="1"/>
      <w:marLeft w:val="0"/>
      <w:marRight w:val="0"/>
      <w:marTop w:val="0"/>
      <w:marBottom w:val="0"/>
      <w:divBdr>
        <w:top w:val="none" w:sz="0" w:space="0" w:color="auto"/>
        <w:left w:val="none" w:sz="0" w:space="0" w:color="auto"/>
        <w:bottom w:val="none" w:sz="0" w:space="0" w:color="auto"/>
        <w:right w:val="none" w:sz="0" w:space="0" w:color="auto"/>
      </w:divBdr>
    </w:div>
    <w:div w:id="326634733">
      <w:bodyDiv w:val="1"/>
      <w:marLeft w:val="0"/>
      <w:marRight w:val="0"/>
      <w:marTop w:val="0"/>
      <w:marBottom w:val="0"/>
      <w:divBdr>
        <w:top w:val="none" w:sz="0" w:space="0" w:color="auto"/>
        <w:left w:val="none" w:sz="0" w:space="0" w:color="auto"/>
        <w:bottom w:val="none" w:sz="0" w:space="0" w:color="auto"/>
        <w:right w:val="none" w:sz="0" w:space="0" w:color="auto"/>
      </w:divBdr>
    </w:div>
    <w:div w:id="326712419">
      <w:bodyDiv w:val="1"/>
      <w:marLeft w:val="0"/>
      <w:marRight w:val="0"/>
      <w:marTop w:val="0"/>
      <w:marBottom w:val="0"/>
      <w:divBdr>
        <w:top w:val="none" w:sz="0" w:space="0" w:color="auto"/>
        <w:left w:val="none" w:sz="0" w:space="0" w:color="auto"/>
        <w:bottom w:val="none" w:sz="0" w:space="0" w:color="auto"/>
        <w:right w:val="none" w:sz="0" w:space="0" w:color="auto"/>
      </w:divBdr>
    </w:div>
    <w:div w:id="326828693">
      <w:bodyDiv w:val="1"/>
      <w:marLeft w:val="0"/>
      <w:marRight w:val="0"/>
      <w:marTop w:val="0"/>
      <w:marBottom w:val="0"/>
      <w:divBdr>
        <w:top w:val="none" w:sz="0" w:space="0" w:color="auto"/>
        <w:left w:val="none" w:sz="0" w:space="0" w:color="auto"/>
        <w:bottom w:val="none" w:sz="0" w:space="0" w:color="auto"/>
        <w:right w:val="none" w:sz="0" w:space="0" w:color="auto"/>
      </w:divBdr>
    </w:div>
    <w:div w:id="327830335">
      <w:bodyDiv w:val="1"/>
      <w:marLeft w:val="0"/>
      <w:marRight w:val="0"/>
      <w:marTop w:val="0"/>
      <w:marBottom w:val="0"/>
      <w:divBdr>
        <w:top w:val="none" w:sz="0" w:space="0" w:color="auto"/>
        <w:left w:val="none" w:sz="0" w:space="0" w:color="auto"/>
        <w:bottom w:val="none" w:sz="0" w:space="0" w:color="auto"/>
        <w:right w:val="none" w:sz="0" w:space="0" w:color="auto"/>
      </w:divBdr>
    </w:div>
    <w:div w:id="328826556">
      <w:bodyDiv w:val="1"/>
      <w:marLeft w:val="0"/>
      <w:marRight w:val="0"/>
      <w:marTop w:val="0"/>
      <w:marBottom w:val="0"/>
      <w:divBdr>
        <w:top w:val="none" w:sz="0" w:space="0" w:color="auto"/>
        <w:left w:val="none" w:sz="0" w:space="0" w:color="auto"/>
        <w:bottom w:val="none" w:sz="0" w:space="0" w:color="auto"/>
        <w:right w:val="none" w:sz="0" w:space="0" w:color="auto"/>
      </w:divBdr>
    </w:div>
    <w:div w:id="330061323">
      <w:bodyDiv w:val="1"/>
      <w:marLeft w:val="0"/>
      <w:marRight w:val="0"/>
      <w:marTop w:val="0"/>
      <w:marBottom w:val="0"/>
      <w:divBdr>
        <w:top w:val="none" w:sz="0" w:space="0" w:color="auto"/>
        <w:left w:val="none" w:sz="0" w:space="0" w:color="auto"/>
        <w:bottom w:val="none" w:sz="0" w:space="0" w:color="auto"/>
        <w:right w:val="none" w:sz="0" w:space="0" w:color="auto"/>
      </w:divBdr>
    </w:div>
    <w:div w:id="330760655">
      <w:bodyDiv w:val="1"/>
      <w:marLeft w:val="0"/>
      <w:marRight w:val="0"/>
      <w:marTop w:val="0"/>
      <w:marBottom w:val="0"/>
      <w:divBdr>
        <w:top w:val="none" w:sz="0" w:space="0" w:color="auto"/>
        <w:left w:val="none" w:sz="0" w:space="0" w:color="auto"/>
        <w:bottom w:val="none" w:sz="0" w:space="0" w:color="auto"/>
        <w:right w:val="none" w:sz="0" w:space="0" w:color="auto"/>
      </w:divBdr>
    </w:div>
    <w:div w:id="330958296">
      <w:bodyDiv w:val="1"/>
      <w:marLeft w:val="0"/>
      <w:marRight w:val="0"/>
      <w:marTop w:val="0"/>
      <w:marBottom w:val="0"/>
      <w:divBdr>
        <w:top w:val="none" w:sz="0" w:space="0" w:color="auto"/>
        <w:left w:val="none" w:sz="0" w:space="0" w:color="auto"/>
        <w:bottom w:val="none" w:sz="0" w:space="0" w:color="auto"/>
        <w:right w:val="none" w:sz="0" w:space="0" w:color="auto"/>
      </w:divBdr>
    </w:div>
    <w:div w:id="331612667">
      <w:bodyDiv w:val="1"/>
      <w:marLeft w:val="0"/>
      <w:marRight w:val="0"/>
      <w:marTop w:val="0"/>
      <w:marBottom w:val="0"/>
      <w:divBdr>
        <w:top w:val="none" w:sz="0" w:space="0" w:color="auto"/>
        <w:left w:val="none" w:sz="0" w:space="0" w:color="auto"/>
        <w:bottom w:val="none" w:sz="0" w:space="0" w:color="auto"/>
        <w:right w:val="none" w:sz="0" w:space="0" w:color="auto"/>
      </w:divBdr>
    </w:div>
    <w:div w:id="333343699">
      <w:bodyDiv w:val="1"/>
      <w:marLeft w:val="0"/>
      <w:marRight w:val="0"/>
      <w:marTop w:val="0"/>
      <w:marBottom w:val="0"/>
      <w:divBdr>
        <w:top w:val="none" w:sz="0" w:space="0" w:color="auto"/>
        <w:left w:val="none" w:sz="0" w:space="0" w:color="auto"/>
        <w:bottom w:val="none" w:sz="0" w:space="0" w:color="auto"/>
        <w:right w:val="none" w:sz="0" w:space="0" w:color="auto"/>
      </w:divBdr>
    </w:div>
    <w:div w:id="334694376">
      <w:bodyDiv w:val="1"/>
      <w:marLeft w:val="0"/>
      <w:marRight w:val="0"/>
      <w:marTop w:val="0"/>
      <w:marBottom w:val="0"/>
      <w:divBdr>
        <w:top w:val="none" w:sz="0" w:space="0" w:color="auto"/>
        <w:left w:val="none" w:sz="0" w:space="0" w:color="auto"/>
        <w:bottom w:val="none" w:sz="0" w:space="0" w:color="auto"/>
        <w:right w:val="none" w:sz="0" w:space="0" w:color="auto"/>
      </w:divBdr>
    </w:div>
    <w:div w:id="334766086">
      <w:bodyDiv w:val="1"/>
      <w:marLeft w:val="0"/>
      <w:marRight w:val="0"/>
      <w:marTop w:val="0"/>
      <w:marBottom w:val="0"/>
      <w:divBdr>
        <w:top w:val="none" w:sz="0" w:space="0" w:color="auto"/>
        <w:left w:val="none" w:sz="0" w:space="0" w:color="auto"/>
        <w:bottom w:val="none" w:sz="0" w:space="0" w:color="auto"/>
        <w:right w:val="none" w:sz="0" w:space="0" w:color="auto"/>
      </w:divBdr>
    </w:div>
    <w:div w:id="336007380">
      <w:bodyDiv w:val="1"/>
      <w:marLeft w:val="0"/>
      <w:marRight w:val="0"/>
      <w:marTop w:val="0"/>
      <w:marBottom w:val="0"/>
      <w:divBdr>
        <w:top w:val="none" w:sz="0" w:space="0" w:color="auto"/>
        <w:left w:val="none" w:sz="0" w:space="0" w:color="auto"/>
        <w:bottom w:val="none" w:sz="0" w:space="0" w:color="auto"/>
        <w:right w:val="none" w:sz="0" w:space="0" w:color="auto"/>
      </w:divBdr>
    </w:div>
    <w:div w:id="336882081">
      <w:bodyDiv w:val="1"/>
      <w:marLeft w:val="0"/>
      <w:marRight w:val="0"/>
      <w:marTop w:val="0"/>
      <w:marBottom w:val="0"/>
      <w:divBdr>
        <w:top w:val="none" w:sz="0" w:space="0" w:color="auto"/>
        <w:left w:val="none" w:sz="0" w:space="0" w:color="auto"/>
        <w:bottom w:val="none" w:sz="0" w:space="0" w:color="auto"/>
        <w:right w:val="none" w:sz="0" w:space="0" w:color="auto"/>
      </w:divBdr>
    </w:div>
    <w:div w:id="336930112">
      <w:bodyDiv w:val="1"/>
      <w:marLeft w:val="0"/>
      <w:marRight w:val="0"/>
      <w:marTop w:val="0"/>
      <w:marBottom w:val="0"/>
      <w:divBdr>
        <w:top w:val="none" w:sz="0" w:space="0" w:color="auto"/>
        <w:left w:val="none" w:sz="0" w:space="0" w:color="auto"/>
        <w:bottom w:val="none" w:sz="0" w:space="0" w:color="auto"/>
        <w:right w:val="none" w:sz="0" w:space="0" w:color="auto"/>
      </w:divBdr>
    </w:div>
    <w:div w:id="338774736">
      <w:bodyDiv w:val="1"/>
      <w:marLeft w:val="0"/>
      <w:marRight w:val="0"/>
      <w:marTop w:val="0"/>
      <w:marBottom w:val="0"/>
      <w:divBdr>
        <w:top w:val="none" w:sz="0" w:space="0" w:color="auto"/>
        <w:left w:val="none" w:sz="0" w:space="0" w:color="auto"/>
        <w:bottom w:val="none" w:sz="0" w:space="0" w:color="auto"/>
        <w:right w:val="none" w:sz="0" w:space="0" w:color="auto"/>
      </w:divBdr>
    </w:div>
    <w:div w:id="340591661">
      <w:bodyDiv w:val="1"/>
      <w:marLeft w:val="0"/>
      <w:marRight w:val="0"/>
      <w:marTop w:val="0"/>
      <w:marBottom w:val="0"/>
      <w:divBdr>
        <w:top w:val="none" w:sz="0" w:space="0" w:color="auto"/>
        <w:left w:val="none" w:sz="0" w:space="0" w:color="auto"/>
        <w:bottom w:val="none" w:sz="0" w:space="0" w:color="auto"/>
        <w:right w:val="none" w:sz="0" w:space="0" w:color="auto"/>
      </w:divBdr>
    </w:div>
    <w:div w:id="341443226">
      <w:bodyDiv w:val="1"/>
      <w:marLeft w:val="0"/>
      <w:marRight w:val="0"/>
      <w:marTop w:val="0"/>
      <w:marBottom w:val="0"/>
      <w:divBdr>
        <w:top w:val="none" w:sz="0" w:space="0" w:color="auto"/>
        <w:left w:val="none" w:sz="0" w:space="0" w:color="auto"/>
        <w:bottom w:val="none" w:sz="0" w:space="0" w:color="auto"/>
        <w:right w:val="none" w:sz="0" w:space="0" w:color="auto"/>
      </w:divBdr>
    </w:div>
    <w:div w:id="341784229">
      <w:bodyDiv w:val="1"/>
      <w:marLeft w:val="0"/>
      <w:marRight w:val="0"/>
      <w:marTop w:val="0"/>
      <w:marBottom w:val="0"/>
      <w:divBdr>
        <w:top w:val="none" w:sz="0" w:space="0" w:color="auto"/>
        <w:left w:val="none" w:sz="0" w:space="0" w:color="auto"/>
        <w:bottom w:val="none" w:sz="0" w:space="0" w:color="auto"/>
        <w:right w:val="none" w:sz="0" w:space="0" w:color="auto"/>
      </w:divBdr>
    </w:div>
    <w:div w:id="341857359">
      <w:bodyDiv w:val="1"/>
      <w:marLeft w:val="0"/>
      <w:marRight w:val="0"/>
      <w:marTop w:val="0"/>
      <w:marBottom w:val="0"/>
      <w:divBdr>
        <w:top w:val="none" w:sz="0" w:space="0" w:color="auto"/>
        <w:left w:val="none" w:sz="0" w:space="0" w:color="auto"/>
        <w:bottom w:val="none" w:sz="0" w:space="0" w:color="auto"/>
        <w:right w:val="none" w:sz="0" w:space="0" w:color="auto"/>
      </w:divBdr>
    </w:div>
    <w:div w:id="342586510">
      <w:bodyDiv w:val="1"/>
      <w:marLeft w:val="0"/>
      <w:marRight w:val="0"/>
      <w:marTop w:val="0"/>
      <w:marBottom w:val="0"/>
      <w:divBdr>
        <w:top w:val="none" w:sz="0" w:space="0" w:color="auto"/>
        <w:left w:val="none" w:sz="0" w:space="0" w:color="auto"/>
        <w:bottom w:val="none" w:sz="0" w:space="0" w:color="auto"/>
        <w:right w:val="none" w:sz="0" w:space="0" w:color="auto"/>
      </w:divBdr>
    </w:div>
    <w:div w:id="342632547">
      <w:bodyDiv w:val="1"/>
      <w:marLeft w:val="0"/>
      <w:marRight w:val="0"/>
      <w:marTop w:val="0"/>
      <w:marBottom w:val="0"/>
      <w:divBdr>
        <w:top w:val="none" w:sz="0" w:space="0" w:color="auto"/>
        <w:left w:val="none" w:sz="0" w:space="0" w:color="auto"/>
        <w:bottom w:val="none" w:sz="0" w:space="0" w:color="auto"/>
        <w:right w:val="none" w:sz="0" w:space="0" w:color="auto"/>
      </w:divBdr>
    </w:div>
    <w:div w:id="343896642">
      <w:bodyDiv w:val="1"/>
      <w:marLeft w:val="0"/>
      <w:marRight w:val="0"/>
      <w:marTop w:val="0"/>
      <w:marBottom w:val="0"/>
      <w:divBdr>
        <w:top w:val="none" w:sz="0" w:space="0" w:color="auto"/>
        <w:left w:val="none" w:sz="0" w:space="0" w:color="auto"/>
        <w:bottom w:val="none" w:sz="0" w:space="0" w:color="auto"/>
        <w:right w:val="none" w:sz="0" w:space="0" w:color="auto"/>
      </w:divBdr>
    </w:div>
    <w:div w:id="344984073">
      <w:bodyDiv w:val="1"/>
      <w:marLeft w:val="0"/>
      <w:marRight w:val="0"/>
      <w:marTop w:val="0"/>
      <w:marBottom w:val="0"/>
      <w:divBdr>
        <w:top w:val="none" w:sz="0" w:space="0" w:color="auto"/>
        <w:left w:val="none" w:sz="0" w:space="0" w:color="auto"/>
        <w:bottom w:val="none" w:sz="0" w:space="0" w:color="auto"/>
        <w:right w:val="none" w:sz="0" w:space="0" w:color="auto"/>
      </w:divBdr>
    </w:div>
    <w:div w:id="345718272">
      <w:bodyDiv w:val="1"/>
      <w:marLeft w:val="0"/>
      <w:marRight w:val="0"/>
      <w:marTop w:val="0"/>
      <w:marBottom w:val="0"/>
      <w:divBdr>
        <w:top w:val="none" w:sz="0" w:space="0" w:color="auto"/>
        <w:left w:val="none" w:sz="0" w:space="0" w:color="auto"/>
        <w:bottom w:val="none" w:sz="0" w:space="0" w:color="auto"/>
        <w:right w:val="none" w:sz="0" w:space="0" w:color="auto"/>
      </w:divBdr>
    </w:div>
    <w:div w:id="352457926">
      <w:bodyDiv w:val="1"/>
      <w:marLeft w:val="0"/>
      <w:marRight w:val="0"/>
      <w:marTop w:val="0"/>
      <w:marBottom w:val="0"/>
      <w:divBdr>
        <w:top w:val="none" w:sz="0" w:space="0" w:color="auto"/>
        <w:left w:val="none" w:sz="0" w:space="0" w:color="auto"/>
        <w:bottom w:val="none" w:sz="0" w:space="0" w:color="auto"/>
        <w:right w:val="none" w:sz="0" w:space="0" w:color="auto"/>
      </w:divBdr>
    </w:div>
    <w:div w:id="354037982">
      <w:bodyDiv w:val="1"/>
      <w:marLeft w:val="0"/>
      <w:marRight w:val="0"/>
      <w:marTop w:val="0"/>
      <w:marBottom w:val="0"/>
      <w:divBdr>
        <w:top w:val="none" w:sz="0" w:space="0" w:color="auto"/>
        <w:left w:val="none" w:sz="0" w:space="0" w:color="auto"/>
        <w:bottom w:val="none" w:sz="0" w:space="0" w:color="auto"/>
        <w:right w:val="none" w:sz="0" w:space="0" w:color="auto"/>
      </w:divBdr>
    </w:div>
    <w:div w:id="355158706">
      <w:bodyDiv w:val="1"/>
      <w:marLeft w:val="0"/>
      <w:marRight w:val="0"/>
      <w:marTop w:val="0"/>
      <w:marBottom w:val="0"/>
      <w:divBdr>
        <w:top w:val="none" w:sz="0" w:space="0" w:color="auto"/>
        <w:left w:val="none" w:sz="0" w:space="0" w:color="auto"/>
        <w:bottom w:val="none" w:sz="0" w:space="0" w:color="auto"/>
        <w:right w:val="none" w:sz="0" w:space="0" w:color="auto"/>
      </w:divBdr>
    </w:div>
    <w:div w:id="360711044">
      <w:bodyDiv w:val="1"/>
      <w:marLeft w:val="0"/>
      <w:marRight w:val="0"/>
      <w:marTop w:val="0"/>
      <w:marBottom w:val="0"/>
      <w:divBdr>
        <w:top w:val="none" w:sz="0" w:space="0" w:color="auto"/>
        <w:left w:val="none" w:sz="0" w:space="0" w:color="auto"/>
        <w:bottom w:val="none" w:sz="0" w:space="0" w:color="auto"/>
        <w:right w:val="none" w:sz="0" w:space="0" w:color="auto"/>
      </w:divBdr>
    </w:div>
    <w:div w:id="360860360">
      <w:bodyDiv w:val="1"/>
      <w:marLeft w:val="0"/>
      <w:marRight w:val="0"/>
      <w:marTop w:val="0"/>
      <w:marBottom w:val="0"/>
      <w:divBdr>
        <w:top w:val="none" w:sz="0" w:space="0" w:color="auto"/>
        <w:left w:val="none" w:sz="0" w:space="0" w:color="auto"/>
        <w:bottom w:val="none" w:sz="0" w:space="0" w:color="auto"/>
        <w:right w:val="none" w:sz="0" w:space="0" w:color="auto"/>
      </w:divBdr>
    </w:div>
    <w:div w:id="362024996">
      <w:bodyDiv w:val="1"/>
      <w:marLeft w:val="0"/>
      <w:marRight w:val="0"/>
      <w:marTop w:val="0"/>
      <w:marBottom w:val="0"/>
      <w:divBdr>
        <w:top w:val="none" w:sz="0" w:space="0" w:color="auto"/>
        <w:left w:val="none" w:sz="0" w:space="0" w:color="auto"/>
        <w:bottom w:val="none" w:sz="0" w:space="0" w:color="auto"/>
        <w:right w:val="none" w:sz="0" w:space="0" w:color="auto"/>
      </w:divBdr>
    </w:div>
    <w:div w:id="368917904">
      <w:bodyDiv w:val="1"/>
      <w:marLeft w:val="0"/>
      <w:marRight w:val="0"/>
      <w:marTop w:val="0"/>
      <w:marBottom w:val="0"/>
      <w:divBdr>
        <w:top w:val="none" w:sz="0" w:space="0" w:color="auto"/>
        <w:left w:val="none" w:sz="0" w:space="0" w:color="auto"/>
        <w:bottom w:val="none" w:sz="0" w:space="0" w:color="auto"/>
        <w:right w:val="none" w:sz="0" w:space="0" w:color="auto"/>
      </w:divBdr>
    </w:div>
    <w:div w:id="370301713">
      <w:bodyDiv w:val="1"/>
      <w:marLeft w:val="0"/>
      <w:marRight w:val="0"/>
      <w:marTop w:val="0"/>
      <w:marBottom w:val="0"/>
      <w:divBdr>
        <w:top w:val="none" w:sz="0" w:space="0" w:color="auto"/>
        <w:left w:val="none" w:sz="0" w:space="0" w:color="auto"/>
        <w:bottom w:val="none" w:sz="0" w:space="0" w:color="auto"/>
        <w:right w:val="none" w:sz="0" w:space="0" w:color="auto"/>
      </w:divBdr>
    </w:div>
    <w:div w:id="370349394">
      <w:bodyDiv w:val="1"/>
      <w:marLeft w:val="0"/>
      <w:marRight w:val="0"/>
      <w:marTop w:val="0"/>
      <w:marBottom w:val="0"/>
      <w:divBdr>
        <w:top w:val="none" w:sz="0" w:space="0" w:color="auto"/>
        <w:left w:val="none" w:sz="0" w:space="0" w:color="auto"/>
        <w:bottom w:val="none" w:sz="0" w:space="0" w:color="auto"/>
        <w:right w:val="none" w:sz="0" w:space="0" w:color="auto"/>
      </w:divBdr>
    </w:div>
    <w:div w:id="370375604">
      <w:bodyDiv w:val="1"/>
      <w:marLeft w:val="0"/>
      <w:marRight w:val="0"/>
      <w:marTop w:val="0"/>
      <w:marBottom w:val="0"/>
      <w:divBdr>
        <w:top w:val="none" w:sz="0" w:space="0" w:color="auto"/>
        <w:left w:val="none" w:sz="0" w:space="0" w:color="auto"/>
        <w:bottom w:val="none" w:sz="0" w:space="0" w:color="auto"/>
        <w:right w:val="none" w:sz="0" w:space="0" w:color="auto"/>
      </w:divBdr>
    </w:div>
    <w:div w:id="371655399">
      <w:bodyDiv w:val="1"/>
      <w:marLeft w:val="0"/>
      <w:marRight w:val="0"/>
      <w:marTop w:val="0"/>
      <w:marBottom w:val="0"/>
      <w:divBdr>
        <w:top w:val="none" w:sz="0" w:space="0" w:color="auto"/>
        <w:left w:val="none" w:sz="0" w:space="0" w:color="auto"/>
        <w:bottom w:val="none" w:sz="0" w:space="0" w:color="auto"/>
        <w:right w:val="none" w:sz="0" w:space="0" w:color="auto"/>
      </w:divBdr>
    </w:div>
    <w:div w:id="371804895">
      <w:bodyDiv w:val="1"/>
      <w:marLeft w:val="0"/>
      <w:marRight w:val="0"/>
      <w:marTop w:val="0"/>
      <w:marBottom w:val="0"/>
      <w:divBdr>
        <w:top w:val="none" w:sz="0" w:space="0" w:color="auto"/>
        <w:left w:val="none" w:sz="0" w:space="0" w:color="auto"/>
        <w:bottom w:val="none" w:sz="0" w:space="0" w:color="auto"/>
        <w:right w:val="none" w:sz="0" w:space="0" w:color="auto"/>
      </w:divBdr>
    </w:div>
    <w:div w:id="372734326">
      <w:bodyDiv w:val="1"/>
      <w:marLeft w:val="0"/>
      <w:marRight w:val="0"/>
      <w:marTop w:val="0"/>
      <w:marBottom w:val="0"/>
      <w:divBdr>
        <w:top w:val="none" w:sz="0" w:space="0" w:color="auto"/>
        <w:left w:val="none" w:sz="0" w:space="0" w:color="auto"/>
        <w:bottom w:val="none" w:sz="0" w:space="0" w:color="auto"/>
        <w:right w:val="none" w:sz="0" w:space="0" w:color="auto"/>
      </w:divBdr>
    </w:div>
    <w:div w:id="372851431">
      <w:bodyDiv w:val="1"/>
      <w:marLeft w:val="0"/>
      <w:marRight w:val="0"/>
      <w:marTop w:val="0"/>
      <w:marBottom w:val="0"/>
      <w:divBdr>
        <w:top w:val="none" w:sz="0" w:space="0" w:color="auto"/>
        <w:left w:val="none" w:sz="0" w:space="0" w:color="auto"/>
        <w:bottom w:val="none" w:sz="0" w:space="0" w:color="auto"/>
        <w:right w:val="none" w:sz="0" w:space="0" w:color="auto"/>
      </w:divBdr>
    </w:div>
    <w:div w:id="374240431">
      <w:bodyDiv w:val="1"/>
      <w:marLeft w:val="0"/>
      <w:marRight w:val="0"/>
      <w:marTop w:val="0"/>
      <w:marBottom w:val="0"/>
      <w:divBdr>
        <w:top w:val="none" w:sz="0" w:space="0" w:color="auto"/>
        <w:left w:val="none" w:sz="0" w:space="0" w:color="auto"/>
        <w:bottom w:val="none" w:sz="0" w:space="0" w:color="auto"/>
        <w:right w:val="none" w:sz="0" w:space="0" w:color="auto"/>
      </w:divBdr>
    </w:div>
    <w:div w:id="375470108">
      <w:bodyDiv w:val="1"/>
      <w:marLeft w:val="0"/>
      <w:marRight w:val="0"/>
      <w:marTop w:val="0"/>
      <w:marBottom w:val="0"/>
      <w:divBdr>
        <w:top w:val="none" w:sz="0" w:space="0" w:color="auto"/>
        <w:left w:val="none" w:sz="0" w:space="0" w:color="auto"/>
        <w:bottom w:val="none" w:sz="0" w:space="0" w:color="auto"/>
        <w:right w:val="none" w:sz="0" w:space="0" w:color="auto"/>
      </w:divBdr>
    </w:div>
    <w:div w:id="376049223">
      <w:bodyDiv w:val="1"/>
      <w:marLeft w:val="0"/>
      <w:marRight w:val="0"/>
      <w:marTop w:val="0"/>
      <w:marBottom w:val="0"/>
      <w:divBdr>
        <w:top w:val="none" w:sz="0" w:space="0" w:color="auto"/>
        <w:left w:val="none" w:sz="0" w:space="0" w:color="auto"/>
        <w:bottom w:val="none" w:sz="0" w:space="0" w:color="auto"/>
        <w:right w:val="none" w:sz="0" w:space="0" w:color="auto"/>
      </w:divBdr>
    </w:div>
    <w:div w:id="376204452">
      <w:bodyDiv w:val="1"/>
      <w:marLeft w:val="0"/>
      <w:marRight w:val="0"/>
      <w:marTop w:val="0"/>
      <w:marBottom w:val="0"/>
      <w:divBdr>
        <w:top w:val="none" w:sz="0" w:space="0" w:color="auto"/>
        <w:left w:val="none" w:sz="0" w:space="0" w:color="auto"/>
        <w:bottom w:val="none" w:sz="0" w:space="0" w:color="auto"/>
        <w:right w:val="none" w:sz="0" w:space="0" w:color="auto"/>
      </w:divBdr>
    </w:div>
    <w:div w:id="377121930">
      <w:bodyDiv w:val="1"/>
      <w:marLeft w:val="0"/>
      <w:marRight w:val="0"/>
      <w:marTop w:val="0"/>
      <w:marBottom w:val="0"/>
      <w:divBdr>
        <w:top w:val="none" w:sz="0" w:space="0" w:color="auto"/>
        <w:left w:val="none" w:sz="0" w:space="0" w:color="auto"/>
        <w:bottom w:val="none" w:sz="0" w:space="0" w:color="auto"/>
        <w:right w:val="none" w:sz="0" w:space="0" w:color="auto"/>
      </w:divBdr>
    </w:div>
    <w:div w:id="377365508">
      <w:bodyDiv w:val="1"/>
      <w:marLeft w:val="0"/>
      <w:marRight w:val="0"/>
      <w:marTop w:val="0"/>
      <w:marBottom w:val="0"/>
      <w:divBdr>
        <w:top w:val="none" w:sz="0" w:space="0" w:color="auto"/>
        <w:left w:val="none" w:sz="0" w:space="0" w:color="auto"/>
        <w:bottom w:val="none" w:sz="0" w:space="0" w:color="auto"/>
        <w:right w:val="none" w:sz="0" w:space="0" w:color="auto"/>
      </w:divBdr>
    </w:div>
    <w:div w:id="378166237">
      <w:bodyDiv w:val="1"/>
      <w:marLeft w:val="0"/>
      <w:marRight w:val="0"/>
      <w:marTop w:val="0"/>
      <w:marBottom w:val="0"/>
      <w:divBdr>
        <w:top w:val="none" w:sz="0" w:space="0" w:color="auto"/>
        <w:left w:val="none" w:sz="0" w:space="0" w:color="auto"/>
        <w:bottom w:val="none" w:sz="0" w:space="0" w:color="auto"/>
        <w:right w:val="none" w:sz="0" w:space="0" w:color="auto"/>
      </w:divBdr>
    </w:div>
    <w:div w:id="378631779">
      <w:bodyDiv w:val="1"/>
      <w:marLeft w:val="0"/>
      <w:marRight w:val="0"/>
      <w:marTop w:val="0"/>
      <w:marBottom w:val="0"/>
      <w:divBdr>
        <w:top w:val="none" w:sz="0" w:space="0" w:color="auto"/>
        <w:left w:val="none" w:sz="0" w:space="0" w:color="auto"/>
        <w:bottom w:val="none" w:sz="0" w:space="0" w:color="auto"/>
        <w:right w:val="none" w:sz="0" w:space="0" w:color="auto"/>
      </w:divBdr>
    </w:div>
    <w:div w:id="379405650">
      <w:bodyDiv w:val="1"/>
      <w:marLeft w:val="0"/>
      <w:marRight w:val="0"/>
      <w:marTop w:val="0"/>
      <w:marBottom w:val="0"/>
      <w:divBdr>
        <w:top w:val="none" w:sz="0" w:space="0" w:color="auto"/>
        <w:left w:val="none" w:sz="0" w:space="0" w:color="auto"/>
        <w:bottom w:val="none" w:sz="0" w:space="0" w:color="auto"/>
        <w:right w:val="none" w:sz="0" w:space="0" w:color="auto"/>
      </w:divBdr>
    </w:div>
    <w:div w:id="381562346">
      <w:bodyDiv w:val="1"/>
      <w:marLeft w:val="0"/>
      <w:marRight w:val="0"/>
      <w:marTop w:val="0"/>
      <w:marBottom w:val="0"/>
      <w:divBdr>
        <w:top w:val="none" w:sz="0" w:space="0" w:color="auto"/>
        <w:left w:val="none" w:sz="0" w:space="0" w:color="auto"/>
        <w:bottom w:val="none" w:sz="0" w:space="0" w:color="auto"/>
        <w:right w:val="none" w:sz="0" w:space="0" w:color="auto"/>
      </w:divBdr>
    </w:div>
    <w:div w:id="382337535">
      <w:bodyDiv w:val="1"/>
      <w:marLeft w:val="0"/>
      <w:marRight w:val="0"/>
      <w:marTop w:val="0"/>
      <w:marBottom w:val="0"/>
      <w:divBdr>
        <w:top w:val="none" w:sz="0" w:space="0" w:color="auto"/>
        <w:left w:val="none" w:sz="0" w:space="0" w:color="auto"/>
        <w:bottom w:val="none" w:sz="0" w:space="0" w:color="auto"/>
        <w:right w:val="none" w:sz="0" w:space="0" w:color="auto"/>
      </w:divBdr>
    </w:div>
    <w:div w:id="382796182">
      <w:bodyDiv w:val="1"/>
      <w:marLeft w:val="0"/>
      <w:marRight w:val="0"/>
      <w:marTop w:val="0"/>
      <w:marBottom w:val="0"/>
      <w:divBdr>
        <w:top w:val="none" w:sz="0" w:space="0" w:color="auto"/>
        <w:left w:val="none" w:sz="0" w:space="0" w:color="auto"/>
        <w:bottom w:val="none" w:sz="0" w:space="0" w:color="auto"/>
        <w:right w:val="none" w:sz="0" w:space="0" w:color="auto"/>
      </w:divBdr>
    </w:div>
    <w:div w:id="383599166">
      <w:bodyDiv w:val="1"/>
      <w:marLeft w:val="0"/>
      <w:marRight w:val="0"/>
      <w:marTop w:val="0"/>
      <w:marBottom w:val="0"/>
      <w:divBdr>
        <w:top w:val="none" w:sz="0" w:space="0" w:color="auto"/>
        <w:left w:val="none" w:sz="0" w:space="0" w:color="auto"/>
        <w:bottom w:val="none" w:sz="0" w:space="0" w:color="auto"/>
        <w:right w:val="none" w:sz="0" w:space="0" w:color="auto"/>
      </w:divBdr>
    </w:div>
    <w:div w:id="384334747">
      <w:bodyDiv w:val="1"/>
      <w:marLeft w:val="0"/>
      <w:marRight w:val="0"/>
      <w:marTop w:val="0"/>
      <w:marBottom w:val="0"/>
      <w:divBdr>
        <w:top w:val="none" w:sz="0" w:space="0" w:color="auto"/>
        <w:left w:val="none" w:sz="0" w:space="0" w:color="auto"/>
        <w:bottom w:val="none" w:sz="0" w:space="0" w:color="auto"/>
        <w:right w:val="none" w:sz="0" w:space="0" w:color="auto"/>
      </w:divBdr>
    </w:div>
    <w:div w:id="385186248">
      <w:bodyDiv w:val="1"/>
      <w:marLeft w:val="0"/>
      <w:marRight w:val="0"/>
      <w:marTop w:val="0"/>
      <w:marBottom w:val="0"/>
      <w:divBdr>
        <w:top w:val="none" w:sz="0" w:space="0" w:color="auto"/>
        <w:left w:val="none" w:sz="0" w:space="0" w:color="auto"/>
        <w:bottom w:val="none" w:sz="0" w:space="0" w:color="auto"/>
        <w:right w:val="none" w:sz="0" w:space="0" w:color="auto"/>
      </w:divBdr>
    </w:div>
    <w:div w:id="385418612">
      <w:bodyDiv w:val="1"/>
      <w:marLeft w:val="0"/>
      <w:marRight w:val="0"/>
      <w:marTop w:val="0"/>
      <w:marBottom w:val="0"/>
      <w:divBdr>
        <w:top w:val="none" w:sz="0" w:space="0" w:color="auto"/>
        <w:left w:val="none" w:sz="0" w:space="0" w:color="auto"/>
        <w:bottom w:val="none" w:sz="0" w:space="0" w:color="auto"/>
        <w:right w:val="none" w:sz="0" w:space="0" w:color="auto"/>
      </w:divBdr>
    </w:div>
    <w:div w:id="385615268">
      <w:bodyDiv w:val="1"/>
      <w:marLeft w:val="0"/>
      <w:marRight w:val="0"/>
      <w:marTop w:val="0"/>
      <w:marBottom w:val="0"/>
      <w:divBdr>
        <w:top w:val="none" w:sz="0" w:space="0" w:color="auto"/>
        <w:left w:val="none" w:sz="0" w:space="0" w:color="auto"/>
        <w:bottom w:val="none" w:sz="0" w:space="0" w:color="auto"/>
        <w:right w:val="none" w:sz="0" w:space="0" w:color="auto"/>
      </w:divBdr>
    </w:div>
    <w:div w:id="385645703">
      <w:bodyDiv w:val="1"/>
      <w:marLeft w:val="0"/>
      <w:marRight w:val="0"/>
      <w:marTop w:val="0"/>
      <w:marBottom w:val="0"/>
      <w:divBdr>
        <w:top w:val="none" w:sz="0" w:space="0" w:color="auto"/>
        <w:left w:val="none" w:sz="0" w:space="0" w:color="auto"/>
        <w:bottom w:val="none" w:sz="0" w:space="0" w:color="auto"/>
        <w:right w:val="none" w:sz="0" w:space="0" w:color="auto"/>
      </w:divBdr>
    </w:div>
    <w:div w:id="387462792">
      <w:bodyDiv w:val="1"/>
      <w:marLeft w:val="0"/>
      <w:marRight w:val="0"/>
      <w:marTop w:val="0"/>
      <w:marBottom w:val="0"/>
      <w:divBdr>
        <w:top w:val="none" w:sz="0" w:space="0" w:color="auto"/>
        <w:left w:val="none" w:sz="0" w:space="0" w:color="auto"/>
        <w:bottom w:val="none" w:sz="0" w:space="0" w:color="auto"/>
        <w:right w:val="none" w:sz="0" w:space="0" w:color="auto"/>
      </w:divBdr>
    </w:div>
    <w:div w:id="389696071">
      <w:bodyDiv w:val="1"/>
      <w:marLeft w:val="0"/>
      <w:marRight w:val="0"/>
      <w:marTop w:val="0"/>
      <w:marBottom w:val="0"/>
      <w:divBdr>
        <w:top w:val="none" w:sz="0" w:space="0" w:color="auto"/>
        <w:left w:val="none" w:sz="0" w:space="0" w:color="auto"/>
        <w:bottom w:val="none" w:sz="0" w:space="0" w:color="auto"/>
        <w:right w:val="none" w:sz="0" w:space="0" w:color="auto"/>
      </w:divBdr>
    </w:div>
    <w:div w:id="390034885">
      <w:bodyDiv w:val="1"/>
      <w:marLeft w:val="0"/>
      <w:marRight w:val="0"/>
      <w:marTop w:val="0"/>
      <w:marBottom w:val="0"/>
      <w:divBdr>
        <w:top w:val="none" w:sz="0" w:space="0" w:color="auto"/>
        <w:left w:val="none" w:sz="0" w:space="0" w:color="auto"/>
        <w:bottom w:val="none" w:sz="0" w:space="0" w:color="auto"/>
        <w:right w:val="none" w:sz="0" w:space="0" w:color="auto"/>
      </w:divBdr>
    </w:div>
    <w:div w:id="390888877">
      <w:bodyDiv w:val="1"/>
      <w:marLeft w:val="0"/>
      <w:marRight w:val="0"/>
      <w:marTop w:val="0"/>
      <w:marBottom w:val="0"/>
      <w:divBdr>
        <w:top w:val="none" w:sz="0" w:space="0" w:color="auto"/>
        <w:left w:val="none" w:sz="0" w:space="0" w:color="auto"/>
        <w:bottom w:val="none" w:sz="0" w:space="0" w:color="auto"/>
        <w:right w:val="none" w:sz="0" w:space="0" w:color="auto"/>
      </w:divBdr>
    </w:div>
    <w:div w:id="391198718">
      <w:bodyDiv w:val="1"/>
      <w:marLeft w:val="0"/>
      <w:marRight w:val="0"/>
      <w:marTop w:val="0"/>
      <w:marBottom w:val="0"/>
      <w:divBdr>
        <w:top w:val="none" w:sz="0" w:space="0" w:color="auto"/>
        <w:left w:val="none" w:sz="0" w:space="0" w:color="auto"/>
        <w:bottom w:val="none" w:sz="0" w:space="0" w:color="auto"/>
        <w:right w:val="none" w:sz="0" w:space="0" w:color="auto"/>
      </w:divBdr>
    </w:div>
    <w:div w:id="393351959">
      <w:bodyDiv w:val="1"/>
      <w:marLeft w:val="0"/>
      <w:marRight w:val="0"/>
      <w:marTop w:val="0"/>
      <w:marBottom w:val="0"/>
      <w:divBdr>
        <w:top w:val="none" w:sz="0" w:space="0" w:color="auto"/>
        <w:left w:val="none" w:sz="0" w:space="0" w:color="auto"/>
        <w:bottom w:val="none" w:sz="0" w:space="0" w:color="auto"/>
        <w:right w:val="none" w:sz="0" w:space="0" w:color="auto"/>
      </w:divBdr>
    </w:div>
    <w:div w:id="395200534">
      <w:bodyDiv w:val="1"/>
      <w:marLeft w:val="0"/>
      <w:marRight w:val="0"/>
      <w:marTop w:val="0"/>
      <w:marBottom w:val="0"/>
      <w:divBdr>
        <w:top w:val="none" w:sz="0" w:space="0" w:color="auto"/>
        <w:left w:val="none" w:sz="0" w:space="0" w:color="auto"/>
        <w:bottom w:val="none" w:sz="0" w:space="0" w:color="auto"/>
        <w:right w:val="none" w:sz="0" w:space="0" w:color="auto"/>
      </w:divBdr>
    </w:div>
    <w:div w:id="396366540">
      <w:bodyDiv w:val="1"/>
      <w:marLeft w:val="0"/>
      <w:marRight w:val="0"/>
      <w:marTop w:val="0"/>
      <w:marBottom w:val="0"/>
      <w:divBdr>
        <w:top w:val="none" w:sz="0" w:space="0" w:color="auto"/>
        <w:left w:val="none" w:sz="0" w:space="0" w:color="auto"/>
        <w:bottom w:val="none" w:sz="0" w:space="0" w:color="auto"/>
        <w:right w:val="none" w:sz="0" w:space="0" w:color="auto"/>
      </w:divBdr>
    </w:div>
    <w:div w:id="397826867">
      <w:bodyDiv w:val="1"/>
      <w:marLeft w:val="0"/>
      <w:marRight w:val="0"/>
      <w:marTop w:val="0"/>
      <w:marBottom w:val="0"/>
      <w:divBdr>
        <w:top w:val="none" w:sz="0" w:space="0" w:color="auto"/>
        <w:left w:val="none" w:sz="0" w:space="0" w:color="auto"/>
        <w:bottom w:val="none" w:sz="0" w:space="0" w:color="auto"/>
        <w:right w:val="none" w:sz="0" w:space="0" w:color="auto"/>
      </w:divBdr>
    </w:div>
    <w:div w:id="398018237">
      <w:bodyDiv w:val="1"/>
      <w:marLeft w:val="0"/>
      <w:marRight w:val="0"/>
      <w:marTop w:val="0"/>
      <w:marBottom w:val="0"/>
      <w:divBdr>
        <w:top w:val="none" w:sz="0" w:space="0" w:color="auto"/>
        <w:left w:val="none" w:sz="0" w:space="0" w:color="auto"/>
        <w:bottom w:val="none" w:sz="0" w:space="0" w:color="auto"/>
        <w:right w:val="none" w:sz="0" w:space="0" w:color="auto"/>
      </w:divBdr>
    </w:div>
    <w:div w:id="398484580">
      <w:bodyDiv w:val="1"/>
      <w:marLeft w:val="0"/>
      <w:marRight w:val="0"/>
      <w:marTop w:val="0"/>
      <w:marBottom w:val="0"/>
      <w:divBdr>
        <w:top w:val="none" w:sz="0" w:space="0" w:color="auto"/>
        <w:left w:val="none" w:sz="0" w:space="0" w:color="auto"/>
        <w:bottom w:val="none" w:sz="0" w:space="0" w:color="auto"/>
        <w:right w:val="none" w:sz="0" w:space="0" w:color="auto"/>
      </w:divBdr>
    </w:div>
    <w:div w:id="399600641">
      <w:bodyDiv w:val="1"/>
      <w:marLeft w:val="0"/>
      <w:marRight w:val="0"/>
      <w:marTop w:val="0"/>
      <w:marBottom w:val="0"/>
      <w:divBdr>
        <w:top w:val="none" w:sz="0" w:space="0" w:color="auto"/>
        <w:left w:val="none" w:sz="0" w:space="0" w:color="auto"/>
        <w:bottom w:val="none" w:sz="0" w:space="0" w:color="auto"/>
        <w:right w:val="none" w:sz="0" w:space="0" w:color="auto"/>
      </w:divBdr>
    </w:div>
    <w:div w:id="399863378">
      <w:bodyDiv w:val="1"/>
      <w:marLeft w:val="0"/>
      <w:marRight w:val="0"/>
      <w:marTop w:val="0"/>
      <w:marBottom w:val="0"/>
      <w:divBdr>
        <w:top w:val="none" w:sz="0" w:space="0" w:color="auto"/>
        <w:left w:val="none" w:sz="0" w:space="0" w:color="auto"/>
        <w:bottom w:val="none" w:sz="0" w:space="0" w:color="auto"/>
        <w:right w:val="none" w:sz="0" w:space="0" w:color="auto"/>
      </w:divBdr>
    </w:div>
    <w:div w:id="399983762">
      <w:bodyDiv w:val="1"/>
      <w:marLeft w:val="0"/>
      <w:marRight w:val="0"/>
      <w:marTop w:val="0"/>
      <w:marBottom w:val="0"/>
      <w:divBdr>
        <w:top w:val="none" w:sz="0" w:space="0" w:color="auto"/>
        <w:left w:val="none" w:sz="0" w:space="0" w:color="auto"/>
        <w:bottom w:val="none" w:sz="0" w:space="0" w:color="auto"/>
        <w:right w:val="none" w:sz="0" w:space="0" w:color="auto"/>
      </w:divBdr>
    </w:div>
    <w:div w:id="400104094">
      <w:bodyDiv w:val="1"/>
      <w:marLeft w:val="0"/>
      <w:marRight w:val="0"/>
      <w:marTop w:val="0"/>
      <w:marBottom w:val="0"/>
      <w:divBdr>
        <w:top w:val="none" w:sz="0" w:space="0" w:color="auto"/>
        <w:left w:val="none" w:sz="0" w:space="0" w:color="auto"/>
        <w:bottom w:val="none" w:sz="0" w:space="0" w:color="auto"/>
        <w:right w:val="none" w:sz="0" w:space="0" w:color="auto"/>
      </w:divBdr>
    </w:div>
    <w:div w:id="400257069">
      <w:bodyDiv w:val="1"/>
      <w:marLeft w:val="0"/>
      <w:marRight w:val="0"/>
      <w:marTop w:val="0"/>
      <w:marBottom w:val="0"/>
      <w:divBdr>
        <w:top w:val="none" w:sz="0" w:space="0" w:color="auto"/>
        <w:left w:val="none" w:sz="0" w:space="0" w:color="auto"/>
        <w:bottom w:val="none" w:sz="0" w:space="0" w:color="auto"/>
        <w:right w:val="none" w:sz="0" w:space="0" w:color="auto"/>
      </w:divBdr>
    </w:div>
    <w:div w:id="401025884">
      <w:bodyDiv w:val="1"/>
      <w:marLeft w:val="0"/>
      <w:marRight w:val="0"/>
      <w:marTop w:val="0"/>
      <w:marBottom w:val="0"/>
      <w:divBdr>
        <w:top w:val="none" w:sz="0" w:space="0" w:color="auto"/>
        <w:left w:val="none" w:sz="0" w:space="0" w:color="auto"/>
        <w:bottom w:val="none" w:sz="0" w:space="0" w:color="auto"/>
        <w:right w:val="none" w:sz="0" w:space="0" w:color="auto"/>
      </w:divBdr>
    </w:div>
    <w:div w:id="401026490">
      <w:bodyDiv w:val="1"/>
      <w:marLeft w:val="0"/>
      <w:marRight w:val="0"/>
      <w:marTop w:val="0"/>
      <w:marBottom w:val="0"/>
      <w:divBdr>
        <w:top w:val="none" w:sz="0" w:space="0" w:color="auto"/>
        <w:left w:val="none" w:sz="0" w:space="0" w:color="auto"/>
        <w:bottom w:val="none" w:sz="0" w:space="0" w:color="auto"/>
        <w:right w:val="none" w:sz="0" w:space="0" w:color="auto"/>
      </w:divBdr>
    </w:div>
    <w:div w:id="401223032">
      <w:bodyDiv w:val="1"/>
      <w:marLeft w:val="0"/>
      <w:marRight w:val="0"/>
      <w:marTop w:val="0"/>
      <w:marBottom w:val="0"/>
      <w:divBdr>
        <w:top w:val="none" w:sz="0" w:space="0" w:color="auto"/>
        <w:left w:val="none" w:sz="0" w:space="0" w:color="auto"/>
        <w:bottom w:val="none" w:sz="0" w:space="0" w:color="auto"/>
        <w:right w:val="none" w:sz="0" w:space="0" w:color="auto"/>
      </w:divBdr>
    </w:div>
    <w:div w:id="401367880">
      <w:bodyDiv w:val="1"/>
      <w:marLeft w:val="0"/>
      <w:marRight w:val="0"/>
      <w:marTop w:val="0"/>
      <w:marBottom w:val="0"/>
      <w:divBdr>
        <w:top w:val="none" w:sz="0" w:space="0" w:color="auto"/>
        <w:left w:val="none" w:sz="0" w:space="0" w:color="auto"/>
        <w:bottom w:val="none" w:sz="0" w:space="0" w:color="auto"/>
        <w:right w:val="none" w:sz="0" w:space="0" w:color="auto"/>
      </w:divBdr>
    </w:div>
    <w:div w:id="402026168">
      <w:bodyDiv w:val="1"/>
      <w:marLeft w:val="0"/>
      <w:marRight w:val="0"/>
      <w:marTop w:val="0"/>
      <w:marBottom w:val="0"/>
      <w:divBdr>
        <w:top w:val="none" w:sz="0" w:space="0" w:color="auto"/>
        <w:left w:val="none" w:sz="0" w:space="0" w:color="auto"/>
        <w:bottom w:val="none" w:sz="0" w:space="0" w:color="auto"/>
        <w:right w:val="none" w:sz="0" w:space="0" w:color="auto"/>
      </w:divBdr>
    </w:div>
    <w:div w:id="402221983">
      <w:bodyDiv w:val="1"/>
      <w:marLeft w:val="0"/>
      <w:marRight w:val="0"/>
      <w:marTop w:val="0"/>
      <w:marBottom w:val="0"/>
      <w:divBdr>
        <w:top w:val="none" w:sz="0" w:space="0" w:color="auto"/>
        <w:left w:val="none" w:sz="0" w:space="0" w:color="auto"/>
        <w:bottom w:val="none" w:sz="0" w:space="0" w:color="auto"/>
        <w:right w:val="none" w:sz="0" w:space="0" w:color="auto"/>
      </w:divBdr>
    </w:div>
    <w:div w:id="404374440">
      <w:bodyDiv w:val="1"/>
      <w:marLeft w:val="0"/>
      <w:marRight w:val="0"/>
      <w:marTop w:val="0"/>
      <w:marBottom w:val="0"/>
      <w:divBdr>
        <w:top w:val="none" w:sz="0" w:space="0" w:color="auto"/>
        <w:left w:val="none" w:sz="0" w:space="0" w:color="auto"/>
        <w:bottom w:val="none" w:sz="0" w:space="0" w:color="auto"/>
        <w:right w:val="none" w:sz="0" w:space="0" w:color="auto"/>
      </w:divBdr>
    </w:div>
    <w:div w:id="404648645">
      <w:bodyDiv w:val="1"/>
      <w:marLeft w:val="0"/>
      <w:marRight w:val="0"/>
      <w:marTop w:val="0"/>
      <w:marBottom w:val="0"/>
      <w:divBdr>
        <w:top w:val="none" w:sz="0" w:space="0" w:color="auto"/>
        <w:left w:val="none" w:sz="0" w:space="0" w:color="auto"/>
        <w:bottom w:val="none" w:sz="0" w:space="0" w:color="auto"/>
        <w:right w:val="none" w:sz="0" w:space="0" w:color="auto"/>
      </w:divBdr>
    </w:div>
    <w:div w:id="406419507">
      <w:bodyDiv w:val="1"/>
      <w:marLeft w:val="0"/>
      <w:marRight w:val="0"/>
      <w:marTop w:val="0"/>
      <w:marBottom w:val="0"/>
      <w:divBdr>
        <w:top w:val="none" w:sz="0" w:space="0" w:color="auto"/>
        <w:left w:val="none" w:sz="0" w:space="0" w:color="auto"/>
        <w:bottom w:val="none" w:sz="0" w:space="0" w:color="auto"/>
        <w:right w:val="none" w:sz="0" w:space="0" w:color="auto"/>
      </w:divBdr>
    </w:div>
    <w:div w:id="406653091">
      <w:bodyDiv w:val="1"/>
      <w:marLeft w:val="0"/>
      <w:marRight w:val="0"/>
      <w:marTop w:val="0"/>
      <w:marBottom w:val="0"/>
      <w:divBdr>
        <w:top w:val="none" w:sz="0" w:space="0" w:color="auto"/>
        <w:left w:val="none" w:sz="0" w:space="0" w:color="auto"/>
        <w:bottom w:val="none" w:sz="0" w:space="0" w:color="auto"/>
        <w:right w:val="none" w:sz="0" w:space="0" w:color="auto"/>
      </w:divBdr>
    </w:div>
    <w:div w:id="407846601">
      <w:bodyDiv w:val="1"/>
      <w:marLeft w:val="0"/>
      <w:marRight w:val="0"/>
      <w:marTop w:val="0"/>
      <w:marBottom w:val="0"/>
      <w:divBdr>
        <w:top w:val="none" w:sz="0" w:space="0" w:color="auto"/>
        <w:left w:val="none" w:sz="0" w:space="0" w:color="auto"/>
        <w:bottom w:val="none" w:sz="0" w:space="0" w:color="auto"/>
        <w:right w:val="none" w:sz="0" w:space="0" w:color="auto"/>
      </w:divBdr>
    </w:div>
    <w:div w:id="408885830">
      <w:bodyDiv w:val="1"/>
      <w:marLeft w:val="0"/>
      <w:marRight w:val="0"/>
      <w:marTop w:val="0"/>
      <w:marBottom w:val="0"/>
      <w:divBdr>
        <w:top w:val="none" w:sz="0" w:space="0" w:color="auto"/>
        <w:left w:val="none" w:sz="0" w:space="0" w:color="auto"/>
        <w:bottom w:val="none" w:sz="0" w:space="0" w:color="auto"/>
        <w:right w:val="none" w:sz="0" w:space="0" w:color="auto"/>
      </w:divBdr>
    </w:div>
    <w:div w:id="409278309">
      <w:bodyDiv w:val="1"/>
      <w:marLeft w:val="0"/>
      <w:marRight w:val="0"/>
      <w:marTop w:val="0"/>
      <w:marBottom w:val="0"/>
      <w:divBdr>
        <w:top w:val="none" w:sz="0" w:space="0" w:color="auto"/>
        <w:left w:val="none" w:sz="0" w:space="0" w:color="auto"/>
        <w:bottom w:val="none" w:sz="0" w:space="0" w:color="auto"/>
        <w:right w:val="none" w:sz="0" w:space="0" w:color="auto"/>
      </w:divBdr>
    </w:div>
    <w:div w:id="409431247">
      <w:bodyDiv w:val="1"/>
      <w:marLeft w:val="0"/>
      <w:marRight w:val="0"/>
      <w:marTop w:val="0"/>
      <w:marBottom w:val="0"/>
      <w:divBdr>
        <w:top w:val="none" w:sz="0" w:space="0" w:color="auto"/>
        <w:left w:val="none" w:sz="0" w:space="0" w:color="auto"/>
        <w:bottom w:val="none" w:sz="0" w:space="0" w:color="auto"/>
        <w:right w:val="none" w:sz="0" w:space="0" w:color="auto"/>
      </w:divBdr>
    </w:div>
    <w:div w:id="409665552">
      <w:bodyDiv w:val="1"/>
      <w:marLeft w:val="0"/>
      <w:marRight w:val="0"/>
      <w:marTop w:val="0"/>
      <w:marBottom w:val="0"/>
      <w:divBdr>
        <w:top w:val="none" w:sz="0" w:space="0" w:color="auto"/>
        <w:left w:val="none" w:sz="0" w:space="0" w:color="auto"/>
        <w:bottom w:val="none" w:sz="0" w:space="0" w:color="auto"/>
        <w:right w:val="none" w:sz="0" w:space="0" w:color="auto"/>
      </w:divBdr>
    </w:div>
    <w:div w:id="410348396">
      <w:bodyDiv w:val="1"/>
      <w:marLeft w:val="0"/>
      <w:marRight w:val="0"/>
      <w:marTop w:val="0"/>
      <w:marBottom w:val="0"/>
      <w:divBdr>
        <w:top w:val="none" w:sz="0" w:space="0" w:color="auto"/>
        <w:left w:val="none" w:sz="0" w:space="0" w:color="auto"/>
        <w:bottom w:val="none" w:sz="0" w:space="0" w:color="auto"/>
        <w:right w:val="none" w:sz="0" w:space="0" w:color="auto"/>
      </w:divBdr>
    </w:div>
    <w:div w:id="410548500">
      <w:bodyDiv w:val="1"/>
      <w:marLeft w:val="0"/>
      <w:marRight w:val="0"/>
      <w:marTop w:val="0"/>
      <w:marBottom w:val="0"/>
      <w:divBdr>
        <w:top w:val="none" w:sz="0" w:space="0" w:color="auto"/>
        <w:left w:val="none" w:sz="0" w:space="0" w:color="auto"/>
        <w:bottom w:val="none" w:sz="0" w:space="0" w:color="auto"/>
        <w:right w:val="none" w:sz="0" w:space="0" w:color="auto"/>
      </w:divBdr>
    </w:div>
    <w:div w:id="411436204">
      <w:bodyDiv w:val="1"/>
      <w:marLeft w:val="0"/>
      <w:marRight w:val="0"/>
      <w:marTop w:val="0"/>
      <w:marBottom w:val="0"/>
      <w:divBdr>
        <w:top w:val="none" w:sz="0" w:space="0" w:color="auto"/>
        <w:left w:val="none" w:sz="0" w:space="0" w:color="auto"/>
        <w:bottom w:val="none" w:sz="0" w:space="0" w:color="auto"/>
        <w:right w:val="none" w:sz="0" w:space="0" w:color="auto"/>
      </w:divBdr>
    </w:div>
    <w:div w:id="411900054">
      <w:bodyDiv w:val="1"/>
      <w:marLeft w:val="0"/>
      <w:marRight w:val="0"/>
      <w:marTop w:val="0"/>
      <w:marBottom w:val="0"/>
      <w:divBdr>
        <w:top w:val="none" w:sz="0" w:space="0" w:color="auto"/>
        <w:left w:val="none" w:sz="0" w:space="0" w:color="auto"/>
        <w:bottom w:val="none" w:sz="0" w:space="0" w:color="auto"/>
        <w:right w:val="none" w:sz="0" w:space="0" w:color="auto"/>
      </w:divBdr>
    </w:div>
    <w:div w:id="412700425">
      <w:bodyDiv w:val="1"/>
      <w:marLeft w:val="0"/>
      <w:marRight w:val="0"/>
      <w:marTop w:val="0"/>
      <w:marBottom w:val="0"/>
      <w:divBdr>
        <w:top w:val="none" w:sz="0" w:space="0" w:color="auto"/>
        <w:left w:val="none" w:sz="0" w:space="0" w:color="auto"/>
        <w:bottom w:val="none" w:sz="0" w:space="0" w:color="auto"/>
        <w:right w:val="none" w:sz="0" w:space="0" w:color="auto"/>
      </w:divBdr>
    </w:div>
    <w:div w:id="414018022">
      <w:bodyDiv w:val="1"/>
      <w:marLeft w:val="0"/>
      <w:marRight w:val="0"/>
      <w:marTop w:val="0"/>
      <w:marBottom w:val="0"/>
      <w:divBdr>
        <w:top w:val="none" w:sz="0" w:space="0" w:color="auto"/>
        <w:left w:val="none" w:sz="0" w:space="0" w:color="auto"/>
        <w:bottom w:val="none" w:sz="0" w:space="0" w:color="auto"/>
        <w:right w:val="none" w:sz="0" w:space="0" w:color="auto"/>
      </w:divBdr>
    </w:div>
    <w:div w:id="414086963">
      <w:bodyDiv w:val="1"/>
      <w:marLeft w:val="0"/>
      <w:marRight w:val="0"/>
      <w:marTop w:val="0"/>
      <w:marBottom w:val="0"/>
      <w:divBdr>
        <w:top w:val="none" w:sz="0" w:space="0" w:color="auto"/>
        <w:left w:val="none" w:sz="0" w:space="0" w:color="auto"/>
        <w:bottom w:val="none" w:sz="0" w:space="0" w:color="auto"/>
        <w:right w:val="none" w:sz="0" w:space="0" w:color="auto"/>
      </w:divBdr>
    </w:div>
    <w:div w:id="414325118">
      <w:bodyDiv w:val="1"/>
      <w:marLeft w:val="0"/>
      <w:marRight w:val="0"/>
      <w:marTop w:val="0"/>
      <w:marBottom w:val="0"/>
      <w:divBdr>
        <w:top w:val="none" w:sz="0" w:space="0" w:color="auto"/>
        <w:left w:val="none" w:sz="0" w:space="0" w:color="auto"/>
        <w:bottom w:val="none" w:sz="0" w:space="0" w:color="auto"/>
        <w:right w:val="none" w:sz="0" w:space="0" w:color="auto"/>
      </w:divBdr>
    </w:div>
    <w:div w:id="414473009">
      <w:bodyDiv w:val="1"/>
      <w:marLeft w:val="0"/>
      <w:marRight w:val="0"/>
      <w:marTop w:val="0"/>
      <w:marBottom w:val="0"/>
      <w:divBdr>
        <w:top w:val="none" w:sz="0" w:space="0" w:color="auto"/>
        <w:left w:val="none" w:sz="0" w:space="0" w:color="auto"/>
        <w:bottom w:val="none" w:sz="0" w:space="0" w:color="auto"/>
        <w:right w:val="none" w:sz="0" w:space="0" w:color="auto"/>
      </w:divBdr>
    </w:div>
    <w:div w:id="415440283">
      <w:bodyDiv w:val="1"/>
      <w:marLeft w:val="0"/>
      <w:marRight w:val="0"/>
      <w:marTop w:val="0"/>
      <w:marBottom w:val="0"/>
      <w:divBdr>
        <w:top w:val="none" w:sz="0" w:space="0" w:color="auto"/>
        <w:left w:val="none" w:sz="0" w:space="0" w:color="auto"/>
        <w:bottom w:val="none" w:sz="0" w:space="0" w:color="auto"/>
        <w:right w:val="none" w:sz="0" w:space="0" w:color="auto"/>
      </w:divBdr>
    </w:div>
    <w:div w:id="416173533">
      <w:bodyDiv w:val="1"/>
      <w:marLeft w:val="0"/>
      <w:marRight w:val="0"/>
      <w:marTop w:val="0"/>
      <w:marBottom w:val="0"/>
      <w:divBdr>
        <w:top w:val="none" w:sz="0" w:space="0" w:color="auto"/>
        <w:left w:val="none" w:sz="0" w:space="0" w:color="auto"/>
        <w:bottom w:val="none" w:sz="0" w:space="0" w:color="auto"/>
        <w:right w:val="none" w:sz="0" w:space="0" w:color="auto"/>
      </w:divBdr>
    </w:div>
    <w:div w:id="416706244">
      <w:bodyDiv w:val="1"/>
      <w:marLeft w:val="0"/>
      <w:marRight w:val="0"/>
      <w:marTop w:val="0"/>
      <w:marBottom w:val="0"/>
      <w:divBdr>
        <w:top w:val="none" w:sz="0" w:space="0" w:color="auto"/>
        <w:left w:val="none" w:sz="0" w:space="0" w:color="auto"/>
        <w:bottom w:val="none" w:sz="0" w:space="0" w:color="auto"/>
        <w:right w:val="none" w:sz="0" w:space="0" w:color="auto"/>
      </w:divBdr>
    </w:div>
    <w:div w:id="417949774">
      <w:bodyDiv w:val="1"/>
      <w:marLeft w:val="0"/>
      <w:marRight w:val="0"/>
      <w:marTop w:val="0"/>
      <w:marBottom w:val="0"/>
      <w:divBdr>
        <w:top w:val="none" w:sz="0" w:space="0" w:color="auto"/>
        <w:left w:val="none" w:sz="0" w:space="0" w:color="auto"/>
        <w:bottom w:val="none" w:sz="0" w:space="0" w:color="auto"/>
        <w:right w:val="none" w:sz="0" w:space="0" w:color="auto"/>
      </w:divBdr>
    </w:div>
    <w:div w:id="418257240">
      <w:bodyDiv w:val="1"/>
      <w:marLeft w:val="0"/>
      <w:marRight w:val="0"/>
      <w:marTop w:val="0"/>
      <w:marBottom w:val="0"/>
      <w:divBdr>
        <w:top w:val="none" w:sz="0" w:space="0" w:color="auto"/>
        <w:left w:val="none" w:sz="0" w:space="0" w:color="auto"/>
        <w:bottom w:val="none" w:sz="0" w:space="0" w:color="auto"/>
        <w:right w:val="none" w:sz="0" w:space="0" w:color="auto"/>
      </w:divBdr>
    </w:div>
    <w:div w:id="418523443">
      <w:bodyDiv w:val="1"/>
      <w:marLeft w:val="0"/>
      <w:marRight w:val="0"/>
      <w:marTop w:val="0"/>
      <w:marBottom w:val="0"/>
      <w:divBdr>
        <w:top w:val="none" w:sz="0" w:space="0" w:color="auto"/>
        <w:left w:val="none" w:sz="0" w:space="0" w:color="auto"/>
        <w:bottom w:val="none" w:sz="0" w:space="0" w:color="auto"/>
        <w:right w:val="none" w:sz="0" w:space="0" w:color="auto"/>
      </w:divBdr>
    </w:div>
    <w:div w:id="420178698">
      <w:bodyDiv w:val="1"/>
      <w:marLeft w:val="0"/>
      <w:marRight w:val="0"/>
      <w:marTop w:val="0"/>
      <w:marBottom w:val="0"/>
      <w:divBdr>
        <w:top w:val="none" w:sz="0" w:space="0" w:color="auto"/>
        <w:left w:val="none" w:sz="0" w:space="0" w:color="auto"/>
        <w:bottom w:val="none" w:sz="0" w:space="0" w:color="auto"/>
        <w:right w:val="none" w:sz="0" w:space="0" w:color="auto"/>
      </w:divBdr>
    </w:div>
    <w:div w:id="423116589">
      <w:bodyDiv w:val="1"/>
      <w:marLeft w:val="0"/>
      <w:marRight w:val="0"/>
      <w:marTop w:val="0"/>
      <w:marBottom w:val="0"/>
      <w:divBdr>
        <w:top w:val="none" w:sz="0" w:space="0" w:color="auto"/>
        <w:left w:val="none" w:sz="0" w:space="0" w:color="auto"/>
        <w:bottom w:val="none" w:sz="0" w:space="0" w:color="auto"/>
        <w:right w:val="none" w:sz="0" w:space="0" w:color="auto"/>
      </w:divBdr>
    </w:div>
    <w:div w:id="423184789">
      <w:bodyDiv w:val="1"/>
      <w:marLeft w:val="0"/>
      <w:marRight w:val="0"/>
      <w:marTop w:val="0"/>
      <w:marBottom w:val="0"/>
      <w:divBdr>
        <w:top w:val="none" w:sz="0" w:space="0" w:color="auto"/>
        <w:left w:val="none" w:sz="0" w:space="0" w:color="auto"/>
        <w:bottom w:val="none" w:sz="0" w:space="0" w:color="auto"/>
        <w:right w:val="none" w:sz="0" w:space="0" w:color="auto"/>
      </w:divBdr>
    </w:div>
    <w:div w:id="424574870">
      <w:bodyDiv w:val="1"/>
      <w:marLeft w:val="0"/>
      <w:marRight w:val="0"/>
      <w:marTop w:val="0"/>
      <w:marBottom w:val="0"/>
      <w:divBdr>
        <w:top w:val="none" w:sz="0" w:space="0" w:color="auto"/>
        <w:left w:val="none" w:sz="0" w:space="0" w:color="auto"/>
        <w:bottom w:val="none" w:sz="0" w:space="0" w:color="auto"/>
        <w:right w:val="none" w:sz="0" w:space="0" w:color="auto"/>
      </w:divBdr>
    </w:div>
    <w:div w:id="427434311">
      <w:bodyDiv w:val="1"/>
      <w:marLeft w:val="0"/>
      <w:marRight w:val="0"/>
      <w:marTop w:val="0"/>
      <w:marBottom w:val="0"/>
      <w:divBdr>
        <w:top w:val="none" w:sz="0" w:space="0" w:color="auto"/>
        <w:left w:val="none" w:sz="0" w:space="0" w:color="auto"/>
        <w:bottom w:val="none" w:sz="0" w:space="0" w:color="auto"/>
        <w:right w:val="none" w:sz="0" w:space="0" w:color="auto"/>
      </w:divBdr>
    </w:div>
    <w:div w:id="428623752">
      <w:bodyDiv w:val="1"/>
      <w:marLeft w:val="0"/>
      <w:marRight w:val="0"/>
      <w:marTop w:val="0"/>
      <w:marBottom w:val="0"/>
      <w:divBdr>
        <w:top w:val="none" w:sz="0" w:space="0" w:color="auto"/>
        <w:left w:val="none" w:sz="0" w:space="0" w:color="auto"/>
        <w:bottom w:val="none" w:sz="0" w:space="0" w:color="auto"/>
        <w:right w:val="none" w:sz="0" w:space="0" w:color="auto"/>
      </w:divBdr>
    </w:div>
    <w:div w:id="430203572">
      <w:bodyDiv w:val="1"/>
      <w:marLeft w:val="0"/>
      <w:marRight w:val="0"/>
      <w:marTop w:val="0"/>
      <w:marBottom w:val="0"/>
      <w:divBdr>
        <w:top w:val="none" w:sz="0" w:space="0" w:color="auto"/>
        <w:left w:val="none" w:sz="0" w:space="0" w:color="auto"/>
        <w:bottom w:val="none" w:sz="0" w:space="0" w:color="auto"/>
        <w:right w:val="none" w:sz="0" w:space="0" w:color="auto"/>
      </w:divBdr>
    </w:div>
    <w:div w:id="430247921">
      <w:bodyDiv w:val="1"/>
      <w:marLeft w:val="0"/>
      <w:marRight w:val="0"/>
      <w:marTop w:val="0"/>
      <w:marBottom w:val="0"/>
      <w:divBdr>
        <w:top w:val="none" w:sz="0" w:space="0" w:color="auto"/>
        <w:left w:val="none" w:sz="0" w:space="0" w:color="auto"/>
        <w:bottom w:val="none" w:sz="0" w:space="0" w:color="auto"/>
        <w:right w:val="none" w:sz="0" w:space="0" w:color="auto"/>
      </w:divBdr>
    </w:div>
    <w:div w:id="430393266">
      <w:bodyDiv w:val="1"/>
      <w:marLeft w:val="0"/>
      <w:marRight w:val="0"/>
      <w:marTop w:val="0"/>
      <w:marBottom w:val="0"/>
      <w:divBdr>
        <w:top w:val="none" w:sz="0" w:space="0" w:color="auto"/>
        <w:left w:val="none" w:sz="0" w:space="0" w:color="auto"/>
        <w:bottom w:val="none" w:sz="0" w:space="0" w:color="auto"/>
        <w:right w:val="none" w:sz="0" w:space="0" w:color="auto"/>
      </w:divBdr>
    </w:div>
    <w:div w:id="431361295">
      <w:bodyDiv w:val="1"/>
      <w:marLeft w:val="0"/>
      <w:marRight w:val="0"/>
      <w:marTop w:val="0"/>
      <w:marBottom w:val="0"/>
      <w:divBdr>
        <w:top w:val="none" w:sz="0" w:space="0" w:color="auto"/>
        <w:left w:val="none" w:sz="0" w:space="0" w:color="auto"/>
        <w:bottom w:val="none" w:sz="0" w:space="0" w:color="auto"/>
        <w:right w:val="none" w:sz="0" w:space="0" w:color="auto"/>
      </w:divBdr>
    </w:div>
    <w:div w:id="435177787">
      <w:bodyDiv w:val="1"/>
      <w:marLeft w:val="0"/>
      <w:marRight w:val="0"/>
      <w:marTop w:val="0"/>
      <w:marBottom w:val="0"/>
      <w:divBdr>
        <w:top w:val="none" w:sz="0" w:space="0" w:color="auto"/>
        <w:left w:val="none" w:sz="0" w:space="0" w:color="auto"/>
        <w:bottom w:val="none" w:sz="0" w:space="0" w:color="auto"/>
        <w:right w:val="none" w:sz="0" w:space="0" w:color="auto"/>
      </w:divBdr>
    </w:div>
    <w:div w:id="435247445">
      <w:bodyDiv w:val="1"/>
      <w:marLeft w:val="0"/>
      <w:marRight w:val="0"/>
      <w:marTop w:val="0"/>
      <w:marBottom w:val="0"/>
      <w:divBdr>
        <w:top w:val="none" w:sz="0" w:space="0" w:color="auto"/>
        <w:left w:val="none" w:sz="0" w:space="0" w:color="auto"/>
        <w:bottom w:val="none" w:sz="0" w:space="0" w:color="auto"/>
        <w:right w:val="none" w:sz="0" w:space="0" w:color="auto"/>
      </w:divBdr>
    </w:div>
    <w:div w:id="435562545">
      <w:bodyDiv w:val="1"/>
      <w:marLeft w:val="0"/>
      <w:marRight w:val="0"/>
      <w:marTop w:val="0"/>
      <w:marBottom w:val="0"/>
      <w:divBdr>
        <w:top w:val="none" w:sz="0" w:space="0" w:color="auto"/>
        <w:left w:val="none" w:sz="0" w:space="0" w:color="auto"/>
        <w:bottom w:val="none" w:sz="0" w:space="0" w:color="auto"/>
        <w:right w:val="none" w:sz="0" w:space="0" w:color="auto"/>
      </w:divBdr>
    </w:div>
    <w:div w:id="435755733">
      <w:bodyDiv w:val="1"/>
      <w:marLeft w:val="0"/>
      <w:marRight w:val="0"/>
      <w:marTop w:val="0"/>
      <w:marBottom w:val="0"/>
      <w:divBdr>
        <w:top w:val="none" w:sz="0" w:space="0" w:color="auto"/>
        <w:left w:val="none" w:sz="0" w:space="0" w:color="auto"/>
        <w:bottom w:val="none" w:sz="0" w:space="0" w:color="auto"/>
        <w:right w:val="none" w:sz="0" w:space="0" w:color="auto"/>
      </w:divBdr>
    </w:div>
    <w:div w:id="436219044">
      <w:bodyDiv w:val="1"/>
      <w:marLeft w:val="0"/>
      <w:marRight w:val="0"/>
      <w:marTop w:val="0"/>
      <w:marBottom w:val="0"/>
      <w:divBdr>
        <w:top w:val="none" w:sz="0" w:space="0" w:color="auto"/>
        <w:left w:val="none" w:sz="0" w:space="0" w:color="auto"/>
        <w:bottom w:val="none" w:sz="0" w:space="0" w:color="auto"/>
        <w:right w:val="none" w:sz="0" w:space="0" w:color="auto"/>
      </w:divBdr>
    </w:div>
    <w:div w:id="437603829">
      <w:bodyDiv w:val="1"/>
      <w:marLeft w:val="0"/>
      <w:marRight w:val="0"/>
      <w:marTop w:val="0"/>
      <w:marBottom w:val="0"/>
      <w:divBdr>
        <w:top w:val="none" w:sz="0" w:space="0" w:color="auto"/>
        <w:left w:val="none" w:sz="0" w:space="0" w:color="auto"/>
        <w:bottom w:val="none" w:sz="0" w:space="0" w:color="auto"/>
        <w:right w:val="none" w:sz="0" w:space="0" w:color="auto"/>
      </w:divBdr>
    </w:div>
    <w:div w:id="438374307">
      <w:bodyDiv w:val="1"/>
      <w:marLeft w:val="0"/>
      <w:marRight w:val="0"/>
      <w:marTop w:val="0"/>
      <w:marBottom w:val="0"/>
      <w:divBdr>
        <w:top w:val="none" w:sz="0" w:space="0" w:color="auto"/>
        <w:left w:val="none" w:sz="0" w:space="0" w:color="auto"/>
        <w:bottom w:val="none" w:sz="0" w:space="0" w:color="auto"/>
        <w:right w:val="none" w:sz="0" w:space="0" w:color="auto"/>
      </w:divBdr>
    </w:div>
    <w:div w:id="439253620">
      <w:bodyDiv w:val="1"/>
      <w:marLeft w:val="0"/>
      <w:marRight w:val="0"/>
      <w:marTop w:val="0"/>
      <w:marBottom w:val="0"/>
      <w:divBdr>
        <w:top w:val="none" w:sz="0" w:space="0" w:color="auto"/>
        <w:left w:val="none" w:sz="0" w:space="0" w:color="auto"/>
        <w:bottom w:val="none" w:sz="0" w:space="0" w:color="auto"/>
        <w:right w:val="none" w:sz="0" w:space="0" w:color="auto"/>
      </w:divBdr>
    </w:div>
    <w:div w:id="440999242">
      <w:bodyDiv w:val="1"/>
      <w:marLeft w:val="0"/>
      <w:marRight w:val="0"/>
      <w:marTop w:val="0"/>
      <w:marBottom w:val="0"/>
      <w:divBdr>
        <w:top w:val="none" w:sz="0" w:space="0" w:color="auto"/>
        <w:left w:val="none" w:sz="0" w:space="0" w:color="auto"/>
        <w:bottom w:val="none" w:sz="0" w:space="0" w:color="auto"/>
        <w:right w:val="none" w:sz="0" w:space="0" w:color="auto"/>
      </w:divBdr>
    </w:div>
    <w:div w:id="441262404">
      <w:bodyDiv w:val="1"/>
      <w:marLeft w:val="0"/>
      <w:marRight w:val="0"/>
      <w:marTop w:val="0"/>
      <w:marBottom w:val="0"/>
      <w:divBdr>
        <w:top w:val="none" w:sz="0" w:space="0" w:color="auto"/>
        <w:left w:val="none" w:sz="0" w:space="0" w:color="auto"/>
        <w:bottom w:val="none" w:sz="0" w:space="0" w:color="auto"/>
        <w:right w:val="none" w:sz="0" w:space="0" w:color="auto"/>
      </w:divBdr>
    </w:div>
    <w:div w:id="444232368">
      <w:bodyDiv w:val="1"/>
      <w:marLeft w:val="0"/>
      <w:marRight w:val="0"/>
      <w:marTop w:val="0"/>
      <w:marBottom w:val="0"/>
      <w:divBdr>
        <w:top w:val="none" w:sz="0" w:space="0" w:color="auto"/>
        <w:left w:val="none" w:sz="0" w:space="0" w:color="auto"/>
        <w:bottom w:val="none" w:sz="0" w:space="0" w:color="auto"/>
        <w:right w:val="none" w:sz="0" w:space="0" w:color="auto"/>
      </w:divBdr>
    </w:div>
    <w:div w:id="445583593">
      <w:bodyDiv w:val="1"/>
      <w:marLeft w:val="0"/>
      <w:marRight w:val="0"/>
      <w:marTop w:val="0"/>
      <w:marBottom w:val="0"/>
      <w:divBdr>
        <w:top w:val="none" w:sz="0" w:space="0" w:color="auto"/>
        <w:left w:val="none" w:sz="0" w:space="0" w:color="auto"/>
        <w:bottom w:val="none" w:sz="0" w:space="0" w:color="auto"/>
        <w:right w:val="none" w:sz="0" w:space="0" w:color="auto"/>
      </w:divBdr>
    </w:div>
    <w:div w:id="445856453">
      <w:bodyDiv w:val="1"/>
      <w:marLeft w:val="0"/>
      <w:marRight w:val="0"/>
      <w:marTop w:val="0"/>
      <w:marBottom w:val="0"/>
      <w:divBdr>
        <w:top w:val="none" w:sz="0" w:space="0" w:color="auto"/>
        <w:left w:val="none" w:sz="0" w:space="0" w:color="auto"/>
        <w:bottom w:val="none" w:sz="0" w:space="0" w:color="auto"/>
        <w:right w:val="none" w:sz="0" w:space="0" w:color="auto"/>
      </w:divBdr>
    </w:div>
    <w:div w:id="447625811">
      <w:bodyDiv w:val="1"/>
      <w:marLeft w:val="0"/>
      <w:marRight w:val="0"/>
      <w:marTop w:val="0"/>
      <w:marBottom w:val="0"/>
      <w:divBdr>
        <w:top w:val="none" w:sz="0" w:space="0" w:color="auto"/>
        <w:left w:val="none" w:sz="0" w:space="0" w:color="auto"/>
        <w:bottom w:val="none" w:sz="0" w:space="0" w:color="auto"/>
        <w:right w:val="none" w:sz="0" w:space="0" w:color="auto"/>
      </w:divBdr>
    </w:div>
    <w:div w:id="447940307">
      <w:bodyDiv w:val="1"/>
      <w:marLeft w:val="0"/>
      <w:marRight w:val="0"/>
      <w:marTop w:val="0"/>
      <w:marBottom w:val="0"/>
      <w:divBdr>
        <w:top w:val="none" w:sz="0" w:space="0" w:color="auto"/>
        <w:left w:val="none" w:sz="0" w:space="0" w:color="auto"/>
        <w:bottom w:val="none" w:sz="0" w:space="0" w:color="auto"/>
        <w:right w:val="none" w:sz="0" w:space="0" w:color="auto"/>
      </w:divBdr>
    </w:div>
    <w:div w:id="449670647">
      <w:bodyDiv w:val="1"/>
      <w:marLeft w:val="0"/>
      <w:marRight w:val="0"/>
      <w:marTop w:val="0"/>
      <w:marBottom w:val="0"/>
      <w:divBdr>
        <w:top w:val="none" w:sz="0" w:space="0" w:color="auto"/>
        <w:left w:val="none" w:sz="0" w:space="0" w:color="auto"/>
        <w:bottom w:val="none" w:sz="0" w:space="0" w:color="auto"/>
        <w:right w:val="none" w:sz="0" w:space="0" w:color="auto"/>
      </w:divBdr>
    </w:div>
    <w:div w:id="450167287">
      <w:bodyDiv w:val="1"/>
      <w:marLeft w:val="0"/>
      <w:marRight w:val="0"/>
      <w:marTop w:val="0"/>
      <w:marBottom w:val="0"/>
      <w:divBdr>
        <w:top w:val="none" w:sz="0" w:space="0" w:color="auto"/>
        <w:left w:val="none" w:sz="0" w:space="0" w:color="auto"/>
        <w:bottom w:val="none" w:sz="0" w:space="0" w:color="auto"/>
        <w:right w:val="none" w:sz="0" w:space="0" w:color="auto"/>
      </w:divBdr>
    </w:div>
    <w:div w:id="450519655">
      <w:bodyDiv w:val="1"/>
      <w:marLeft w:val="0"/>
      <w:marRight w:val="0"/>
      <w:marTop w:val="0"/>
      <w:marBottom w:val="0"/>
      <w:divBdr>
        <w:top w:val="none" w:sz="0" w:space="0" w:color="auto"/>
        <w:left w:val="none" w:sz="0" w:space="0" w:color="auto"/>
        <w:bottom w:val="none" w:sz="0" w:space="0" w:color="auto"/>
        <w:right w:val="none" w:sz="0" w:space="0" w:color="auto"/>
      </w:divBdr>
    </w:div>
    <w:div w:id="452358809">
      <w:bodyDiv w:val="1"/>
      <w:marLeft w:val="0"/>
      <w:marRight w:val="0"/>
      <w:marTop w:val="0"/>
      <w:marBottom w:val="0"/>
      <w:divBdr>
        <w:top w:val="none" w:sz="0" w:space="0" w:color="auto"/>
        <w:left w:val="none" w:sz="0" w:space="0" w:color="auto"/>
        <w:bottom w:val="none" w:sz="0" w:space="0" w:color="auto"/>
        <w:right w:val="none" w:sz="0" w:space="0" w:color="auto"/>
      </w:divBdr>
    </w:div>
    <w:div w:id="455685168">
      <w:bodyDiv w:val="1"/>
      <w:marLeft w:val="0"/>
      <w:marRight w:val="0"/>
      <w:marTop w:val="0"/>
      <w:marBottom w:val="0"/>
      <w:divBdr>
        <w:top w:val="none" w:sz="0" w:space="0" w:color="auto"/>
        <w:left w:val="none" w:sz="0" w:space="0" w:color="auto"/>
        <w:bottom w:val="none" w:sz="0" w:space="0" w:color="auto"/>
        <w:right w:val="none" w:sz="0" w:space="0" w:color="auto"/>
      </w:divBdr>
    </w:div>
    <w:div w:id="456800910">
      <w:bodyDiv w:val="1"/>
      <w:marLeft w:val="0"/>
      <w:marRight w:val="0"/>
      <w:marTop w:val="0"/>
      <w:marBottom w:val="0"/>
      <w:divBdr>
        <w:top w:val="none" w:sz="0" w:space="0" w:color="auto"/>
        <w:left w:val="none" w:sz="0" w:space="0" w:color="auto"/>
        <w:bottom w:val="none" w:sz="0" w:space="0" w:color="auto"/>
        <w:right w:val="none" w:sz="0" w:space="0" w:color="auto"/>
      </w:divBdr>
    </w:div>
    <w:div w:id="457800607">
      <w:bodyDiv w:val="1"/>
      <w:marLeft w:val="0"/>
      <w:marRight w:val="0"/>
      <w:marTop w:val="0"/>
      <w:marBottom w:val="0"/>
      <w:divBdr>
        <w:top w:val="none" w:sz="0" w:space="0" w:color="auto"/>
        <w:left w:val="none" w:sz="0" w:space="0" w:color="auto"/>
        <w:bottom w:val="none" w:sz="0" w:space="0" w:color="auto"/>
        <w:right w:val="none" w:sz="0" w:space="0" w:color="auto"/>
      </w:divBdr>
    </w:div>
    <w:div w:id="459224134">
      <w:bodyDiv w:val="1"/>
      <w:marLeft w:val="0"/>
      <w:marRight w:val="0"/>
      <w:marTop w:val="0"/>
      <w:marBottom w:val="0"/>
      <w:divBdr>
        <w:top w:val="none" w:sz="0" w:space="0" w:color="auto"/>
        <w:left w:val="none" w:sz="0" w:space="0" w:color="auto"/>
        <w:bottom w:val="none" w:sz="0" w:space="0" w:color="auto"/>
        <w:right w:val="none" w:sz="0" w:space="0" w:color="auto"/>
      </w:divBdr>
    </w:div>
    <w:div w:id="459617705">
      <w:bodyDiv w:val="1"/>
      <w:marLeft w:val="0"/>
      <w:marRight w:val="0"/>
      <w:marTop w:val="0"/>
      <w:marBottom w:val="0"/>
      <w:divBdr>
        <w:top w:val="none" w:sz="0" w:space="0" w:color="auto"/>
        <w:left w:val="none" w:sz="0" w:space="0" w:color="auto"/>
        <w:bottom w:val="none" w:sz="0" w:space="0" w:color="auto"/>
        <w:right w:val="none" w:sz="0" w:space="0" w:color="auto"/>
      </w:divBdr>
    </w:div>
    <w:div w:id="465044815">
      <w:bodyDiv w:val="1"/>
      <w:marLeft w:val="0"/>
      <w:marRight w:val="0"/>
      <w:marTop w:val="0"/>
      <w:marBottom w:val="0"/>
      <w:divBdr>
        <w:top w:val="none" w:sz="0" w:space="0" w:color="auto"/>
        <w:left w:val="none" w:sz="0" w:space="0" w:color="auto"/>
        <w:bottom w:val="none" w:sz="0" w:space="0" w:color="auto"/>
        <w:right w:val="none" w:sz="0" w:space="0" w:color="auto"/>
      </w:divBdr>
    </w:div>
    <w:div w:id="466320587">
      <w:bodyDiv w:val="1"/>
      <w:marLeft w:val="0"/>
      <w:marRight w:val="0"/>
      <w:marTop w:val="0"/>
      <w:marBottom w:val="0"/>
      <w:divBdr>
        <w:top w:val="none" w:sz="0" w:space="0" w:color="auto"/>
        <w:left w:val="none" w:sz="0" w:space="0" w:color="auto"/>
        <w:bottom w:val="none" w:sz="0" w:space="0" w:color="auto"/>
        <w:right w:val="none" w:sz="0" w:space="0" w:color="auto"/>
      </w:divBdr>
    </w:div>
    <w:div w:id="469172361">
      <w:bodyDiv w:val="1"/>
      <w:marLeft w:val="0"/>
      <w:marRight w:val="0"/>
      <w:marTop w:val="0"/>
      <w:marBottom w:val="0"/>
      <w:divBdr>
        <w:top w:val="none" w:sz="0" w:space="0" w:color="auto"/>
        <w:left w:val="none" w:sz="0" w:space="0" w:color="auto"/>
        <w:bottom w:val="none" w:sz="0" w:space="0" w:color="auto"/>
        <w:right w:val="none" w:sz="0" w:space="0" w:color="auto"/>
      </w:divBdr>
    </w:div>
    <w:div w:id="469787535">
      <w:bodyDiv w:val="1"/>
      <w:marLeft w:val="0"/>
      <w:marRight w:val="0"/>
      <w:marTop w:val="0"/>
      <w:marBottom w:val="0"/>
      <w:divBdr>
        <w:top w:val="none" w:sz="0" w:space="0" w:color="auto"/>
        <w:left w:val="none" w:sz="0" w:space="0" w:color="auto"/>
        <w:bottom w:val="none" w:sz="0" w:space="0" w:color="auto"/>
        <w:right w:val="none" w:sz="0" w:space="0" w:color="auto"/>
      </w:divBdr>
    </w:div>
    <w:div w:id="470292974">
      <w:bodyDiv w:val="1"/>
      <w:marLeft w:val="0"/>
      <w:marRight w:val="0"/>
      <w:marTop w:val="0"/>
      <w:marBottom w:val="0"/>
      <w:divBdr>
        <w:top w:val="none" w:sz="0" w:space="0" w:color="auto"/>
        <w:left w:val="none" w:sz="0" w:space="0" w:color="auto"/>
        <w:bottom w:val="none" w:sz="0" w:space="0" w:color="auto"/>
        <w:right w:val="none" w:sz="0" w:space="0" w:color="auto"/>
      </w:divBdr>
    </w:div>
    <w:div w:id="470631832">
      <w:bodyDiv w:val="1"/>
      <w:marLeft w:val="0"/>
      <w:marRight w:val="0"/>
      <w:marTop w:val="0"/>
      <w:marBottom w:val="0"/>
      <w:divBdr>
        <w:top w:val="none" w:sz="0" w:space="0" w:color="auto"/>
        <w:left w:val="none" w:sz="0" w:space="0" w:color="auto"/>
        <w:bottom w:val="none" w:sz="0" w:space="0" w:color="auto"/>
        <w:right w:val="none" w:sz="0" w:space="0" w:color="auto"/>
      </w:divBdr>
    </w:div>
    <w:div w:id="472219623">
      <w:bodyDiv w:val="1"/>
      <w:marLeft w:val="0"/>
      <w:marRight w:val="0"/>
      <w:marTop w:val="0"/>
      <w:marBottom w:val="0"/>
      <w:divBdr>
        <w:top w:val="none" w:sz="0" w:space="0" w:color="auto"/>
        <w:left w:val="none" w:sz="0" w:space="0" w:color="auto"/>
        <w:bottom w:val="none" w:sz="0" w:space="0" w:color="auto"/>
        <w:right w:val="none" w:sz="0" w:space="0" w:color="auto"/>
      </w:divBdr>
    </w:div>
    <w:div w:id="472911577">
      <w:bodyDiv w:val="1"/>
      <w:marLeft w:val="0"/>
      <w:marRight w:val="0"/>
      <w:marTop w:val="0"/>
      <w:marBottom w:val="0"/>
      <w:divBdr>
        <w:top w:val="none" w:sz="0" w:space="0" w:color="auto"/>
        <w:left w:val="none" w:sz="0" w:space="0" w:color="auto"/>
        <w:bottom w:val="none" w:sz="0" w:space="0" w:color="auto"/>
        <w:right w:val="none" w:sz="0" w:space="0" w:color="auto"/>
      </w:divBdr>
    </w:div>
    <w:div w:id="473178218">
      <w:bodyDiv w:val="1"/>
      <w:marLeft w:val="0"/>
      <w:marRight w:val="0"/>
      <w:marTop w:val="0"/>
      <w:marBottom w:val="0"/>
      <w:divBdr>
        <w:top w:val="none" w:sz="0" w:space="0" w:color="auto"/>
        <w:left w:val="none" w:sz="0" w:space="0" w:color="auto"/>
        <w:bottom w:val="none" w:sz="0" w:space="0" w:color="auto"/>
        <w:right w:val="none" w:sz="0" w:space="0" w:color="auto"/>
      </w:divBdr>
    </w:div>
    <w:div w:id="473723184">
      <w:bodyDiv w:val="1"/>
      <w:marLeft w:val="0"/>
      <w:marRight w:val="0"/>
      <w:marTop w:val="0"/>
      <w:marBottom w:val="0"/>
      <w:divBdr>
        <w:top w:val="none" w:sz="0" w:space="0" w:color="auto"/>
        <w:left w:val="none" w:sz="0" w:space="0" w:color="auto"/>
        <w:bottom w:val="none" w:sz="0" w:space="0" w:color="auto"/>
        <w:right w:val="none" w:sz="0" w:space="0" w:color="auto"/>
      </w:divBdr>
    </w:div>
    <w:div w:id="474298650">
      <w:bodyDiv w:val="1"/>
      <w:marLeft w:val="0"/>
      <w:marRight w:val="0"/>
      <w:marTop w:val="0"/>
      <w:marBottom w:val="0"/>
      <w:divBdr>
        <w:top w:val="none" w:sz="0" w:space="0" w:color="auto"/>
        <w:left w:val="none" w:sz="0" w:space="0" w:color="auto"/>
        <w:bottom w:val="none" w:sz="0" w:space="0" w:color="auto"/>
        <w:right w:val="none" w:sz="0" w:space="0" w:color="auto"/>
      </w:divBdr>
    </w:div>
    <w:div w:id="477262800">
      <w:bodyDiv w:val="1"/>
      <w:marLeft w:val="0"/>
      <w:marRight w:val="0"/>
      <w:marTop w:val="0"/>
      <w:marBottom w:val="0"/>
      <w:divBdr>
        <w:top w:val="none" w:sz="0" w:space="0" w:color="auto"/>
        <w:left w:val="none" w:sz="0" w:space="0" w:color="auto"/>
        <w:bottom w:val="none" w:sz="0" w:space="0" w:color="auto"/>
        <w:right w:val="none" w:sz="0" w:space="0" w:color="auto"/>
      </w:divBdr>
    </w:div>
    <w:div w:id="478304257">
      <w:bodyDiv w:val="1"/>
      <w:marLeft w:val="0"/>
      <w:marRight w:val="0"/>
      <w:marTop w:val="0"/>
      <w:marBottom w:val="0"/>
      <w:divBdr>
        <w:top w:val="none" w:sz="0" w:space="0" w:color="auto"/>
        <w:left w:val="none" w:sz="0" w:space="0" w:color="auto"/>
        <w:bottom w:val="none" w:sz="0" w:space="0" w:color="auto"/>
        <w:right w:val="none" w:sz="0" w:space="0" w:color="auto"/>
      </w:divBdr>
    </w:div>
    <w:div w:id="478956781">
      <w:bodyDiv w:val="1"/>
      <w:marLeft w:val="0"/>
      <w:marRight w:val="0"/>
      <w:marTop w:val="0"/>
      <w:marBottom w:val="0"/>
      <w:divBdr>
        <w:top w:val="none" w:sz="0" w:space="0" w:color="auto"/>
        <w:left w:val="none" w:sz="0" w:space="0" w:color="auto"/>
        <w:bottom w:val="none" w:sz="0" w:space="0" w:color="auto"/>
        <w:right w:val="none" w:sz="0" w:space="0" w:color="auto"/>
      </w:divBdr>
    </w:div>
    <w:div w:id="484902470">
      <w:bodyDiv w:val="1"/>
      <w:marLeft w:val="0"/>
      <w:marRight w:val="0"/>
      <w:marTop w:val="0"/>
      <w:marBottom w:val="0"/>
      <w:divBdr>
        <w:top w:val="none" w:sz="0" w:space="0" w:color="auto"/>
        <w:left w:val="none" w:sz="0" w:space="0" w:color="auto"/>
        <w:bottom w:val="none" w:sz="0" w:space="0" w:color="auto"/>
        <w:right w:val="none" w:sz="0" w:space="0" w:color="auto"/>
      </w:divBdr>
    </w:div>
    <w:div w:id="485442338">
      <w:bodyDiv w:val="1"/>
      <w:marLeft w:val="0"/>
      <w:marRight w:val="0"/>
      <w:marTop w:val="0"/>
      <w:marBottom w:val="0"/>
      <w:divBdr>
        <w:top w:val="none" w:sz="0" w:space="0" w:color="auto"/>
        <w:left w:val="none" w:sz="0" w:space="0" w:color="auto"/>
        <w:bottom w:val="none" w:sz="0" w:space="0" w:color="auto"/>
        <w:right w:val="none" w:sz="0" w:space="0" w:color="auto"/>
      </w:divBdr>
    </w:div>
    <w:div w:id="485509394">
      <w:bodyDiv w:val="1"/>
      <w:marLeft w:val="0"/>
      <w:marRight w:val="0"/>
      <w:marTop w:val="0"/>
      <w:marBottom w:val="0"/>
      <w:divBdr>
        <w:top w:val="none" w:sz="0" w:space="0" w:color="auto"/>
        <w:left w:val="none" w:sz="0" w:space="0" w:color="auto"/>
        <w:bottom w:val="none" w:sz="0" w:space="0" w:color="auto"/>
        <w:right w:val="none" w:sz="0" w:space="0" w:color="auto"/>
      </w:divBdr>
    </w:div>
    <w:div w:id="485973358">
      <w:bodyDiv w:val="1"/>
      <w:marLeft w:val="0"/>
      <w:marRight w:val="0"/>
      <w:marTop w:val="0"/>
      <w:marBottom w:val="0"/>
      <w:divBdr>
        <w:top w:val="none" w:sz="0" w:space="0" w:color="auto"/>
        <w:left w:val="none" w:sz="0" w:space="0" w:color="auto"/>
        <w:bottom w:val="none" w:sz="0" w:space="0" w:color="auto"/>
        <w:right w:val="none" w:sz="0" w:space="0" w:color="auto"/>
      </w:divBdr>
    </w:div>
    <w:div w:id="487945445">
      <w:bodyDiv w:val="1"/>
      <w:marLeft w:val="0"/>
      <w:marRight w:val="0"/>
      <w:marTop w:val="0"/>
      <w:marBottom w:val="0"/>
      <w:divBdr>
        <w:top w:val="none" w:sz="0" w:space="0" w:color="auto"/>
        <w:left w:val="none" w:sz="0" w:space="0" w:color="auto"/>
        <w:bottom w:val="none" w:sz="0" w:space="0" w:color="auto"/>
        <w:right w:val="none" w:sz="0" w:space="0" w:color="auto"/>
      </w:divBdr>
    </w:div>
    <w:div w:id="489058897">
      <w:bodyDiv w:val="1"/>
      <w:marLeft w:val="0"/>
      <w:marRight w:val="0"/>
      <w:marTop w:val="0"/>
      <w:marBottom w:val="0"/>
      <w:divBdr>
        <w:top w:val="none" w:sz="0" w:space="0" w:color="auto"/>
        <w:left w:val="none" w:sz="0" w:space="0" w:color="auto"/>
        <w:bottom w:val="none" w:sz="0" w:space="0" w:color="auto"/>
        <w:right w:val="none" w:sz="0" w:space="0" w:color="auto"/>
      </w:divBdr>
    </w:div>
    <w:div w:id="489566455">
      <w:bodyDiv w:val="1"/>
      <w:marLeft w:val="0"/>
      <w:marRight w:val="0"/>
      <w:marTop w:val="0"/>
      <w:marBottom w:val="0"/>
      <w:divBdr>
        <w:top w:val="none" w:sz="0" w:space="0" w:color="auto"/>
        <w:left w:val="none" w:sz="0" w:space="0" w:color="auto"/>
        <w:bottom w:val="none" w:sz="0" w:space="0" w:color="auto"/>
        <w:right w:val="none" w:sz="0" w:space="0" w:color="auto"/>
      </w:divBdr>
    </w:div>
    <w:div w:id="490609834">
      <w:bodyDiv w:val="1"/>
      <w:marLeft w:val="0"/>
      <w:marRight w:val="0"/>
      <w:marTop w:val="0"/>
      <w:marBottom w:val="0"/>
      <w:divBdr>
        <w:top w:val="none" w:sz="0" w:space="0" w:color="auto"/>
        <w:left w:val="none" w:sz="0" w:space="0" w:color="auto"/>
        <w:bottom w:val="none" w:sz="0" w:space="0" w:color="auto"/>
        <w:right w:val="none" w:sz="0" w:space="0" w:color="auto"/>
      </w:divBdr>
    </w:div>
    <w:div w:id="491651735">
      <w:bodyDiv w:val="1"/>
      <w:marLeft w:val="0"/>
      <w:marRight w:val="0"/>
      <w:marTop w:val="0"/>
      <w:marBottom w:val="0"/>
      <w:divBdr>
        <w:top w:val="none" w:sz="0" w:space="0" w:color="auto"/>
        <w:left w:val="none" w:sz="0" w:space="0" w:color="auto"/>
        <w:bottom w:val="none" w:sz="0" w:space="0" w:color="auto"/>
        <w:right w:val="none" w:sz="0" w:space="0" w:color="auto"/>
      </w:divBdr>
    </w:div>
    <w:div w:id="491725684">
      <w:bodyDiv w:val="1"/>
      <w:marLeft w:val="0"/>
      <w:marRight w:val="0"/>
      <w:marTop w:val="0"/>
      <w:marBottom w:val="0"/>
      <w:divBdr>
        <w:top w:val="none" w:sz="0" w:space="0" w:color="auto"/>
        <w:left w:val="none" w:sz="0" w:space="0" w:color="auto"/>
        <w:bottom w:val="none" w:sz="0" w:space="0" w:color="auto"/>
        <w:right w:val="none" w:sz="0" w:space="0" w:color="auto"/>
      </w:divBdr>
    </w:div>
    <w:div w:id="492065942">
      <w:bodyDiv w:val="1"/>
      <w:marLeft w:val="0"/>
      <w:marRight w:val="0"/>
      <w:marTop w:val="0"/>
      <w:marBottom w:val="0"/>
      <w:divBdr>
        <w:top w:val="none" w:sz="0" w:space="0" w:color="auto"/>
        <w:left w:val="none" w:sz="0" w:space="0" w:color="auto"/>
        <w:bottom w:val="none" w:sz="0" w:space="0" w:color="auto"/>
        <w:right w:val="none" w:sz="0" w:space="0" w:color="auto"/>
      </w:divBdr>
    </w:div>
    <w:div w:id="492183689">
      <w:bodyDiv w:val="1"/>
      <w:marLeft w:val="0"/>
      <w:marRight w:val="0"/>
      <w:marTop w:val="0"/>
      <w:marBottom w:val="0"/>
      <w:divBdr>
        <w:top w:val="none" w:sz="0" w:space="0" w:color="auto"/>
        <w:left w:val="none" w:sz="0" w:space="0" w:color="auto"/>
        <w:bottom w:val="none" w:sz="0" w:space="0" w:color="auto"/>
        <w:right w:val="none" w:sz="0" w:space="0" w:color="auto"/>
      </w:divBdr>
    </w:div>
    <w:div w:id="492530736">
      <w:bodyDiv w:val="1"/>
      <w:marLeft w:val="0"/>
      <w:marRight w:val="0"/>
      <w:marTop w:val="0"/>
      <w:marBottom w:val="0"/>
      <w:divBdr>
        <w:top w:val="none" w:sz="0" w:space="0" w:color="auto"/>
        <w:left w:val="none" w:sz="0" w:space="0" w:color="auto"/>
        <w:bottom w:val="none" w:sz="0" w:space="0" w:color="auto"/>
        <w:right w:val="none" w:sz="0" w:space="0" w:color="auto"/>
      </w:divBdr>
    </w:div>
    <w:div w:id="496384097">
      <w:bodyDiv w:val="1"/>
      <w:marLeft w:val="0"/>
      <w:marRight w:val="0"/>
      <w:marTop w:val="0"/>
      <w:marBottom w:val="0"/>
      <w:divBdr>
        <w:top w:val="none" w:sz="0" w:space="0" w:color="auto"/>
        <w:left w:val="none" w:sz="0" w:space="0" w:color="auto"/>
        <w:bottom w:val="none" w:sz="0" w:space="0" w:color="auto"/>
        <w:right w:val="none" w:sz="0" w:space="0" w:color="auto"/>
      </w:divBdr>
    </w:div>
    <w:div w:id="496771886">
      <w:bodyDiv w:val="1"/>
      <w:marLeft w:val="0"/>
      <w:marRight w:val="0"/>
      <w:marTop w:val="0"/>
      <w:marBottom w:val="0"/>
      <w:divBdr>
        <w:top w:val="none" w:sz="0" w:space="0" w:color="auto"/>
        <w:left w:val="none" w:sz="0" w:space="0" w:color="auto"/>
        <w:bottom w:val="none" w:sz="0" w:space="0" w:color="auto"/>
        <w:right w:val="none" w:sz="0" w:space="0" w:color="auto"/>
      </w:divBdr>
    </w:div>
    <w:div w:id="497380107">
      <w:bodyDiv w:val="1"/>
      <w:marLeft w:val="0"/>
      <w:marRight w:val="0"/>
      <w:marTop w:val="0"/>
      <w:marBottom w:val="0"/>
      <w:divBdr>
        <w:top w:val="none" w:sz="0" w:space="0" w:color="auto"/>
        <w:left w:val="none" w:sz="0" w:space="0" w:color="auto"/>
        <w:bottom w:val="none" w:sz="0" w:space="0" w:color="auto"/>
        <w:right w:val="none" w:sz="0" w:space="0" w:color="auto"/>
      </w:divBdr>
    </w:div>
    <w:div w:id="497621061">
      <w:bodyDiv w:val="1"/>
      <w:marLeft w:val="0"/>
      <w:marRight w:val="0"/>
      <w:marTop w:val="0"/>
      <w:marBottom w:val="0"/>
      <w:divBdr>
        <w:top w:val="none" w:sz="0" w:space="0" w:color="auto"/>
        <w:left w:val="none" w:sz="0" w:space="0" w:color="auto"/>
        <w:bottom w:val="none" w:sz="0" w:space="0" w:color="auto"/>
        <w:right w:val="none" w:sz="0" w:space="0" w:color="auto"/>
      </w:divBdr>
    </w:div>
    <w:div w:id="498011021">
      <w:bodyDiv w:val="1"/>
      <w:marLeft w:val="0"/>
      <w:marRight w:val="0"/>
      <w:marTop w:val="0"/>
      <w:marBottom w:val="0"/>
      <w:divBdr>
        <w:top w:val="none" w:sz="0" w:space="0" w:color="auto"/>
        <w:left w:val="none" w:sz="0" w:space="0" w:color="auto"/>
        <w:bottom w:val="none" w:sz="0" w:space="0" w:color="auto"/>
        <w:right w:val="none" w:sz="0" w:space="0" w:color="auto"/>
      </w:divBdr>
    </w:div>
    <w:div w:id="498890838">
      <w:bodyDiv w:val="1"/>
      <w:marLeft w:val="0"/>
      <w:marRight w:val="0"/>
      <w:marTop w:val="0"/>
      <w:marBottom w:val="0"/>
      <w:divBdr>
        <w:top w:val="none" w:sz="0" w:space="0" w:color="auto"/>
        <w:left w:val="none" w:sz="0" w:space="0" w:color="auto"/>
        <w:bottom w:val="none" w:sz="0" w:space="0" w:color="auto"/>
        <w:right w:val="none" w:sz="0" w:space="0" w:color="auto"/>
      </w:divBdr>
    </w:div>
    <w:div w:id="499925519">
      <w:bodyDiv w:val="1"/>
      <w:marLeft w:val="0"/>
      <w:marRight w:val="0"/>
      <w:marTop w:val="0"/>
      <w:marBottom w:val="0"/>
      <w:divBdr>
        <w:top w:val="none" w:sz="0" w:space="0" w:color="auto"/>
        <w:left w:val="none" w:sz="0" w:space="0" w:color="auto"/>
        <w:bottom w:val="none" w:sz="0" w:space="0" w:color="auto"/>
        <w:right w:val="none" w:sz="0" w:space="0" w:color="auto"/>
      </w:divBdr>
    </w:div>
    <w:div w:id="500514274">
      <w:bodyDiv w:val="1"/>
      <w:marLeft w:val="0"/>
      <w:marRight w:val="0"/>
      <w:marTop w:val="0"/>
      <w:marBottom w:val="0"/>
      <w:divBdr>
        <w:top w:val="none" w:sz="0" w:space="0" w:color="auto"/>
        <w:left w:val="none" w:sz="0" w:space="0" w:color="auto"/>
        <w:bottom w:val="none" w:sz="0" w:space="0" w:color="auto"/>
        <w:right w:val="none" w:sz="0" w:space="0" w:color="auto"/>
      </w:divBdr>
    </w:div>
    <w:div w:id="500776741">
      <w:bodyDiv w:val="1"/>
      <w:marLeft w:val="0"/>
      <w:marRight w:val="0"/>
      <w:marTop w:val="0"/>
      <w:marBottom w:val="0"/>
      <w:divBdr>
        <w:top w:val="none" w:sz="0" w:space="0" w:color="auto"/>
        <w:left w:val="none" w:sz="0" w:space="0" w:color="auto"/>
        <w:bottom w:val="none" w:sz="0" w:space="0" w:color="auto"/>
        <w:right w:val="none" w:sz="0" w:space="0" w:color="auto"/>
      </w:divBdr>
    </w:div>
    <w:div w:id="500857375">
      <w:bodyDiv w:val="1"/>
      <w:marLeft w:val="0"/>
      <w:marRight w:val="0"/>
      <w:marTop w:val="0"/>
      <w:marBottom w:val="0"/>
      <w:divBdr>
        <w:top w:val="none" w:sz="0" w:space="0" w:color="auto"/>
        <w:left w:val="none" w:sz="0" w:space="0" w:color="auto"/>
        <w:bottom w:val="none" w:sz="0" w:space="0" w:color="auto"/>
        <w:right w:val="none" w:sz="0" w:space="0" w:color="auto"/>
      </w:divBdr>
    </w:div>
    <w:div w:id="500892723">
      <w:bodyDiv w:val="1"/>
      <w:marLeft w:val="0"/>
      <w:marRight w:val="0"/>
      <w:marTop w:val="0"/>
      <w:marBottom w:val="0"/>
      <w:divBdr>
        <w:top w:val="none" w:sz="0" w:space="0" w:color="auto"/>
        <w:left w:val="none" w:sz="0" w:space="0" w:color="auto"/>
        <w:bottom w:val="none" w:sz="0" w:space="0" w:color="auto"/>
        <w:right w:val="none" w:sz="0" w:space="0" w:color="auto"/>
      </w:divBdr>
    </w:div>
    <w:div w:id="503014423">
      <w:bodyDiv w:val="1"/>
      <w:marLeft w:val="0"/>
      <w:marRight w:val="0"/>
      <w:marTop w:val="0"/>
      <w:marBottom w:val="0"/>
      <w:divBdr>
        <w:top w:val="none" w:sz="0" w:space="0" w:color="auto"/>
        <w:left w:val="none" w:sz="0" w:space="0" w:color="auto"/>
        <w:bottom w:val="none" w:sz="0" w:space="0" w:color="auto"/>
        <w:right w:val="none" w:sz="0" w:space="0" w:color="auto"/>
      </w:divBdr>
    </w:div>
    <w:div w:id="505053010">
      <w:bodyDiv w:val="1"/>
      <w:marLeft w:val="0"/>
      <w:marRight w:val="0"/>
      <w:marTop w:val="0"/>
      <w:marBottom w:val="0"/>
      <w:divBdr>
        <w:top w:val="none" w:sz="0" w:space="0" w:color="auto"/>
        <w:left w:val="none" w:sz="0" w:space="0" w:color="auto"/>
        <w:bottom w:val="none" w:sz="0" w:space="0" w:color="auto"/>
        <w:right w:val="none" w:sz="0" w:space="0" w:color="auto"/>
      </w:divBdr>
    </w:div>
    <w:div w:id="505748865">
      <w:bodyDiv w:val="1"/>
      <w:marLeft w:val="0"/>
      <w:marRight w:val="0"/>
      <w:marTop w:val="0"/>
      <w:marBottom w:val="0"/>
      <w:divBdr>
        <w:top w:val="none" w:sz="0" w:space="0" w:color="auto"/>
        <w:left w:val="none" w:sz="0" w:space="0" w:color="auto"/>
        <w:bottom w:val="none" w:sz="0" w:space="0" w:color="auto"/>
        <w:right w:val="none" w:sz="0" w:space="0" w:color="auto"/>
      </w:divBdr>
    </w:div>
    <w:div w:id="507062425">
      <w:bodyDiv w:val="1"/>
      <w:marLeft w:val="0"/>
      <w:marRight w:val="0"/>
      <w:marTop w:val="0"/>
      <w:marBottom w:val="0"/>
      <w:divBdr>
        <w:top w:val="none" w:sz="0" w:space="0" w:color="auto"/>
        <w:left w:val="none" w:sz="0" w:space="0" w:color="auto"/>
        <w:bottom w:val="none" w:sz="0" w:space="0" w:color="auto"/>
        <w:right w:val="none" w:sz="0" w:space="0" w:color="auto"/>
      </w:divBdr>
    </w:div>
    <w:div w:id="507140921">
      <w:bodyDiv w:val="1"/>
      <w:marLeft w:val="0"/>
      <w:marRight w:val="0"/>
      <w:marTop w:val="0"/>
      <w:marBottom w:val="0"/>
      <w:divBdr>
        <w:top w:val="none" w:sz="0" w:space="0" w:color="auto"/>
        <w:left w:val="none" w:sz="0" w:space="0" w:color="auto"/>
        <w:bottom w:val="none" w:sz="0" w:space="0" w:color="auto"/>
        <w:right w:val="none" w:sz="0" w:space="0" w:color="auto"/>
      </w:divBdr>
    </w:div>
    <w:div w:id="508062226">
      <w:bodyDiv w:val="1"/>
      <w:marLeft w:val="0"/>
      <w:marRight w:val="0"/>
      <w:marTop w:val="0"/>
      <w:marBottom w:val="0"/>
      <w:divBdr>
        <w:top w:val="none" w:sz="0" w:space="0" w:color="auto"/>
        <w:left w:val="none" w:sz="0" w:space="0" w:color="auto"/>
        <w:bottom w:val="none" w:sz="0" w:space="0" w:color="auto"/>
        <w:right w:val="none" w:sz="0" w:space="0" w:color="auto"/>
      </w:divBdr>
    </w:div>
    <w:div w:id="508106114">
      <w:bodyDiv w:val="1"/>
      <w:marLeft w:val="0"/>
      <w:marRight w:val="0"/>
      <w:marTop w:val="0"/>
      <w:marBottom w:val="0"/>
      <w:divBdr>
        <w:top w:val="none" w:sz="0" w:space="0" w:color="auto"/>
        <w:left w:val="none" w:sz="0" w:space="0" w:color="auto"/>
        <w:bottom w:val="none" w:sz="0" w:space="0" w:color="auto"/>
        <w:right w:val="none" w:sz="0" w:space="0" w:color="auto"/>
      </w:divBdr>
    </w:div>
    <w:div w:id="508563995">
      <w:bodyDiv w:val="1"/>
      <w:marLeft w:val="0"/>
      <w:marRight w:val="0"/>
      <w:marTop w:val="0"/>
      <w:marBottom w:val="0"/>
      <w:divBdr>
        <w:top w:val="none" w:sz="0" w:space="0" w:color="auto"/>
        <w:left w:val="none" w:sz="0" w:space="0" w:color="auto"/>
        <w:bottom w:val="none" w:sz="0" w:space="0" w:color="auto"/>
        <w:right w:val="none" w:sz="0" w:space="0" w:color="auto"/>
      </w:divBdr>
    </w:div>
    <w:div w:id="510295536">
      <w:bodyDiv w:val="1"/>
      <w:marLeft w:val="0"/>
      <w:marRight w:val="0"/>
      <w:marTop w:val="0"/>
      <w:marBottom w:val="0"/>
      <w:divBdr>
        <w:top w:val="none" w:sz="0" w:space="0" w:color="auto"/>
        <w:left w:val="none" w:sz="0" w:space="0" w:color="auto"/>
        <w:bottom w:val="none" w:sz="0" w:space="0" w:color="auto"/>
        <w:right w:val="none" w:sz="0" w:space="0" w:color="auto"/>
      </w:divBdr>
    </w:div>
    <w:div w:id="510684331">
      <w:bodyDiv w:val="1"/>
      <w:marLeft w:val="0"/>
      <w:marRight w:val="0"/>
      <w:marTop w:val="0"/>
      <w:marBottom w:val="0"/>
      <w:divBdr>
        <w:top w:val="none" w:sz="0" w:space="0" w:color="auto"/>
        <w:left w:val="none" w:sz="0" w:space="0" w:color="auto"/>
        <w:bottom w:val="none" w:sz="0" w:space="0" w:color="auto"/>
        <w:right w:val="none" w:sz="0" w:space="0" w:color="auto"/>
      </w:divBdr>
    </w:div>
    <w:div w:id="511141106">
      <w:bodyDiv w:val="1"/>
      <w:marLeft w:val="0"/>
      <w:marRight w:val="0"/>
      <w:marTop w:val="0"/>
      <w:marBottom w:val="0"/>
      <w:divBdr>
        <w:top w:val="none" w:sz="0" w:space="0" w:color="auto"/>
        <w:left w:val="none" w:sz="0" w:space="0" w:color="auto"/>
        <w:bottom w:val="none" w:sz="0" w:space="0" w:color="auto"/>
        <w:right w:val="none" w:sz="0" w:space="0" w:color="auto"/>
      </w:divBdr>
    </w:div>
    <w:div w:id="511920038">
      <w:bodyDiv w:val="1"/>
      <w:marLeft w:val="0"/>
      <w:marRight w:val="0"/>
      <w:marTop w:val="0"/>
      <w:marBottom w:val="0"/>
      <w:divBdr>
        <w:top w:val="none" w:sz="0" w:space="0" w:color="auto"/>
        <w:left w:val="none" w:sz="0" w:space="0" w:color="auto"/>
        <w:bottom w:val="none" w:sz="0" w:space="0" w:color="auto"/>
        <w:right w:val="none" w:sz="0" w:space="0" w:color="auto"/>
      </w:divBdr>
    </w:div>
    <w:div w:id="514227539">
      <w:bodyDiv w:val="1"/>
      <w:marLeft w:val="0"/>
      <w:marRight w:val="0"/>
      <w:marTop w:val="0"/>
      <w:marBottom w:val="0"/>
      <w:divBdr>
        <w:top w:val="none" w:sz="0" w:space="0" w:color="auto"/>
        <w:left w:val="none" w:sz="0" w:space="0" w:color="auto"/>
        <w:bottom w:val="none" w:sz="0" w:space="0" w:color="auto"/>
        <w:right w:val="none" w:sz="0" w:space="0" w:color="auto"/>
      </w:divBdr>
    </w:div>
    <w:div w:id="516433108">
      <w:bodyDiv w:val="1"/>
      <w:marLeft w:val="0"/>
      <w:marRight w:val="0"/>
      <w:marTop w:val="0"/>
      <w:marBottom w:val="0"/>
      <w:divBdr>
        <w:top w:val="none" w:sz="0" w:space="0" w:color="auto"/>
        <w:left w:val="none" w:sz="0" w:space="0" w:color="auto"/>
        <w:bottom w:val="none" w:sz="0" w:space="0" w:color="auto"/>
        <w:right w:val="none" w:sz="0" w:space="0" w:color="auto"/>
      </w:divBdr>
    </w:div>
    <w:div w:id="517621093">
      <w:bodyDiv w:val="1"/>
      <w:marLeft w:val="0"/>
      <w:marRight w:val="0"/>
      <w:marTop w:val="0"/>
      <w:marBottom w:val="0"/>
      <w:divBdr>
        <w:top w:val="none" w:sz="0" w:space="0" w:color="auto"/>
        <w:left w:val="none" w:sz="0" w:space="0" w:color="auto"/>
        <w:bottom w:val="none" w:sz="0" w:space="0" w:color="auto"/>
        <w:right w:val="none" w:sz="0" w:space="0" w:color="auto"/>
      </w:divBdr>
    </w:div>
    <w:div w:id="519392558">
      <w:bodyDiv w:val="1"/>
      <w:marLeft w:val="0"/>
      <w:marRight w:val="0"/>
      <w:marTop w:val="0"/>
      <w:marBottom w:val="0"/>
      <w:divBdr>
        <w:top w:val="none" w:sz="0" w:space="0" w:color="auto"/>
        <w:left w:val="none" w:sz="0" w:space="0" w:color="auto"/>
        <w:bottom w:val="none" w:sz="0" w:space="0" w:color="auto"/>
        <w:right w:val="none" w:sz="0" w:space="0" w:color="auto"/>
      </w:divBdr>
    </w:div>
    <w:div w:id="519589377">
      <w:bodyDiv w:val="1"/>
      <w:marLeft w:val="0"/>
      <w:marRight w:val="0"/>
      <w:marTop w:val="0"/>
      <w:marBottom w:val="0"/>
      <w:divBdr>
        <w:top w:val="none" w:sz="0" w:space="0" w:color="auto"/>
        <w:left w:val="none" w:sz="0" w:space="0" w:color="auto"/>
        <w:bottom w:val="none" w:sz="0" w:space="0" w:color="auto"/>
        <w:right w:val="none" w:sz="0" w:space="0" w:color="auto"/>
      </w:divBdr>
    </w:div>
    <w:div w:id="519902770">
      <w:bodyDiv w:val="1"/>
      <w:marLeft w:val="0"/>
      <w:marRight w:val="0"/>
      <w:marTop w:val="0"/>
      <w:marBottom w:val="0"/>
      <w:divBdr>
        <w:top w:val="none" w:sz="0" w:space="0" w:color="auto"/>
        <w:left w:val="none" w:sz="0" w:space="0" w:color="auto"/>
        <w:bottom w:val="none" w:sz="0" w:space="0" w:color="auto"/>
        <w:right w:val="none" w:sz="0" w:space="0" w:color="auto"/>
      </w:divBdr>
    </w:div>
    <w:div w:id="520045665">
      <w:bodyDiv w:val="1"/>
      <w:marLeft w:val="0"/>
      <w:marRight w:val="0"/>
      <w:marTop w:val="0"/>
      <w:marBottom w:val="0"/>
      <w:divBdr>
        <w:top w:val="none" w:sz="0" w:space="0" w:color="auto"/>
        <w:left w:val="none" w:sz="0" w:space="0" w:color="auto"/>
        <w:bottom w:val="none" w:sz="0" w:space="0" w:color="auto"/>
        <w:right w:val="none" w:sz="0" w:space="0" w:color="auto"/>
      </w:divBdr>
    </w:div>
    <w:div w:id="522596522">
      <w:bodyDiv w:val="1"/>
      <w:marLeft w:val="0"/>
      <w:marRight w:val="0"/>
      <w:marTop w:val="0"/>
      <w:marBottom w:val="0"/>
      <w:divBdr>
        <w:top w:val="none" w:sz="0" w:space="0" w:color="auto"/>
        <w:left w:val="none" w:sz="0" w:space="0" w:color="auto"/>
        <w:bottom w:val="none" w:sz="0" w:space="0" w:color="auto"/>
        <w:right w:val="none" w:sz="0" w:space="0" w:color="auto"/>
      </w:divBdr>
    </w:div>
    <w:div w:id="524827911">
      <w:bodyDiv w:val="1"/>
      <w:marLeft w:val="0"/>
      <w:marRight w:val="0"/>
      <w:marTop w:val="0"/>
      <w:marBottom w:val="0"/>
      <w:divBdr>
        <w:top w:val="none" w:sz="0" w:space="0" w:color="auto"/>
        <w:left w:val="none" w:sz="0" w:space="0" w:color="auto"/>
        <w:bottom w:val="none" w:sz="0" w:space="0" w:color="auto"/>
        <w:right w:val="none" w:sz="0" w:space="0" w:color="auto"/>
      </w:divBdr>
    </w:div>
    <w:div w:id="525558552">
      <w:bodyDiv w:val="1"/>
      <w:marLeft w:val="0"/>
      <w:marRight w:val="0"/>
      <w:marTop w:val="0"/>
      <w:marBottom w:val="0"/>
      <w:divBdr>
        <w:top w:val="none" w:sz="0" w:space="0" w:color="auto"/>
        <w:left w:val="none" w:sz="0" w:space="0" w:color="auto"/>
        <w:bottom w:val="none" w:sz="0" w:space="0" w:color="auto"/>
        <w:right w:val="none" w:sz="0" w:space="0" w:color="auto"/>
      </w:divBdr>
    </w:div>
    <w:div w:id="529145806">
      <w:bodyDiv w:val="1"/>
      <w:marLeft w:val="0"/>
      <w:marRight w:val="0"/>
      <w:marTop w:val="0"/>
      <w:marBottom w:val="0"/>
      <w:divBdr>
        <w:top w:val="none" w:sz="0" w:space="0" w:color="auto"/>
        <w:left w:val="none" w:sz="0" w:space="0" w:color="auto"/>
        <w:bottom w:val="none" w:sz="0" w:space="0" w:color="auto"/>
        <w:right w:val="none" w:sz="0" w:space="0" w:color="auto"/>
      </w:divBdr>
    </w:div>
    <w:div w:id="529342363">
      <w:bodyDiv w:val="1"/>
      <w:marLeft w:val="0"/>
      <w:marRight w:val="0"/>
      <w:marTop w:val="0"/>
      <w:marBottom w:val="0"/>
      <w:divBdr>
        <w:top w:val="none" w:sz="0" w:space="0" w:color="auto"/>
        <w:left w:val="none" w:sz="0" w:space="0" w:color="auto"/>
        <w:bottom w:val="none" w:sz="0" w:space="0" w:color="auto"/>
        <w:right w:val="none" w:sz="0" w:space="0" w:color="auto"/>
      </w:divBdr>
    </w:div>
    <w:div w:id="532960745">
      <w:bodyDiv w:val="1"/>
      <w:marLeft w:val="0"/>
      <w:marRight w:val="0"/>
      <w:marTop w:val="0"/>
      <w:marBottom w:val="0"/>
      <w:divBdr>
        <w:top w:val="none" w:sz="0" w:space="0" w:color="auto"/>
        <w:left w:val="none" w:sz="0" w:space="0" w:color="auto"/>
        <w:bottom w:val="none" w:sz="0" w:space="0" w:color="auto"/>
        <w:right w:val="none" w:sz="0" w:space="0" w:color="auto"/>
      </w:divBdr>
    </w:div>
    <w:div w:id="533930206">
      <w:bodyDiv w:val="1"/>
      <w:marLeft w:val="0"/>
      <w:marRight w:val="0"/>
      <w:marTop w:val="0"/>
      <w:marBottom w:val="0"/>
      <w:divBdr>
        <w:top w:val="none" w:sz="0" w:space="0" w:color="auto"/>
        <w:left w:val="none" w:sz="0" w:space="0" w:color="auto"/>
        <w:bottom w:val="none" w:sz="0" w:space="0" w:color="auto"/>
        <w:right w:val="none" w:sz="0" w:space="0" w:color="auto"/>
      </w:divBdr>
    </w:div>
    <w:div w:id="534462306">
      <w:bodyDiv w:val="1"/>
      <w:marLeft w:val="0"/>
      <w:marRight w:val="0"/>
      <w:marTop w:val="0"/>
      <w:marBottom w:val="0"/>
      <w:divBdr>
        <w:top w:val="none" w:sz="0" w:space="0" w:color="auto"/>
        <w:left w:val="none" w:sz="0" w:space="0" w:color="auto"/>
        <w:bottom w:val="none" w:sz="0" w:space="0" w:color="auto"/>
        <w:right w:val="none" w:sz="0" w:space="0" w:color="auto"/>
      </w:divBdr>
    </w:div>
    <w:div w:id="536966351">
      <w:bodyDiv w:val="1"/>
      <w:marLeft w:val="0"/>
      <w:marRight w:val="0"/>
      <w:marTop w:val="0"/>
      <w:marBottom w:val="0"/>
      <w:divBdr>
        <w:top w:val="none" w:sz="0" w:space="0" w:color="auto"/>
        <w:left w:val="none" w:sz="0" w:space="0" w:color="auto"/>
        <w:bottom w:val="none" w:sz="0" w:space="0" w:color="auto"/>
        <w:right w:val="none" w:sz="0" w:space="0" w:color="auto"/>
      </w:divBdr>
    </w:div>
    <w:div w:id="539057156">
      <w:bodyDiv w:val="1"/>
      <w:marLeft w:val="0"/>
      <w:marRight w:val="0"/>
      <w:marTop w:val="0"/>
      <w:marBottom w:val="0"/>
      <w:divBdr>
        <w:top w:val="none" w:sz="0" w:space="0" w:color="auto"/>
        <w:left w:val="none" w:sz="0" w:space="0" w:color="auto"/>
        <w:bottom w:val="none" w:sz="0" w:space="0" w:color="auto"/>
        <w:right w:val="none" w:sz="0" w:space="0" w:color="auto"/>
      </w:divBdr>
    </w:div>
    <w:div w:id="539167856">
      <w:bodyDiv w:val="1"/>
      <w:marLeft w:val="0"/>
      <w:marRight w:val="0"/>
      <w:marTop w:val="0"/>
      <w:marBottom w:val="0"/>
      <w:divBdr>
        <w:top w:val="none" w:sz="0" w:space="0" w:color="auto"/>
        <w:left w:val="none" w:sz="0" w:space="0" w:color="auto"/>
        <w:bottom w:val="none" w:sz="0" w:space="0" w:color="auto"/>
        <w:right w:val="none" w:sz="0" w:space="0" w:color="auto"/>
      </w:divBdr>
    </w:div>
    <w:div w:id="540745036">
      <w:bodyDiv w:val="1"/>
      <w:marLeft w:val="0"/>
      <w:marRight w:val="0"/>
      <w:marTop w:val="0"/>
      <w:marBottom w:val="0"/>
      <w:divBdr>
        <w:top w:val="none" w:sz="0" w:space="0" w:color="auto"/>
        <w:left w:val="none" w:sz="0" w:space="0" w:color="auto"/>
        <w:bottom w:val="none" w:sz="0" w:space="0" w:color="auto"/>
        <w:right w:val="none" w:sz="0" w:space="0" w:color="auto"/>
      </w:divBdr>
    </w:div>
    <w:div w:id="541014254">
      <w:bodyDiv w:val="1"/>
      <w:marLeft w:val="0"/>
      <w:marRight w:val="0"/>
      <w:marTop w:val="0"/>
      <w:marBottom w:val="0"/>
      <w:divBdr>
        <w:top w:val="none" w:sz="0" w:space="0" w:color="auto"/>
        <w:left w:val="none" w:sz="0" w:space="0" w:color="auto"/>
        <w:bottom w:val="none" w:sz="0" w:space="0" w:color="auto"/>
        <w:right w:val="none" w:sz="0" w:space="0" w:color="auto"/>
      </w:divBdr>
    </w:div>
    <w:div w:id="541210861">
      <w:bodyDiv w:val="1"/>
      <w:marLeft w:val="0"/>
      <w:marRight w:val="0"/>
      <w:marTop w:val="0"/>
      <w:marBottom w:val="0"/>
      <w:divBdr>
        <w:top w:val="none" w:sz="0" w:space="0" w:color="auto"/>
        <w:left w:val="none" w:sz="0" w:space="0" w:color="auto"/>
        <w:bottom w:val="none" w:sz="0" w:space="0" w:color="auto"/>
        <w:right w:val="none" w:sz="0" w:space="0" w:color="auto"/>
      </w:divBdr>
    </w:div>
    <w:div w:id="541672592">
      <w:bodyDiv w:val="1"/>
      <w:marLeft w:val="0"/>
      <w:marRight w:val="0"/>
      <w:marTop w:val="0"/>
      <w:marBottom w:val="0"/>
      <w:divBdr>
        <w:top w:val="none" w:sz="0" w:space="0" w:color="auto"/>
        <w:left w:val="none" w:sz="0" w:space="0" w:color="auto"/>
        <w:bottom w:val="none" w:sz="0" w:space="0" w:color="auto"/>
        <w:right w:val="none" w:sz="0" w:space="0" w:color="auto"/>
      </w:divBdr>
    </w:div>
    <w:div w:id="541747985">
      <w:bodyDiv w:val="1"/>
      <w:marLeft w:val="0"/>
      <w:marRight w:val="0"/>
      <w:marTop w:val="0"/>
      <w:marBottom w:val="0"/>
      <w:divBdr>
        <w:top w:val="none" w:sz="0" w:space="0" w:color="auto"/>
        <w:left w:val="none" w:sz="0" w:space="0" w:color="auto"/>
        <w:bottom w:val="none" w:sz="0" w:space="0" w:color="auto"/>
        <w:right w:val="none" w:sz="0" w:space="0" w:color="auto"/>
      </w:divBdr>
    </w:div>
    <w:div w:id="542910668">
      <w:bodyDiv w:val="1"/>
      <w:marLeft w:val="0"/>
      <w:marRight w:val="0"/>
      <w:marTop w:val="0"/>
      <w:marBottom w:val="0"/>
      <w:divBdr>
        <w:top w:val="none" w:sz="0" w:space="0" w:color="auto"/>
        <w:left w:val="none" w:sz="0" w:space="0" w:color="auto"/>
        <w:bottom w:val="none" w:sz="0" w:space="0" w:color="auto"/>
        <w:right w:val="none" w:sz="0" w:space="0" w:color="auto"/>
      </w:divBdr>
    </w:div>
    <w:div w:id="543181211">
      <w:bodyDiv w:val="1"/>
      <w:marLeft w:val="0"/>
      <w:marRight w:val="0"/>
      <w:marTop w:val="0"/>
      <w:marBottom w:val="0"/>
      <w:divBdr>
        <w:top w:val="none" w:sz="0" w:space="0" w:color="auto"/>
        <w:left w:val="none" w:sz="0" w:space="0" w:color="auto"/>
        <w:bottom w:val="none" w:sz="0" w:space="0" w:color="auto"/>
        <w:right w:val="none" w:sz="0" w:space="0" w:color="auto"/>
      </w:divBdr>
    </w:div>
    <w:div w:id="544098782">
      <w:bodyDiv w:val="1"/>
      <w:marLeft w:val="0"/>
      <w:marRight w:val="0"/>
      <w:marTop w:val="0"/>
      <w:marBottom w:val="0"/>
      <w:divBdr>
        <w:top w:val="none" w:sz="0" w:space="0" w:color="auto"/>
        <w:left w:val="none" w:sz="0" w:space="0" w:color="auto"/>
        <w:bottom w:val="none" w:sz="0" w:space="0" w:color="auto"/>
        <w:right w:val="none" w:sz="0" w:space="0" w:color="auto"/>
      </w:divBdr>
    </w:div>
    <w:div w:id="546143085">
      <w:bodyDiv w:val="1"/>
      <w:marLeft w:val="0"/>
      <w:marRight w:val="0"/>
      <w:marTop w:val="0"/>
      <w:marBottom w:val="0"/>
      <w:divBdr>
        <w:top w:val="none" w:sz="0" w:space="0" w:color="auto"/>
        <w:left w:val="none" w:sz="0" w:space="0" w:color="auto"/>
        <w:bottom w:val="none" w:sz="0" w:space="0" w:color="auto"/>
        <w:right w:val="none" w:sz="0" w:space="0" w:color="auto"/>
      </w:divBdr>
    </w:div>
    <w:div w:id="546256698">
      <w:bodyDiv w:val="1"/>
      <w:marLeft w:val="0"/>
      <w:marRight w:val="0"/>
      <w:marTop w:val="0"/>
      <w:marBottom w:val="0"/>
      <w:divBdr>
        <w:top w:val="none" w:sz="0" w:space="0" w:color="auto"/>
        <w:left w:val="none" w:sz="0" w:space="0" w:color="auto"/>
        <w:bottom w:val="none" w:sz="0" w:space="0" w:color="auto"/>
        <w:right w:val="none" w:sz="0" w:space="0" w:color="auto"/>
      </w:divBdr>
    </w:div>
    <w:div w:id="546992797">
      <w:bodyDiv w:val="1"/>
      <w:marLeft w:val="0"/>
      <w:marRight w:val="0"/>
      <w:marTop w:val="0"/>
      <w:marBottom w:val="0"/>
      <w:divBdr>
        <w:top w:val="none" w:sz="0" w:space="0" w:color="auto"/>
        <w:left w:val="none" w:sz="0" w:space="0" w:color="auto"/>
        <w:bottom w:val="none" w:sz="0" w:space="0" w:color="auto"/>
        <w:right w:val="none" w:sz="0" w:space="0" w:color="auto"/>
      </w:divBdr>
    </w:div>
    <w:div w:id="548498018">
      <w:bodyDiv w:val="1"/>
      <w:marLeft w:val="0"/>
      <w:marRight w:val="0"/>
      <w:marTop w:val="0"/>
      <w:marBottom w:val="0"/>
      <w:divBdr>
        <w:top w:val="none" w:sz="0" w:space="0" w:color="auto"/>
        <w:left w:val="none" w:sz="0" w:space="0" w:color="auto"/>
        <w:bottom w:val="none" w:sz="0" w:space="0" w:color="auto"/>
        <w:right w:val="none" w:sz="0" w:space="0" w:color="auto"/>
      </w:divBdr>
    </w:div>
    <w:div w:id="549271599">
      <w:bodyDiv w:val="1"/>
      <w:marLeft w:val="0"/>
      <w:marRight w:val="0"/>
      <w:marTop w:val="0"/>
      <w:marBottom w:val="0"/>
      <w:divBdr>
        <w:top w:val="none" w:sz="0" w:space="0" w:color="auto"/>
        <w:left w:val="none" w:sz="0" w:space="0" w:color="auto"/>
        <w:bottom w:val="none" w:sz="0" w:space="0" w:color="auto"/>
        <w:right w:val="none" w:sz="0" w:space="0" w:color="auto"/>
      </w:divBdr>
    </w:div>
    <w:div w:id="549732324">
      <w:bodyDiv w:val="1"/>
      <w:marLeft w:val="0"/>
      <w:marRight w:val="0"/>
      <w:marTop w:val="0"/>
      <w:marBottom w:val="0"/>
      <w:divBdr>
        <w:top w:val="none" w:sz="0" w:space="0" w:color="auto"/>
        <w:left w:val="none" w:sz="0" w:space="0" w:color="auto"/>
        <w:bottom w:val="none" w:sz="0" w:space="0" w:color="auto"/>
        <w:right w:val="none" w:sz="0" w:space="0" w:color="auto"/>
      </w:divBdr>
    </w:div>
    <w:div w:id="551116798">
      <w:bodyDiv w:val="1"/>
      <w:marLeft w:val="0"/>
      <w:marRight w:val="0"/>
      <w:marTop w:val="0"/>
      <w:marBottom w:val="0"/>
      <w:divBdr>
        <w:top w:val="none" w:sz="0" w:space="0" w:color="auto"/>
        <w:left w:val="none" w:sz="0" w:space="0" w:color="auto"/>
        <w:bottom w:val="none" w:sz="0" w:space="0" w:color="auto"/>
        <w:right w:val="none" w:sz="0" w:space="0" w:color="auto"/>
      </w:divBdr>
    </w:div>
    <w:div w:id="551842304">
      <w:bodyDiv w:val="1"/>
      <w:marLeft w:val="0"/>
      <w:marRight w:val="0"/>
      <w:marTop w:val="0"/>
      <w:marBottom w:val="0"/>
      <w:divBdr>
        <w:top w:val="none" w:sz="0" w:space="0" w:color="auto"/>
        <w:left w:val="none" w:sz="0" w:space="0" w:color="auto"/>
        <w:bottom w:val="none" w:sz="0" w:space="0" w:color="auto"/>
        <w:right w:val="none" w:sz="0" w:space="0" w:color="auto"/>
      </w:divBdr>
    </w:div>
    <w:div w:id="551893460">
      <w:bodyDiv w:val="1"/>
      <w:marLeft w:val="0"/>
      <w:marRight w:val="0"/>
      <w:marTop w:val="0"/>
      <w:marBottom w:val="0"/>
      <w:divBdr>
        <w:top w:val="none" w:sz="0" w:space="0" w:color="auto"/>
        <w:left w:val="none" w:sz="0" w:space="0" w:color="auto"/>
        <w:bottom w:val="none" w:sz="0" w:space="0" w:color="auto"/>
        <w:right w:val="none" w:sz="0" w:space="0" w:color="auto"/>
      </w:divBdr>
    </w:div>
    <w:div w:id="552082216">
      <w:bodyDiv w:val="1"/>
      <w:marLeft w:val="0"/>
      <w:marRight w:val="0"/>
      <w:marTop w:val="0"/>
      <w:marBottom w:val="0"/>
      <w:divBdr>
        <w:top w:val="none" w:sz="0" w:space="0" w:color="auto"/>
        <w:left w:val="none" w:sz="0" w:space="0" w:color="auto"/>
        <w:bottom w:val="none" w:sz="0" w:space="0" w:color="auto"/>
        <w:right w:val="none" w:sz="0" w:space="0" w:color="auto"/>
      </w:divBdr>
    </w:div>
    <w:div w:id="552229667">
      <w:bodyDiv w:val="1"/>
      <w:marLeft w:val="0"/>
      <w:marRight w:val="0"/>
      <w:marTop w:val="0"/>
      <w:marBottom w:val="0"/>
      <w:divBdr>
        <w:top w:val="none" w:sz="0" w:space="0" w:color="auto"/>
        <w:left w:val="none" w:sz="0" w:space="0" w:color="auto"/>
        <w:bottom w:val="none" w:sz="0" w:space="0" w:color="auto"/>
        <w:right w:val="none" w:sz="0" w:space="0" w:color="auto"/>
      </w:divBdr>
    </w:div>
    <w:div w:id="552232300">
      <w:bodyDiv w:val="1"/>
      <w:marLeft w:val="0"/>
      <w:marRight w:val="0"/>
      <w:marTop w:val="0"/>
      <w:marBottom w:val="0"/>
      <w:divBdr>
        <w:top w:val="none" w:sz="0" w:space="0" w:color="auto"/>
        <w:left w:val="none" w:sz="0" w:space="0" w:color="auto"/>
        <w:bottom w:val="none" w:sz="0" w:space="0" w:color="auto"/>
        <w:right w:val="none" w:sz="0" w:space="0" w:color="auto"/>
      </w:divBdr>
    </w:div>
    <w:div w:id="553011118">
      <w:bodyDiv w:val="1"/>
      <w:marLeft w:val="0"/>
      <w:marRight w:val="0"/>
      <w:marTop w:val="0"/>
      <w:marBottom w:val="0"/>
      <w:divBdr>
        <w:top w:val="none" w:sz="0" w:space="0" w:color="auto"/>
        <w:left w:val="none" w:sz="0" w:space="0" w:color="auto"/>
        <w:bottom w:val="none" w:sz="0" w:space="0" w:color="auto"/>
        <w:right w:val="none" w:sz="0" w:space="0" w:color="auto"/>
      </w:divBdr>
    </w:div>
    <w:div w:id="553741526">
      <w:bodyDiv w:val="1"/>
      <w:marLeft w:val="0"/>
      <w:marRight w:val="0"/>
      <w:marTop w:val="0"/>
      <w:marBottom w:val="0"/>
      <w:divBdr>
        <w:top w:val="none" w:sz="0" w:space="0" w:color="auto"/>
        <w:left w:val="none" w:sz="0" w:space="0" w:color="auto"/>
        <w:bottom w:val="none" w:sz="0" w:space="0" w:color="auto"/>
        <w:right w:val="none" w:sz="0" w:space="0" w:color="auto"/>
      </w:divBdr>
    </w:div>
    <w:div w:id="554314565">
      <w:bodyDiv w:val="1"/>
      <w:marLeft w:val="0"/>
      <w:marRight w:val="0"/>
      <w:marTop w:val="0"/>
      <w:marBottom w:val="0"/>
      <w:divBdr>
        <w:top w:val="none" w:sz="0" w:space="0" w:color="auto"/>
        <w:left w:val="none" w:sz="0" w:space="0" w:color="auto"/>
        <w:bottom w:val="none" w:sz="0" w:space="0" w:color="auto"/>
        <w:right w:val="none" w:sz="0" w:space="0" w:color="auto"/>
      </w:divBdr>
    </w:div>
    <w:div w:id="554509347">
      <w:bodyDiv w:val="1"/>
      <w:marLeft w:val="0"/>
      <w:marRight w:val="0"/>
      <w:marTop w:val="0"/>
      <w:marBottom w:val="0"/>
      <w:divBdr>
        <w:top w:val="none" w:sz="0" w:space="0" w:color="auto"/>
        <w:left w:val="none" w:sz="0" w:space="0" w:color="auto"/>
        <w:bottom w:val="none" w:sz="0" w:space="0" w:color="auto"/>
        <w:right w:val="none" w:sz="0" w:space="0" w:color="auto"/>
      </w:divBdr>
    </w:div>
    <w:div w:id="554968427">
      <w:bodyDiv w:val="1"/>
      <w:marLeft w:val="0"/>
      <w:marRight w:val="0"/>
      <w:marTop w:val="0"/>
      <w:marBottom w:val="0"/>
      <w:divBdr>
        <w:top w:val="none" w:sz="0" w:space="0" w:color="auto"/>
        <w:left w:val="none" w:sz="0" w:space="0" w:color="auto"/>
        <w:bottom w:val="none" w:sz="0" w:space="0" w:color="auto"/>
        <w:right w:val="none" w:sz="0" w:space="0" w:color="auto"/>
      </w:divBdr>
    </w:div>
    <w:div w:id="556550862">
      <w:bodyDiv w:val="1"/>
      <w:marLeft w:val="0"/>
      <w:marRight w:val="0"/>
      <w:marTop w:val="0"/>
      <w:marBottom w:val="0"/>
      <w:divBdr>
        <w:top w:val="none" w:sz="0" w:space="0" w:color="auto"/>
        <w:left w:val="none" w:sz="0" w:space="0" w:color="auto"/>
        <w:bottom w:val="none" w:sz="0" w:space="0" w:color="auto"/>
        <w:right w:val="none" w:sz="0" w:space="0" w:color="auto"/>
      </w:divBdr>
    </w:div>
    <w:div w:id="556552299">
      <w:bodyDiv w:val="1"/>
      <w:marLeft w:val="0"/>
      <w:marRight w:val="0"/>
      <w:marTop w:val="0"/>
      <w:marBottom w:val="0"/>
      <w:divBdr>
        <w:top w:val="none" w:sz="0" w:space="0" w:color="auto"/>
        <w:left w:val="none" w:sz="0" w:space="0" w:color="auto"/>
        <w:bottom w:val="none" w:sz="0" w:space="0" w:color="auto"/>
        <w:right w:val="none" w:sz="0" w:space="0" w:color="auto"/>
      </w:divBdr>
    </w:div>
    <w:div w:id="560873268">
      <w:bodyDiv w:val="1"/>
      <w:marLeft w:val="0"/>
      <w:marRight w:val="0"/>
      <w:marTop w:val="0"/>
      <w:marBottom w:val="0"/>
      <w:divBdr>
        <w:top w:val="none" w:sz="0" w:space="0" w:color="auto"/>
        <w:left w:val="none" w:sz="0" w:space="0" w:color="auto"/>
        <w:bottom w:val="none" w:sz="0" w:space="0" w:color="auto"/>
        <w:right w:val="none" w:sz="0" w:space="0" w:color="auto"/>
      </w:divBdr>
    </w:div>
    <w:div w:id="563611411">
      <w:bodyDiv w:val="1"/>
      <w:marLeft w:val="0"/>
      <w:marRight w:val="0"/>
      <w:marTop w:val="0"/>
      <w:marBottom w:val="0"/>
      <w:divBdr>
        <w:top w:val="none" w:sz="0" w:space="0" w:color="auto"/>
        <w:left w:val="none" w:sz="0" w:space="0" w:color="auto"/>
        <w:bottom w:val="none" w:sz="0" w:space="0" w:color="auto"/>
        <w:right w:val="none" w:sz="0" w:space="0" w:color="auto"/>
      </w:divBdr>
    </w:div>
    <w:div w:id="563639001">
      <w:bodyDiv w:val="1"/>
      <w:marLeft w:val="0"/>
      <w:marRight w:val="0"/>
      <w:marTop w:val="0"/>
      <w:marBottom w:val="0"/>
      <w:divBdr>
        <w:top w:val="none" w:sz="0" w:space="0" w:color="auto"/>
        <w:left w:val="none" w:sz="0" w:space="0" w:color="auto"/>
        <w:bottom w:val="none" w:sz="0" w:space="0" w:color="auto"/>
        <w:right w:val="none" w:sz="0" w:space="0" w:color="auto"/>
      </w:divBdr>
    </w:div>
    <w:div w:id="563762514">
      <w:bodyDiv w:val="1"/>
      <w:marLeft w:val="0"/>
      <w:marRight w:val="0"/>
      <w:marTop w:val="0"/>
      <w:marBottom w:val="0"/>
      <w:divBdr>
        <w:top w:val="none" w:sz="0" w:space="0" w:color="auto"/>
        <w:left w:val="none" w:sz="0" w:space="0" w:color="auto"/>
        <w:bottom w:val="none" w:sz="0" w:space="0" w:color="auto"/>
        <w:right w:val="none" w:sz="0" w:space="0" w:color="auto"/>
      </w:divBdr>
    </w:div>
    <w:div w:id="566457115">
      <w:bodyDiv w:val="1"/>
      <w:marLeft w:val="0"/>
      <w:marRight w:val="0"/>
      <w:marTop w:val="0"/>
      <w:marBottom w:val="0"/>
      <w:divBdr>
        <w:top w:val="none" w:sz="0" w:space="0" w:color="auto"/>
        <w:left w:val="none" w:sz="0" w:space="0" w:color="auto"/>
        <w:bottom w:val="none" w:sz="0" w:space="0" w:color="auto"/>
        <w:right w:val="none" w:sz="0" w:space="0" w:color="auto"/>
      </w:divBdr>
    </w:div>
    <w:div w:id="566502773">
      <w:bodyDiv w:val="1"/>
      <w:marLeft w:val="0"/>
      <w:marRight w:val="0"/>
      <w:marTop w:val="0"/>
      <w:marBottom w:val="0"/>
      <w:divBdr>
        <w:top w:val="none" w:sz="0" w:space="0" w:color="auto"/>
        <w:left w:val="none" w:sz="0" w:space="0" w:color="auto"/>
        <w:bottom w:val="none" w:sz="0" w:space="0" w:color="auto"/>
        <w:right w:val="none" w:sz="0" w:space="0" w:color="auto"/>
      </w:divBdr>
    </w:div>
    <w:div w:id="566918829">
      <w:bodyDiv w:val="1"/>
      <w:marLeft w:val="0"/>
      <w:marRight w:val="0"/>
      <w:marTop w:val="0"/>
      <w:marBottom w:val="0"/>
      <w:divBdr>
        <w:top w:val="none" w:sz="0" w:space="0" w:color="auto"/>
        <w:left w:val="none" w:sz="0" w:space="0" w:color="auto"/>
        <w:bottom w:val="none" w:sz="0" w:space="0" w:color="auto"/>
        <w:right w:val="none" w:sz="0" w:space="0" w:color="auto"/>
      </w:divBdr>
    </w:div>
    <w:div w:id="567037014">
      <w:bodyDiv w:val="1"/>
      <w:marLeft w:val="0"/>
      <w:marRight w:val="0"/>
      <w:marTop w:val="0"/>
      <w:marBottom w:val="0"/>
      <w:divBdr>
        <w:top w:val="none" w:sz="0" w:space="0" w:color="auto"/>
        <w:left w:val="none" w:sz="0" w:space="0" w:color="auto"/>
        <w:bottom w:val="none" w:sz="0" w:space="0" w:color="auto"/>
        <w:right w:val="none" w:sz="0" w:space="0" w:color="auto"/>
      </w:divBdr>
    </w:div>
    <w:div w:id="569462261">
      <w:bodyDiv w:val="1"/>
      <w:marLeft w:val="0"/>
      <w:marRight w:val="0"/>
      <w:marTop w:val="0"/>
      <w:marBottom w:val="0"/>
      <w:divBdr>
        <w:top w:val="none" w:sz="0" w:space="0" w:color="auto"/>
        <w:left w:val="none" w:sz="0" w:space="0" w:color="auto"/>
        <w:bottom w:val="none" w:sz="0" w:space="0" w:color="auto"/>
        <w:right w:val="none" w:sz="0" w:space="0" w:color="auto"/>
      </w:divBdr>
    </w:div>
    <w:div w:id="571280087">
      <w:bodyDiv w:val="1"/>
      <w:marLeft w:val="0"/>
      <w:marRight w:val="0"/>
      <w:marTop w:val="0"/>
      <w:marBottom w:val="0"/>
      <w:divBdr>
        <w:top w:val="none" w:sz="0" w:space="0" w:color="auto"/>
        <w:left w:val="none" w:sz="0" w:space="0" w:color="auto"/>
        <w:bottom w:val="none" w:sz="0" w:space="0" w:color="auto"/>
        <w:right w:val="none" w:sz="0" w:space="0" w:color="auto"/>
      </w:divBdr>
    </w:div>
    <w:div w:id="571694431">
      <w:bodyDiv w:val="1"/>
      <w:marLeft w:val="0"/>
      <w:marRight w:val="0"/>
      <w:marTop w:val="0"/>
      <w:marBottom w:val="0"/>
      <w:divBdr>
        <w:top w:val="none" w:sz="0" w:space="0" w:color="auto"/>
        <w:left w:val="none" w:sz="0" w:space="0" w:color="auto"/>
        <w:bottom w:val="none" w:sz="0" w:space="0" w:color="auto"/>
        <w:right w:val="none" w:sz="0" w:space="0" w:color="auto"/>
      </w:divBdr>
    </w:div>
    <w:div w:id="572551291">
      <w:bodyDiv w:val="1"/>
      <w:marLeft w:val="0"/>
      <w:marRight w:val="0"/>
      <w:marTop w:val="0"/>
      <w:marBottom w:val="0"/>
      <w:divBdr>
        <w:top w:val="none" w:sz="0" w:space="0" w:color="auto"/>
        <w:left w:val="none" w:sz="0" w:space="0" w:color="auto"/>
        <w:bottom w:val="none" w:sz="0" w:space="0" w:color="auto"/>
        <w:right w:val="none" w:sz="0" w:space="0" w:color="auto"/>
      </w:divBdr>
    </w:div>
    <w:div w:id="572930940">
      <w:bodyDiv w:val="1"/>
      <w:marLeft w:val="0"/>
      <w:marRight w:val="0"/>
      <w:marTop w:val="0"/>
      <w:marBottom w:val="0"/>
      <w:divBdr>
        <w:top w:val="none" w:sz="0" w:space="0" w:color="auto"/>
        <w:left w:val="none" w:sz="0" w:space="0" w:color="auto"/>
        <w:bottom w:val="none" w:sz="0" w:space="0" w:color="auto"/>
        <w:right w:val="none" w:sz="0" w:space="0" w:color="auto"/>
      </w:divBdr>
    </w:div>
    <w:div w:id="572931482">
      <w:bodyDiv w:val="1"/>
      <w:marLeft w:val="0"/>
      <w:marRight w:val="0"/>
      <w:marTop w:val="0"/>
      <w:marBottom w:val="0"/>
      <w:divBdr>
        <w:top w:val="none" w:sz="0" w:space="0" w:color="auto"/>
        <w:left w:val="none" w:sz="0" w:space="0" w:color="auto"/>
        <w:bottom w:val="none" w:sz="0" w:space="0" w:color="auto"/>
        <w:right w:val="none" w:sz="0" w:space="0" w:color="auto"/>
      </w:divBdr>
    </w:div>
    <w:div w:id="573012893">
      <w:bodyDiv w:val="1"/>
      <w:marLeft w:val="0"/>
      <w:marRight w:val="0"/>
      <w:marTop w:val="0"/>
      <w:marBottom w:val="0"/>
      <w:divBdr>
        <w:top w:val="none" w:sz="0" w:space="0" w:color="auto"/>
        <w:left w:val="none" w:sz="0" w:space="0" w:color="auto"/>
        <w:bottom w:val="none" w:sz="0" w:space="0" w:color="auto"/>
        <w:right w:val="none" w:sz="0" w:space="0" w:color="auto"/>
      </w:divBdr>
    </w:div>
    <w:div w:id="575895409">
      <w:bodyDiv w:val="1"/>
      <w:marLeft w:val="0"/>
      <w:marRight w:val="0"/>
      <w:marTop w:val="0"/>
      <w:marBottom w:val="0"/>
      <w:divBdr>
        <w:top w:val="none" w:sz="0" w:space="0" w:color="auto"/>
        <w:left w:val="none" w:sz="0" w:space="0" w:color="auto"/>
        <w:bottom w:val="none" w:sz="0" w:space="0" w:color="auto"/>
        <w:right w:val="none" w:sz="0" w:space="0" w:color="auto"/>
      </w:divBdr>
    </w:div>
    <w:div w:id="577179723">
      <w:bodyDiv w:val="1"/>
      <w:marLeft w:val="0"/>
      <w:marRight w:val="0"/>
      <w:marTop w:val="0"/>
      <w:marBottom w:val="0"/>
      <w:divBdr>
        <w:top w:val="none" w:sz="0" w:space="0" w:color="auto"/>
        <w:left w:val="none" w:sz="0" w:space="0" w:color="auto"/>
        <w:bottom w:val="none" w:sz="0" w:space="0" w:color="auto"/>
        <w:right w:val="none" w:sz="0" w:space="0" w:color="auto"/>
      </w:divBdr>
    </w:div>
    <w:div w:id="577323298">
      <w:bodyDiv w:val="1"/>
      <w:marLeft w:val="0"/>
      <w:marRight w:val="0"/>
      <w:marTop w:val="0"/>
      <w:marBottom w:val="0"/>
      <w:divBdr>
        <w:top w:val="none" w:sz="0" w:space="0" w:color="auto"/>
        <w:left w:val="none" w:sz="0" w:space="0" w:color="auto"/>
        <w:bottom w:val="none" w:sz="0" w:space="0" w:color="auto"/>
        <w:right w:val="none" w:sz="0" w:space="0" w:color="auto"/>
      </w:divBdr>
    </w:div>
    <w:div w:id="578946657">
      <w:bodyDiv w:val="1"/>
      <w:marLeft w:val="0"/>
      <w:marRight w:val="0"/>
      <w:marTop w:val="0"/>
      <w:marBottom w:val="0"/>
      <w:divBdr>
        <w:top w:val="none" w:sz="0" w:space="0" w:color="auto"/>
        <w:left w:val="none" w:sz="0" w:space="0" w:color="auto"/>
        <w:bottom w:val="none" w:sz="0" w:space="0" w:color="auto"/>
        <w:right w:val="none" w:sz="0" w:space="0" w:color="auto"/>
      </w:divBdr>
    </w:div>
    <w:div w:id="579603428">
      <w:bodyDiv w:val="1"/>
      <w:marLeft w:val="0"/>
      <w:marRight w:val="0"/>
      <w:marTop w:val="0"/>
      <w:marBottom w:val="0"/>
      <w:divBdr>
        <w:top w:val="none" w:sz="0" w:space="0" w:color="auto"/>
        <w:left w:val="none" w:sz="0" w:space="0" w:color="auto"/>
        <w:bottom w:val="none" w:sz="0" w:space="0" w:color="auto"/>
        <w:right w:val="none" w:sz="0" w:space="0" w:color="auto"/>
      </w:divBdr>
    </w:div>
    <w:div w:id="583035715">
      <w:bodyDiv w:val="1"/>
      <w:marLeft w:val="0"/>
      <w:marRight w:val="0"/>
      <w:marTop w:val="0"/>
      <w:marBottom w:val="0"/>
      <w:divBdr>
        <w:top w:val="none" w:sz="0" w:space="0" w:color="auto"/>
        <w:left w:val="none" w:sz="0" w:space="0" w:color="auto"/>
        <w:bottom w:val="none" w:sz="0" w:space="0" w:color="auto"/>
        <w:right w:val="none" w:sz="0" w:space="0" w:color="auto"/>
      </w:divBdr>
    </w:div>
    <w:div w:id="584265755">
      <w:bodyDiv w:val="1"/>
      <w:marLeft w:val="0"/>
      <w:marRight w:val="0"/>
      <w:marTop w:val="0"/>
      <w:marBottom w:val="0"/>
      <w:divBdr>
        <w:top w:val="none" w:sz="0" w:space="0" w:color="auto"/>
        <w:left w:val="none" w:sz="0" w:space="0" w:color="auto"/>
        <w:bottom w:val="none" w:sz="0" w:space="0" w:color="auto"/>
        <w:right w:val="none" w:sz="0" w:space="0" w:color="auto"/>
      </w:divBdr>
    </w:div>
    <w:div w:id="584414132">
      <w:bodyDiv w:val="1"/>
      <w:marLeft w:val="0"/>
      <w:marRight w:val="0"/>
      <w:marTop w:val="0"/>
      <w:marBottom w:val="0"/>
      <w:divBdr>
        <w:top w:val="none" w:sz="0" w:space="0" w:color="auto"/>
        <w:left w:val="none" w:sz="0" w:space="0" w:color="auto"/>
        <w:bottom w:val="none" w:sz="0" w:space="0" w:color="auto"/>
        <w:right w:val="none" w:sz="0" w:space="0" w:color="auto"/>
      </w:divBdr>
    </w:div>
    <w:div w:id="585191839">
      <w:bodyDiv w:val="1"/>
      <w:marLeft w:val="0"/>
      <w:marRight w:val="0"/>
      <w:marTop w:val="0"/>
      <w:marBottom w:val="0"/>
      <w:divBdr>
        <w:top w:val="none" w:sz="0" w:space="0" w:color="auto"/>
        <w:left w:val="none" w:sz="0" w:space="0" w:color="auto"/>
        <w:bottom w:val="none" w:sz="0" w:space="0" w:color="auto"/>
        <w:right w:val="none" w:sz="0" w:space="0" w:color="auto"/>
      </w:divBdr>
    </w:div>
    <w:div w:id="585501767">
      <w:bodyDiv w:val="1"/>
      <w:marLeft w:val="0"/>
      <w:marRight w:val="0"/>
      <w:marTop w:val="0"/>
      <w:marBottom w:val="0"/>
      <w:divBdr>
        <w:top w:val="none" w:sz="0" w:space="0" w:color="auto"/>
        <w:left w:val="none" w:sz="0" w:space="0" w:color="auto"/>
        <w:bottom w:val="none" w:sz="0" w:space="0" w:color="auto"/>
        <w:right w:val="none" w:sz="0" w:space="0" w:color="auto"/>
      </w:divBdr>
    </w:div>
    <w:div w:id="587084879">
      <w:bodyDiv w:val="1"/>
      <w:marLeft w:val="0"/>
      <w:marRight w:val="0"/>
      <w:marTop w:val="0"/>
      <w:marBottom w:val="0"/>
      <w:divBdr>
        <w:top w:val="none" w:sz="0" w:space="0" w:color="auto"/>
        <w:left w:val="none" w:sz="0" w:space="0" w:color="auto"/>
        <w:bottom w:val="none" w:sz="0" w:space="0" w:color="auto"/>
        <w:right w:val="none" w:sz="0" w:space="0" w:color="auto"/>
      </w:divBdr>
    </w:div>
    <w:div w:id="587152601">
      <w:bodyDiv w:val="1"/>
      <w:marLeft w:val="0"/>
      <w:marRight w:val="0"/>
      <w:marTop w:val="0"/>
      <w:marBottom w:val="0"/>
      <w:divBdr>
        <w:top w:val="none" w:sz="0" w:space="0" w:color="auto"/>
        <w:left w:val="none" w:sz="0" w:space="0" w:color="auto"/>
        <w:bottom w:val="none" w:sz="0" w:space="0" w:color="auto"/>
        <w:right w:val="none" w:sz="0" w:space="0" w:color="auto"/>
      </w:divBdr>
    </w:div>
    <w:div w:id="587269392">
      <w:bodyDiv w:val="1"/>
      <w:marLeft w:val="0"/>
      <w:marRight w:val="0"/>
      <w:marTop w:val="0"/>
      <w:marBottom w:val="0"/>
      <w:divBdr>
        <w:top w:val="none" w:sz="0" w:space="0" w:color="auto"/>
        <w:left w:val="none" w:sz="0" w:space="0" w:color="auto"/>
        <w:bottom w:val="none" w:sz="0" w:space="0" w:color="auto"/>
        <w:right w:val="none" w:sz="0" w:space="0" w:color="auto"/>
      </w:divBdr>
    </w:div>
    <w:div w:id="587271020">
      <w:bodyDiv w:val="1"/>
      <w:marLeft w:val="0"/>
      <w:marRight w:val="0"/>
      <w:marTop w:val="0"/>
      <w:marBottom w:val="0"/>
      <w:divBdr>
        <w:top w:val="none" w:sz="0" w:space="0" w:color="auto"/>
        <w:left w:val="none" w:sz="0" w:space="0" w:color="auto"/>
        <w:bottom w:val="none" w:sz="0" w:space="0" w:color="auto"/>
        <w:right w:val="none" w:sz="0" w:space="0" w:color="auto"/>
      </w:divBdr>
    </w:div>
    <w:div w:id="587999785">
      <w:bodyDiv w:val="1"/>
      <w:marLeft w:val="0"/>
      <w:marRight w:val="0"/>
      <w:marTop w:val="0"/>
      <w:marBottom w:val="0"/>
      <w:divBdr>
        <w:top w:val="none" w:sz="0" w:space="0" w:color="auto"/>
        <w:left w:val="none" w:sz="0" w:space="0" w:color="auto"/>
        <w:bottom w:val="none" w:sz="0" w:space="0" w:color="auto"/>
        <w:right w:val="none" w:sz="0" w:space="0" w:color="auto"/>
      </w:divBdr>
    </w:div>
    <w:div w:id="589125447">
      <w:bodyDiv w:val="1"/>
      <w:marLeft w:val="0"/>
      <w:marRight w:val="0"/>
      <w:marTop w:val="0"/>
      <w:marBottom w:val="0"/>
      <w:divBdr>
        <w:top w:val="none" w:sz="0" w:space="0" w:color="auto"/>
        <w:left w:val="none" w:sz="0" w:space="0" w:color="auto"/>
        <w:bottom w:val="none" w:sz="0" w:space="0" w:color="auto"/>
        <w:right w:val="none" w:sz="0" w:space="0" w:color="auto"/>
      </w:divBdr>
    </w:div>
    <w:div w:id="589195979">
      <w:bodyDiv w:val="1"/>
      <w:marLeft w:val="0"/>
      <w:marRight w:val="0"/>
      <w:marTop w:val="0"/>
      <w:marBottom w:val="0"/>
      <w:divBdr>
        <w:top w:val="none" w:sz="0" w:space="0" w:color="auto"/>
        <w:left w:val="none" w:sz="0" w:space="0" w:color="auto"/>
        <w:bottom w:val="none" w:sz="0" w:space="0" w:color="auto"/>
        <w:right w:val="none" w:sz="0" w:space="0" w:color="auto"/>
      </w:divBdr>
    </w:div>
    <w:div w:id="591086057">
      <w:bodyDiv w:val="1"/>
      <w:marLeft w:val="0"/>
      <w:marRight w:val="0"/>
      <w:marTop w:val="0"/>
      <w:marBottom w:val="0"/>
      <w:divBdr>
        <w:top w:val="none" w:sz="0" w:space="0" w:color="auto"/>
        <w:left w:val="none" w:sz="0" w:space="0" w:color="auto"/>
        <w:bottom w:val="none" w:sz="0" w:space="0" w:color="auto"/>
        <w:right w:val="none" w:sz="0" w:space="0" w:color="auto"/>
      </w:divBdr>
    </w:div>
    <w:div w:id="593048524">
      <w:bodyDiv w:val="1"/>
      <w:marLeft w:val="0"/>
      <w:marRight w:val="0"/>
      <w:marTop w:val="0"/>
      <w:marBottom w:val="0"/>
      <w:divBdr>
        <w:top w:val="none" w:sz="0" w:space="0" w:color="auto"/>
        <w:left w:val="none" w:sz="0" w:space="0" w:color="auto"/>
        <w:bottom w:val="none" w:sz="0" w:space="0" w:color="auto"/>
        <w:right w:val="none" w:sz="0" w:space="0" w:color="auto"/>
      </w:divBdr>
    </w:div>
    <w:div w:id="593827739">
      <w:bodyDiv w:val="1"/>
      <w:marLeft w:val="0"/>
      <w:marRight w:val="0"/>
      <w:marTop w:val="0"/>
      <w:marBottom w:val="0"/>
      <w:divBdr>
        <w:top w:val="none" w:sz="0" w:space="0" w:color="auto"/>
        <w:left w:val="none" w:sz="0" w:space="0" w:color="auto"/>
        <w:bottom w:val="none" w:sz="0" w:space="0" w:color="auto"/>
        <w:right w:val="none" w:sz="0" w:space="0" w:color="auto"/>
      </w:divBdr>
    </w:div>
    <w:div w:id="594554533">
      <w:bodyDiv w:val="1"/>
      <w:marLeft w:val="0"/>
      <w:marRight w:val="0"/>
      <w:marTop w:val="0"/>
      <w:marBottom w:val="0"/>
      <w:divBdr>
        <w:top w:val="none" w:sz="0" w:space="0" w:color="auto"/>
        <w:left w:val="none" w:sz="0" w:space="0" w:color="auto"/>
        <w:bottom w:val="none" w:sz="0" w:space="0" w:color="auto"/>
        <w:right w:val="none" w:sz="0" w:space="0" w:color="auto"/>
      </w:divBdr>
    </w:div>
    <w:div w:id="596181773">
      <w:bodyDiv w:val="1"/>
      <w:marLeft w:val="0"/>
      <w:marRight w:val="0"/>
      <w:marTop w:val="0"/>
      <w:marBottom w:val="0"/>
      <w:divBdr>
        <w:top w:val="none" w:sz="0" w:space="0" w:color="auto"/>
        <w:left w:val="none" w:sz="0" w:space="0" w:color="auto"/>
        <w:bottom w:val="none" w:sz="0" w:space="0" w:color="auto"/>
        <w:right w:val="none" w:sz="0" w:space="0" w:color="auto"/>
      </w:divBdr>
    </w:div>
    <w:div w:id="596909576">
      <w:bodyDiv w:val="1"/>
      <w:marLeft w:val="0"/>
      <w:marRight w:val="0"/>
      <w:marTop w:val="0"/>
      <w:marBottom w:val="0"/>
      <w:divBdr>
        <w:top w:val="none" w:sz="0" w:space="0" w:color="auto"/>
        <w:left w:val="none" w:sz="0" w:space="0" w:color="auto"/>
        <w:bottom w:val="none" w:sz="0" w:space="0" w:color="auto"/>
        <w:right w:val="none" w:sz="0" w:space="0" w:color="auto"/>
      </w:divBdr>
    </w:div>
    <w:div w:id="598761890">
      <w:bodyDiv w:val="1"/>
      <w:marLeft w:val="0"/>
      <w:marRight w:val="0"/>
      <w:marTop w:val="0"/>
      <w:marBottom w:val="0"/>
      <w:divBdr>
        <w:top w:val="none" w:sz="0" w:space="0" w:color="auto"/>
        <w:left w:val="none" w:sz="0" w:space="0" w:color="auto"/>
        <w:bottom w:val="none" w:sz="0" w:space="0" w:color="auto"/>
        <w:right w:val="none" w:sz="0" w:space="0" w:color="auto"/>
      </w:divBdr>
    </w:div>
    <w:div w:id="598873492">
      <w:bodyDiv w:val="1"/>
      <w:marLeft w:val="0"/>
      <w:marRight w:val="0"/>
      <w:marTop w:val="0"/>
      <w:marBottom w:val="0"/>
      <w:divBdr>
        <w:top w:val="none" w:sz="0" w:space="0" w:color="auto"/>
        <w:left w:val="none" w:sz="0" w:space="0" w:color="auto"/>
        <w:bottom w:val="none" w:sz="0" w:space="0" w:color="auto"/>
        <w:right w:val="none" w:sz="0" w:space="0" w:color="auto"/>
      </w:divBdr>
    </w:div>
    <w:div w:id="599139727">
      <w:bodyDiv w:val="1"/>
      <w:marLeft w:val="0"/>
      <w:marRight w:val="0"/>
      <w:marTop w:val="0"/>
      <w:marBottom w:val="0"/>
      <w:divBdr>
        <w:top w:val="none" w:sz="0" w:space="0" w:color="auto"/>
        <w:left w:val="none" w:sz="0" w:space="0" w:color="auto"/>
        <w:bottom w:val="none" w:sz="0" w:space="0" w:color="auto"/>
        <w:right w:val="none" w:sz="0" w:space="0" w:color="auto"/>
      </w:divBdr>
    </w:div>
    <w:div w:id="599407703">
      <w:bodyDiv w:val="1"/>
      <w:marLeft w:val="0"/>
      <w:marRight w:val="0"/>
      <w:marTop w:val="0"/>
      <w:marBottom w:val="0"/>
      <w:divBdr>
        <w:top w:val="none" w:sz="0" w:space="0" w:color="auto"/>
        <w:left w:val="none" w:sz="0" w:space="0" w:color="auto"/>
        <w:bottom w:val="none" w:sz="0" w:space="0" w:color="auto"/>
        <w:right w:val="none" w:sz="0" w:space="0" w:color="auto"/>
      </w:divBdr>
    </w:div>
    <w:div w:id="601258933">
      <w:bodyDiv w:val="1"/>
      <w:marLeft w:val="0"/>
      <w:marRight w:val="0"/>
      <w:marTop w:val="0"/>
      <w:marBottom w:val="0"/>
      <w:divBdr>
        <w:top w:val="none" w:sz="0" w:space="0" w:color="auto"/>
        <w:left w:val="none" w:sz="0" w:space="0" w:color="auto"/>
        <w:bottom w:val="none" w:sz="0" w:space="0" w:color="auto"/>
        <w:right w:val="none" w:sz="0" w:space="0" w:color="auto"/>
      </w:divBdr>
    </w:div>
    <w:div w:id="601380517">
      <w:bodyDiv w:val="1"/>
      <w:marLeft w:val="0"/>
      <w:marRight w:val="0"/>
      <w:marTop w:val="0"/>
      <w:marBottom w:val="0"/>
      <w:divBdr>
        <w:top w:val="none" w:sz="0" w:space="0" w:color="auto"/>
        <w:left w:val="none" w:sz="0" w:space="0" w:color="auto"/>
        <w:bottom w:val="none" w:sz="0" w:space="0" w:color="auto"/>
        <w:right w:val="none" w:sz="0" w:space="0" w:color="auto"/>
      </w:divBdr>
    </w:div>
    <w:div w:id="601649923">
      <w:bodyDiv w:val="1"/>
      <w:marLeft w:val="0"/>
      <w:marRight w:val="0"/>
      <w:marTop w:val="0"/>
      <w:marBottom w:val="0"/>
      <w:divBdr>
        <w:top w:val="none" w:sz="0" w:space="0" w:color="auto"/>
        <w:left w:val="none" w:sz="0" w:space="0" w:color="auto"/>
        <w:bottom w:val="none" w:sz="0" w:space="0" w:color="auto"/>
        <w:right w:val="none" w:sz="0" w:space="0" w:color="auto"/>
      </w:divBdr>
    </w:div>
    <w:div w:id="602880646">
      <w:bodyDiv w:val="1"/>
      <w:marLeft w:val="0"/>
      <w:marRight w:val="0"/>
      <w:marTop w:val="0"/>
      <w:marBottom w:val="0"/>
      <w:divBdr>
        <w:top w:val="none" w:sz="0" w:space="0" w:color="auto"/>
        <w:left w:val="none" w:sz="0" w:space="0" w:color="auto"/>
        <w:bottom w:val="none" w:sz="0" w:space="0" w:color="auto"/>
        <w:right w:val="none" w:sz="0" w:space="0" w:color="auto"/>
      </w:divBdr>
    </w:div>
    <w:div w:id="602958610">
      <w:bodyDiv w:val="1"/>
      <w:marLeft w:val="0"/>
      <w:marRight w:val="0"/>
      <w:marTop w:val="0"/>
      <w:marBottom w:val="0"/>
      <w:divBdr>
        <w:top w:val="none" w:sz="0" w:space="0" w:color="auto"/>
        <w:left w:val="none" w:sz="0" w:space="0" w:color="auto"/>
        <w:bottom w:val="none" w:sz="0" w:space="0" w:color="auto"/>
        <w:right w:val="none" w:sz="0" w:space="0" w:color="auto"/>
      </w:divBdr>
    </w:div>
    <w:div w:id="603660204">
      <w:bodyDiv w:val="1"/>
      <w:marLeft w:val="0"/>
      <w:marRight w:val="0"/>
      <w:marTop w:val="0"/>
      <w:marBottom w:val="0"/>
      <w:divBdr>
        <w:top w:val="none" w:sz="0" w:space="0" w:color="auto"/>
        <w:left w:val="none" w:sz="0" w:space="0" w:color="auto"/>
        <w:bottom w:val="none" w:sz="0" w:space="0" w:color="auto"/>
        <w:right w:val="none" w:sz="0" w:space="0" w:color="auto"/>
      </w:divBdr>
    </w:div>
    <w:div w:id="604575470">
      <w:bodyDiv w:val="1"/>
      <w:marLeft w:val="0"/>
      <w:marRight w:val="0"/>
      <w:marTop w:val="0"/>
      <w:marBottom w:val="0"/>
      <w:divBdr>
        <w:top w:val="none" w:sz="0" w:space="0" w:color="auto"/>
        <w:left w:val="none" w:sz="0" w:space="0" w:color="auto"/>
        <w:bottom w:val="none" w:sz="0" w:space="0" w:color="auto"/>
        <w:right w:val="none" w:sz="0" w:space="0" w:color="auto"/>
      </w:divBdr>
    </w:div>
    <w:div w:id="605423919">
      <w:bodyDiv w:val="1"/>
      <w:marLeft w:val="0"/>
      <w:marRight w:val="0"/>
      <w:marTop w:val="0"/>
      <w:marBottom w:val="0"/>
      <w:divBdr>
        <w:top w:val="none" w:sz="0" w:space="0" w:color="auto"/>
        <w:left w:val="none" w:sz="0" w:space="0" w:color="auto"/>
        <w:bottom w:val="none" w:sz="0" w:space="0" w:color="auto"/>
        <w:right w:val="none" w:sz="0" w:space="0" w:color="auto"/>
      </w:divBdr>
    </w:div>
    <w:div w:id="605624450">
      <w:bodyDiv w:val="1"/>
      <w:marLeft w:val="0"/>
      <w:marRight w:val="0"/>
      <w:marTop w:val="0"/>
      <w:marBottom w:val="0"/>
      <w:divBdr>
        <w:top w:val="none" w:sz="0" w:space="0" w:color="auto"/>
        <w:left w:val="none" w:sz="0" w:space="0" w:color="auto"/>
        <w:bottom w:val="none" w:sz="0" w:space="0" w:color="auto"/>
        <w:right w:val="none" w:sz="0" w:space="0" w:color="auto"/>
      </w:divBdr>
    </w:div>
    <w:div w:id="606619490">
      <w:bodyDiv w:val="1"/>
      <w:marLeft w:val="0"/>
      <w:marRight w:val="0"/>
      <w:marTop w:val="0"/>
      <w:marBottom w:val="0"/>
      <w:divBdr>
        <w:top w:val="none" w:sz="0" w:space="0" w:color="auto"/>
        <w:left w:val="none" w:sz="0" w:space="0" w:color="auto"/>
        <w:bottom w:val="none" w:sz="0" w:space="0" w:color="auto"/>
        <w:right w:val="none" w:sz="0" w:space="0" w:color="auto"/>
      </w:divBdr>
    </w:div>
    <w:div w:id="606697259">
      <w:bodyDiv w:val="1"/>
      <w:marLeft w:val="0"/>
      <w:marRight w:val="0"/>
      <w:marTop w:val="0"/>
      <w:marBottom w:val="0"/>
      <w:divBdr>
        <w:top w:val="none" w:sz="0" w:space="0" w:color="auto"/>
        <w:left w:val="none" w:sz="0" w:space="0" w:color="auto"/>
        <w:bottom w:val="none" w:sz="0" w:space="0" w:color="auto"/>
        <w:right w:val="none" w:sz="0" w:space="0" w:color="auto"/>
      </w:divBdr>
    </w:div>
    <w:div w:id="606892112">
      <w:bodyDiv w:val="1"/>
      <w:marLeft w:val="0"/>
      <w:marRight w:val="0"/>
      <w:marTop w:val="0"/>
      <w:marBottom w:val="0"/>
      <w:divBdr>
        <w:top w:val="none" w:sz="0" w:space="0" w:color="auto"/>
        <w:left w:val="none" w:sz="0" w:space="0" w:color="auto"/>
        <w:bottom w:val="none" w:sz="0" w:space="0" w:color="auto"/>
        <w:right w:val="none" w:sz="0" w:space="0" w:color="auto"/>
      </w:divBdr>
    </w:div>
    <w:div w:id="607545984">
      <w:bodyDiv w:val="1"/>
      <w:marLeft w:val="0"/>
      <w:marRight w:val="0"/>
      <w:marTop w:val="0"/>
      <w:marBottom w:val="0"/>
      <w:divBdr>
        <w:top w:val="none" w:sz="0" w:space="0" w:color="auto"/>
        <w:left w:val="none" w:sz="0" w:space="0" w:color="auto"/>
        <w:bottom w:val="none" w:sz="0" w:space="0" w:color="auto"/>
        <w:right w:val="none" w:sz="0" w:space="0" w:color="auto"/>
      </w:divBdr>
    </w:div>
    <w:div w:id="607932977">
      <w:bodyDiv w:val="1"/>
      <w:marLeft w:val="0"/>
      <w:marRight w:val="0"/>
      <w:marTop w:val="0"/>
      <w:marBottom w:val="0"/>
      <w:divBdr>
        <w:top w:val="none" w:sz="0" w:space="0" w:color="auto"/>
        <w:left w:val="none" w:sz="0" w:space="0" w:color="auto"/>
        <w:bottom w:val="none" w:sz="0" w:space="0" w:color="auto"/>
        <w:right w:val="none" w:sz="0" w:space="0" w:color="auto"/>
      </w:divBdr>
    </w:div>
    <w:div w:id="608582280">
      <w:bodyDiv w:val="1"/>
      <w:marLeft w:val="0"/>
      <w:marRight w:val="0"/>
      <w:marTop w:val="0"/>
      <w:marBottom w:val="0"/>
      <w:divBdr>
        <w:top w:val="none" w:sz="0" w:space="0" w:color="auto"/>
        <w:left w:val="none" w:sz="0" w:space="0" w:color="auto"/>
        <w:bottom w:val="none" w:sz="0" w:space="0" w:color="auto"/>
        <w:right w:val="none" w:sz="0" w:space="0" w:color="auto"/>
      </w:divBdr>
    </w:div>
    <w:div w:id="609357875">
      <w:bodyDiv w:val="1"/>
      <w:marLeft w:val="0"/>
      <w:marRight w:val="0"/>
      <w:marTop w:val="0"/>
      <w:marBottom w:val="0"/>
      <w:divBdr>
        <w:top w:val="none" w:sz="0" w:space="0" w:color="auto"/>
        <w:left w:val="none" w:sz="0" w:space="0" w:color="auto"/>
        <w:bottom w:val="none" w:sz="0" w:space="0" w:color="auto"/>
        <w:right w:val="none" w:sz="0" w:space="0" w:color="auto"/>
      </w:divBdr>
    </w:div>
    <w:div w:id="609557801">
      <w:bodyDiv w:val="1"/>
      <w:marLeft w:val="0"/>
      <w:marRight w:val="0"/>
      <w:marTop w:val="0"/>
      <w:marBottom w:val="0"/>
      <w:divBdr>
        <w:top w:val="none" w:sz="0" w:space="0" w:color="auto"/>
        <w:left w:val="none" w:sz="0" w:space="0" w:color="auto"/>
        <w:bottom w:val="none" w:sz="0" w:space="0" w:color="auto"/>
        <w:right w:val="none" w:sz="0" w:space="0" w:color="auto"/>
      </w:divBdr>
    </w:div>
    <w:div w:id="612321460">
      <w:bodyDiv w:val="1"/>
      <w:marLeft w:val="0"/>
      <w:marRight w:val="0"/>
      <w:marTop w:val="0"/>
      <w:marBottom w:val="0"/>
      <w:divBdr>
        <w:top w:val="none" w:sz="0" w:space="0" w:color="auto"/>
        <w:left w:val="none" w:sz="0" w:space="0" w:color="auto"/>
        <w:bottom w:val="none" w:sz="0" w:space="0" w:color="auto"/>
        <w:right w:val="none" w:sz="0" w:space="0" w:color="auto"/>
      </w:divBdr>
    </w:div>
    <w:div w:id="612514214">
      <w:bodyDiv w:val="1"/>
      <w:marLeft w:val="0"/>
      <w:marRight w:val="0"/>
      <w:marTop w:val="0"/>
      <w:marBottom w:val="0"/>
      <w:divBdr>
        <w:top w:val="none" w:sz="0" w:space="0" w:color="auto"/>
        <w:left w:val="none" w:sz="0" w:space="0" w:color="auto"/>
        <w:bottom w:val="none" w:sz="0" w:space="0" w:color="auto"/>
        <w:right w:val="none" w:sz="0" w:space="0" w:color="auto"/>
      </w:divBdr>
    </w:div>
    <w:div w:id="612633319">
      <w:bodyDiv w:val="1"/>
      <w:marLeft w:val="0"/>
      <w:marRight w:val="0"/>
      <w:marTop w:val="0"/>
      <w:marBottom w:val="0"/>
      <w:divBdr>
        <w:top w:val="none" w:sz="0" w:space="0" w:color="auto"/>
        <w:left w:val="none" w:sz="0" w:space="0" w:color="auto"/>
        <w:bottom w:val="none" w:sz="0" w:space="0" w:color="auto"/>
        <w:right w:val="none" w:sz="0" w:space="0" w:color="auto"/>
      </w:divBdr>
    </w:div>
    <w:div w:id="612783891">
      <w:bodyDiv w:val="1"/>
      <w:marLeft w:val="0"/>
      <w:marRight w:val="0"/>
      <w:marTop w:val="0"/>
      <w:marBottom w:val="0"/>
      <w:divBdr>
        <w:top w:val="none" w:sz="0" w:space="0" w:color="auto"/>
        <w:left w:val="none" w:sz="0" w:space="0" w:color="auto"/>
        <w:bottom w:val="none" w:sz="0" w:space="0" w:color="auto"/>
        <w:right w:val="none" w:sz="0" w:space="0" w:color="auto"/>
      </w:divBdr>
    </w:div>
    <w:div w:id="614144230">
      <w:bodyDiv w:val="1"/>
      <w:marLeft w:val="0"/>
      <w:marRight w:val="0"/>
      <w:marTop w:val="0"/>
      <w:marBottom w:val="0"/>
      <w:divBdr>
        <w:top w:val="none" w:sz="0" w:space="0" w:color="auto"/>
        <w:left w:val="none" w:sz="0" w:space="0" w:color="auto"/>
        <w:bottom w:val="none" w:sz="0" w:space="0" w:color="auto"/>
        <w:right w:val="none" w:sz="0" w:space="0" w:color="auto"/>
      </w:divBdr>
    </w:div>
    <w:div w:id="615407983">
      <w:bodyDiv w:val="1"/>
      <w:marLeft w:val="0"/>
      <w:marRight w:val="0"/>
      <w:marTop w:val="0"/>
      <w:marBottom w:val="0"/>
      <w:divBdr>
        <w:top w:val="none" w:sz="0" w:space="0" w:color="auto"/>
        <w:left w:val="none" w:sz="0" w:space="0" w:color="auto"/>
        <w:bottom w:val="none" w:sz="0" w:space="0" w:color="auto"/>
        <w:right w:val="none" w:sz="0" w:space="0" w:color="auto"/>
      </w:divBdr>
    </w:div>
    <w:div w:id="615523541">
      <w:bodyDiv w:val="1"/>
      <w:marLeft w:val="0"/>
      <w:marRight w:val="0"/>
      <w:marTop w:val="0"/>
      <w:marBottom w:val="0"/>
      <w:divBdr>
        <w:top w:val="none" w:sz="0" w:space="0" w:color="auto"/>
        <w:left w:val="none" w:sz="0" w:space="0" w:color="auto"/>
        <w:bottom w:val="none" w:sz="0" w:space="0" w:color="auto"/>
        <w:right w:val="none" w:sz="0" w:space="0" w:color="auto"/>
      </w:divBdr>
    </w:div>
    <w:div w:id="619799047">
      <w:bodyDiv w:val="1"/>
      <w:marLeft w:val="0"/>
      <w:marRight w:val="0"/>
      <w:marTop w:val="0"/>
      <w:marBottom w:val="0"/>
      <w:divBdr>
        <w:top w:val="none" w:sz="0" w:space="0" w:color="auto"/>
        <w:left w:val="none" w:sz="0" w:space="0" w:color="auto"/>
        <w:bottom w:val="none" w:sz="0" w:space="0" w:color="auto"/>
        <w:right w:val="none" w:sz="0" w:space="0" w:color="auto"/>
      </w:divBdr>
    </w:div>
    <w:div w:id="620458804">
      <w:bodyDiv w:val="1"/>
      <w:marLeft w:val="0"/>
      <w:marRight w:val="0"/>
      <w:marTop w:val="0"/>
      <w:marBottom w:val="0"/>
      <w:divBdr>
        <w:top w:val="none" w:sz="0" w:space="0" w:color="auto"/>
        <w:left w:val="none" w:sz="0" w:space="0" w:color="auto"/>
        <w:bottom w:val="none" w:sz="0" w:space="0" w:color="auto"/>
        <w:right w:val="none" w:sz="0" w:space="0" w:color="auto"/>
      </w:divBdr>
    </w:div>
    <w:div w:id="620845825">
      <w:bodyDiv w:val="1"/>
      <w:marLeft w:val="0"/>
      <w:marRight w:val="0"/>
      <w:marTop w:val="0"/>
      <w:marBottom w:val="0"/>
      <w:divBdr>
        <w:top w:val="none" w:sz="0" w:space="0" w:color="auto"/>
        <w:left w:val="none" w:sz="0" w:space="0" w:color="auto"/>
        <w:bottom w:val="none" w:sz="0" w:space="0" w:color="auto"/>
        <w:right w:val="none" w:sz="0" w:space="0" w:color="auto"/>
      </w:divBdr>
    </w:div>
    <w:div w:id="621616878">
      <w:bodyDiv w:val="1"/>
      <w:marLeft w:val="0"/>
      <w:marRight w:val="0"/>
      <w:marTop w:val="0"/>
      <w:marBottom w:val="0"/>
      <w:divBdr>
        <w:top w:val="none" w:sz="0" w:space="0" w:color="auto"/>
        <w:left w:val="none" w:sz="0" w:space="0" w:color="auto"/>
        <w:bottom w:val="none" w:sz="0" w:space="0" w:color="auto"/>
        <w:right w:val="none" w:sz="0" w:space="0" w:color="auto"/>
      </w:divBdr>
    </w:div>
    <w:div w:id="622461590">
      <w:bodyDiv w:val="1"/>
      <w:marLeft w:val="0"/>
      <w:marRight w:val="0"/>
      <w:marTop w:val="0"/>
      <w:marBottom w:val="0"/>
      <w:divBdr>
        <w:top w:val="none" w:sz="0" w:space="0" w:color="auto"/>
        <w:left w:val="none" w:sz="0" w:space="0" w:color="auto"/>
        <w:bottom w:val="none" w:sz="0" w:space="0" w:color="auto"/>
        <w:right w:val="none" w:sz="0" w:space="0" w:color="auto"/>
      </w:divBdr>
    </w:div>
    <w:div w:id="622614717">
      <w:bodyDiv w:val="1"/>
      <w:marLeft w:val="0"/>
      <w:marRight w:val="0"/>
      <w:marTop w:val="0"/>
      <w:marBottom w:val="0"/>
      <w:divBdr>
        <w:top w:val="none" w:sz="0" w:space="0" w:color="auto"/>
        <w:left w:val="none" w:sz="0" w:space="0" w:color="auto"/>
        <w:bottom w:val="none" w:sz="0" w:space="0" w:color="auto"/>
        <w:right w:val="none" w:sz="0" w:space="0" w:color="auto"/>
      </w:divBdr>
    </w:div>
    <w:div w:id="623077713">
      <w:bodyDiv w:val="1"/>
      <w:marLeft w:val="0"/>
      <w:marRight w:val="0"/>
      <w:marTop w:val="0"/>
      <w:marBottom w:val="0"/>
      <w:divBdr>
        <w:top w:val="none" w:sz="0" w:space="0" w:color="auto"/>
        <w:left w:val="none" w:sz="0" w:space="0" w:color="auto"/>
        <w:bottom w:val="none" w:sz="0" w:space="0" w:color="auto"/>
        <w:right w:val="none" w:sz="0" w:space="0" w:color="auto"/>
      </w:divBdr>
    </w:div>
    <w:div w:id="623192708">
      <w:bodyDiv w:val="1"/>
      <w:marLeft w:val="0"/>
      <w:marRight w:val="0"/>
      <w:marTop w:val="0"/>
      <w:marBottom w:val="0"/>
      <w:divBdr>
        <w:top w:val="none" w:sz="0" w:space="0" w:color="auto"/>
        <w:left w:val="none" w:sz="0" w:space="0" w:color="auto"/>
        <w:bottom w:val="none" w:sz="0" w:space="0" w:color="auto"/>
        <w:right w:val="none" w:sz="0" w:space="0" w:color="auto"/>
      </w:divBdr>
    </w:div>
    <w:div w:id="623342302">
      <w:bodyDiv w:val="1"/>
      <w:marLeft w:val="0"/>
      <w:marRight w:val="0"/>
      <w:marTop w:val="0"/>
      <w:marBottom w:val="0"/>
      <w:divBdr>
        <w:top w:val="none" w:sz="0" w:space="0" w:color="auto"/>
        <w:left w:val="none" w:sz="0" w:space="0" w:color="auto"/>
        <w:bottom w:val="none" w:sz="0" w:space="0" w:color="auto"/>
        <w:right w:val="none" w:sz="0" w:space="0" w:color="auto"/>
      </w:divBdr>
    </w:div>
    <w:div w:id="623583468">
      <w:bodyDiv w:val="1"/>
      <w:marLeft w:val="0"/>
      <w:marRight w:val="0"/>
      <w:marTop w:val="0"/>
      <w:marBottom w:val="0"/>
      <w:divBdr>
        <w:top w:val="none" w:sz="0" w:space="0" w:color="auto"/>
        <w:left w:val="none" w:sz="0" w:space="0" w:color="auto"/>
        <w:bottom w:val="none" w:sz="0" w:space="0" w:color="auto"/>
        <w:right w:val="none" w:sz="0" w:space="0" w:color="auto"/>
      </w:divBdr>
    </w:div>
    <w:div w:id="624428688">
      <w:bodyDiv w:val="1"/>
      <w:marLeft w:val="0"/>
      <w:marRight w:val="0"/>
      <w:marTop w:val="0"/>
      <w:marBottom w:val="0"/>
      <w:divBdr>
        <w:top w:val="none" w:sz="0" w:space="0" w:color="auto"/>
        <w:left w:val="none" w:sz="0" w:space="0" w:color="auto"/>
        <w:bottom w:val="none" w:sz="0" w:space="0" w:color="auto"/>
        <w:right w:val="none" w:sz="0" w:space="0" w:color="auto"/>
      </w:divBdr>
    </w:div>
    <w:div w:id="625165042">
      <w:bodyDiv w:val="1"/>
      <w:marLeft w:val="0"/>
      <w:marRight w:val="0"/>
      <w:marTop w:val="0"/>
      <w:marBottom w:val="0"/>
      <w:divBdr>
        <w:top w:val="none" w:sz="0" w:space="0" w:color="auto"/>
        <w:left w:val="none" w:sz="0" w:space="0" w:color="auto"/>
        <w:bottom w:val="none" w:sz="0" w:space="0" w:color="auto"/>
        <w:right w:val="none" w:sz="0" w:space="0" w:color="auto"/>
      </w:divBdr>
    </w:div>
    <w:div w:id="625543889">
      <w:bodyDiv w:val="1"/>
      <w:marLeft w:val="0"/>
      <w:marRight w:val="0"/>
      <w:marTop w:val="0"/>
      <w:marBottom w:val="0"/>
      <w:divBdr>
        <w:top w:val="none" w:sz="0" w:space="0" w:color="auto"/>
        <w:left w:val="none" w:sz="0" w:space="0" w:color="auto"/>
        <w:bottom w:val="none" w:sz="0" w:space="0" w:color="auto"/>
        <w:right w:val="none" w:sz="0" w:space="0" w:color="auto"/>
      </w:divBdr>
    </w:div>
    <w:div w:id="626201304">
      <w:bodyDiv w:val="1"/>
      <w:marLeft w:val="0"/>
      <w:marRight w:val="0"/>
      <w:marTop w:val="0"/>
      <w:marBottom w:val="0"/>
      <w:divBdr>
        <w:top w:val="none" w:sz="0" w:space="0" w:color="auto"/>
        <w:left w:val="none" w:sz="0" w:space="0" w:color="auto"/>
        <w:bottom w:val="none" w:sz="0" w:space="0" w:color="auto"/>
        <w:right w:val="none" w:sz="0" w:space="0" w:color="auto"/>
      </w:divBdr>
    </w:div>
    <w:div w:id="627126528">
      <w:bodyDiv w:val="1"/>
      <w:marLeft w:val="0"/>
      <w:marRight w:val="0"/>
      <w:marTop w:val="0"/>
      <w:marBottom w:val="0"/>
      <w:divBdr>
        <w:top w:val="none" w:sz="0" w:space="0" w:color="auto"/>
        <w:left w:val="none" w:sz="0" w:space="0" w:color="auto"/>
        <w:bottom w:val="none" w:sz="0" w:space="0" w:color="auto"/>
        <w:right w:val="none" w:sz="0" w:space="0" w:color="auto"/>
      </w:divBdr>
    </w:div>
    <w:div w:id="627708745">
      <w:bodyDiv w:val="1"/>
      <w:marLeft w:val="0"/>
      <w:marRight w:val="0"/>
      <w:marTop w:val="0"/>
      <w:marBottom w:val="0"/>
      <w:divBdr>
        <w:top w:val="none" w:sz="0" w:space="0" w:color="auto"/>
        <w:left w:val="none" w:sz="0" w:space="0" w:color="auto"/>
        <w:bottom w:val="none" w:sz="0" w:space="0" w:color="auto"/>
        <w:right w:val="none" w:sz="0" w:space="0" w:color="auto"/>
      </w:divBdr>
    </w:div>
    <w:div w:id="628240753">
      <w:bodyDiv w:val="1"/>
      <w:marLeft w:val="0"/>
      <w:marRight w:val="0"/>
      <w:marTop w:val="0"/>
      <w:marBottom w:val="0"/>
      <w:divBdr>
        <w:top w:val="none" w:sz="0" w:space="0" w:color="auto"/>
        <w:left w:val="none" w:sz="0" w:space="0" w:color="auto"/>
        <w:bottom w:val="none" w:sz="0" w:space="0" w:color="auto"/>
        <w:right w:val="none" w:sz="0" w:space="0" w:color="auto"/>
      </w:divBdr>
    </w:div>
    <w:div w:id="628391932">
      <w:bodyDiv w:val="1"/>
      <w:marLeft w:val="0"/>
      <w:marRight w:val="0"/>
      <w:marTop w:val="0"/>
      <w:marBottom w:val="0"/>
      <w:divBdr>
        <w:top w:val="none" w:sz="0" w:space="0" w:color="auto"/>
        <w:left w:val="none" w:sz="0" w:space="0" w:color="auto"/>
        <w:bottom w:val="none" w:sz="0" w:space="0" w:color="auto"/>
        <w:right w:val="none" w:sz="0" w:space="0" w:color="auto"/>
      </w:divBdr>
    </w:div>
    <w:div w:id="629358401">
      <w:bodyDiv w:val="1"/>
      <w:marLeft w:val="0"/>
      <w:marRight w:val="0"/>
      <w:marTop w:val="0"/>
      <w:marBottom w:val="0"/>
      <w:divBdr>
        <w:top w:val="none" w:sz="0" w:space="0" w:color="auto"/>
        <w:left w:val="none" w:sz="0" w:space="0" w:color="auto"/>
        <w:bottom w:val="none" w:sz="0" w:space="0" w:color="auto"/>
        <w:right w:val="none" w:sz="0" w:space="0" w:color="auto"/>
      </w:divBdr>
    </w:div>
    <w:div w:id="629440310">
      <w:bodyDiv w:val="1"/>
      <w:marLeft w:val="0"/>
      <w:marRight w:val="0"/>
      <w:marTop w:val="0"/>
      <w:marBottom w:val="0"/>
      <w:divBdr>
        <w:top w:val="none" w:sz="0" w:space="0" w:color="auto"/>
        <w:left w:val="none" w:sz="0" w:space="0" w:color="auto"/>
        <w:bottom w:val="none" w:sz="0" w:space="0" w:color="auto"/>
        <w:right w:val="none" w:sz="0" w:space="0" w:color="auto"/>
      </w:divBdr>
    </w:div>
    <w:div w:id="630093483">
      <w:bodyDiv w:val="1"/>
      <w:marLeft w:val="0"/>
      <w:marRight w:val="0"/>
      <w:marTop w:val="0"/>
      <w:marBottom w:val="0"/>
      <w:divBdr>
        <w:top w:val="none" w:sz="0" w:space="0" w:color="auto"/>
        <w:left w:val="none" w:sz="0" w:space="0" w:color="auto"/>
        <w:bottom w:val="none" w:sz="0" w:space="0" w:color="auto"/>
        <w:right w:val="none" w:sz="0" w:space="0" w:color="auto"/>
      </w:divBdr>
    </w:div>
    <w:div w:id="630209734">
      <w:bodyDiv w:val="1"/>
      <w:marLeft w:val="0"/>
      <w:marRight w:val="0"/>
      <w:marTop w:val="0"/>
      <w:marBottom w:val="0"/>
      <w:divBdr>
        <w:top w:val="none" w:sz="0" w:space="0" w:color="auto"/>
        <w:left w:val="none" w:sz="0" w:space="0" w:color="auto"/>
        <w:bottom w:val="none" w:sz="0" w:space="0" w:color="auto"/>
        <w:right w:val="none" w:sz="0" w:space="0" w:color="auto"/>
      </w:divBdr>
    </w:div>
    <w:div w:id="631063393">
      <w:bodyDiv w:val="1"/>
      <w:marLeft w:val="0"/>
      <w:marRight w:val="0"/>
      <w:marTop w:val="0"/>
      <w:marBottom w:val="0"/>
      <w:divBdr>
        <w:top w:val="none" w:sz="0" w:space="0" w:color="auto"/>
        <w:left w:val="none" w:sz="0" w:space="0" w:color="auto"/>
        <w:bottom w:val="none" w:sz="0" w:space="0" w:color="auto"/>
        <w:right w:val="none" w:sz="0" w:space="0" w:color="auto"/>
      </w:divBdr>
    </w:div>
    <w:div w:id="631401966">
      <w:bodyDiv w:val="1"/>
      <w:marLeft w:val="0"/>
      <w:marRight w:val="0"/>
      <w:marTop w:val="0"/>
      <w:marBottom w:val="0"/>
      <w:divBdr>
        <w:top w:val="none" w:sz="0" w:space="0" w:color="auto"/>
        <w:left w:val="none" w:sz="0" w:space="0" w:color="auto"/>
        <w:bottom w:val="none" w:sz="0" w:space="0" w:color="auto"/>
        <w:right w:val="none" w:sz="0" w:space="0" w:color="auto"/>
      </w:divBdr>
    </w:div>
    <w:div w:id="632057719">
      <w:bodyDiv w:val="1"/>
      <w:marLeft w:val="0"/>
      <w:marRight w:val="0"/>
      <w:marTop w:val="0"/>
      <w:marBottom w:val="0"/>
      <w:divBdr>
        <w:top w:val="none" w:sz="0" w:space="0" w:color="auto"/>
        <w:left w:val="none" w:sz="0" w:space="0" w:color="auto"/>
        <w:bottom w:val="none" w:sz="0" w:space="0" w:color="auto"/>
        <w:right w:val="none" w:sz="0" w:space="0" w:color="auto"/>
      </w:divBdr>
    </w:div>
    <w:div w:id="633214562">
      <w:bodyDiv w:val="1"/>
      <w:marLeft w:val="0"/>
      <w:marRight w:val="0"/>
      <w:marTop w:val="0"/>
      <w:marBottom w:val="0"/>
      <w:divBdr>
        <w:top w:val="none" w:sz="0" w:space="0" w:color="auto"/>
        <w:left w:val="none" w:sz="0" w:space="0" w:color="auto"/>
        <w:bottom w:val="none" w:sz="0" w:space="0" w:color="auto"/>
        <w:right w:val="none" w:sz="0" w:space="0" w:color="auto"/>
      </w:divBdr>
    </w:div>
    <w:div w:id="634409866">
      <w:bodyDiv w:val="1"/>
      <w:marLeft w:val="0"/>
      <w:marRight w:val="0"/>
      <w:marTop w:val="0"/>
      <w:marBottom w:val="0"/>
      <w:divBdr>
        <w:top w:val="none" w:sz="0" w:space="0" w:color="auto"/>
        <w:left w:val="none" w:sz="0" w:space="0" w:color="auto"/>
        <w:bottom w:val="none" w:sz="0" w:space="0" w:color="auto"/>
        <w:right w:val="none" w:sz="0" w:space="0" w:color="auto"/>
      </w:divBdr>
    </w:div>
    <w:div w:id="634679093">
      <w:bodyDiv w:val="1"/>
      <w:marLeft w:val="0"/>
      <w:marRight w:val="0"/>
      <w:marTop w:val="0"/>
      <w:marBottom w:val="0"/>
      <w:divBdr>
        <w:top w:val="none" w:sz="0" w:space="0" w:color="auto"/>
        <w:left w:val="none" w:sz="0" w:space="0" w:color="auto"/>
        <w:bottom w:val="none" w:sz="0" w:space="0" w:color="auto"/>
        <w:right w:val="none" w:sz="0" w:space="0" w:color="auto"/>
      </w:divBdr>
    </w:div>
    <w:div w:id="637223936">
      <w:bodyDiv w:val="1"/>
      <w:marLeft w:val="0"/>
      <w:marRight w:val="0"/>
      <w:marTop w:val="0"/>
      <w:marBottom w:val="0"/>
      <w:divBdr>
        <w:top w:val="none" w:sz="0" w:space="0" w:color="auto"/>
        <w:left w:val="none" w:sz="0" w:space="0" w:color="auto"/>
        <w:bottom w:val="none" w:sz="0" w:space="0" w:color="auto"/>
        <w:right w:val="none" w:sz="0" w:space="0" w:color="auto"/>
      </w:divBdr>
    </w:div>
    <w:div w:id="637229757">
      <w:bodyDiv w:val="1"/>
      <w:marLeft w:val="0"/>
      <w:marRight w:val="0"/>
      <w:marTop w:val="0"/>
      <w:marBottom w:val="0"/>
      <w:divBdr>
        <w:top w:val="none" w:sz="0" w:space="0" w:color="auto"/>
        <w:left w:val="none" w:sz="0" w:space="0" w:color="auto"/>
        <w:bottom w:val="none" w:sz="0" w:space="0" w:color="auto"/>
        <w:right w:val="none" w:sz="0" w:space="0" w:color="auto"/>
      </w:divBdr>
    </w:div>
    <w:div w:id="637960127">
      <w:bodyDiv w:val="1"/>
      <w:marLeft w:val="0"/>
      <w:marRight w:val="0"/>
      <w:marTop w:val="0"/>
      <w:marBottom w:val="0"/>
      <w:divBdr>
        <w:top w:val="none" w:sz="0" w:space="0" w:color="auto"/>
        <w:left w:val="none" w:sz="0" w:space="0" w:color="auto"/>
        <w:bottom w:val="none" w:sz="0" w:space="0" w:color="auto"/>
        <w:right w:val="none" w:sz="0" w:space="0" w:color="auto"/>
      </w:divBdr>
    </w:div>
    <w:div w:id="638920894">
      <w:bodyDiv w:val="1"/>
      <w:marLeft w:val="0"/>
      <w:marRight w:val="0"/>
      <w:marTop w:val="0"/>
      <w:marBottom w:val="0"/>
      <w:divBdr>
        <w:top w:val="none" w:sz="0" w:space="0" w:color="auto"/>
        <w:left w:val="none" w:sz="0" w:space="0" w:color="auto"/>
        <w:bottom w:val="none" w:sz="0" w:space="0" w:color="auto"/>
        <w:right w:val="none" w:sz="0" w:space="0" w:color="auto"/>
      </w:divBdr>
    </w:div>
    <w:div w:id="639000291">
      <w:bodyDiv w:val="1"/>
      <w:marLeft w:val="0"/>
      <w:marRight w:val="0"/>
      <w:marTop w:val="0"/>
      <w:marBottom w:val="0"/>
      <w:divBdr>
        <w:top w:val="none" w:sz="0" w:space="0" w:color="auto"/>
        <w:left w:val="none" w:sz="0" w:space="0" w:color="auto"/>
        <w:bottom w:val="none" w:sz="0" w:space="0" w:color="auto"/>
        <w:right w:val="none" w:sz="0" w:space="0" w:color="auto"/>
      </w:divBdr>
    </w:div>
    <w:div w:id="639502769">
      <w:bodyDiv w:val="1"/>
      <w:marLeft w:val="0"/>
      <w:marRight w:val="0"/>
      <w:marTop w:val="0"/>
      <w:marBottom w:val="0"/>
      <w:divBdr>
        <w:top w:val="none" w:sz="0" w:space="0" w:color="auto"/>
        <w:left w:val="none" w:sz="0" w:space="0" w:color="auto"/>
        <w:bottom w:val="none" w:sz="0" w:space="0" w:color="auto"/>
        <w:right w:val="none" w:sz="0" w:space="0" w:color="auto"/>
      </w:divBdr>
    </w:div>
    <w:div w:id="639506692">
      <w:bodyDiv w:val="1"/>
      <w:marLeft w:val="0"/>
      <w:marRight w:val="0"/>
      <w:marTop w:val="0"/>
      <w:marBottom w:val="0"/>
      <w:divBdr>
        <w:top w:val="none" w:sz="0" w:space="0" w:color="auto"/>
        <w:left w:val="none" w:sz="0" w:space="0" w:color="auto"/>
        <w:bottom w:val="none" w:sz="0" w:space="0" w:color="auto"/>
        <w:right w:val="none" w:sz="0" w:space="0" w:color="auto"/>
      </w:divBdr>
    </w:div>
    <w:div w:id="640573485">
      <w:bodyDiv w:val="1"/>
      <w:marLeft w:val="0"/>
      <w:marRight w:val="0"/>
      <w:marTop w:val="0"/>
      <w:marBottom w:val="0"/>
      <w:divBdr>
        <w:top w:val="none" w:sz="0" w:space="0" w:color="auto"/>
        <w:left w:val="none" w:sz="0" w:space="0" w:color="auto"/>
        <w:bottom w:val="none" w:sz="0" w:space="0" w:color="auto"/>
        <w:right w:val="none" w:sz="0" w:space="0" w:color="auto"/>
      </w:divBdr>
    </w:div>
    <w:div w:id="642469130">
      <w:bodyDiv w:val="1"/>
      <w:marLeft w:val="0"/>
      <w:marRight w:val="0"/>
      <w:marTop w:val="0"/>
      <w:marBottom w:val="0"/>
      <w:divBdr>
        <w:top w:val="none" w:sz="0" w:space="0" w:color="auto"/>
        <w:left w:val="none" w:sz="0" w:space="0" w:color="auto"/>
        <w:bottom w:val="none" w:sz="0" w:space="0" w:color="auto"/>
        <w:right w:val="none" w:sz="0" w:space="0" w:color="auto"/>
      </w:divBdr>
    </w:div>
    <w:div w:id="644578811">
      <w:bodyDiv w:val="1"/>
      <w:marLeft w:val="0"/>
      <w:marRight w:val="0"/>
      <w:marTop w:val="0"/>
      <w:marBottom w:val="0"/>
      <w:divBdr>
        <w:top w:val="none" w:sz="0" w:space="0" w:color="auto"/>
        <w:left w:val="none" w:sz="0" w:space="0" w:color="auto"/>
        <w:bottom w:val="none" w:sz="0" w:space="0" w:color="auto"/>
        <w:right w:val="none" w:sz="0" w:space="0" w:color="auto"/>
      </w:divBdr>
    </w:div>
    <w:div w:id="646084339">
      <w:bodyDiv w:val="1"/>
      <w:marLeft w:val="0"/>
      <w:marRight w:val="0"/>
      <w:marTop w:val="0"/>
      <w:marBottom w:val="0"/>
      <w:divBdr>
        <w:top w:val="none" w:sz="0" w:space="0" w:color="auto"/>
        <w:left w:val="none" w:sz="0" w:space="0" w:color="auto"/>
        <w:bottom w:val="none" w:sz="0" w:space="0" w:color="auto"/>
        <w:right w:val="none" w:sz="0" w:space="0" w:color="auto"/>
      </w:divBdr>
    </w:div>
    <w:div w:id="646403291">
      <w:bodyDiv w:val="1"/>
      <w:marLeft w:val="0"/>
      <w:marRight w:val="0"/>
      <w:marTop w:val="0"/>
      <w:marBottom w:val="0"/>
      <w:divBdr>
        <w:top w:val="none" w:sz="0" w:space="0" w:color="auto"/>
        <w:left w:val="none" w:sz="0" w:space="0" w:color="auto"/>
        <w:bottom w:val="none" w:sz="0" w:space="0" w:color="auto"/>
        <w:right w:val="none" w:sz="0" w:space="0" w:color="auto"/>
      </w:divBdr>
    </w:div>
    <w:div w:id="648290432">
      <w:bodyDiv w:val="1"/>
      <w:marLeft w:val="0"/>
      <w:marRight w:val="0"/>
      <w:marTop w:val="0"/>
      <w:marBottom w:val="0"/>
      <w:divBdr>
        <w:top w:val="none" w:sz="0" w:space="0" w:color="auto"/>
        <w:left w:val="none" w:sz="0" w:space="0" w:color="auto"/>
        <w:bottom w:val="none" w:sz="0" w:space="0" w:color="auto"/>
        <w:right w:val="none" w:sz="0" w:space="0" w:color="auto"/>
      </w:divBdr>
    </w:div>
    <w:div w:id="651106839">
      <w:bodyDiv w:val="1"/>
      <w:marLeft w:val="0"/>
      <w:marRight w:val="0"/>
      <w:marTop w:val="0"/>
      <w:marBottom w:val="0"/>
      <w:divBdr>
        <w:top w:val="none" w:sz="0" w:space="0" w:color="auto"/>
        <w:left w:val="none" w:sz="0" w:space="0" w:color="auto"/>
        <w:bottom w:val="none" w:sz="0" w:space="0" w:color="auto"/>
        <w:right w:val="none" w:sz="0" w:space="0" w:color="auto"/>
      </w:divBdr>
    </w:div>
    <w:div w:id="653724708">
      <w:bodyDiv w:val="1"/>
      <w:marLeft w:val="0"/>
      <w:marRight w:val="0"/>
      <w:marTop w:val="0"/>
      <w:marBottom w:val="0"/>
      <w:divBdr>
        <w:top w:val="none" w:sz="0" w:space="0" w:color="auto"/>
        <w:left w:val="none" w:sz="0" w:space="0" w:color="auto"/>
        <w:bottom w:val="none" w:sz="0" w:space="0" w:color="auto"/>
        <w:right w:val="none" w:sz="0" w:space="0" w:color="auto"/>
      </w:divBdr>
    </w:div>
    <w:div w:id="656884533">
      <w:bodyDiv w:val="1"/>
      <w:marLeft w:val="0"/>
      <w:marRight w:val="0"/>
      <w:marTop w:val="0"/>
      <w:marBottom w:val="0"/>
      <w:divBdr>
        <w:top w:val="none" w:sz="0" w:space="0" w:color="auto"/>
        <w:left w:val="none" w:sz="0" w:space="0" w:color="auto"/>
        <w:bottom w:val="none" w:sz="0" w:space="0" w:color="auto"/>
        <w:right w:val="none" w:sz="0" w:space="0" w:color="auto"/>
      </w:divBdr>
    </w:div>
    <w:div w:id="656998999">
      <w:bodyDiv w:val="1"/>
      <w:marLeft w:val="0"/>
      <w:marRight w:val="0"/>
      <w:marTop w:val="0"/>
      <w:marBottom w:val="0"/>
      <w:divBdr>
        <w:top w:val="none" w:sz="0" w:space="0" w:color="auto"/>
        <w:left w:val="none" w:sz="0" w:space="0" w:color="auto"/>
        <w:bottom w:val="none" w:sz="0" w:space="0" w:color="auto"/>
        <w:right w:val="none" w:sz="0" w:space="0" w:color="auto"/>
      </w:divBdr>
    </w:div>
    <w:div w:id="657226935">
      <w:bodyDiv w:val="1"/>
      <w:marLeft w:val="0"/>
      <w:marRight w:val="0"/>
      <w:marTop w:val="0"/>
      <w:marBottom w:val="0"/>
      <w:divBdr>
        <w:top w:val="none" w:sz="0" w:space="0" w:color="auto"/>
        <w:left w:val="none" w:sz="0" w:space="0" w:color="auto"/>
        <w:bottom w:val="none" w:sz="0" w:space="0" w:color="auto"/>
        <w:right w:val="none" w:sz="0" w:space="0" w:color="auto"/>
      </w:divBdr>
    </w:div>
    <w:div w:id="657418721">
      <w:bodyDiv w:val="1"/>
      <w:marLeft w:val="0"/>
      <w:marRight w:val="0"/>
      <w:marTop w:val="0"/>
      <w:marBottom w:val="0"/>
      <w:divBdr>
        <w:top w:val="none" w:sz="0" w:space="0" w:color="auto"/>
        <w:left w:val="none" w:sz="0" w:space="0" w:color="auto"/>
        <w:bottom w:val="none" w:sz="0" w:space="0" w:color="auto"/>
        <w:right w:val="none" w:sz="0" w:space="0" w:color="auto"/>
      </w:divBdr>
    </w:div>
    <w:div w:id="657424310">
      <w:bodyDiv w:val="1"/>
      <w:marLeft w:val="0"/>
      <w:marRight w:val="0"/>
      <w:marTop w:val="0"/>
      <w:marBottom w:val="0"/>
      <w:divBdr>
        <w:top w:val="none" w:sz="0" w:space="0" w:color="auto"/>
        <w:left w:val="none" w:sz="0" w:space="0" w:color="auto"/>
        <w:bottom w:val="none" w:sz="0" w:space="0" w:color="auto"/>
        <w:right w:val="none" w:sz="0" w:space="0" w:color="auto"/>
      </w:divBdr>
    </w:div>
    <w:div w:id="660231088">
      <w:bodyDiv w:val="1"/>
      <w:marLeft w:val="0"/>
      <w:marRight w:val="0"/>
      <w:marTop w:val="0"/>
      <w:marBottom w:val="0"/>
      <w:divBdr>
        <w:top w:val="none" w:sz="0" w:space="0" w:color="auto"/>
        <w:left w:val="none" w:sz="0" w:space="0" w:color="auto"/>
        <w:bottom w:val="none" w:sz="0" w:space="0" w:color="auto"/>
        <w:right w:val="none" w:sz="0" w:space="0" w:color="auto"/>
      </w:divBdr>
    </w:div>
    <w:div w:id="660279347">
      <w:bodyDiv w:val="1"/>
      <w:marLeft w:val="0"/>
      <w:marRight w:val="0"/>
      <w:marTop w:val="0"/>
      <w:marBottom w:val="0"/>
      <w:divBdr>
        <w:top w:val="none" w:sz="0" w:space="0" w:color="auto"/>
        <w:left w:val="none" w:sz="0" w:space="0" w:color="auto"/>
        <w:bottom w:val="none" w:sz="0" w:space="0" w:color="auto"/>
        <w:right w:val="none" w:sz="0" w:space="0" w:color="auto"/>
      </w:divBdr>
    </w:div>
    <w:div w:id="660354369">
      <w:bodyDiv w:val="1"/>
      <w:marLeft w:val="0"/>
      <w:marRight w:val="0"/>
      <w:marTop w:val="0"/>
      <w:marBottom w:val="0"/>
      <w:divBdr>
        <w:top w:val="none" w:sz="0" w:space="0" w:color="auto"/>
        <w:left w:val="none" w:sz="0" w:space="0" w:color="auto"/>
        <w:bottom w:val="none" w:sz="0" w:space="0" w:color="auto"/>
        <w:right w:val="none" w:sz="0" w:space="0" w:color="auto"/>
      </w:divBdr>
    </w:div>
    <w:div w:id="661546051">
      <w:bodyDiv w:val="1"/>
      <w:marLeft w:val="0"/>
      <w:marRight w:val="0"/>
      <w:marTop w:val="0"/>
      <w:marBottom w:val="0"/>
      <w:divBdr>
        <w:top w:val="none" w:sz="0" w:space="0" w:color="auto"/>
        <w:left w:val="none" w:sz="0" w:space="0" w:color="auto"/>
        <w:bottom w:val="none" w:sz="0" w:space="0" w:color="auto"/>
        <w:right w:val="none" w:sz="0" w:space="0" w:color="auto"/>
      </w:divBdr>
    </w:div>
    <w:div w:id="662705856">
      <w:bodyDiv w:val="1"/>
      <w:marLeft w:val="0"/>
      <w:marRight w:val="0"/>
      <w:marTop w:val="0"/>
      <w:marBottom w:val="0"/>
      <w:divBdr>
        <w:top w:val="none" w:sz="0" w:space="0" w:color="auto"/>
        <w:left w:val="none" w:sz="0" w:space="0" w:color="auto"/>
        <w:bottom w:val="none" w:sz="0" w:space="0" w:color="auto"/>
        <w:right w:val="none" w:sz="0" w:space="0" w:color="auto"/>
      </w:divBdr>
    </w:div>
    <w:div w:id="663122095">
      <w:bodyDiv w:val="1"/>
      <w:marLeft w:val="0"/>
      <w:marRight w:val="0"/>
      <w:marTop w:val="0"/>
      <w:marBottom w:val="0"/>
      <w:divBdr>
        <w:top w:val="none" w:sz="0" w:space="0" w:color="auto"/>
        <w:left w:val="none" w:sz="0" w:space="0" w:color="auto"/>
        <w:bottom w:val="none" w:sz="0" w:space="0" w:color="auto"/>
        <w:right w:val="none" w:sz="0" w:space="0" w:color="auto"/>
      </w:divBdr>
    </w:div>
    <w:div w:id="664893184">
      <w:bodyDiv w:val="1"/>
      <w:marLeft w:val="0"/>
      <w:marRight w:val="0"/>
      <w:marTop w:val="0"/>
      <w:marBottom w:val="0"/>
      <w:divBdr>
        <w:top w:val="none" w:sz="0" w:space="0" w:color="auto"/>
        <w:left w:val="none" w:sz="0" w:space="0" w:color="auto"/>
        <w:bottom w:val="none" w:sz="0" w:space="0" w:color="auto"/>
        <w:right w:val="none" w:sz="0" w:space="0" w:color="auto"/>
      </w:divBdr>
    </w:div>
    <w:div w:id="665472831">
      <w:bodyDiv w:val="1"/>
      <w:marLeft w:val="0"/>
      <w:marRight w:val="0"/>
      <w:marTop w:val="0"/>
      <w:marBottom w:val="0"/>
      <w:divBdr>
        <w:top w:val="none" w:sz="0" w:space="0" w:color="auto"/>
        <w:left w:val="none" w:sz="0" w:space="0" w:color="auto"/>
        <w:bottom w:val="none" w:sz="0" w:space="0" w:color="auto"/>
        <w:right w:val="none" w:sz="0" w:space="0" w:color="auto"/>
      </w:divBdr>
    </w:div>
    <w:div w:id="665745093">
      <w:bodyDiv w:val="1"/>
      <w:marLeft w:val="0"/>
      <w:marRight w:val="0"/>
      <w:marTop w:val="0"/>
      <w:marBottom w:val="0"/>
      <w:divBdr>
        <w:top w:val="none" w:sz="0" w:space="0" w:color="auto"/>
        <w:left w:val="none" w:sz="0" w:space="0" w:color="auto"/>
        <w:bottom w:val="none" w:sz="0" w:space="0" w:color="auto"/>
        <w:right w:val="none" w:sz="0" w:space="0" w:color="auto"/>
      </w:divBdr>
    </w:div>
    <w:div w:id="666597980">
      <w:bodyDiv w:val="1"/>
      <w:marLeft w:val="0"/>
      <w:marRight w:val="0"/>
      <w:marTop w:val="0"/>
      <w:marBottom w:val="0"/>
      <w:divBdr>
        <w:top w:val="none" w:sz="0" w:space="0" w:color="auto"/>
        <w:left w:val="none" w:sz="0" w:space="0" w:color="auto"/>
        <w:bottom w:val="none" w:sz="0" w:space="0" w:color="auto"/>
        <w:right w:val="none" w:sz="0" w:space="0" w:color="auto"/>
      </w:divBdr>
    </w:div>
    <w:div w:id="667712407">
      <w:bodyDiv w:val="1"/>
      <w:marLeft w:val="0"/>
      <w:marRight w:val="0"/>
      <w:marTop w:val="0"/>
      <w:marBottom w:val="0"/>
      <w:divBdr>
        <w:top w:val="none" w:sz="0" w:space="0" w:color="auto"/>
        <w:left w:val="none" w:sz="0" w:space="0" w:color="auto"/>
        <w:bottom w:val="none" w:sz="0" w:space="0" w:color="auto"/>
        <w:right w:val="none" w:sz="0" w:space="0" w:color="auto"/>
      </w:divBdr>
    </w:div>
    <w:div w:id="668750308">
      <w:bodyDiv w:val="1"/>
      <w:marLeft w:val="0"/>
      <w:marRight w:val="0"/>
      <w:marTop w:val="0"/>
      <w:marBottom w:val="0"/>
      <w:divBdr>
        <w:top w:val="none" w:sz="0" w:space="0" w:color="auto"/>
        <w:left w:val="none" w:sz="0" w:space="0" w:color="auto"/>
        <w:bottom w:val="none" w:sz="0" w:space="0" w:color="auto"/>
        <w:right w:val="none" w:sz="0" w:space="0" w:color="auto"/>
      </w:divBdr>
    </w:div>
    <w:div w:id="668870702">
      <w:bodyDiv w:val="1"/>
      <w:marLeft w:val="0"/>
      <w:marRight w:val="0"/>
      <w:marTop w:val="0"/>
      <w:marBottom w:val="0"/>
      <w:divBdr>
        <w:top w:val="none" w:sz="0" w:space="0" w:color="auto"/>
        <w:left w:val="none" w:sz="0" w:space="0" w:color="auto"/>
        <w:bottom w:val="none" w:sz="0" w:space="0" w:color="auto"/>
        <w:right w:val="none" w:sz="0" w:space="0" w:color="auto"/>
      </w:divBdr>
    </w:div>
    <w:div w:id="669213244">
      <w:bodyDiv w:val="1"/>
      <w:marLeft w:val="0"/>
      <w:marRight w:val="0"/>
      <w:marTop w:val="0"/>
      <w:marBottom w:val="0"/>
      <w:divBdr>
        <w:top w:val="none" w:sz="0" w:space="0" w:color="auto"/>
        <w:left w:val="none" w:sz="0" w:space="0" w:color="auto"/>
        <w:bottom w:val="none" w:sz="0" w:space="0" w:color="auto"/>
        <w:right w:val="none" w:sz="0" w:space="0" w:color="auto"/>
      </w:divBdr>
    </w:div>
    <w:div w:id="669941214">
      <w:bodyDiv w:val="1"/>
      <w:marLeft w:val="0"/>
      <w:marRight w:val="0"/>
      <w:marTop w:val="0"/>
      <w:marBottom w:val="0"/>
      <w:divBdr>
        <w:top w:val="none" w:sz="0" w:space="0" w:color="auto"/>
        <w:left w:val="none" w:sz="0" w:space="0" w:color="auto"/>
        <w:bottom w:val="none" w:sz="0" w:space="0" w:color="auto"/>
        <w:right w:val="none" w:sz="0" w:space="0" w:color="auto"/>
      </w:divBdr>
    </w:div>
    <w:div w:id="671373519">
      <w:bodyDiv w:val="1"/>
      <w:marLeft w:val="0"/>
      <w:marRight w:val="0"/>
      <w:marTop w:val="0"/>
      <w:marBottom w:val="0"/>
      <w:divBdr>
        <w:top w:val="none" w:sz="0" w:space="0" w:color="auto"/>
        <w:left w:val="none" w:sz="0" w:space="0" w:color="auto"/>
        <w:bottom w:val="none" w:sz="0" w:space="0" w:color="auto"/>
        <w:right w:val="none" w:sz="0" w:space="0" w:color="auto"/>
      </w:divBdr>
    </w:div>
    <w:div w:id="672148310">
      <w:bodyDiv w:val="1"/>
      <w:marLeft w:val="0"/>
      <w:marRight w:val="0"/>
      <w:marTop w:val="0"/>
      <w:marBottom w:val="0"/>
      <w:divBdr>
        <w:top w:val="none" w:sz="0" w:space="0" w:color="auto"/>
        <w:left w:val="none" w:sz="0" w:space="0" w:color="auto"/>
        <w:bottom w:val="none" w:sz="0" w:space="0" w:color="auto"/>
        <w:right w:val="none" w:sz="0" w:space="0" w:color="auto"/>
      </w:divBdr>
    </w:div>
    <w:div w:id="672804034">
      <w:bodyDiv w:val="1"/>
      <w:marLeft w:val="0"/>
      <w:marRight w:val="0"/>
      <w:marTop w:val="0"/>
      <w:marBottom w:val="0"/>
      <w:divBdr>
        <w:top w:val="none" w:sz="0" w:space="0" w:color="auto"/>
        <w:left w:val="none" w:sz="0" w:space="0" w:color="auto"/>
        <w:bottom w:val="none" w:sz="0" w:space="0" w:color="auto"/>
        <w:right w:val="none" w:sz="0" w:space="0" w:color="auto"/>
      </w:divBdr>
    </w:div>
    <w:div w:id="673579856">
      <w:bodyDiv w:val="1"/>
      <w:marLeft w:val="0"/>
      <w:marRight w:val="0"/>
      <w:marTop w:val="0"/>
      <w:marBottom w:val="0"/>
      <w:divBdr>
        <w:top w:val="none" w:sz="0" w:space="0" w:color="auto"/>
        <w:left w:val="none" w:sz="0" w:space="0" w:color="auto"/>
        <w:bottom w:val="none" w:sz="0" w:space="0" w:color="auto"/>
        <w:right w:val="none" w:sz="0" w:space="0" w:color="auto"/>
      </w:divBdr>
    </w:div>
    <w:div w:id="673804348">
      <w:bodyDiv w:val="1"/>
      <w:marLeft w:val="0"/>
      <w:marRight w:val="0"/>
      <w:marTop w:val="0"/>
      <w:marBottom w:val="0"/>
      <w:divBdr>
        <w:top w:val="none" w:sz="0" w:space="0" w:color="auto"/>
        <w:left w:val="none" w:sz="0" w:space="0" w:color="auto"/>
        <w:bottom w:val="none" w:sz="0" w:space="0" w:color="auto"/>
        <w:right w:val="none" w:sz="0" w:space="0" w:color="auto"/>
      </w:divBdr>
    </w:div>
    <w:div w:id="674528813">
      <w:bodyDiv w:val="1"/>
      <w:marLeft w:val="0"/>
      <w:marRight w:val="0"/>
      <w:marTop w:val="0"/>
      <w:marBottom w:val="0"/>
      <w:divBdr>
        <w:top w:val="none" w:sz="0" w:space="0" w:color="auto"/>
        <w:left w:val="none" w:sz="0" w:space="0" w:color="auto"/>
        <w:bottom w:val="none" w:sz="0" w:space="0" w:color="auto"/>
        <w:right w:val="none" w:sz="0" w:space="0" w:color="auto"/>
      </w:divBdr>
    </w:div>
    <w:div w:id="677387215">
      <w:bodyDiv w:val="1"/>
      <w:marLeft w:val="0"/>
      <w:marRight w:val="0"/>
      <w:marTop w:val="0"/>
      <w:marBottom w:val="0"/>
      <w:divBdr>
        <w:top w:val="none" w:sz="0" w:space="0" w:color="auto"/>
        <w:left w:val="none" w:sz="0" w:space="0" w:color="auto"/>
        <w:bottom w:val="none" w:sz="0" w:space="0" w:color="auto"/>
        <w:right w:val="none" w:sz="0" w:space="0" w:color="auto"/>
      </w:divBdr>
    </w:div>
    <w:div w:id="678001319">
      <w:bodyDiv w:val="1"/>
      <w:marLeft w:val="0"/>
      <w:marRight w:val="0"/>
      <w:marTop w:val="0"/>
      <w:marBottom w:val="0"/>
      <w:divBdr>
        <w:top w:val="none" w:sz="0" w:space="0" w:color="auto"/>
        <w:left w:val="none" w:sz="0" w:space="0" w:color="auto"/>
        <w:bottom w:val="none" w:sz="0" w:space="0" w:color="auto"/>
        <w:right w:val="none" w:sz="0" w:space="0" w:color="auto"/>
      </w:divBdr>
    </w:div>
    <w:div w:id="679627525">
      <w:bodyDiv w:val="1"/>
      <w:marLeft w:val="0"/>
      <w:marRight w:val="0"/>
      <w:marTop w:val="0"/>
      <w:marBottom w:val="0"/>
      <w:divBdr>
        <w:top w:val="none" w:sz="0" w:space="0" w:color="auto"/>
        <w:left w:val="none" w:sz="0" w:space="0" w:color="auto"/>
        <w:bottom w:val="none" w:sz="0" w:space="0" w:color="auto"/>
        <w:right w:val="none" w:sz="0" w:space="0" w:color="auto"/>
      </w:divBdr>
    </w:div>
    <w:div w:id="680159218">
      <w:bodyDiv w:val="1"/>
      <w:marLeft w:val="0"/>
      <w:marRight w:val="0"/>
      <w:marTop w:val="0"/>
      <w:marBottom w:val="0"/>
      <w:divBdr>
        <w:top w:val="none" w:sz="0" w:space="0" w:color="auto"/>
        <w:left w:val="none" w:sz="0" w:space="0" w:color="auto"/>
        <w:bottom w:val="none" w:sz="0" w:space="0" w:color="auto"/>
        <w:right w:val="none" w:sz="0" w:space="0" w:color="auto"/>
      </w:divBdr>
    </w:div>
    <w:div w:id="682779092">
      <w:bodyDiv w:val="1"/>
      <w:marLeft w:val="0"/>
      <w:marRight w:val="0"/>
      <w:marTop w:val="0"/>
      <w:marBottom w:val="0"/>
      <w:divBdr>
        <w:top w:val="none" w:sz="0" w:space="0" w:color="auto"/>
        <w:left w:val="none" w:sz="0" w:space="0" w:color="auto"/>
        <w:bottom w:val="none" w:sz="0" w:space="0" w:color="auto"/>
        <w:right w:val="none" w:sz="0" w:space="0" w:color="auto"/>
      </w:divBdr>
    </w:div>
    <w:div w:id="683441930">
      <w:bodyDiv w:val="1"/>
      <w:marLeft w:val="0"/>
      <w:marRight w:val="0"/>
      <w:marTop w:val="0"/>
      <w:marBottom w:val="0"/>
      <w:divBdr>
        <w:top w:val="none" w:sz="0" w:space="0" w:color="auto"/>
        <w:left w:val="none" w:sz="0" w:space="0" w:color="auto"/>
        <w:bottom w:val="none" w:sz="0" w:space="0" w:color="auto"/>
        <w:right w:val="none" w:sz="0" w:space="0" w:color="auto"/>
      </w:divBdr>
    </w:div>
    <w:div w:id="685988377">
      <w:bodyDiv w:val="1"/>
      <w:marLeft w:val="0"/>
      <w:marRight w:val="0"/>
      <w:marTop w:val="0"/>
      <w:marBottom w:val="0"/>
      <w:divBdr>
        <w:top w:val="none" w:sz="0" w:space="0" w:color="auto"/>
        <w:left w:val="none" w:sz="0" w:space="0" w:color="auto"/>
        <w:bottom w:val="none" w:sz="0" w:space="0" w:color="auto"/>
        <w:right w:val="none" w:sz="0" w:space="0" w:color="auto"/>
      </w:divBdr>
    </w:div>
    <w:div w:id="686716320">
      <w:bodyDiv w:val="1"/>
      <w:marLeft w:val="0"/>
      <w:marRight w:val="0"/>
      <w:marTop w:val="0"/>
      <w:marBottom w:val="0"/>
      <w:divBdr>
        <w:top w:val="none" w:sz="0" w:space="0" w:color="auto"/>
        <w:left w:val="none" w:sz="0" w:space="0" w:color="auto"/>
        <w:bottom w:val="none" w:sz="0" w:space="0" w:color="auto"/>
        <w:right w:val="none" w:sz="0" w:space="0" w:color="auto"/>
      </w:divBdr>
    </w:div>
    <w:div w:id="687677926">
      <w:bodyDiv w:val="1"/>
      <w:marLeft w:val="0"/>
      <w:marRight w:val="0"/>
      <w:marTop w:val="0"/>
      <w:marBottom w:val="0"/>
      <w:divBdr>
        <w:top w:val="none" w:sz="0" w:space="0" w:color="auto"/>
        <w:left w:val="none" w:sz="0" w:space="0" w:color="auto"/>
        <w:bottom w:val="none" w:sz="0" w:space="0" w:color="auto"/>
        <w:right w:val="none" w:sz="0" w:space="0" w:color="auto"/>
      </w:divBdr>
    </w:div>
    <w:div w:id="688221660">
      <w:bodyDiv w:val="1"/>
      <w:marLeft w:val="0"/>
      <w:marRight w:val="0"/>
      <w:marTop w:val="0"/>
      <w:marBottom w:val="0"/>
      <w:divBdr>
        <w:top w:val="none" w:sz="0" w:space="0" w:color="auto"/>
        <w:left w:val="none" w:sz="0" w:space="0" w:color="auto"/>
        <w:bottom w:val="none" w:sz="0" w:space="0" w:color="auto"/>
        <w:right w:val="none" w:sz="0" w:space="0" w:color="auto"/>
      </w:divBdr>
    </w:div>
    <w:div w:id="688409482">
      <w:bodyDiv w:val="1"/>
      <w:marLeft w:val="0"/>
      <w:marRight w:val="0"/>
      <w:marTop w:val="0"/>
      <w:marBottom w:val="0"/>
      <w:divBdr>
        <w:top w:val="none" w:sz="0" w:space="0" w:color="auto"/>
        <w:left w:val="none" w:sz="0" w:space="0" w:color="auto"/>
        <w:bottom w:val="none" w:sz="0" w:space="0" w:color="auto"/>
        <w:right w:val="none" w:sz="0" w:space="0" w:color="auto"/>
      </w:divBdr>
    </w:div>
    <w:div w:id="689600832">
      <w:bodyDiv w:val="1"/>
      <w:marLeft w:val="0"/>
      <w:marRight w:val="0"/>
      <w:marTop w:val="0"/>
      <w:marBottom w:val="0"/>
      <w:divBdr>
        <w:top w:val="none" w:sz="0" w:space="0" w:color="auto"/>
        <w:left w:val="none" w:sz="0" w:space="0" w:color="auto"/>
        <w:bottom w:val="none" w:sz="0" w:space="0" w:color="auto"/>
        <w:right w:val="none" w:sz="0" w:space="0" w:color="auto"/>
      </w:divBdr>
    </w:div>
    <w:div w:id="690645165">
      <w:bodyDiv w:val="1"/>
      <w:marLeft w:val="0"/>
      <w:marRight w:val="0"/>
      <w:marTop w:val="0"/>
      <w:marBottom w:val="0"/>
      <w:divBdr>
        <w:top w:val="none" w:sz="0" w:space="0" w:color="auto"/>
        <w:left w:val="none" w:sz="0" w:space="0" w:color="auto"/>
        <w:bottom w:val="none" w:sz="0" w:space="0" w:color="auto"/>
        <w:right w:val="none" w:sz="0" w:space="0" w:color="auto"/>
      </w:divBdr>
    </w:div>
    <w:div w:id="691421581">
      <w:bodyDiv w:val="1"/>
      <w:marLeft w:val="0"/>
      <w:marRight w:val="0"/>
      <w:marTop w:val="0"/>
      <w:marBottom w:val="0"/>
      <w:divBdr>
        <w:top w:val="none" w:sz="0" w:space="0" w:color="auto"/>
        <w:left w:val="none" w:sz="0" w:space="0" w:color="auto"/>
        <w:bottom w:val="none" w:sz="0" w:space="0" w:color="auto"/>
        <w:right w:val="none" w:sz="0" w:space="0" w:color="auto"/>
      </w:divBdr>
    </w:div>
    <w:div w:id="691763371">
      <w:bodyDiv w:val="1"/>
      <w:marLeft w:val="0"/>
      <w:marRight w:val="0"/>
      <w:marTop w:val="0"/>
      <w:marBottom w:val="0"/>
      <w:divBdr>
        <w:top w:val="none" w:sz="0" w:space="0" w:color="auto"/>
        <w:left w:val="none" w:sz="0" w:space="0" w:color="auto"/>
        <w:bottom w:val="none" w:sz="0" w:space="0" w:color="auto"/>
        <w:right w:val="none" w:sz="0" w:space="0" w:color="auto"/>
      </w:divBdr>
    </w:div>
    <w:div w:id="692852269">
      <w:bodyDiv w:val="1"/>
      <w:marLeft w:val="0"/>
      <w:marRight w:val="0"/>
      <w:marTop w:val="0"/>
      <w:marBottom w:val="0"/>
      <w:divBdr>
        <w:top w:val="none" w:sz="0" w:space="0" w:color="auto"/>
        <w:left w:val="none" w:sz="0" w:space="0" w:color="auto"/>
        <w:bottom w:val="none" w:sz="0" w:space="0" w:color="auto"/>
        <w:right w:val="none" w:sz="0" w:space="0" w:color="auto"/>
      </w:divBdr>
    </w:div>
    <w:div w:id="693120909">
      <w:bodyDiv w:val="1"/>
      <w:marLeft w:val="0"/>
      <w:marRight w:val="0"/>
      <w:marTop w:val="0"/>
      <w:marBottom w:val="0"/>
      <w:divBdr>
        <w:top w:val="none" w:sz="0" w:space="0" w:color="auto"/>
        <w:left w:val="none" w:sz="0" w:space="0" w:color="auto"/>
        <w:bottom w:val="none" w:sz="0" w:space="0" w:color="auto"/>
        <w:right w:val="none" w:sz="0" w:space="0" w:color="auto"/>
      </w:divBdr>
    </w:div>
    <w:div w:id="693967911">
      <w:bodyDiv w:val="1"/>
      <w:marLeft w:val="0"/>
      <w:marRight w:val="0"/>
      <w:marTop w:val="0"/>
      <w:marBottom w:val="0"/>
      <w:divBdr>
        <w:top w:val="none" w:sz="0" w:space="0" w:color="auto"/>
        <w:left w:val="none" w:sz="0" w:space="0" w:color="auto"/>
        <w:bottom w:val="none" w:sz="0" w:space="0" w:color="auto"/>
        <w:right w:val="none" w:sz="0" w:space="0" w:color="auto"/>
      </w:divBdr>
    </w:div>
    <w:div w:id="694355093">
      <w:bodyDiv w:val="1"/>
      <w:marLeft w:val="0"/>
      <w:marRight w:val="0"/>
      <w:marTop w:val="0"/>
      <w:marBottom w:val="0"/>
      <w:divBdr>
        <w:top w:val="none" w:sz="0" w:space="0" w:color="auto"/>
        <w:left w:val="none" w:sz="0" w:space="0" w:color="auto"/>
        <w:bottom w:val="none" w:sz="0" w:space="0" w:color="auto"/>
        <w:right w:val="none" w:sz="0" w:space="0" w:color="auto"/>
      </w:divBdr>
    </w:div>
    <w:div w:id="695614742">
      <w:bodyDiv w:val="1"/>
      <w:marLeft w:val="0"/>
      <w:marRight w:val="0"/>
      <w:marTop w:val="0"/>
      <w:marBottom w:val="0"/>
      <w:divBdr>
        <w:top w:val="none" w:sz="0" w:space="0" w:color="auto"/>
        <w:left w:val="none" w:sz="0" w:space="0" w:color="auto"/>
        <w:bottom w:val="none" w:sz="0" w:space="0" w:color="auto"/>
        <w:right w:val="none" w:sz="0" w:space="0" w:color="auto"/>
      </w:divBdr>
    </w:div>
    <w:div w:id="696665719">
      <w:bodyDiv w:val="1"/>
      <w:marLeft w:val="0"/>
      <w:marRight w:val="0"/>
      <w:marTop w:val="0"/>
      <w:marBottom w:val="0"/>
      <w:divBdr>
        <w:top w:val="none" w:sz="0" w:space="0" w:color="auto"/>
        <w:left w:val="none" w:sz="0" w:space="0" w:color="auto"/>
        <w:bottom w:val="none" w:sz="0" w:space="0" w:color="auto"/>
        <w:right w:val="none" w:sz="0" w:space="0" w:color="auto"/>
      </w:divBdr>
    </w:div>
    <w:div w:id="698356375">
      <w:bodyDiv w:val="1"/>
      <w:marLeft w:val="0"/>
      <w:marRight w:val="0"/>
      <w:marTop w:val="0"/>
      <w:marBottom w:val="0"/>
      <w:divBdr>
        <w:top w:val="none" w:sz="0" w:space="0" w:color="auto"/>
        <w:left w:val="none" w:sz="0" w:space="0" w:color="auto"/>
        <w:bottom w:val="none" w:sz="0" w:space="0" w:color="auto"/>
        <w:right w:val="none" w:sz="0" w:space="0" w:color="auto"/>
      </w:divBdr>
    </w:div>
    <w:div w:id="698776820">
      <w:bodyDiv w:val="1"/>
      <w:marLeft w:val="0"/>
      <w:marRight w:val="0"/>
      <w:marTop w:val="0"/>
      <w:marBottom w:val="0"/>
      <w:divBdr>
        <w:top w:val="none" w:sz="0" w:space="0" w:color="auto"/>
        <w:left w:val="none" w:sz="0" w:space="0" w:color="auto"/>
        <w:bottom w:val="none" w:sz="0" w:space="0" w:color="auto"/>
        <w:right w:val="none" w:sz="0" w:space="0" w:color="auto"/>
      </w:divBdr>
    </w:div>
    <w:div w:id="699863692">
      <w:bodyDiv w:val="1"/>
      <w:marLeft w:val="0"/>
      <w:marRight w:val="0"/>
      <w:marTop w:val="0"/>
      <w:marBottom w:val="0"/>
      <w:divBdr>
        <w:top w:val="none" w:sz="0" w:space="0" w:color="auto"/>
        <w:left w:val="none" w:sz="0" w:space="0" w:color="auto"/>
        <w:bottom w:val="none" w:sz="0" w:space="0" w:color="auto"/>
        <w:right w:val="none" w:sz="0" w:space="0" w:color="auto"/>
      </w:divBdr>
    </w:div>
    <w:div w:id="700320120">
      <w:bodyDiv w:val="1"/>
      <w:marLeft w:val="0"/>
      <w:marRight w:val="0"/>
      <w:marTop w:val="0"/>
      <w:marBottom w:val="0"/>
      <w:divBdr>
        <w:top w:val="none" w:sz="0" w:space="0" w:color="auto"/>
        <w:left w:val="none" w:sz="0" w:space="0" w:color="auto"/>
        <w:bottom w:val="none" w:sz="0" w:space="0" w:color="auto"/>
        <w:right w:val="none" w:sz="0" w:space="0" w:color="auto"/>
      </w:divBdr>
    </w:div>
    <w:div w:id="701519063">
      <w:bodyDiv w:val="1"/>
      <w:marLeft w:val="0"/>
      <w:marRight w:val="0"/>
      <w:marTop w:val="0"/>
      <w:marBottom w:val="0"/>
      <w:divBdr>
        <w:top w:val="none" w:sz="0" w:space="0" w:color="auto"/>
        <w:left w:val="none" w:sz="0" w:space="0" w:color="auto"/>
        <w:bottom w:val="none" w:sz="0" w:space="0" w:color="auto"/>
        <w:right w:val="none" w:sz="0" w:space="0" w:color="auto"/>
      </w:divBdr>
    </w:div>
    <w:div w:id="701982154">
      <w:bodyDiv w:val="1"/>
      <w:marLeft w:val="0"/>
      <w:marRight w:val="0"/>
      <w:marTop w:val="0"/>
      <w:marBottom w:val="0"/>
      <w:divBdr>
        <w:top w:val="none" w:sz="0" w:space="0" w:color="auto"/>
        <w:left w:val="none" w:sz="0" w:space="0" w:color="auto"/>
        <w:bottom w:val="none" w:sz="0" w:space="0" w:color="auto"/>
        <w:right w:val="none" w:sz="0" w:space="0" w:color="auto"/>
      </w:divBdr>
    </w:div>
    <w:div w:id="703751867">
      <w:bodyDiv w:val="1"/>
      <w:marLeft w:val="0"/>
      <w:marRight w:val="0"/>
      <w:marTop w:val="0"/>
      <w:marBottom w:val="0"/>
      <w:divBdr>
        <w:top w:val="none" w:sz="0" w:space="0" w:color="auto"/>
        <w:left w:val="none" w:sz="0" w:space="0" w:color="auto"/>
        <w:bottom w:val="none" w:sz="0" w:space="0" w:color="auto"/>
        <w:right w:val="none" w:sz="0" w:space="0" w:color="auto"/>
      </w:divBdr>
    </w:div>
    <w:div w:id="704870911">
      <w:bodyDiv w:val="1"/>
      <w:marLeft w:val="0"/>
      <w:marRight w:val="0"/>
      <w:marTop w:val="0"/>
      <w:marBottom w:val="0"/>
      <w:divBdr>
        <w:top w:val="none" w:sz="0" w:space="0" w:color="auto"/>
        <w:left w:val="none" w:sz="0" w:space="0" w:color="auto"/>
        <w:bottom w:val="none" w:sz="0" w:space="0" w:color="auto"/>
        <w:right w:val="none" w:sz="0" w:space="0" w:color="auto"/>
      </w:divBdr>
    </w:div>
    <w:div w:id="705371924">
      <w:bodyDiv w:val="1"/>
      <w:marLeft w:val="0"/>
      <w:marRight w:val="0"/>
      <w:marTop w:val="0"/>
      <w:marBottom w:val="0"/>
      <w:divBdr>
        <w:top w:val="none" w:sz="0" w:space="0" w:color="auto"/>
        <w:left w:val="none" w:sz="0" w:space="0" w:color="auto"/>
        <w:bottom w:val="none" w:sz="0" w:space="0" w:color="auto"/>
        <w:right w:val="none" w:sz="0" w:space="0" w:color="auto"/>
      </w:divBdr>
    </w:div>
    <w:div w:id="705984496">
      <w:bodyDiv w:val="1"/>
      <w:marLeft w:val="0"/>
      <w:marRight w:val="0"/>
      <w:marTop w:val="0"/>
      <w:marBottom w:val="0"/>
      <w:divBdr>
        <w:top w:val="none" w:sz="0" w:space="0" w:color="auto"/>
        <w:left w:val="none" w:sz="0" w:space="0" w:color="auto"/>
        <w:bottom w:val="none" w:sz="0" w:space="0" w:color="auto"/>
        <w:right w:val="none" w:sz="0" w:space="0" w:color="auto"/>
      </w:divBdr>
    </w:div>
    <w:div w:id="706105110">
      <w:bodyDiv w:val="1"/>
      <w:marLeft w:val="0"/>
      <w:marRight w:val="0"/>
      <w:marTop w:val="0"/>
      <w:marBottom w:val="0"/>
      <w:divBdr>
        <w:top w:val="none" w:sz="0" w:space="0" w:color="auto"/>
        <w:left w:val="none" w:sz="0" w:space="0" w:color="auto"/>
        <w:bottom w:val="none" w:sz="0" w:space="0" w:color="auto"/>
        <w:right w:val="none" w:sz="0" w:space="0" w:color="auto"/>
      </w:divBdr>
    </w:div>
    <w:div w:id="706219867">
      <w:bodyDiv w:val="1"/>
      <w:marLeft w:val="0"/>
      <w:marRight w:val="0"/>
      <w:marTop w:val="0"/>
      <w:marBottom w:val="0"/>
      <w:divBdr>
        <w:top w:val="none" w:sz="0" w:space="0" w:color="auto"/>
        <w:left w:val="none" w:sz="0" w:space="0" w:color="auto"/>
        <w:bottom w:val="none" w:sz="0" w:space="0" w:color="auto"/>
        <w:right w:val="none" w:sz="0" w:space="0" w:color="auto"/>
      </w:divBdr>
    </w:div>
    <w:div w:id="706956188">
      <w:bodyDiv w:val="1"/>
      <w:marLeft w:val="0"/>
      <w:marRight w:val="0"/>
      <w:marTop w:val="0"/>
      <w:marBottom w:val="0"/>
      <w:divBdr>
        <w:top w:val="none" w:sz="0" w:space="0" w:color="auto"/>
        <w:left w:val="none" w:sz="0" w:space="0" w:color="auto"/>
        <w:bottom w:val="none" w:sz="0" w:space="0" w:color="auto"/>
        <w:right w:val="none" w:sz="0" w:space="0" w:color="auto"/>
      </w:divBdr>
    </w:div>
    <w:div w:id="707295550">
      <w:bodyDiv w:val="1"/>
      <w:marLeft w:val="0"/>
      <w:marRight w:val="0"/>
      <w:marTop w:val="0"/>
      <w:marBottom w:val="0"/>
      <w:divBdr>
        <w:top w:val="none" w:sz="0" w:space="0" w:color="auto"/>
        <w:left w:val="none" w:sz="0" w:space="0" w:color="auto"/>
        <w:bottom w:val="none" w:sz="0" w:space="0" w:color="auto"/>
        <w:right w:val="none" w:sz="0" w:space="0" w:color="auto"/>
      </w:divBdr>
    </w:div>
    <w:div w:id="708073252">
      <w:bodyDiv w:val="1"/>
      <w:marLeft w:val="0"/>
      <w:marRight w:val="0"/>
      <w:marTop w:val="0"/>
      <w:marBottom w:val="0"/>
      <w:divBdr>
        <w:top w:val="none" w:sz="0" w:space="0" w:color="auto"/>
        <w:left w:val="none" w:sz="0" w:space="0" w:color="auto"/>
        <w:bottom w:val="none" w:sz="0" w:space="0" w:color="auto"/>
        <w:right w:val="none" w:sz="0" w:space="0" w:color="auto"/>
      </w:divBdr>
    </w:div>
    <w:div w:id="708140003">
      <w:bodyDiv w:val="1"/>
      <w:marLeft w:val="0"/>
      <w:marRight w:val="0"/>
      <w:marTop w:val="0"/>
      <w:marBottom w:val="0"/>
      <w:divBdr>
        <w:top w:val="none" w:sz="0" w:space="0" w:color="auto"/>
        <w:left w:val="none" w:sz="0" w:space="0" w:color="auto"/>
        <w:bottom w:val="none" w:sz="0" w:space="0" w:color="auto"/>
        <w:right w:val="none" w:sz="0" w:space="0" w:color="auto"/>
      </w:divBdr>
    </w:div>
    <w:div w:id="708917393">
      <w:bodyDiv w:val="1"/>
      <w:marLeft w:val="0"/>
      <w:marRight w:val="0"/>
      <w:marTop w:val="0"/>
      <w:marBottom w:val="0"/>
      <w:divBdr>
        <w:top w:val="none" w:sz="0" w:space="0" w:color="auto"/>
        <w:left w:val="none" w:sz="0" w:space="0" w:color="auto"/>
        <w:bottom w:val="none" w:sz="0" w:space="0" w:color="auto"/>
        <w:right w:val="none" w:sz="0" w:space="0" w:color="auto"/>
      </w:divBdr>
    </w:div>
    <w:div w:id="709496028">
      <w:bodyDiv w:val="1"/>
      <w:marLeft w:val="0"/>
      <w:marRight w:val="0"/>
      <w:marTop w:val="0"/>
      <w:marBottom w:val="0"/>
      <w:divBdr>
        <w:top w:val="none" w:sz="0" w:space="0" w:color="auto"/>
        <w:left w:val="none" w:sz="0" w:space="0" w:color="auto"/>
        <w:bottom w:val="none" w:sz="0" w:space="0" w:color="auto"/>
        <w:right w:val="none" w:sz="0" w:space="0" w:color="auto"/>
      </w:divBdr>
    </w:div>
    <w:div w:id="710420078">
      <w:bodyDiv w:val="1"/>
      <w:marLeft w:val="0"/>
      <w:marRight w:val="0"/>
      <w:marTop w:val="0"/>
      <w:marBottom w:val="0"/>
      <w:divBdr>
        <w:top w:val="none" w:sz="0" w:space="0" w:color="auto"/>
        <w:left w:val="none" w:sz="0" w:space="0" w:color="auto"/>
        <w:bottom w:val="none" w:sz="0" w:space="0" w:color="auto"/>
        <w:right w:val="none" w:sz="0" w:space="0" w:color="auto"/>
      </w:divBdr>
    </w:div>
    <w:div w:id="712726893">
      <w:bodyDiv w:val="1"/>
      <w:marLeft w:val="0"/>
      <w:marRight w:val="0"/>
      <w:marTop w:val="0"/>
      <w:marBottom w:val="0"/>
      <w:divBdr>
        <w:top w:val="none" w:sz="0" w:space="0" w:color="auto"/>
        <w:left w:val="none" w:sz="0" w:space="0" w:color="auto"/>
        <w:bottom w:val="none" w:sz="0" w:space="0" w:color="auto"/>
        <w:right w:val="none" w:sz="0" w:space="0" w:color="auto"/>
      </w:divBdr>
    </w:div>
    <w:div w:id="712923257">
      <w:bodyDiv w:val="1"/>
      <w:marLeft w:val="0"/>
      <w:marRight w:val="0"/>
      <w:marTop w:val="0"/>
      <w:marBottom w:val="0"/>
      <w:divBdr>
        <w:top w:val="none" w:sz="0" w:space="0" w:color="auto"/>
        <w:left w:val="none" w:sz="0" w:space="0" w:color="auto"/>
        <w:bottom w:val="none" w:sz="0" w:space="0" w:color="auto"/>
        <w:right w:val="none" w:sz="0" w:space="0" w:color="auto"/>
      </w:divBdr>
    </w:div>
    <w:div w:id="713117635">
      <w:bodyDiv w:val="1"/>
      <w:marLeft w:val="0"/>
      <w:marRight w:val="0"/>
      <w:marTop w:val="0"/>
      <w:marBottom w:val="0"/>
      <w:divBdr>
        <w:top w:val="none" w:sz="0" w:space="0" w:color="auto"/>
        <w:left w:val="none" w:sz="0" w:space="0" w:color="auto"/>
        <w:bottom w:val="none" w:sz="0" w:space="0" w:color="auto"/>
        <w:right w:val="none" w:sz="0" w:space="0" w:color="auto"/>
      </w:divBdr>
    </w:div>
    <w:div w:id="714309224">
      <w:bodyDiv w:val="1"/>
      <w:marLeft w:val="0"/>
      <w:marRight w:val="0"/>
      <w:marTop w:val="0"/>
      <w:marBottom w:val="0"/>
      <w:divBdr>
        <w:top w:val="none" w:sz="0" w:space="0" w:color="auto"/>
        <w:left w:val="none" w:sz="0" w:space="0" w:color="auto"/>
        <w:bottom w:val="none" w:sz="0" w:space="0" w:color="auto"/>
        <w:right w:val="none" w:sz="0" w:space="0" w:color="auto"/>
      </w:divBdr>
    </w:div>
    <w:div w:id="714891712">
      <w:bodyDiv w:val="1"/>
      <w:marLeft w:val="0"/>
      <w:marRight w:val="0"/>
      <w:marTop w:val="0"/>
      <w:marBottom w:val="0"/>
      <w:divBdr>
        <w:top w:val="none" w:sz="0" w:space="0" w:color="auto"/>
        <w:left w:val="none" w:sz="0" w:space="0" w:color="auto"/>
        <w:bottom w:val="none" w:sz="0" w:space="0" w:color="auto"/>
        <w:right w:val="none" w:sz="0" w:space="0" w:color="auto"/>
      </w:divBdr>
    </w:div>
    <w:div w:id="715160925">
      <w:bodyDiv w:val="1"/>
      <w:marLeft w:val="0"/>
      <w:marRight w:val="0"/>
      <w:marTop w:val="0"/>
      <w:marBottom w:val="0"/>
      <w:divBdr>
        <w:top w:val="none" w:sz="0" w:space="0" w:color="auto"/>
        <w:left w:val="none" w:sz="0" w:space="0" w:color="auto"/>
        <w:bottom w:val="none" w:sz="0" w:space="0" w:color="auto"/>
        <w:right w:val="none" w:sz="0" w:space="0" w:color="auto"/>
      </w:divBdr>
    </w:div>
    <w:div w:id="715465949">
      <w:bodyDiv w:val="1"/>
      <w:marLeft w:val="0"/>
      <w:marRight w:val="0"/>
      <w:marTop w:val="0"/>
      <w:marBottom w:val="0"/>
      <w:divBdr>
        <w:top w:val="none" w:sz="0" w:space="0" w:color="auto"/>
        <w:left w:val="none" w:sz="0" w:space="0" w:color="auto"/>
        <w:bottom w:val="none" w:sz="0" w:space="0" w:color="auto"/>
        <w:right w:val="none" w:sz="0" w:space="0" w:color="auto"/>
      </w:divBdr>
    </w:div>
    <w:div w:id="716900033">
      <w:bodyDiv w:val="1"/>
      <w:marLeft w:val="0"/>
      <w:marRight w:val="0"/>
      <w:marTop w:val="0"/>
      <w:marBottom w:val="0"/>
      <w:divBdr>
        <w:top w:val="none" w:sz="0" w:space="0" w:color="auto"/>
        <w:left w:val="none" w:sz="0" w:space="0" w:color="auto"/>
        <w:bottom w:val="none" w:sz="0" w:space="0" w:color="auto"/>
        <w:right w:val="none" w:sz="0" w:space="0" w:color="auto"/>
      </w:divBdr>
    </w:div>
    <w:div w:id="717122277">
      <w:bodyDiv w:val="1"/>
      <w:marLeft w:val="0"/>
      <w:marRight w:val="0"/>
      <w:marTop w:val="0"/>
      <w:marBottom w:val="0"/>
      <w:divBdr>
        <w:top w:val="none" w:sz="0" w:space="0" w:color="auto"/>
        <w:left w:val="none" w:sz="0" w:space="0" w:color="auto"/>
        <w:bottom w:val="none" w:sz="0" w:space="0" w:color="auto"/>
        <w:right w:val="none" w:sz="0" w:space="0" w:color="auto"/>
      </w:divBdr>
    </w:div>
    <w:div w:id="718826633">
      <w:bodyDiv w:val="1"/>
      <w:marLeft w:val="0"/>
      <w:marRight w:val="0"/>
      <w:marTop w:val="0"/>
      <w:marBottom w:val="0"/>
      <w:divBdr>
        <w:top w:val="none" w:sz="0" w:space="0" w:color="auto"/>
        <w:left w:val="none" w:sz="0" w:space="0" w:color="auto"/>
        <w:bottom w:val="none" w:sz="0" w:space="0" w:color="auto"/>
        <w:right w:val="none" w:sz="0" w:space="0" w:color="auto"/>
      </w:divBdr>
    </w:div>
    <w:div w:id="719986168">
      <w:bodyDiv w:val="1"/>
      <w:marLeft w:val="0"/>
      <w:marRight w:val="0"/>
      <w:marTop w:val="0"/>
      <w:marBottom w:val="0"/>
      <w:divBdr>
        <w:top w:val="none" w:sz="0" w:space="0" w:color="auto"/>
        <w:left w:val="none" w:sz="0" w:space="0" w:color="auto"/>
        <w:bottom w:val="none" w:sz="0" w:space="0" w:color="auto"/>
        <w:right w:val="none" w:sz="0" w:space="0" w:color="auto"/>
      </w:divBdr>
    </w:div>
    <w:div w:id="720254098">
      <w:bodyDiv w:val="1"/>
      <w:marLeft w:val="0"/>
      <w:marRight w:val="0"/>
      <w:marTop w:val="0"/>
      <w:marBottom w:val="0"/>
      <w:divBdr>
        <w:top w:val="none" w:sz="0" w:space="0" w:color="auto"/>
        <w:left w:val="none" w:sz="0" w:space="0" w:color="auto"/>
        <w:bottom w:val="none" w:sz="0" w:space="0" w:color="auto"/>
        <w:right w:val="none" w:sz="0" w:space="0" w:color="auto"/>
      </w:divBdr>
    </w:div>
    <w:div w:id="720447626">
      <w:bodyDiv w:val="1"/>
      <w:marLeft w:val="0"/>
      <w:marRight w:val="0"/>
      <w:marTop w:val="0"/>
      <w:marBottom w:val="0"/>
      <w:divBdr>
        <w:top w:val="none" w:sz="0" w:space="0" w:color="auto"/>
        <w:left w:val="none" w:sz="0" w:space="0" w:color="auto"/>
        <w:bottom w:val="none" w:sz="0" w:space="0" w:color="auto"/>
        <w:right w:val="none" w:sz="0" w:space="0" w:color="auto"/>
      </w:divBdr>
    </w:div>
    <w:div w:id="720712028">
      <w:bodyDiv w:val="1"/>
      <w:marLeft w:val="0"/>
      <w:marRight w:val="0"/>
      <w:marTop w:val="0"/>
      <w:marBottom w:val="0"/>
      <w:divBdr>
        <w:top w:val="none" w:sz="0" w:space="0" w:color="auto"/>
        <w:left w:val="none" w:sz="0" w:space="0" w:color="auto"/>
        <w:bottom w:val="none" w:sz="0" w:space="0" w:color="auto"/>
        <w:right w:val="none" w:sz="0" w:space="0" w:color="auto"/>
      </w:divBdr>
    </w:div>
    <w:div w:id="720712482">
      <w:bodyDiv w:val="1"/>
      <w:marLeft w:val="0"/>
      <w:marRight w:val="0"/>
      <w:marTop w:val="0"/>
      <w:marBottom w:val="0"/>
      <w:divBdr>
        <w:top w:val="none" w:sz="0" w:space="0" w:color="auto"/>
        <w:left w:val="none" w:sz="0" w:space="0" w:color="auto"/>
        <w:bottom w:val="none" w:sz="0" w:space="0" w:color="auto"/>
        <w:right w:val="none" w:sz="0" w:space="0" w:color="auto"/>
      </w:divBdr>
    </w:div>
    <w:div w:id="721028273">
      <w:bodyDiv w:val="1"/>
      <w:marLeft w:val="0"/>
      <w:marRight w:val="0"/>
      <w:marTop w:val="0"/>
      <w:marBottom w:val="0"/>
      <w:divBdr>
        <w:top w:val="none" w:sz="0" w:space="0" w:color="auto"/>
        <w:left w:val="none" w:sz="0" w:space="0" w:color="auto"/>
        <w:bottom w:val="none" w:sz="0" w:space="0" w:color="auto"/>
        <w:right w:val="none" w:sz="0" w:space="0" w:color="auto"/>
      </w:divBdr>
    </w:div>
    <w:div w:id="723336510">
      <w:bodyDiv w:val="1"/>
      <w:marLeft w:val="0"/>
      <w:marRight w:val="0"/>
      <w:marTop w:val="0"/>
      <w:marBottom w:val="0"/>
      <w:divBdr>
        <w:top w:val="none" w:sz="0" w:space="0" w:color="auto"/>
        <w:left w:val="none" w:sz="0" w:space="0" w:color="auto"/>
        <w:bottom w:val="none" w:sz="0" w:space="0" w:color="auto"/>
        <w:right w:val="none" w:sz="0" w:space="0" w:color="auto"/>
      </w:divBdr>
    </w:div>
    <w:div w:id="724254815">
      <w:bodyDiv w:val="1"/>
      <w:marLeft w:val="0"/>
      <w:marRight w:val="0"/>
      <w:marTop w:val="0"/>
      <w:marBottom w:val="0"/>
      <w:divBdr>
        <w:top w:val="none" w:sz="0" w:space="0" w:color="auto"/>
        <w:left w:val="none" w:sz="0" w:space="0" w:color="auto"/>
        <w:bottom w:val="none" w:sz="0" w:space="0" w:color="auto"/>
        <w:right w:val="none" w:sz="0" w:space="0" w:color="auto"/>
      </w:divBdr>
    </w:div>
    <w:div w:id="724451668">
      <w:bodyDiv w:val="1"/>
      <w:marLeft w:val="0"/>
      <w:marRight w:val="0"/>
      <w:marTop w:val="0"/>
      <w:marBottom w:val="0"/>
      <w:divBdr>
        <w:top w:val="none" w:sz="0" w:space="0" w:color="auto"/>
        <w:left w:val="none" w:sz="0" w:space="0" w:color="auto"/>
        <w:bottom w:val="none" w:sz="0" w:space="0" w:color="auto"/>
        <w:right w:val="none" w:sz="0" w:space="0" w:color="auto"/>
      </w:divBdr>
    </w:div>
    <w:div w:id="725177503">
      <w:bodyDiv w:val="1"/>
      <w:marLeft w:val="0"/>
      <w:marRight w:val="0"/>
      <w:marTop w:val="0"/>
      <w:marBottom w:val="0"/>
      <w:divBdr>
        <w:top w:val="none" w:sz="0" w:space="0" w:color="auto"/>
        <w:left w:val="none" w:sz="0" w:space="0" w:color="auto"/>
        <w:bottom w:val="none" w:sz="0" w:space="0" w:color="auto"/>
        <w:right w:val="none" w:sz="0" w:space="0" w:color="auto"/>
      </w:divBdr>
    </w:div>
    <w:div w:id="725569640">
      <w:bodyDiv w:val="1"/>
      <w:marLeft w:val="0"/>
      <w:marRight w:val="0"/>
      <w:marTop w:val="0"/>
      <w:marBottom w:val="0"/>
      <w:divBdr>
        <w:top w:val="none" w:sz="0" w:space="0" w:color="auto"/>
        <w:left w:val="none" w:sz="0" w:space="0" w:color="auto"/>
        <w:bottom w:val="none" w:sz="0" w:space="0" w:color="auto"/>
        <w:right w:val="none" w:sz="0" w:space="0" w:color="auto"/>
      </w:divBdr>
    </w:div>
    <w:div w:id="725641944">
      <w:bodyDiv w:val="1"/>
      <w:marLeft w:val="0"/>
      <w:marRight w:val="0"/>
      <w:marTop w:val="0"/>
      <w:marBottom w:val="0"/>
      <w:divBdr>
        <w:top w:val="none" w:sz="0" w:space="0" w:color="auto"/>
        <w:left w:val="none" w:sz="0" w:space="0" w:color="auto"/>
        <w:bottom w:val="none" w:sz="0" w:space="0" w:color="auto"/>
        <w:right w:val="none" w:sz="0" w:space="0" w:color="auto"/>
      </w:divBdr>
    </w:div>
    <w:div w:id="725953167">
      <w:bodyDiv w:val="1"/>
      <w:marLeft w:val="0"/>
      <w:marRight w:val="0"/>
      <w:marTop w:val="0"/>
      <w:marBottom w:val="0"/>
      <w:divBdr>
        <w:top w:val="none" w:sz="0" w:space="0" w:color="auto"/>
        <w:left w:val="none" w:sz="0" w:space="0" w:color="auto"/>
        <w:bottom w:val="none" w:sz="0" w:space="0" w:color="auto"/>
        <w:right w:val="none" w:sz="0" w:space="0" w:color="auto"/>
      </w:divBdr>
    </w:div>
    <w:div w:id="725954246">
      <w:bodyDiv w:val="1"/>
      <w:marLeft w:val="0"/>
      <w:marRight w:val="0"/>
      <w:marTop w:val="0"/>
      <w:marBottom w:val="0"/>
      <w:divBdr>
        <w:top w:val="none" w:sz="0" w:space="0" w:color="auto"/>
        <w:left w:val="none" w:sz="0" w:space="0" w:color="auto"/>
        <w:bottom w:val="none" w:sz="0" w:space="0" w:color="auto"/>
        <w:right w:val="none" w:sz="0" w:space="0" w:color="auto"/>
      </w:divBdr>
    </w:div>
    <w:div w:id="727001219">
      <w:bodyDiv w:val="1"/>
      <w:marLeft w:val="0"/>
      <w:marRight w:val="0"/>
      <w:marTop w:val="0"/>
      <w:marBottom w:val="0"/>
      <w:divBdr>
        <w:top w:val="none" w:sz="0" w:space="0" w:color="auto"/>
        <w:left w:val="none" w:sz="0" w:space="0" w:color="auto"/>
        <w:bottom w:val="none" w:sz="0" w:space="0" w:color="auto"/>
        <w:right w:val="none" w:sz="0" w:space="0" w:color="auto"/>
      </w:divBdr>
    </w:div>
    <w:div w:id="727807397">
      <w:bodyDiv w:val="1"/>
      <w:marLeft w:val="0"/>
      <w:marRight w:val="0"/>
      <w:marTop w:val="0"/>
      <w:marBottom w:val="0"/>
      <w:divBdr>
        <w:top w:val="none" w:sz="0" w:space="0" w:color="auto"/>
        <w:left w:val="none" w:sz="0" w:space="0" w:color="auto"/>
        <w:bottom w:val="none" w:sz="0" w:space="0" w:color="auto"/>
        <w:right w:val="none" w:sz="0" w:space="0" w:color="auto"/>
      </w:divBdr>
    </w:div>
    <w:div w:id="727998753">
      <w:bodyDiv w:val="1"/>
      <w:marLeft w:val="0"/>
      <w:marRight w:val="0"/>
      <w:marTop w:val="0"/>
      <w:marBottom w:val="0"/>
      <w:divBdr>
        <w:top w:val="none" w:sz="0" w:space="0" w:color="auto"/>
        <w:left w:val="none" w:sz="0" w:space="0" w:color="auto"/>
        <w:bottom w:val="none" w:sz="0" w:space="0" w:color="auto"/>
        <w:right w:val="none" w:sz="0" w:space="0" w:color="auto"/>
      </w:divBdr>
    </w:div>
    <w:div w:id="728306640">
      <w:bodyDiv w:val="1"/>
      <w:marLeft w:val="0"/>
      <w:marRight w:val="0"/>
      <w:marTop w:val="0"/>
      <w:marBottom w:val="0"/>
      <w:divBdr>
        <w:top w:val="none" w:sz="0" w:space="0" w:color="auto"/>
        <w:left w:val="none" w:sz="0" w:space="0" w:color="auto"/>
        <w:bottom w:val="none" w:sz="0" w:space="0" w:color="auto"/>
        <w:right w:val="none" w:sz="0" w:space="0" w:color="auto"/>
      </w:divBdr>
    </w:div>
    <w:div w:id="728458763">
      <w:bodyDiv w:val="1"/>
      <w:marLeft w:val="0"/>
      <w:marRight w:val="0"/>
      <w:marTop w:val="0"/>
      <w:marBottom w:val="0"/>
      <w:divBdr>
        <w:top w:val="none" w:sz="0" w:space="0" w:color="auto"/>
        <w:left w:val="none" w:sz="0" w:space="0" w:color="auto"/>
        <w:bottom w:val="none" w:sz="0" w:space="0" w:color="auto"/>
        <w:right w:val="none" w:sz="0" w:space="0" w:color="auto"/>
      </w:divBdr>
    </w:div>
    <w:div w:id="729965512">
      <w:bodyDiv w:val="1"/>
      <w:marLeft w:val="0"/>
      <w:marRight w:val="0"/>
      <w:marTop w:val="0"/>
      <w:marBottom w:val="0"/>
      <w:divBdr>
        <w:top w:val="none" w:sz="0" w:space="0" w:color="auto"/>
        <w:left w:val="none" w:sz="0" w:space="0" w:color="auto"/>
        <w:bottom w:val="none" w:sz="0" w:space="0" w:color="auto"/>
        <w:right w:val="none" w:sz="0" w:space="0" w:color="auto"/>
      </w:divBdr>
    </w:div>
    <w:div w:id="730153396">
      <w:bodyDiv w:val="1"/>
      <w:marLeft w:val="0"/>
      <w:marRight w:val="0"/>
      <w:marTop w:val="0"/>
      <w:marBottom w:val="0"/>
      <w:divBdr>
        <w:top w:val="none" w:sz="0" w:space="0" w:color="auto"/>
        <w:left w:val="none" w:sz="0" w:space="0" w:color="auto"/>
        <w:bottom w:val="none" w:sz="0" w:space="0" w:color="auto"/>
        <w:right w:val="none" w:sz="0" w:space="0" w:color="auto"/>
      </w:divBdr>
    </w:div>
    <w:div w:id="730155261">
      <w:bodyDiv w:val="1"/>
      <w:marLeft w:val="0"/>
      <w:marRight w:val="0"/>
      <w:marTop w:val="0"/>
      <w:marBottom w:val="0"/>
      <w:divBdr>
        <w:top w:val="none" w:sz="0" w:space="0" w:color="auto"/>
        <w:left w:val="none" w:sz="0" w:space="0" w:color="auto"/>
        <w:bottom w:val="none" w:sz="0" w:space="0" w:color="auto"/>
        <w:right w:val="none" w:sz="0" w:space="0" w:color="auto"/>
      </w:divBdr>
    </w:div>
    <w:div w:id="730346190">
      <w:bodyDiv w:val="1"/>
      <w:marLeft w:val="0"/>
      <w:marRight w:val="0"/>
      <w:marTop w:val="0"/>
      <w:marBottom w:val="0"/>
      <w:divBdr>
        <w:top w:val="none" w:sz="0" w:space="0" w:color="auto"/>
        <w:left w:val="none" w:sz="0" w:space="0" w:color="auto"/>
        <w:bottom w:val="none" w:sz="0" w:space="0" w:color="auto"/>
        <w:right w:val="none" w:sz="0" w:space="0" w:color="auto"/>
      </w:divBdr>
    </w:div>
    <w:div w:id="730428087">
      <w:bodyDiv w:val="1"/>
      <w:marLeft w:val="0"/>
      <w:marRight w:val="0"/>
      <w:marTop w:val="0"/>
      <w:marBottom w:val="0"/>
      <w:divBdr>
        <w:top w:val="none" w:sz="0" w:space="0" w:color="auto"/>
        <w:left w:val="none" w:sz="0" w:space="0" w:color="auto"/>
        <w:bottom w:val="none" w:sz="0" w:space="0" w:color="auto"/>
        <w:right w:val="none" w:sz="0" w:space="0" w:color="auto"/>
      </w:divBdr>
    </w:div>
    <w:div w:id="730811008">
      <w:bodyDiv w:val="1"/>
      <w:marLeft w:val="0"/>
      <w:marRight w:val="0"/>
      <w:marTop w:val="0"/>
      <w:marBottom w:val="0"/>
      <w:divBdr>
        <w:top w:val="none" w:sz="0" w:space="0" w:color="auto"/>
        <w:left w:val="none" w:sz="0" w:space="0" w:color="auto"/>
        <w:bottom w:val="none" w:sz="0" w:space="0" w:color="auto"/>
        <w:right w:val="none" w:sz="0" w:space="0" w:color="auto"/>
      </w:divBdr>
    </w:div>
    <w:div w:id="732236367">
      <w:bodyDiv w:val="1"/>
      <w:marLeft w:val="0"/>
      <w:marRight w:val="0"/>
      <w:marTop w:val="0"/>
      <w:marBottom w:val="0"/>
      <w:divBdr>
        <w:top w:val="none" w:sz="0" w:space="0" w:color="auto"/>
        <w:left w:val="none" w:sz="0" w:space="0" w:color="auto"/>
        <w:bottom w:val="none" w:sz="0" w:space="0" w:color="auto"/>
        <w:right w:val="none" w:sz="0" w:space="0" w:color="auto"/>
      </w:divBdr>
    </w:div>
    <w:div w:id="732969821">
      <w:bodyDiv w:val="1"/>
      <w:marLeft w:val="0"/>
      <w:marRight w:val="0"/>
      <w:marTop w:val="0"/>
      <w:marBottom w:val="0"/>
      <w:divBdr>
        <w:top w:val="none" w:sz="0" w:space="0" w:color="auto"/>
        <w:left w:val="none" w:sz="0" w:space="0" w:color="auto"/>
        <w:bottom w:val="none" w:sz="0" w:space="0" w:color="auto"/>
        <w:right w:val="none" w:sz="0" w:space="0" w:color="auto"/>
      </w:divBdr>
    </w:div>
    <w:div w:id="734280598">
      <w:bodyDiv w:val="1"/>
      <w:marLeft w:val="0"/>
      <w:marRight w:val="0"/>
      <w:marTop w:val="0"/>
      <w:marBottom w:val="0"/>
      <w:divBdr>
        <w:top w:val="none" w:sz="0" w:space="0" w:color="auto"/>
        <w:left w:val="none" w:sz="0" w:space="0" w:color="auto"/>
        <w:bottom w:val="none" w:sz="0" w:space="0" w:color="auto"/>
        <w:right w:val="none" w:sz="0" w:space="0" w:color="auto"/>
      </w:divBdr>
    </w:div>
    <w:div w:id="735589703">
      <w:bodyDiv w:val="1"/>
      <w:marLeft w:val="0"/>
      <w:marRight w:val="0"/>
      <w:marTop w:val="0"/>
      <w:marBottom w:val="0"/>
      <w:divBdr>
        <w:top w:val="none" w:sz="0" w:space="0" w:color="auto"/>
        <w:left w:val="none" w:sz="0" w:space="0" w:color="auto"/>
        <w:bottom w:val="none" w:sz="0" w:space="0" w:color="auto"/>
        <w:right w:val="none" w:sz="0" w:space="0" w:color="auto"/>
      </w:divBdr>
    </w:div>
    <w:div w:id="737283656">
      <w:bodyDiv w:val="1"/>
      <w:marLeft w:val="0"/>
      <w:marRight w:val="0"/>
      <w:marTop w:val="0"/>
      <w:marBottom w:val="0"/>
      <w:divBdr>
        <w:top w:val="none" w:sz="0" w:space="0" w:color="auto"/>
        <w:left w:val="none" w:sz="0" w:space="0" w:color="auto"/>
        <w:bottom w:val="none" w:sz="0" w:space="0" w:color="auto"/>
        <w:right w:val="none" w:sz="0" w:space="0" w:color="auto"/>
      </w:divBdr>
    </w:div>
    <w:div w:id="737627146">
      <w:bodyDiv w:val="1"/>
      <w:marLeft w:val="0"/>
      <w:marRight w:val="0"/>
      <w:marTop w:val="0"/>
      <w:marBottom w:val="0"/>
      <w:divBdr>
        <w:top w:val="none" w:sz="0" w:space="0" w:color="auto"/>
        <w:left w:val="none" w:sz="0" w:space="0" w:color="auto"/>
        <w:bottom w:val="none" w:sz="0" w:space="0" w:color="auto"/>
        <w:right w:val="none" w:sz="0" w:space="0" w:color="auto"/>
      </w:divBdr>
    </w:div>
    <w:div w:id="738097197">
      <w:bodyDiv w:val="1"/>
      <w:marLeft w:val="0"/>
      <w:marRight w:val="0"/>
      <w:marTop w:val="0"/>
      <w:marBottom w:val="0"/>
      <w:divBdr>
        <w:top w:val="none" w:sz="0" w:space="0" w:color="auto"/>
        <w:left w:val="none" w:sz="0" w:space="0" w:color="auto"/>
        <w:bottom w:val="none" w:sz="0" w:space="0" w:color="auto"/>
        <w:right w:val="none" w:sz="0" w:space="0" w:color="auto"/>
      </w:divBdr>
    </w:div>
    <w:div w:id="738796313">
      <w:bodyDiv w:val="1"/>
      <w:marLeft w:val="0"/>
      <w:marRight w:val="0"/>
      <w:marTop w:val="0"/>
      <w:marBottom w:val="0"/>
      <w:divBdr>
        <w:top w:val="none" w:sz="0" w:space="0" w:color="auto"/>
        <w:left w:val="none" w:sz="0" w:space="0" w:color="auto"/>
        <w:bottom w:val="none" w:sz="0" w:space="0" w:color="auto"/>
        <w:right w:val="none" w:sz="0" w:space="0" w:color="auto"/>
      </w:divBdr>
    </w:div>
    <w:div w:id="741022803">
      <w:bodyDiv w:val="1"/>
      <w:marLeft w:val="0"/>
      <w:marRight w:val="0"/>
      <w:marTop w:val="0"/>
      <w:marBottom w:val="0"/>
      <w:divBdr>
        <w:top w:val="none" w:sz="0" w:space="0" w:color="auto"/>
        <w:left w:val="none" w:sz="0" w:space="0" w:color="auto"/>
        <w:bottom w:val="none" w:sz="0" w:space="0" w:color="auto"/>
        <w:right w:val="none" w:sz="0" w:space="0" w:color="auto"/>
      </w:divBdr>
    </w:div>
    <w:div w:id="743727347">
      <w:bodyDiv w:val="1"/>
      <w:marLeft w:val="0"/>
      <w:marRight w:val="0"/>
      <w:marTop w:val="0"/>
      <w:marBottom w:val="0"/>
      <w:divBdr>
        <w:top w:val="none" w:sz="0" w:space="0" w:color="auto"/>
        <w:left w:val="none" w:sz="0" w:space="0" w:color="auto"/>
        <w:bottom w:val="none" w:sz="0" w:space="0" w:color="auto"/>
        <w:right w:val="none" w:sz="0" w:space="0" w:color="auto"/>
      </w:divBdr>
    </w:div>
    <w:div w:id="745418653">
      <w:bodyDiv w:val="1"/>
      <w:marLeft w:val="0"/>
      <w:marRight w:val="0"/>
      <w:marTop w:val="0"/>
      <w:marBottom w:val="0"/>
      <w:divBdr>
        <w:top w:val="none" w:sz="0" w:space="0" w:color="auto"/>
        <w:left w:val="none" w:sz="0" w:space="0" w:color="auto"/>
        <w:bottom w:val="none" w:sz="0" w:space="0" w:color="auto"/>
        <w:right w:val="none" w:sz="0" w:space="0" w:color="auto"/>
      </w:divBdr>
    </w:div>
    <w:div w:id="746028416">
      <w:bodyDiv w:val="1"/>
      <w:marLeft w:val="0"/>
      <w:marRight w:val="0"/>
      <w:marTop w:val="0"/>
      <w:marBottom w:val="0"/>
      <w:divBdr>
        <w:top w:val="none" w:sz="0" w:space="0" w:color="auto"/>
        <w:left w:val="none" w:sz="0" w:space="0" w:color="auto"/>
        <w:bottom w:val="none" w:sz="0" w:space="0" w:color="auto"/>
        <w:right w:val="none" w:sz="0" w:space="0" w:color="auto"/>
      </w:divBdr>
    </w:div>
    <w:div w:id="746731519">
      <w:bodyDiv w:val="1"/>
      <w:marLeft w:val="0"/>
      <w:marRight w:val="0"/>
      <w:marTop w:val="0"/>
      <w:marBottom w:val="0"/>
      <w:divBdr>
        <w:top w:val="none" w:sz="0" w:space="0" w:color="auto"/>
        <w:left w:val="none" w:sz="0" w:space="0" w:color="auto"/>
        <w:bottom w:val="none" w:sz="0" w:space="0" w:color="auto"/>
        <w:right w:val="none" w:sz="0" w:space="0" w:color="auto"/>
      </w:divBdr>
    </w:div>
    <w:div w:id="746804421">
      <w:bodyDiv w:val="1"/>
      <w:marLeft w:val="0"/>
      <w:marRight w:val="0"/>
      <w:marTop w:val="0"/>
      <w:marBottom w:val="0"/>
      <w:divBdr>
        <w:top w:val="none" w:sz="0" w:space="0" w:color="auto"/>
        <w:left w:val="none" w:sz="0" w:space="0" w:color="auto"/>
        <w:bottom w:val="none" w:sz="0" w:space="0" w:color="auto"/>
        <w:right w:val="none" w:sz="0" w:space="0" w:color="auto"/>
      </w:divBdr>
      <w:divsChild>
        <w:div w:id="692728824">
          <w:marLeft w:val="0"/>
          <w:marRight w:val="0"/>
          <w:marTop w:val="0"/>
          <w:marBottom w:val="0"/>
          <w:divBdr>
            <w:top w:val="none" w:sz="0" w:space="0" w:color="auto"/>
            <w:left w:val="none" w:sz="0" w:space="0" w:color="auto"/>
            <w:bottom w:val="none" w:sz="0" w:space="0" w:color="auto"/>
            <w:right w:val="none" w:sz="0" w:space="0" w:color="auto"/>
          </w:divBdr>
          <w:divsChild>
            <w:div w:id="563178721">
              <w:marLeft w:val="0"/>
              <w:marRight w:val="0"/>
              <w:marTop w:val="0"/>
              <w:marBottom w:val="0"/>
              <w:divBdr>
                <w:top w:val="none" w:sz="0" w:space="0" w:color="auto"/>
                <w:left w:val="none" w:sz="0" w:space="0" w:color="auto"/>
                <w:bottom w:val="none" w:sz="0" w:space="0" w:color="auto"/>
                <w:right w:val="none" w:sz="0" w:space="0" w:color="auto"/>
              </w:divBdr>
              <w:divsChild>
                <w:div w:id="1357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6531">
          <w:marLeft w:val="2400"/>
          <w:marRight w:val="0"/>
          <w:marTop w:val="0"/>
          <w:marBottom w:val="0"/>
          <w:divBdr>
            <w:top w:val="none" w:sz="0" w:space="0" w:color="auto"/>
            <w:left w:val="none" w:sz="0" w:space="0" w:color="auto"/>
            <w:bottom w:val="none" w:sz="0" w:space="0" w:color="auto"/>
            <w:right w:val="none" w:sz="0" w:space="0" w:color="auto"/>
          </w:divBdr>
          <w:divsChild>
            <w:div w:id="204606713">
              <w:marLeft w:val="0"/>
              <w:marRight w:val="0"/>
              <w:marTop w:val="0"/>
              <w:marBottom w:val="0"/>
              <w:divBdr>
                <w:top w:val="none" w:sz="0" w:space="0" w:color="auto"/>
                <w:left w:val="none" w:sz="0" w:space="0" w:color="auto"/>
                <w:bottom w:val="none" w:sz="0" w:space="0" w:color="auto"/>
                <w:right w:val="none" w:sz="0" w:space="0" w:color="auto"/>
              </w:divBdr>
              <w:divsChild>
                <w:div w:id="249433759">
                  <w:marLeft w:val="0"/>
                  <w:marRight w:val="0"/>
                  <w:marTop w:val="0"/>
                  <w:marBottom w:val="0"/>
                  <w:divBdr>
                    <w:top w:val="none" w:sz="0" w:space="0" w:color="auto"/>
                    <w:left w:val="none" w:sz="0" w:space="0" w:color="auto"/>
                    <w:bottom w:val="none" w:sz="0" w:space="0" w:color="auto"/>
                    <w:right w:val="none" w:sz="0" w:space="0" w:color="auto"/>
                  </w:divBdr>
                  <w:divsChild>
                    <w:div w:id="484857839">
                      <w:marLeft w:val="0"/>
                      <w:marRight w:val="0"/>
                      <w:marTop w:val="0"/>
                      <w:marBottom w:val="0"/>
                      <w:divBdr>
                        <w:top w:val="none" w:sz="0" w:space="0" w:color="auto"/>
                        <w:left w:val="none" w:sz="0" w:space="0" w:color="auto"/>
                        <w:bottom w:val="none" w:sz="0" w:space="0" w:color="auto"/>
                        <w:right w:val="none" w:sz="0" w:space="0" w:color="auto"/>
                      </w:divBdr>
                    </w:div>
                  </w:divsChild>
                </w:div>
                <w:div w:id="946539825">
                  <w:marLeft w:val="0"/>
                  <w:marRight w:val="0"/>
                  <w:marTop w:val="0"/>
                  <w:marBottom w:val="0"/>
                  <w:divBdr>
                    <w:top w:val="none" w:sz="0" w:space="0" w:color="auto"/>
                    <w:left w:val="none" w:sz="0" w:space="0" w:color="auto"/>
                    <w:bottom w:val="none" w:sz="0" w:space="0" w:color="auto"/>
                    <w:right w:val="none" w:sz="0" w:space="0" w:color="auto"/>
                  </w:divBdr>
                  <w:divsChild>
                    <w:div w:id="1457220183">
                      <w:marLeft w:val="0"/>
                      <w:marRight w:val="0"/>
                      <w:marTop w:val="0"/>
                      <w:marBottom w:val="0"/>
                      <w:divBdr>
                        <w:top w:val="none" w:sz="0" w:space="0" w:color="auto"/>
                        <w:left w:val="none" w:sz="0" w:space="0" w:color="auto"/>
                        <w:bottom w:val="none" w:sz="0" w:space="0" w:color="auto"/>
                        <w:right w:val="none" w:sz="0" w:space="0" w:color="auto"/>
                      </w:divBdr>
                      <w:divsChild>
                        <w:div w:id="10468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0695">
                  <w:marLeft w:val="0"/>
                  <w:marRight w:val="0"/>
                  <w:marTop w:val="0"/>
                  <w:marBottom w:val="0"/>
                  <w:divBdr>
                    <w:top w:val="none" w:sz="0" w:space="0" w:color="auto"/>
                    <w:left w:val="none" w:sz="0" w:space="0" w:color="auto"/>
                    <w:bottom w:val="none" w:sz="0" w:space="0" w:color="auto"/>
                    <w:right w:val="none" w:sz="0" w:space="0" w:color="auto"/>
                  </w:divBdr>
                  <w:divsChild>
                    <w:div w:id="166791881">
                      <w:marLeft w:val="0"/>
                      <w:marRight w:val="0"/>
                      <w:marTop w:val="0"/>
                      <w:marBottom w:val="0"/>
                      <w:divBdr>
                        <w:top w:val="none" w:sz="0" w:space="0" w:color="auto"/>
                        <w:left w:val="none" w:sz="0" w:space="0" w:color="auto"/>
                        <w:bottom w:val="none" w:sz="0" w:space="0" w:color="auto"/>
                        <w:right w:val="none" w:sz="0" w:space="0" w:color="auto"/>
                      </w:divBdr>
                      <w:divsChild>
                        <w:div w:id="597829109">
                          <w:marLeft w:val="0"/>
                          <w:marRight w:val="0"/>
                          <w:marTop w:val="0"/>
                          <w:marBottom w:val="0"/>
                          <w:divBdr>
                            <w:top w:val="none" w:sz="0" w:space="0" w:color="auto"/>
                            <w:left w:val="none" w:sz="0" w:space="0" w:color="auto"/>
                            <w:bottom w:val="none" w:sz="0" w:space="0" w:color="auto"/>
                            <w:right w:val="none" w:sz="0" w:space="0" w:color="auto"/>
                          </w:divBdr>
                          <w:divsChild>
                            <w:div w:id="102383314">
                              <w:marLeft w:val="0"/>
                              <w:marRight w:val="0"/>
                              <w:marTop w:val="0"/>
                              <w:marBottom w:val="225"/>
                              <w:divBdr>
                                <w:top w:val="none" w:sz="0" w:space="0" w:color="auto"/>
                                <w:left w:val="none" w:sz="0" w:space="0" w:color="auto"/>
                                <w:bottom w:val="none" w:sz="0" w:space="0" w:color="auto"/>
                                <w:right w:val="none" w:sz="0" w:space="0" w:color="auto"/>
                              </w:divBdr>
                            </w:div>
                          </w:divsChild>
                        </w:div>
                        <w:div w:id="13038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12295">
      <w:bodyDiv w:val="1"/>
      <w:marLeft w:val="0"/>
      <w:marRight w:val="0"/>
      <w:marTop w:val="0"/>
      <w:marBottom w:val="0"/>
      <w:divBdr>
        <w:top w:val="none" w:sz="0" w:space="0" w:color="auto"/>
        <w:left w:val="none" w:sz="0" w:space="0" w:color="auto"/>
        <w:bottom w:val="none" w:sz="0" w:space="0" w:color="auto"/>
        <w:right w:val="none" w:sz="0" w:space="0" w:color="auto"/>
      </w:divBdr>
    </w:div>
    <w:div w:id="749547422">
      <w:bodyDiv w:val="1"/>
      <w:marLeft w:val="0"/>
      <w:marRight w:val="0"/>
      <w:marTop w:val="0"/>
      <w:marBottom w:val="0"/>
      <w:divBdr>
        <w:top w:val="none" w:sz="0" w:space="0" w:color="auto"/>
        <w:left w:val="none" w:sz="0" w:space="0" w:color="auto"/>
        <w:bottom w:val="none" w:sz="0" w:space="0" w:color="auto"/>
        <w:right w:val="none" w:sz="0" w:space="0" w:color="auto"/>
      </w:divBdr>
    </w:div>
    <w:div w:id="751316748">
      <w:bodyDiv w:val="1"/>
      <w:marLeft w:val="0"/>
      <w:marRight w:val="0"/>
      <w:marTop w:val="0"/>
      <w:marBottom w:val="0"/>
      <w:divBdr>
        <w:top w:val="none" w:sz="0" w:space="0" w:color="auto"/>
        <w:left w:val="none" w:sz="0" w:space="0" w:color="auto"/>
        <w:bottom w:val="none" w:sz="0" w:space="0" w:color="auto"/>
        <w:right w:val="none" w:sz="0" w:space="0" w:color="auto"/>
      </w:divBdr>
    </w:div>
    <w:div w:id="754327843">
      <w:bodyDiv w:val="1"/>
      <w:marLeft w:val="0"/>
      <w:marRight w:val="0"/>
      <w:marTop w:val="0"/>
      <w:marBottom w:val="0"/>
      <w:divBdr>
        <w:top w:val="none" w:sz="0" w:space="0" w:color="auto"/>
        <w:left w:val="none" w:sz="0" w:space="0" w:color="auto"/>
        <w:bottom w:val="none" w:sz="0" w:space="0" w:color="auto"/>
        <w:right w:val="none" w:sz="0" w:space="0" w:color="auto"/>
      </w:divBdr>
    </w:div>
    <w:div w:id="754519009">
      <w:bodyDiv w:val="1"/>
      <w:marLeft w:val="0"/>
      <w:marRight w:val="0"/>
      <w:marTop w:val="0"/>
      <w:marBottom w:val="0"/>
      <w:divBdr>
        <w:top w:val="none" w:sz="0" w:space="0" w:color="auto"/>
        <w:left w:val="none" w:sz="0" w:space="0" w:color="auto"/>
        <w:bottom w:val="none" w:sz="0" w:space="0" w:color="auto"/>
        <w:right w:val="none" w:sz="0" w:space="0" w:color="auto"/>
      </w:divBdr>
    </w:div>
    <w:div w:id="754791397">
      <w:bodyDiv w:val="1"/>
      <w:marLeft w:val="0"/>
      <w:marRight w:val="0"/>
      <w:marTop w:val="0"/>
      <w:marBottom w:val="0"/>
      <w:divBdr>
        <w:top w:val="none" w:sz="0" w:space="0" w:color="auto"/>
        <w:left w:val="none" w:sz="0" w:space="0" w:color="auto"/>
        <w:bottom w:val="none" w:sz="0" w:space="0" w:color="auto"/>
        <w:right w:val="none" w:sz="0" w:space="0" w:color="auto"/>
      </w:divBdr>
    </w:div>
    <w:div w:id="755252046">
      <w:bodyDiv w:val="1"/>
      <w:marLeft w:val="0"/>
      <w:marRight w:val="0"/>
      <w:marTop w:val="0"/>
      <w:marBottom w:val="0"/>
      <w:divBdr>
        <w:top w:val="none" w:sz="0" w:space="0" w:color="auto"/>
        <w:left w:val="none" w:sz="0" w:space="0" w:color="auto"/>
        <w:bottom w:val="none" w:sz="0" w:space="0" w:color="auto"/>
        <w:right w:val="none" w:sz="0" w:space="0" w:color="auto"/>
      </w:divBdr>
    </w:div>
    <w:div w:id="755519014">
      <w:bodyDiv w:val="1"/>
      <w:marLeft w:val="0"/>
      <w:marRight w:val="0"/>
      <w:marTop w:val="0"/>
      <w:marBottom w:val="0"/>
      <w:divBdr>
        <w:top w:val="none" w:sz="0" w:space="0" w:color="auto"/>
        <w:left w:val="none" w:sz="0" w:space="0" w:color="auto"/>
        <w:bottom w:val="none" w:sz="0" w:space="0" w:color="auto"/>
        <w:right w:val="none" w:sz="0" w:space="0" w:color="auto"/>
      </w:divBdr>
    </w:div>
    <w:div w:id="756249407">
      <w:bodyDiv w:val="1"/>
      <w:marLeft w:val="0"/>
      <w:marRight w:val="0"/>
      <w:marTop w:val="0"/>
      <w:marBottom w:val="0"/>
      <w:divBdr>
        <w:top w:val="none" w:sz="0" w:space="0" w:color="auto"/>
        <w:left w:val="none" w:sz="0" w:space="0" w:color="auto"/>
        <w:bottom w:val="none" w:sz="0" w:space="0" w:color="auto"/>
        <w:right w:val="none" w:sz="0" w:space="0" w:color="auto"/>
      </w:divBdr>
    </w:div>
    <w:div w:id="759644229">
      <w:bodyDiv w:val="1"/>
      <w:marLeft w:val="0"/>
      <w:marRight w:val="0"/>
      <w:marTop w:val="0"/>
      <w:marBottom w:val="0"/>
      <w:divBdr>
        <w:top w:val="none" w:sz="0" w:space="0" w:color="auto"/>
        <w:left w:val="none" w:sz="0" w:space="0" w:color="auto"/>
        <w:bottom w:val="none" w:sz="0" w:space="0" w:color="auto"/>
        <w:right w:val="none" w:sz="0" w:space="0" w:color="auto"/>
      </w:divBdr>
    </w:div>
    <w:div w:id="759720148">
      <w:bodyDiv w:val="1"/>
      <w:marLeft w:val="0"/>
      <w:marRight w:val="0"/>
      <w:marTop w:val="0"/>
      <w:marBottom w:val="0"/>
      <w:divBdr>
        <w:top w:val="none" w:sz="0" w:space="0" w:color="auto"/>
        <w:left w:val="none" w:sz="0" w:space="0" w:color="auto"/>
        <w:bottom w:val="none" w:sz="0" w:space="0" w:color="auto"/>
        <w:right w:val="none" w:sz="0" w:space="0" w:color="auto"/>
      </w:divBdr>
    </w:div>
    <w:div w:id="759790553">
      <w:bodyDiv w:val="1"/>
      <w:marLeft w:val="0"/>
      <w:marRight w:val="0"/>
      <w:marTop w:val="0"/>
      <w:marBottom w:val="0"/>
      <w:divBdr>
        <w:top w:val="none" w:sz="0" w:space="0" w:color="auto"/>
        <w:left w:val="none" w:sz="0" w:space="0" w:color="auto"/>
        <w:bottom w:val="none" w:sz="0" w:space="0" w:color="auto"/>
        <w:right w:val="none" w:sz="0" w:space="0" w:color="auto"/>
      </w:divBdr>
    </w:div>
    <w:div w:id="759987088">
      <w:bodyDiv w:val="1"/>
      <w:marLeft w:val="0"/>
      <w:marRight w:val="0"/>
      <w:marTop w:val="0"/>
      <w:marBottom w:val="0"/>
      <w:divBdr>
        <w:top w:val="none" w:sz="0" w:space="0" w:color="auto"/>
        <w:left w:val="none" w:sz="0" w:space="0" w:color="auto"/>
        <w:bottom w:val="none" w:sz="0" w:space="0" w:color="auto"/>
        <w:right w:val="none" w:sz="0" w:space="0" w:color="auto"/>
      </w:divBdr>
    </w:div>
    <w:div w:id="760297385">
      <w:bodyDiv w:val="1"/>
      <w:marLeft w:val="0"/>
      <w:marRight w:val="0"/>
      <w:marTop w:val="0"/>
      <w:marBottom w:val="0"/>
      <w:divBdr>
        <w:top w:val="none" w:sz="0" w:space="0" w:color="auto"/>
        <w:left w:val="none" w:sz="0" w:space="0" w:color="auto"/>
        <w:bottom w:val="none" w:sz="0" w:space="0" w:color="auto"/>
        <w:right w:val="none" w:sz="0" w:space="0" w:color="auto"/>
      </w:divBdr>
    </w:div>
    <w:div w:id="761726605">
      <w:bodyDiv w:val="1"/>
      <w:marLeft w:val="0"/>
      <w:marRight w:val="0"/>
      <w:marTop w:val="0"/>
      <w:marBottom w:val="0"/>
      <w:divBdr>
        <w:top w:val="none" w:sz="0" w:space="0" w:color="auto"/>
        <w:left w:val="none" w:sz="0" w:space="0" w:color="auto"/>
        <w:bottom w:val="none" w:sz="0" w:space="0" w:color="auto"/>
        <w:right w:val="none" w:sz="0" w:space="0" w:color="auto"/>
      </w:divBdr>
    </w:div>
    <w:div w:id="761874358">
      <w:bodyDiv w:val="1"/>
      <w:marLeft w:val="0"/>
      <w:marRight w:val="0"/>
      <w:marTop w:val="0"/>
      <w:marBottom w:val="0"/>
      <w:divBdr>
        <w:top w:val="none" w:sz="0" w:space="0" w:color="auto"/>
        <w:left w:val="none" w:sz="0" w:space="0" w:color="auto"/>
        <w:bottom w:val="none" w:sz="0" w:space="0" w:color="auto"/>
        <w:right w:val="none" w:sz="0" w:space="0" w:color="auto"/>
      </w:divBdr>
    </w:div>
    <w:div w:id="762653933">
      <w:bodyDiv w:val="1"/>
      <w:marLeft w:val="0"/>
      <w:marRight w:val="0"/>
      <w:marTop w:val="0"/>
      <w:marBottom w:val="0"/>
      <w:divBdr>
        <w:top w:val="none" w:sz="0" w:space="0" w:color="auto"/>
        <w:left w:val="none" w:sz="0" w:space="0" w:color="auto"/>
        <w:bottom w:val="none" w:sz="0" w:space="0" w:color="auto"/>
        <w:right w:val="none" w:sz="0" w:space="0" w:color="auto"/>
      </w:divBdr>
    </w:div>
    <w:div w:id="763380054">
      <w:bodyDiv w:val="1"/>
      <w:marLeft w:val="0"/>
      <w:marRight w:val="0"/>
      <w:marTop w:val="0"/>
      <w:marBottom w:val="0"/>
      <w:divBdr>
        <w:top w:val="none" w:sz="0" w:space="0" w:color="auto"/>
        <w:left w:val="none" w:sz="0" w:space="0" w:color="auto"/>
        <w:bottom w:val="none" w:sz="0" w:space="0" w:color="auto"/>
        <w:right w:val="none" w:sz="0" w:space="0" w:color="auto"/>
      </w:divBdr>
    </w:div>
    <w:div w:id="763494481">
      <w:bodyDiv w:val="1"/>
      <w:marLeft w:val="0"/>
      <w:marRight w:val="0"/>
      <w:marTop w:val="0"/>
      <w:marBottom w:val="0"/>
      <w:divBdr>
        <w:top w:val="none" w:sz="0" w:space="0" w:color="auto"/>
        <w:left w:val="none" w:sz="0" w:space="0" w:color="auto"/>
        <w:bottom w:val="none" w:sz="0" w:space="0" w:color="auto"/>
        <w:right w:val="none" w:sz="0" w:space="0" w:color="auto"/>
      </w:divBdr>
    </w:div>
    <w:div w:id="764113294">
      <w:bodyDiv w:val="1"/>
      <w:marLeft w:val="0"/>
      <w:marRight w:val="0"/>
      <w:marTop w:val="0"/>
      <w:marBottom w:val="0"/>
      <w:divBdr>
        <w:top w:val="none" w:sz="0" w:space="0" w:color="auto"/>
        <w:left w:val="none" w:sz="0" w:space="0" w:color="auto"/>
        <w:bottom w:val="none" w:sz="0" w:space="0" w:color="auto"/>
        <w:right w:val="none" w:sz="0" w:space="0" w:color="auto"/>
      </w:divBdr>
    </w:div>
    <w:div w:id="764888770">
      <w:bodyDiv w:val="1"/>
      <w:marLeft w:val="0"/>
      <w:marRight w:val="0"/>
      <w:marTop w:val="0"/>
      <w:marBottom w:val="0"/>
      <w:divBdr>
        <w:top w:val="none" w:sz="0" w:space="0" w:color="auto"/>
        <w:left w:val="none" w:sz="0" w:space="0" w:color="auto"/>
        <w:bottom w:val="none" w:sz="0" w:space="0" w:color="auto"/>
        <w:right w:val="none" w:sz="0" w:space="0" w:color="auto"/>
      </w:divBdr>
    </w:div>
    <w:div w:id="765267265">
      <w:bodyDiv w:val="1"/>
      <w:marLeft w:val="0"/>
      <w:marRight w:val="0"/>
      <w:marTop w:val="0"/>
      <w:marBottom w:val="0"/>
      <w:divBdr>
        <w:top w:val="none" w:sz="0" w:space="0" w:color="auto"/>
        <w:left w:val="none" w:sz="0" w:space="0" w:color="auto"/>
        <w:bottom w:val="none" w:sz="0" w:space="0" w:color="auto"/>
        <w:right w:val="none" w:sz="0" w:space="0" w:color="auto"/>
      </w:divBdr>
    </w:div>
    <w:div w:id="765543711">
      <w:bodyDiv w:val="1"/>
      <w:marLeft w:val="0"/>
      <w:marRight w:val="0"/>
      <w:marTop w:val="0"/>
      <w:marBottom w:val="0"/>
      <w:divBdr>
        <w:top w:val="none" w:sz="0" w:space="0" w:color="auto"/>
        <w:left w:val="none" w:sz="0" w:space="0" w:color="auto"/>
        <w:bottom w:val="none" w:sz="0" w:space="0" w:color="auto"/>
        <w:right w:val="none" w:sz="0" w:space="0" w:color="auto"/>
      </w:divBdr>
    </w:div>
    <w:div w:id="766391224">
      <w:bodyDiv w:val="1"/>
      <w:marLeft w:val="0"/>
      <w:marRight w:val="0"/>
      <w:marTop w:val="0"/>
      <w:marBottom w:val="0"/>
      <w:divBdr>
        <w:top w:val="none" w:sz="0" w:space="0" w:color="auto"/>
        <w:left w:val="none" w:sz="0" w:space="0" w:color="auto"/>
        <w:bottom w:val="none" w:sz="0" w:space="0" w:color="auto"/>
        <w:right w:val="none" w:sz="0" w:space="0" w:color="auto"/>
      </w:divBdr>
    </w:div>
    <w:div w:id="766778220">
      <w:bodyDiv w:val="1"/>
      <w:marLeft w:val="0"/>
      <w:marRight w:val="0"/>
      <w:marTop w:val="0"/>
      <w:marBottom w:val="0"/>
      <w:divBdr>
        <w:top w:val="none" w:sz="0" w:space="0" w:color="auto"/>
        <w:left w:val="none" w:sz="0" w:space="0" w:color="auto"/>
        <w:bottom w:val="none" w:sz="0" w:space="0" w:color="auto"/>
        <w:right w:val="none" w:sz="0" w:space="0" w:color="auto"/>
      </w:divBdr>
    </w:div>
    <w:div w:id="767310884">
      <w:bodyDiv w:val="1"/>
      <w:marLeft w:val="0"/>
      <w:marRight w:val="0"/>
      <w:marTop w:val="0"/>
      <w:marBottom w:val="0"/>
      <w:divBdr>
        <w:top w:val="none" w:sz="0" w:space="0" w:color="auto"/>
        <w:left w:val="none" w:sz="0" w:space="0" w:color="auto"/>
        <w:bottom w:val="none" w:sz="0" w:space="0" w:color="auto"/>
        <w:right w:val="none" w:sz="0" w:space="0" w:color="auto"/>
      </w:divBdr>
    </w:div>
    <w:div w:id="767389083">
      <w:bodyDiv w:val="1"/>
      <w:marLeft w:val="0"/>
      <w:marRight w:val="0"/>
      <w:marTop w:val="0"/>
      <w:marBottom w:val="0"/>
      <w:divBdr>
        <w:top w:val="none" w:sz="0" w:space="0" w:color="auto"/>
        <w:left w:val="none" w:sz="0" w:space="0" w:color="auto"/>
        <w:bottom w:val="none" w:sz="0" w:space="0" w:color="auto"/>
        <w:right w:val="none" w:sz="0" w:space="0" w:color="auto"/>
      </w:divBdr>
    </w:div>
    <w:div w:id="767890953">
      <w:bodyDiv w:val="1"/>
      <w:marLeft w:val="0"/>
      <w:marRight w:val="0"/>
      <w:marTop w:val="0"/>
      <w:marBottom w:val="0"/>
      <w:divBdr>
        <w:top w:val="none" w:sz="0" w:space="0" w:color="auto"/>
        <w:left w:val="none" w:sz="0" w:space="0" w:color="auto"/>
        <w:bottom w:val="none" w:sz="0" w:space="0" w:color="auto"/>
        <w:right w:val="none" w:sz="0" w:space="0" w:color="auto"/>
      </w:divBdr>
    </w:div>
    <w:div w:id="769660067">
      <w:bodyDiv w:val="1"/>
      <w:marLeft w:val="0"/>
      <w:marRight w:val="0"/>
      <w:marTop w:val="0"/>
      <w:marBottom w:val="0"/>
      <w:divBdr>
        <w:top w:val="none" w:sz="0" w:space="0" w:color="auto"/>
        <w:left w:val="none" w:sz="0" w:space="0" w:color="auto"/>
        <w:bottom w:val="none" w:sz="0" w:space="0" w:color="auto"/>
        <w:right w:val="none" w:sz="0" w:space="0" w:color="auto"/>
      </w:divBdr>
    </w:div>
    <w:div w:id="773985222">
      <w:bodyDiv w:val="1"/>
      <w:marLeft w:val="0"/>
      <w:marRight w:val="0"/>
      <w:marTop w:val="0"/>
      <w:marBottom w:val="0"/>
      <w:divBdr>
        <w:top w:val="none" w:sz="0" w:space="0" w:color="auto"/>
        <w:left w:val="none" w:sz="0" w:space="0" w:color="auto"/>
        <w:bottom w:val="none" w:sz="0" w:space="0" w:color="auto"/>
        <w:right w:val="none" w:sz="0" w:space="0" w:color="auto"/>
      </w:divBdr>
    </w:div>
    <w:div w:id="775515833">
      <w:bodyDiv w:val="1"/>
      <w:marLeft w:val="0"/>
      <w:marRight w:val="0"/>
      <w:marTop w:val="0"/>
      <w:marBottom w:val="0"/>
      <w:divBdr>
        <w:top w:val="none" w:sz="0" w:space="0" w:color="auto"/>
        <w:left w:val="none" w:sz="0" w:space="0" w:color="auto"/>
        <w:bottom w:val="none" w:sz="0" w:space="0" w:color="auto"/>
        <w:right w:val="none" w:sz="0" w:space="0" w:color="auto"/>
      </w:divBdr>
    </w:div>
    <w:div w:id="776366440">
      <w:bodyDiv w:val="1"/>
      <w:marLeft w:val="0"/>
      <w:marRight w:val="0"/>
      <w:marTop w:val="0"/>
      <w:marBottom w:val="0"/>
      <w:divBdr>
        <w:top w:val="none" w:sz="0" w:space="0" w:color="auto"/>
        <w:left w:val="none" w:sz="0" w:space="0" w:color="auto"/>
        <w:bottom w:val="none" w:sz="0" w:space="0" w:color="auto"/>
        <w:right w:val="none" w:sz="0" w:space="0" w:color="auto"/>
      </w:divBdr>
    </w:div>
    <w:div w:id="776753067">
      <w:bodyDiv w:val="1"/>
      <w:marLeft w:val="0"/>
      <w:marRight w:val="0"/>
      <w:marTop w:val="0"/>
      <w:marBottom w:val="0"/>
      <w:divBdr>
        <w:top w:val="none" w:sz="0" w:space="0" w:color="auto"/>
        <w:left w:val="none" w:sz="0" w:space="0" w:color="auto"/>
        <w:bottom w:val="none" w:sz="0" w:space="0" w:color="auto"/>
        <w:right w:val="none" w:sz="0" w:space="0" w:color="auto"/>
      </w:divBdr>
    </w:div>
    <w:div w:id="777024570">
      <w:bodyDiv w:val="1"/>
      <w:marLeft w:val="0"/>
      <w:marRight w:val="0"/>
      <w:marTop w:val="0"/>
      <w:marBottom w:val="0"/>
      <w:divBdr>
        <w:top w:val="none" w:sz="0" w:space="0" w:color="auto"/>
        <w:left w:val="none" w:sz="0" w:space="0" w:color="auto"/>
        <w:bottom w:val="none" w:sz="0" w:space="0" w:color="auto"/>
        <w:right w:val="none" w:sz="0" w:space="0" w:color="auto"/>
      </w:divBdr>
    </w:div>
    <w:div w:id="779498524">
      <w:bodyDiv w:val="1"/>
      <w:marLeft w:val="0"/>
      <w:marRight w:val="0"/>
      <w:marTop w:val="0"/>
      <w:marBottom w:val="0"/>
      <w:divBdr>
        <w:top w:val="none" w:sz="0" w:space="0" w:color="auto"/>
        <w:left w:val="none" w:sz="0" w:space="0" w:color="auto"/>
        <w:bottom w:val="none" w:sz="0" w:space="0" w:color="auto"/>
        <w:right w:val="none" w:sz="0" w:space="0" w:color="auto"/>
      </w:divBdr>
    </w:div>
    <w:div w:id="780959166">
      <w:bodyDiv w:val="1"/>
      <w:marLeft w:val="0"/>
      <w:marRight w:val="0"/>
      <w:marTop w:val="0"/>
      <w:marBottom w:val="0"/>
      <w:divBdr>
        <w:top w:val="none" w:sz="0" w:space="0" w:color="auto"/>
        <w:left w:val="none" w:sz="0" w:space="0" w:color="auto"/>
        <w:bottom w:val="none" w:sz="0" w:space="0" w:color="auto"/>
        <w:right w:val="none" w:sz="0" w:space="0" w:color="auto"/>
      </w:divBdr>
    </w:div>
    <w:div w:id="784353292">
      <w:bodyDiv w:val="1"/>
      <w:marLeft w:val="0"/>
      <w:marRight w:val="0"/>
      <w:marTop w:val="0"/>
      <w:marBottom w:val="0"/>
      <w:divBdr>
        <w:top w:val="none" w:sz="0" w:space="0" w:color="auto"/>
        <w:left w:val="none" w:sz="0" w:space="0" w:color="auto"/>
        <w:bottom w:val="none" w:sz="0" w:space="0" w:color="auto"/>
        <w:right w:val="none" w:sz="0" w:space="0" w:color="auto"/>
      </w:divBdr>
    </w:div>
    <w:div w:id="785735706">
      <w:bodyDiv w:val="1"/>
      <w:marLeft w:val="0"/>
      <w:marRight w:val="0"/>
      <w:marTop w:val="0"/>
      <w:marBottom w:val="0"/>
      <w:divBdr>
        <w:top w:val="none" w:sz="0" w:space="0" w:color="auto"/>
        <w:left w:val="none" w:sz="0" w:space="0" w:color="auto"/>
        <w:bottom w:val="none" w:sz="0" w:space="0" w:color="auto"/>
        <w:right w:val="none" w:sz="0" w:space="0" w:color="auto"/>
      </w:divBdr>
    </w:div>
    <w:div w:id="785930471">
      <w:bodyDiv w:val="1"/>
      <w:marLeft w:val="0"/>
      <w:marRight w:val="0"/>
      <w:marTop w:val="0"/>
      <w:marBottom w:val="0"/>
      <w:divBdr>
        <w:top w:val="none" w:sz="0" w:space="0" w:color="auto"/>
        <w:left w:val="none" w:sz="0" w:space="0" w:color="auto"/>
        <w:bottom w:val="none" w:sz="0" w:space="0" w:color="auto"/>
        <w:right w:val="none" w:sz="0" w:space="0" w:color="auto"/>
      </w:divBdr>
    </w:div>
    <w:div w:id="787743762">
      <w:bodyDiv w:val="1"/>
      <w:marLeft w:val="0"/>
      <w:marRight w:val="0"/>
      <w:marTop w:val="0"/>
      <w:marBottom w:val="0"/>
      <w:divBdr>
        <w:top w:val="none" w:sz="0" w:space="0" w:color="auto"/>
        <w:left w:val="none" w:sz="0" w:space="0" w:color="auto"/>
        <w:bottom w:val="none" w:sz="0" w:space="0" w:color="auto"/>
        <w:right w:val="none" w:sz="0" w:space="0" w:color="auto"/>
      </w:divBdr>
    </w:div>
    <w:div w:id="787746222">
      <w:bodyDiv w:val="1"/>
      <w:marLeft w:val="0"/>
      <w:marRight w:val="0"/>
      <w:marTop w:val="0"/>
      <w:marBottom w:val="0"/>
      <w:divBdr>
        <w:top w:val="none" w:sz="0" w:space="0" w:color="auto"/>
        <w:left w:val="none" w:sz="0" w:space="0" w:color="auto"/>
        <w:bottom w:val="none" w:sz="0" w:space="0" w:color="auto"/>
        <w:right w:val="none" w:sz="0" w:space="0" w:color="auto"/>
      </w:divBdr>
    </w:div>
    <w:div w:id="788166583">
      <w:bodyDiv w:val="1"/>
      <w:marLeft w:val="0"/>
      <w:marRight w:val="0"/>
      <w:marTop w:val="0"/>
      <w:marBottom w:val="0"/>
      <w:divBdr>
        <w:top w:val="none" w:sz="0" w:space="0" w:color="auto"/>
        <w:left w:val="none" w:sz="0" w:space="0" w:color="auto"/>
        <w:bottom w:val="none" w:sz="0" w:space="0" w:color="auto"/>
        <w:right w:val="none" w:sz="0" w:space="0" w:color="auto"/>
      </w:divBdr>
    </w:div>
    <w:div w:id="789544064">
      <w:bodyDiv w:val="1"/>
      <w:marLeft w:val="0"/>
      <w:marRight w:val="0"/>
      <w:marTop w:val="0"/>
      <w:marBottom w:val="0"/>
      <w:divBdr>
        <w:top w:val="none" w:sz="0" w:space="0" w:color="auto"/>
        <w:left w:val="none" w:sz="0" w:space="0" w:color="auto"/>
        <w:bottom w:val="none" w:sz="0" w:space="0" w:color="auto"/>
        <w:right w:val="none" w:sz="0" w:space="0" w:color="auto"/>
      </w:divBdr>
    </w:div>
    <w:div w:id="791022464">
      <w:bodyDiv w:val="1"/>
      <w:marLeft w:val="0"/>
      <w:marRight w:val="0"/>
      <w:marTop w:val="0"/>
      <w:marBottom w:val="0"/>
      <w:divBdr>
        <w:top w:val="none" w:sz="0" w:space="0" w:color="auto"/>
        <w:left w:val="none" w:sz="0" w:space="0" w:color="auto"/>
        <w:bottom w:val="none" w:sz="0" w:space="0" w:color="auto"/>
        <w:right w:val="none" w:sz="0" w:space="0" w:color="auto"/>
      </w:divBdr>
    </w:div>
    <w:div w:id="791287251">
      <w:bodyDiv w:val="1"/>
      <w:marLeft w:val="0"/>
      <w:marRight w:val="0"/>
      <w:marTop w:val="0"/>
      <w:marBottom w:val="0"/>
      <w:divBdr>
        <w:top w:val="none" w:sz="0" w:space="0" w:color="auto"/>
        <w:left w:val="none" w:sz="0" w:space="0" w:color="auto"/>
        <w:bottom w:val="none" w:sz="0" w:space="0" w:color="auto"/>
        <w:right w:val="none" w:sz="0" w:space="0" w:color="auto"/>
      </w:divBdr>
    </w:div>
    <w:div w:id="791755327">
      <w:bodyDiv w:val="1"/>
      <w:marLeft w:val="0"/>
      <w:marRight w:val="0"/>
      <w:marTop w:val="0"/>
      <w:marBottom w:val="0"/>
      <w:divBdr>
        <w:top w:val="none" w:sz="0" w:space="0" w:color="auto"/>
        <w:left w:val="none" w:sz="0" w:space="0" w:color="auto"/>
        <w:bottom w:val="none" w:sz="0" w:space="0" w:color="auto"/>
        <w:right w:val="none" w:sz="0" w:space="0" w:color="auto"/>
      </w:divBdr>
    </w:div>
    <w:div w:id="793447896">
      <w:bodyDiv w:val="1"/>
      <w:marLeft w:val="0"/>
      <w:marRight w:val="0"/>
      <w:marTop w:val="0"/>
      <w:marBottom w:val="0"/>
      <w:divBdr>
        <w:top w:val="none" w:sz="0" w:space="0" w:color="auto"/>
        <w:left w:val="none" w:sz="0" w:space="0" w:color="auto"/>
        <w:bottom w:val="none" w:sz="0" w:space="0" w:color="auto"/>
        <w:right w:val="none" w:sz="0" w:space="0" w:color="auto"/>
      </w:divBdr>
    </w:div>
    <w:div w:id="795443165">
      <w:bodyDiv w:val="1"/>
      <w:marLeft w:val="0"/>
      <w:marRight w:val="0"/>
      <w:marTop w:val="0"/>
      <w:marBottom w:val="0"/>
      <w:divBdr>
        <w:top w:val="none" w:sz="0" w:space="0" w:color="auto"/>
        <w:left w:val="none" w:sz="0" w:space="0" w:color="auto"/>
        <w:bottom w:val="none" w:sz="0" w:space="0" w:color="auto"/>
        <w:right w:val="none" w:sz="0" w:space="0" w:color="auto"/>
      </w:divBdr>
    </w:div>
    <w:div w:id="798110235">
      <w:bodyDiv w:val="1"/>
      <w:marLeft w:val="0"/>
      <w:marRight w:val="0"/>
      <w:marTop w:val="0"/>
      <w:marBottom w:val="0"/>
      <w:divBdr>
        <w:top w:val="none" w:sz="0" w:space="0" w:color="auto"/>
        <w:left w:val="none" w:sz="0" w:space="0" w:color="auto"/>
        <w:bottom w:val="none" w:sz="0" w:space="0" w:color="auto"/>
        <w:right w:val="none" w:sz="0" w:space="0" w:color="auto"/>
      </w:divBdr>
    </w:div>
    <w:div w:id="798181795">
      <w:bodyDiv w:val="1"/>
      <w:marLeft w:val="0"/>
      <w:marRight w:val="0"/>
      <w:marTop w:val="0"/>
      <w:marBottom w:val="0"/>
      <w:divBdr>
        <w:top w:val="none" w:sz="0" w:space="0" w:color="auto"/>
        <w:left w:val="none" w:sz="0" w:space="0" w:color="auto"/>
        <w:bottom w:val="none" w:sz="0" w:space="0" w:color="auto"/>
        <w:right w:val="none" w:sz="0" w:space="0" w:color="auto"/>
      </w:divBdr>
    </w:div>
    <w:div w:id="798570380">
      <w:bodyDiv w:val="1"/>
      <w:marLeft w:val="0"/>
      <w:marRight w:val="0"/>
      <w:marTop w:val="0"/>
      <w:marBottom w:val="0"/>
      <w:divBdr>
        <w:top w:val="none" w:sz="0" w:space="0" w:color="auto"/>
        <w:left w:val="none" w:sz="0" w:space="0" w:color="auto"/>
        <w:bottom w:val="none" w:sz="0" w:space="0" w:color="auto"/>
        <w:right w:val="none" w:sz="0" w:space="0" w:color="auto"/>
      </w:divBdr>
    </w:div>
    <w:div w:id="799495875">
      <w:bodyDiv w:val="1"/>
      <w:marLeft w:val="0"/>
      <w:marRight w:val="0"/>
      <w:marTop w:val="0"/>
      <w:marBottom w:val="0"/>
      <w:divBdr>
        <w:top w:val="none" w:sz="0" w:space="0" w:color="auto"/>
        <w:left w:val="none" w:sz="0" w:space="0" w:color="auto"/>
        <w:bottom w:val="none" w:sz="0" w:space="0" w:color="auto"/>
        <w:right w:val="none" w:sz="0" w:space="0" w:color="auto"/>
      </w:divBdr>
    </w:div>
    <w:div w:id="799539491">
      <w:bodyDiv w:val="1"/>
      <w:marLeft w:val="0"/>
      <w:marRight w:val="0"/>
      <w:marTop w:val="0"/>
      <w:marBottom w:val="0"/>
      <w:divBdr>
        <w:top w:val="none" w:sz="0" w:space="0" w:color="auto"/>
        <w:left w:val="none" w:sz="0" w:space="0" w:color="auto"/>
        <w:bottom w:val="none" w:sz="0" w:space="0" w:color="auto"/>
        <w:right w:val="none" w:sz="0" w:space="0" w:color="auto"/>
      </w:divBdr>
    </w:div>
    <w:div w:id="800146592">
      <w:bodyDiv w:val="1"/>
      <w:marLeft w:val="0"/>
      <w:marRight w:val="0"/>
      <w:marTop w:val="0"/>
      <w:marBottom w:val="0"/>
      <w:divBdr>
        <w:top w:val="none" w:sz="0" w:space="0" w:color="auto"/>
        <w:left w:val="none" w:sz="0" w:space="0" w:color="auto"/>
        <w:bottom w:val="none" w:sz="0" w:space="0" w:color="auto"/>
        <w:right w:val="none" w:sz="0" w:space="0" w:color="auto"/>
      </w:divBdr>
    </w:div>
    <w:div w:id="802042800">
      <w:bodyDiv w:val="1"/>
      <w:marLeft w:val="0"/>
      <w:marRight w:val="0"/>
      <w:marTop w:val="0"/>
      <w:marBottom w:val="0"/>
      <w:divBdr>
        <w:top w:val="none" w:sz="0" w:space="0" w:color="auto"/>
        <w:left w:val="none" w:sz="0" w:space="0" w:color="auto"/>
        <w:bottom w:val="none" w:sz="0" w:space="0" w:color="auto"/>
        <w:right w:val="none" w:sz="0" w:space="0" w:color="auto"/>
      </w:divBdr>
    </w:div>
    <w:div w:id="803036112">
      <w:bodyDiv w:val="1"/>
      <w:marLeft w:val="0"/>
      <w:marRight w:val="0"/>
      <w:marTop w:val="0"/>
      <w:marBottom w:val="0"/>
      <w:divBdr>
        <w:top w:val="none" w:sz="0" w:space="0" w:color="auto"/>
        <w:left w:val="none" w:sz="0" w:space="0" w:color="auto"/>
        <w:bottom w:val="none" w:sz="0" w:space="0" w:color="auto"/>
        <w:right w:val="none" w:sz="0" w:space="0" w:color="auto"/>
      </w:divBdr>
    </w:div>
    <w:div w:id="803230173">
      <w:bodyDiv w:val="1"/>
      <w:marLeft w:val="0"/>
      <w:marRight w:val="0"/>
      <w:marTop w:val="0"/>
      <w:marBottom w:val="0"/>
      <w:divBdr>
        <w:top w:val="none" w:sz="0" w:space="0" w:color="auto"/>
        <w:left w:val="none" w:sz="0" w:space="0" w:color="auto"/>
        <w:bottom w:val="none" w:sz="0" w:space="0" w:color="auto"/>
        <w:right w:val="none" w:sz="0" w:space="0" w:color="auto"/>
      </w:divBdr>
    </w:div>
    <w:div w:id="803233639">
      <w:bodyDiv w:val="1"/>
      <w:marLeft w:val="0"/>
      <w:marRight w:val="0"/>
      <w:marTop w:val="0"/>
      <w:marBottom w:val="0"/>
      <w:divBdr>
        <w:top w:val="none" w:sz="0" w:space="0" w:color="auto"/>
        <w:left w:val="none" w:sz="0" w:space="0" w:color="auto"/>
        <w:bottom w:val="none" w:sz="0" w:space="0" w:color="auto"/>
        <w:right w:val="none" w:sz="0" w:space="0" w:color="auto"/>
      </w:divBdr>
    </w:div>
    <w:div w:id="804276599">
      <w:bodyDiv w:val="1"/>
      <w:marLeft w:val="0"/>
      <w:marRight w:val="0"/>
      <w:marTop w:val="0"/>
      <w:marBottom w:val="0"/>
      <w:divBdr>
        <w:top w:val="none" w:sz="0" w:space="0" w:color="auto"/>
        <w:left w:val="none" w:sz="0" w:space="0" w:color="auto"/>
        <w:bottom w:val="none" w:sz="0" w:space="0" w:color="auto"/>
        <w:right w:val="none" w:sz="0" w:space="0" w:color="auto"/>
      </w:divBdr>
    </w:div>
    <w:div w:id="804733486">
      <w:bodyDiv w:val="1"/>
      <w:marLeft w:val="0"/>
      <w:marRight w:val="0"/>
      <w:marTop w:val="0"/>
      <w:marBottom w:val="0"/>
      <w:divBdr>
        <w:top w:val="none" w:sz="0" w:space="0" w:color="auto"/>
        <w:left w:val="none" w:sz="0" w:space="0" w:color="auto"/>
        <w:bottom w:val="none" w:sz="0" w:space="0" w:color="auto"/>
        <w:right w:val="none" w:sz="0" w:space="0" w:color="auto"/>
      </w:divBdr>
    </w:div>
    <w:div w:id="805241806">
      <w:bodyDiv w:val="1"/>
      <w:marLeft w:val="0"/>
      <w:marRight w:val="0"/>
      <w:marTop w:val="0"/>
      <w:marBottom w:val="0"/>
      <w:divBdr>
        <w:top w:val="none" w:sz="0" w:space="0" w:color="auto"/>
        <w:left w:val="none" w:sz="0" w:space="0" w:color="auto"/>
        <w:bottom w:val="none" w:sz="0" w:space="0" w:color="auto"/>
        <w:right w:val="none" w:sz="0" w:space="0" w:color="auto"/>
      </w:divBdr>
    </w:div>
    <w:div w:id="805972433">
      <w:bodyDiv w:val="1"/>
      <w:marLeft w:val="0"/>
      <w:marRight w:val="0"/>
      <w:marTop w:val="0"/>
      <w:marBottom w:val="0"/>
      <w:divBdr>
        <w:top w:val="none" w:sz="0" w:space="0" w:color="auto"/>
        <w:left w:val="none" w:sz="0" w:space="0" w:color="auto"/>
        <w:bottom w:val="none" w:sz="0" w:space="0" w:color="auto"/>
        <w:right w:val="none" w:sz="0" w:space="0" w:color="auto"/>
      </w:divBdr>
    </w:div>
    <w:div w:id="806899007">
      <w:bodyDiv w:val="1"/>
      <w:marLeft w:val="0"/>
      <w:marRight w:val="0"/>
      <w:marTop w:val="0"/>
      <w:marBottom w:val="0"/>
      <w:divBdr>
        <w:top w:val="none" w:sz="0" w:space="0" w:color="auto"/>
        <w:left w:val="none" w:sz="0" w:space="0" w:color="auto"/>
        <w:bottom w:val="none" w:sz="0" w:space="0" w:color="auto"/>
        <w:right w:val="none" w:sz="0" w:space="0" w:color="auto"/>
      </w:divBdr>
    </w:div>
    <w:div w:id="807094616">
      <w:bodyDiv w:val="1"/>
      <w:marLeft w:val="0"/>
      <w:marRight w:val="0"/>
      <w:marTop w:val="0"/>
      <w:marBottom w:val="0"/>
      <w:divBdr>
        <w:top w:val="none" w:sz="0" w:space="0" w:color="auto"/>
        <w:left w:val="none" w:sz="0" w:space="0" w:color="auto"/>
        <w:bottom w:val="none" w:sz="0" w:space="0" w:color="auto"/>
        <w:right w:val="none" w:sz="0" w:space="0" w:color="auto"/>
      </w:divBdr>
    </w:div>
    <w:div w:id="808858963">
      <w:bodyDiv w:val="1"/>
      <w:marLeft w:val="0"/>
      <w:marRight w:val="0"/>
      <w:marTop w:val="0"/>
      <w:marBottom w:val="0"/>
      <w:divBdr>
        <w:top w:val="none" w:sz="0" w:space="0" w:color="auto"/>
        <w:left w:val="none" w:sz="0" w:space="0" w:color="auto"/>
        <w:bottom w:val="none" w:sz="0" w:space="0" w:color="auto"/>
        <w:right w:val="none" w:sz="0" w:space="0" w:color="auto"/>
      </w:divBdr>
    </w:div>
    <w:div w:id="810177483">
      <w:bodyDiv w:val="1"/>
      <w:marLeft w:val="0"/>
      <w:marRight w:val="0"/>
      <w:marTop w:val="0"/>
      <w:marBottom w:val="0"/>
      <w:divBdr>
        <w:top w:val="none" w:sz="0" w:space="0" w:color="auto"/>
        <w:left w:val="none" w:sz="0" w:space="0" w:color="auto"/>
        <w:bottom w:val="none" w:sz="0" w:space="0" w:color="auto"/>
        <w:right w:val="none" w:sz="0" w:space="0" w:color="auto"/>
      </w:divBdr>
    </w:div>
    <w:div w:id="811601319">
      <w:bodyDiv w:val="1"/>
      <w:marLeft w:val="0"/>
      <w:marRight w:val="0"/>
      <w:marTop w:val="0"/>
      <w:marBottom w:val="0"/>
      <w:divBdr>
        <w:top w:val="none" w:sz="0" w:space="0" w:color="auto"/>
        <w:left w:val="none" w:sz="0" w:space="0" w:color="auto"/>
        <w:bottom w:val="none" w:sz="0" w:space="0" w:color="auto"/>
        <w:right w:val="none" w:sz="0" w:space="0" w:color="auto"/>
      </w:divBdr>
    </w:div>
    <w:div w:id="812019534">
      <w:bodyDiv w:val="1"/>
      <w:marLeft w:val="0"/>
      <w:marRight w:val="0"/>
      <w:marTop w:val="0"/>
      <w:marBottom w:val="0"/>
      <w:divBdr>
        <w:top w:val="none" w:sz="0" w:space="0" w:color="auto"/>
        <w:left w:val="none" w:sz="0" w:space="0" w:color="auto"/>
        <w:bottom w:val="none" w:sz="0" w:space="0" w:color="auto"/>
        <w:right w:val="none" w:sz="0" w:space="0" w:color="auto"/>
      </w:divBdr>
    </w:div>
    <w:div w:id="812482528">
      <w:bodyDiv w:val="1"/>
      <w:marLeft w:val="0"/>
      <w:marRight w:val="0"/>
      <w:marTop w:val="0"/>
      <w:marBottom w:val="0"/>
      <w:divBdr>
        <w:top w:val="none" w:sz="0" w:space="0" w:color="auto"/>
        <w:left w:val="none" w:sz="0" w:space="0" w:color="auto"/>
        <w:bottom w:val="none" w:sz="0" w:space="0" w:color="auto"/>
        <w:right w:val="none" w:sz="0" w:space="0" w:color="auto"/>
      </w:divBdr>
    </w:div>
    <w:div w:id="812717310">
      <w:bodyDiv w:val="1"/>
      <w:marLeft w:val="0"/>
      <w:marRight w:val="0"/>
      <w:marTop w:val="0"/>
      <w:marBottom w:val="0"/>
      <w:divBdr>
        <w:top w:val="none" w:sz="0" w:space="0" w:color="auto"/>
        <w:left w:val="none" w:sz="0" w:space="0" w:color="auto"/>
        <w:bottom w:val="none" w:sz="0" w:space="0" w:color="auto"/>
        <w:right w:val="none" w:sz="0" w:space="0" w:color="auto"/>
      </w:divBdr>
    </w:div>
    <w:div w:id="814370816">
      <w:bodyDiv w:val="1"/>
      <w:marLeft w:val="0"/>
      <w:marRight w:val="0"/>
      <w:marTop w:val="0"/>
      <w:marBottom w:val="0"/>
      <w:divBdr>
        <w:top w:val="none" w:sz="0" w:space="0" w:color="auto"/>
        <w:left w:val="none" w:sz="0" w:space="0" w:color="auto"/>
        <w:bottom w:val="none" w:sz="0" w:space="0" w:color="auto"/>
        <w:right w:val="none" w:sz="0" w:space="0" w:color="auto"/>
      </w:divBdr>
    </w:div>
    <w:div w:id="814834765">
      <w:bodyDiv w:val="1"/>
      <w:marLeft w:val="0"/>
      <w:marRight w:val="0"/>
      <w:marTop w:val="0"/>
      <w:marBottom w:val="0"/>
      <w:divBdr>
        <w:top w:val="none" w:sz="0" w:space="0" w:color="auto"/>
        <w:left w:val="none" w:sz="0" w:space="0" w:color="auto"/>
        <w:bottom w:val="none" w:sz="0" w:space="0" w:color="auto"/>
        <w:right w:val="none" w:sz="0" w:space="0" w:color="auto"/>
      </w:divBdr>
    </w:div>
    <w:div w:id="816917957">
      <w:bodyDiv w:val="1"/>
      <w:marLeft w:val="0"/>
      <w:marRight w:val="0"/>
      <w:marTop w:val="0"/>
      <w:marBottom w:val="0"/>
      <w:divBdr>
        <w:top w:val="none" w:sz="0" w:space="0" w:color="auto"/>
        <w:left w:val="none" w:sz="0" w:space="0" w:color="auto"/>
        <w:bottom w:val="none" w:sz="0" w:space="0" w:color="auto"/>
        <w:right w:val="none" w:sz="0" w:space="0" w:color="auto"/>
      </w:divBdr>
    </w:div>
    <w:div w:id="817067779">
      <w:bodyDiv w:val="1"/>
      <w:marLeft w:val="0"/>
      <w:marRight w:val="0"/>
      <w:marTop w:val="0"/>
      <w:marBottom w:val="0"/>
      <w:divBdr>
        <w:top w:val="none" w:sz="0" w:space="0" w:color="auto"/>
        <w:left w:val="none" w:sz="0" w:space="0" w:color="auto"/>
        <w:bottom w:val="none" w:sz="0" w:space="0" w:color="auto"/>
        <w:right w:val="none" w:sz="0" w:space="0" w:color="auto"/>
      </w:divBdr>
    </w:div>
    <w:div w:id="817696718">
      <w:bodyDiv w:val="1"/>
      <w:marLeft w:val="0"/>
      <w:marRight w:val="0"/>
      <w:marTop w:val="0"/>
      <w:marBottom w:val="0"/>
      <w:divBdr>
        <w:top w:val="none" w:sz="0" w:space="0" w:color="auto"/>
        <w:left w:val="none" w:sz="0" w:space="0" w:color="auto"/>
        <w:bottom w:val="none" w:sz="0" w:space="0" w:color="auto"/>
        <w:right w:val="none" w:sz="0" w:space="0" w:color="auto"/>
      </w:divBdr>
    </w:div>
    <w:div w:id="818419015">
      <w:bodyDiv w:val="1"/>
      <w:marLeft w:val="0"/>
      <w:marRight w:val="0"/>
      <w:marTop w:val="0"/>
      <w:marBottom w:val="0"/>
      <w:divBdr>
        <w:top w:val="none" w:sz="0" w:space="0" w:color="auto"/>
        <w:left w:val="none" w:sz="0" w:space="0" w:color="auto"/>
        <w:bottom w:val="none" w:sz="0" w:space="0" w:color="auto"/>
        <w:right w:val="none" w:sz="0" w:space="0" w:color="auto"/>
      </w:divBdr>
    </w:div>
    <w:div w:id="819270272">
      <w:bodyDiv w:val="1"/>
      <w:marLeft w:val="0"/>
      <w:marRight w:val="0"/>
      <w:marTop w:val="0"/>
      <w:marBottom w:val="0"/>
      <w:divBdr>
        <w:top w:val="none" w:sz="0" w:space="0" w:color="auto"/>
        <w:left w:val="none" w:sz="0" w:space="0" w:color="auto"/>
        <w:bottom w:val="none" w:sz="0" w:space="0" w:color="auto"/>
        <w:right w:val="none" w:sz="0" w:space="0" w:color="auto"/>
      </w:divBdr>
    </w:div>
    <w:div w:id="820081699">
      <w:bodyDiv w:val="1"/>
      <w:marLeft w:val="0"/>
      <w:marRight w:val="0"/>
      <w:marTop w:val="0"/>
      <w:marBottom w:val="0"/>
      <w:divBdr>
        <w:top w:val="none" w:sz="0" w:space="0" w:color="auto"/>
        <w:left w:val="none" w:sz="0" w:space="0" w:color="auto"/>
        <w:bottom w:val="none" w:sz="0" w:space="0" w:color="auto"/>
        <w:right w:val="none" w:sz="0" w:space="0" w:color="auto"/>
      </w:divBdr>
    </w:div>
    <w:div w:id="820118766">
      <w:bodyDiv w:val="1"/>
      <w:marLeft w:val="0"/>
      <w:marRight w:val="0"/>
      <w:marTop w:val="0"/>
      <w:marBottom w:val="0"/>
      <w:divBdr>
        <w:top w:val="none" w:sz="0" w:space="0" w:color="auto"/>
        <w:left w:val="none" w:sz="0" w:space="0" w:color="auto"/>
        <w:bottom w:val="none" w:sz="0" w:space="0" w:color="auto"/>
        <w:right w:val="none" w:sz="0" w:space="0" w:color="auto"/>
      </w:divBdr>
    </w:div>
    <w:div w:id="820537207">
      <w:bodyDiv w:val="1"/>
      <w:marLeft w:val="0"/>
      <w:marRight w:val="0"/>
      <w:marTop w:val="0"/>
      <w:marBottom w:val="0"/>
      <w:divBdr>
        <w:top w:val="none" w:sz="0" w:space="0" w:color="auto"/>
        <w:left w:val="none" w:sz="0" w:space="0" w:color="auto"/>
        <w:bottom w:val="none" w:sz="0" w:space="0" w:color="auto"/>
        <w:right w:val="none" w:sz="0" w:space="0" w:color="auto"/>
      </w:divBdr>
    </w:div>
    <w:div w:id="821118683">
      <w:bodyDiv w:val="1"/>
      <w:marLeft w:val="0"/>
      <w:marRight w:val="0"/>
      <w:marTop w:val="0"/>
      <w:marBottom w:val="0"/>
      <w:divBdr>
        <w:top w:val="none" w:sz="0" w:space="0" w:color="auto"/>
        <w:left w:val="none" w:sz="0" w:space="0" w:color="auto"/>
        <w:bottom w:val="none" w:sz="0" w:space="0" w:color="auto"/>
        <w:right w:val="none" w:sz="0" w:space="0" w:color="auto"/>
      </w:divBdr>
    </w:div>
    <w:div w:id="821966940">
      <w:bodyDiv w:val="1"/>
      <w:marLeft w:val="0"/>
      <w:marRight w:val="0"/>
      <w:marTop w:val="0"/>
      <w:marBottom w:val="0"/>
      <w:divBdr>
        <w:top w:val="none" w:sz="0" w:space="0" w:color="auto"/>
        <w:left w:val="none" w:sz="0" w:space="0" w:color="auto"/>
        <w:bottom w:val="none" w:sz="0" w:space="0" w:color="auto"/>
        <w:right w:val="none" w:sz="0" w:space="0" w:color="auto"/>
      </w:divBdr>
    </w:div>
    <w:div w:id="823819152">
      <w:bodyDiv w:val="1"/>
      <w:marLeft w:val="0"/>
      <w:marRight w:val="0"/>
      <w:marTop w:val="0"/>
      <w:marBottom w:val="0"/>
      <w:divBdr>
        <w:top w:val="none" w:sz="0" w:space="0" w:color="auto"/>
        <w:left w:val="none" w:sz="0" w:space="0" w:color="auto"/>
        <w:bottom w:val="none" w:sz="0" w:space="0" w:color="auto"/>
        <w:right w:val="none" w:sz="0" w:space="0" w:color="auto"/>
      </w:divBdr>
    </w:div>
    <w:div w:id="824274474">
      <w:bodyDiv w:val="1"/>
      <w:marLeft w:val="0"/>
      <w:marRight w:val="0"/>
      <w:marTop w:val="0"/>
      <w:marBottom w:val="0"/>
      <w:divBdr>
        <w:top w:val="none" w:sz="0" w:space="0" w:color="auto"/>
        <w:left w:val="none" w:sz="0" w:space="0" w:color="auto"/>
        <w:bottom w:val="none" w:sz="0" w:space="0" w:color="auto"/>
        <w:right w:val="none" w:sz="0" w:space="0" w:color="auto"/>
      </w:divBdr>
    </w:div>
    <w:div w:id="825827159">
      <w:bodyDiv w:val="1"/>
      <w:marLeft w:val="0"/>
      <w:marRight w:val="0"/>
      <w:marTop w:val="0"/>
      <w:marBottom w:val="0"/>
      <w:divBdr>
        <w:top w:val="none" w:sz="0" w:space="0" w:color="auto"/>
        <w:left w:val="none" w:sz="0" w:space="0" w:color="auto"/>
        <w:bottom w:val="none" w:sz="0" w:space="0" w:color="auto"/>
        <w:right w:val="none" w:sz="0" w:space="0" w:color="auto"/>
      </w:divBdr>
    </w:div>
    <w:div w:id="825828228">
      <w:bodyDiv w:val="1"/>
      <w:marLeft w:val="0"/>
      <w:marRight w:val="0"/>
      <w:marTop w:val="0"/>
      <w:marBottom w:val="0"/>
      <w:divBdr>
        <w:top w:val="none" w:sz="0" w:space="0" w:color="auto"/>
        <w:left w:val="none" w:sz="0" w:space="0" w:color="auto"/>
        <w:bottom w:val="none" w:sz="0" w:space="0" w:color="auto"/>
        <w:right w:val="none" w:sz="0" w:space="0" w:color="auto"/>
      </w:divBdr>
    </w:div>
    <w:div w:id="826750352">
      <w:bodyDiv w:val="1"/>
      <w:marLeft w:val="0"/>
      <w:marRight w:val="0"/>
      <w:marTop w:val="0"/>
      <w:marBottom w:val="0"/>
      <w:divBdr>
        <w:top w:val="none" w:sz="0" w:space="0" w:color="auto"/>
        <w:left w:val="none" w:sz="0" w:space="0" w:color="auto"/>
        <w:bottom w:val="none" w:sz="0" w:space="0" w:color="auto"/>
        <w:right w:val="none" w:sz="0" w:space="0" w:color="auto"/>
      </w:divBdr>
    </w:div>
    <w:div w:id="827986985">
      <w:bodyDiv w:val="1"/>
      <w:marLeft w:val="0"/>
      <w:marRight w:val="0"/>
      <w:marTop w:val="0"/>
      <w:marBottom w:val="0"/>
      <w:divBdr>
        <w:top w:val="none" w:sz="0" w:space="0" w:color="auto"/>
        <w:left w:val="none" w:sz="0" w:space="0" w:color="auto"/>
        <w:bottom w:val="none" w:sz="0" w:space="0" w:color="auto"/>
        <w:right w:val="none" w:sz="0" w:space="0" w:color="auto"/>
      </w:divBdr>
    </w:div>
    <w:div w:id="829491180">
      <w:bodyDiv w:val="1"/>
      <w:marLeft w:val="0"/>
      <w:marRight w:val="0"/>
      <w:marTop w:val="0"/>
      <w:marBottom w:val="0"/>
      <w:divBdr>
        <w:top w:val="none" w:sz="0" w:space="0" w:color="auto"/>
        <w:left w:val="none" w:sz="0" w:space="0" w:color="auto"/>
        <w:bottom w:val="none" w:sz="0" w:space="0" w:color="auto"/>
        <w:right w:val="none" w:sz="0" w:space="0" w:color="auto"/>
      </w:divBdr>
    </w:div>
    <w:div w:id="830100938">
      <w:bodyDiv w:val="1"/>
      <w:marLeft w:val="0"/>
      <w:marRight w:val="0"/>
      <w:marTop w:val="0"/>
      <w:marBottom w:val="0"/>
      <w:divBdr>
        <w:top w:val="none" w:sz="0" w:space="0" w:color="auto"/>
        <w:left w:val="none" w:sz="0" w:space="0" w:color="auto"/>
        <w:bottom w:val="none" w:sz="0" w:space="0" w:color="auto"/>
        <w:right w:val="none" w:sz="0" w:space="0" w:color="auto"/>
      </w:divBdr>
    </w:div>
    <w:div w:id="830679180">
      <w:bodyDiv w:val="1"/>
      <w:marLeft w:val="0"/>
      <w:marRight w:val="0"/>
      <w:marTop w:val="0"/>
      <w:marBottom w:val="0"/>
      <w:divBdr>
        <w:top w:val="none" w:sz="0" w:space="0" w:color="auto"/>
        <w:left w:val="none" w:sz="0" w:space="0" w:color="auto"/>
        <w:bottom w:val="none" w:sz="0" w:space="0" w:color="auto"/>
        <w:right w:val="none" w:sz="0" w:space="0" w:color="auto"/>
      </w:divBdr>
    </w:div>
    <w:div w:id="833643565">
      <w:bodyDiv w:val="1"/>
      <w:marLeft w:val="0"/>
      <w:marRight w:val="0"/>
      <w:marTop w:val="0"/>
      <w:marBottom w:val="0"/>
      <w:divBdr>
        <w:top w:val="none" w:sz="0" w:space="0" w:color="auto"/>
        <w:left w:val="none" w:sz="0" w:space="0" w:color="auto"/>
        <w:bottom w:val="none" w:sz="0" w:space="0" w:color="auto"/>
        <w:right w:val="none" w:sz="0" w:space="0" w:color="auto"/>
      </w:divBdr>
    </w:div>
    <w:div w:id="838085254">
      <w:bodyDiv w:val="1"/>
      <w:marLeft w:val="0"/>
      <w:marRight w:val="0"/>
      <w:marTop w:val="0"/>
      <w:marBottom w:val="0"/>
      <w:divBdr>
        <w:top w:val="none" w:sz="0" w:space="0" w:color="auto"/>
        <w:left w:val="none" w:sz="0" w:space="0" w:color="auto"/>
        <w:bottom w:val="none" w:sz="0" w:space="0" w:color="auto"/>
        <w:right w:val="none" w:sz="0" w:space="0" w:color="auto"/>
      </w:divBdr>
    </w:div>
    <w:div w:id="838614525">
      <w:bodyDiv w:val="1"/>
      <w:marLeft w:val="0"/>
      <w:marRight w:val="0"/>
      <w:marTop w:val="0"/>
      <w:marBottom w:val="0"/>
      <w:divBdr>
        <w:top w:val="none" w:sz="0" w:space="0" w:color="auto"/>
        <w:left w:val="none" w:sz="0" w:space="0" w:color="auto"/>
        <w:bottom w:val="none" w:sz="0" w:space="0" w:color="auto"/>
        <w:right w:val="none" w:sz="0" w:space="0" w:color="auto"/>
      </w:divBdr>
    </w:div>
    <w:div w:id="839003064">
      <w:bodyDiv w:val="1"/>
      <w:marLeft w:val="0"/>
      <w:marRight w:val="0"/>
      <w:marTop w:val="0"/>
      <w:marBottom w:val="0"/>
      <w:divBdr>
        <w:top w:val="none" w:sz="0" w:space="0" w:color="auto"/>
        <w:left w:val="none" w:sz="0" w:space="0" w:color="auto"/>
        <w:bottom w:val="none" w:sz="0" w:space="0" w:color="auto"/>
        <w:right w:val="none" w:sz="0" w:space="0" w:color="auto"/>
      </w:divBdr>
    </w:div>
    <w:div w:id="839269202">
      <w:bodyDiv w:val="1"/>
      <w:marLeft w:val="0"/>
      <w:marRight w:val="0"/>
      <w:marTop w:val="0"/>
      <w:marBottom w:val="0"/>
      <w:divBdr>
        <w:top w:val="none" w:sz="0" w:space="0" w:color="auto"/>
        <w:left w:val="none" w:sz="0" w:space="0" w:color="auto"/>
        <w:bottom w:val="none" w:sz="0" w:space="0" w:color="auto"/>
        <w:right w:val="none" w:sz="0" w:space="0" w:color="auto"/>
      </w:divBdr>
    </w:div>
    <w:div w:id="843277496">
      <w:bodyDiv w:val="1"/>
      <w:marLeft w:val="0"/>
      <w:marRight w:val="0"/>
      <w:marTop w:val="0"/>
      <w:marBottom w:val="0"/>
      <w:divBdr>
        <w:top w:val="none" w:sz="0" w:space="0" w:color="auto"/>
        <w:left w:val="none" w:sz="0" w:space="0" w:color="auto"/>
        <w:bottom w:val="none" w:sz="0" w:space="0" w:color="auto"/>
        <w:right w:val="none" w:sz="0" w:space="0" w:color="auto"/>
      </w:divBdr>
    </w:div>
    <w:div w:id="843520801">
      <w:bodyDiv w:val="1"/>
      <w:marLeft w:val="0"/>
      <w:marRight w:val="0"/>
      <w:marTop w:val="0"/>
      <w:marBottom w:val="0"/>
      <w:divBdr>
        <w:top w:val="none" w:sz="0" w:space="0" w:color="auto"/>
        <w:left w:val="none" w:sz="0" w:space="0" w:color="auto"/>
        <w:bottom w:val="none" w:sz="0" w:space="0" w:color="auto"/>
        <w:right w:val="none" w:sz="0" w:space="0" w:color="auto"/>
      </w:divBdr>
    </w:div>
    <w:div w:id="845168897">
      <w:bodyDiv w:val="1"/>
      <w:marLeft w:val="0"/>
      <w:marRight w:val="0"/>
      <w:marTop w:val="0"/>
      <w:marBottom w:val="0"/>
      <w:divBdr>
        <w:top w:val="none" w:sz="0" w:space="0" w:color="auto"/>
        <w:left w:val="none" w:sz="0" w:space="0" w:color="auto"/>
        <w:bottom w:val="none" w:sz="0" w:space="0" w:color="auto"/>
        <w:right w:val="none" w:sz="0" w:space="0" w:color="auto"/>
      </w:divBdr>
    </w:div>
    <w:div w:id="845903512">
      <w:bodyDiv w:val="1"/>
      <w:marLeft w:val="0"/>
      <w:marRight w:val="0"/>
      <w:marTop w:val="0"/>
      <w:marBottom w:val="0"/>
      <w:divBdr>
        <w:top w:val="none" w:sz="0" w:space="0" w:color="auto"/>
        <w:left w:val="none" w:sz="0" w:space="0" w:color="auto"/>
        <w:bottom w:val="none" w:sz="0" w:space="0" w:color="auto"/>
        <w:right w:val="none" w:sz="0" w:space="0" w:color="auto"/>
      </w:divBdr>
    </w:div>
    <w:div w:id="847446028">
      <w:bodyDiv w:val="1"/>
      <w:marLeft w:val="0"/>
      <w:marRight w:val="0"/>
      <w:marTop w:val="0"/>
      <w:marBottom w:val="0"/>
      <w:divBdr>
        <w:top w:val="none" w:sz="0" w:space="0" w:color="auto"/>
        <w:left w:val="none" w:sz="0" w:space="0" w:color="auto"/>
        <w:bottom w:val="none" w:sz="0" w:space="0" w:color="auto"/>
        <w:right w:val="none" w:sz="0" w:space="0" w:color="auto"/>
      </w:divBdr>
    </w:div>
    <w:div w:id="847792625">
      <w:bodyDiv w:val="1"/>
      <w:marLeft w:val="0"/>
      <w:marRight w:val="0"/>
      <w:marTop w:val="0"/>
      <w:marBottom w:val="0"/>
      <w:divBdr>
        <w:top w:val="none" w:sz="0" w:space="0" w:color="auto"/>
        <w:left w:val="none" w:sz="0" w:space="0" w:color="auto"/>
        <w:bottom w:val="none" w:sz="0" w:space="0" w:color="auto"/>
        <w:right w:val="none" w:sz="0" w:space="0" w:color="auto"/>
      </w:divBdr>
    </w:div>
    <w:div w:id="848103997">
      <w:bodyDiv w:val="1"/>
      <w:marLeft w:val="0"/>
      <w:marRight w:val="0"/>
      <w:marTop w:val="0"/>
      <w:marBottom w:val="0"/>
      <w:divBdr>
        <w:top w:val="none" w:sz="0" w:space="0" w:color="auto"/>
        <w:left w:val="none" w:sz="0" w:space="0" w:color="auto"/>
        <w:bottom w:val="none" w:sz="0" w:space="0" w:color="auto"/>
        <w:right w:val="none" w:sz="0" w:space="0" w:color="auto"/>
      </w:divBdr>
    </w:div>
    <w:div w:id="848759703">
      <w:bodyDiv w:val="1"/>
      <w:marLeft w:val="0"/>
      <w:marRight w:val="0"/>
      <w:marTop w:val="0"/>
      <w:marBottom w:val="0"/>
      <w:divBdr>
        <w:top w:val="none" w:sz="0" w:space="0" w:color="auto"/>
        <w:left w:val="none" w:sz="0" w:space="0" w:color="auto"/>
        <w:bottom w:val="none" w:sz="0" w:space="0" w:color="auto"/>
        <w:right w:val="none" w:sz="0" w:space="0" w:color="auto"/>
      </w:divBdr>
    </w:div>
    <w:div w:id="849567406">
      <w:bodyDiv w:val="1"/>
      <w:marLeft w:val="0"/>
      <w:marRight w:val="0"/>
      <w:marTop w:val="0"/>
      <w:marBottom w:val="0"/>
      <w:divBdr>
        <w:top w:val="none" w:sz="0" w:space="0" w:color="auto"/>
        <w:left w:val="none" w:sz="0" w:space="0" w:color="auto"/>
        <w:bottom w:val="none" w:sz="0" w:space="0" w:color="auto"/>
        <w:right w:val="none" w:sz="0" w:space="0" w:color="auto"/>
      </w:divBdr>
    </w:div>
    <w:div w:id="849687063">
      <w:bodyDiv w:val="1"/>
      <w:marLeft w:val="0"/>
      <w:marRight w:val="0"/>
      <w:marTop w:val="0"/>
      <w:marBottom w:val="0"/>
      <w:divBdr>
        <w:top w:val="none" w:sz="0" w:space="0" w:color="auto"/>
        <w:left w:val="none" w:sz="0" w:space="0" w:color="auto"/>
        <w:bottom w:val="none" w:sz="0" w:space="0" w:color="auto"/>
        <w:right w:val="none" w:sz="0" w:space="0" w:color="auto"/>
      </w:divBdr>
    </w:div>
    <w:div w:id="853419290">
      <w:bodyDiv w:val="1"/>
      <w:marLeft w:val="0"/>
      <w:marRight w:val="0"/>
      <w:marTop w:val="0"/>
      <w:marBottom w:val="0"/>
      <w:divBdr>
        <w:top w:val="none" w:sz="0" w:space="0" w:color="auto"/>
        <w:left w:val="none" w:sz="0" w:space="0" w:color="auto"/>
        <w:bottom w:val="none" w:sz="0" w:space="0" w:color="auto"/>
        <w:right w:val="none" w:sz="0" w:space="0" w:color="auto"/>
      </w:divBdr>
    </w:div>
    <w:div w:id="857432657">
      <w:bodyDiv w:val="1"/>
      <w:marLeft w:val="0"/>
      <w:marRight w:val="0"/>
      <w:marTop w:val="0"/>
      <w:marBottom w:val="0"/>
      <w:divBdr>
        <w:top w:val="none" w:sz="0" w:space="0" w:color="auto"/>
        <w:left w:val="none" w:sz="0" w:space="0" w:color="auto"/>
        <w:bottom w:val="none" w:sz="0" w:space="0" w:color="auto"/>
        <w:right w:val="none" w:sz="0" w:space="0" w:color="auto"/>
      </w:divBdr>
    </w:div>
    <w:div w:id="858278311">
      <w:bodyDiv w:val="1"/>
      <w:marLeft w:val="0"/>
      <w:marRight w:val="0"/>
      <w:marTop w:val="0"/>
      <w:marBottom w:val="0"/>
      <w:divBdr>
        <w:top w:val="none" w:sz="0" w:space="0" w:color="auto"/>
        <w:left w:val="none" w:sz="0" w:space="0" w:color="auto"/>
        <w:bottom w:val="none" w:sz="0" w:space="0" w:color="auto"/>
        <w:right w:val="none" w:sz="0" w:space="0" w:color="auto"/>
      </w:divBdr>
    </w:div>
    <w:div w:id="858851925">
      <w:bodyDiv w:val="1"/>
      <w:marLeft w:val="0"/>
      <w:marRight w:val="0"/>
      <w:marTop w:val="0"/>
      <w:marBottom w:val="0"/>
      <w:divBdr>
        <w:top w:val="none" w:sz="0" w:space="0" w:color="auto"/>
        <w:left w:val="none" w:sz="0" w:space="0" w:color="auto"/>
        <w:bottom w:val="none" w:sz="0" w:space="0" w:color="auto"/>
        <w:right w:val="none" w:sz="0" w:space="0" w:color="auto"/>
      </w:divBdr>
    </w:div>
    <w:div w:id="859245069">
      <w:bodyDiv w:val="1"/>
      <w:marLeft w:val="0"/>
      <w:marRight w:val="0"/>
      <w:marTop w:val="0"/>
      <w:marBottom w:val="0"/>
      <w:divBdr>
        <w:top w:val="none" w:sz="0" w:space="0" w:color="auto"/>
        <w:left w:val="none" w:sz="0" w:space="0" w:color="auto"/>
        <w:bottom w:val="none" w:sz="0" w:space="0" w:color="auto"/>
        <w:right w:val="none" w:sz="0" w:space="0" w:color="auto"/>
      </w:divBdr>
    </w:div>
    <w:div w:id="859852818">
      <w:bodyDiv w:val="1"/>
      <w:marLeft w:val="0"/>
      <w:marRight w:val="0"/>
      <w:marTop w:val="0"/>
      <w:marBottom w:val="0"/>
      <w:divBdr>
        <w:top w:val="none" w:sz="0" w:space="0" w:color="auto"/>
        <w:left w:val="none" w:sz="0" w:space="0" w:color="auto"/>
        <w:bottom w:val="none" w:sz="0" w:space="0" w:color="auto"/>
        <w:right w:val="none" w:sz="0" w:space="0" w:color="auto"/>
      </w:divBdr>
    </w:div>
    <w:div w:id="860126652">
      <w:bodyDiv w:val="1"/>
      <w:marLeft w:val="0"/>
      <w:marRight w:val="0"/>
      <w:marTop w:val="0"/>
      <w:marBottom w:val="0"/>
      <w:divBdr>
        <w:top w:val="none" w:sz="0" w:space="0" w:color="auto"/>
        <w:left w:val="none" w:sz="0" w:space="0" w:color="auto"/>
        <w:bottom w:val="none" w:sz="0" w:space="0" w:color="auto"/>
        <w:right w:val="none" w:sz="0" w:space="0" w:color="auto"/>
      </w:divBdr>
    </w:div>
    <w:div w:id="860320817">
      <w:bodyDiv w:val="1"/>
      <w:marLeft w:val="0"/>
      <w:marRight w:val="0"/>
      <w:marTop w:val="0"/>
      <w:marBottom w:val="0"/>
      <w:divBdr>
        <w:top w:val="none" w:sz="0" w:space="0" w:color="auto"/>
        <w:left w:val="none" w:sz="0" w:space="0" w:color="auto"/>
        <w:bottom w:val="none" w:sz="0" w:space="0" w:color="auto"/>
        <w:right w:val="none" w:sz="0" w:space="0" w:color="auto"/>
      </w:divBdr>
    </w:div>
    <w:div w:id="863598894">
      <w:bodyDiv w:val="1"/>
      <w:marLeft w:val="0"/>
      <w:marRight w:val="0"/>
      <w:marTop w:val="0"/>
      <w:marBottom w:val="0"/>
      <w:divBdr>
        <w:top w:val="none" w:sz="0" w:space="0" w:color="auto"/>
        <w:left w:val="none" w:sz="0" w:space="0" w:color="auto"/>
        <w:bottom w:val="none" w:sz="0" w:space="0" w:color="auto"/>
        <w:right w:val="none" w:sz="0" w:space="0" w:color="auto"/>
      </w:divBdr>
    </w:div>
    <w:div w:id="865170371">
      <w:bodyDiv w:val="1"/>
      <w:marLeft w:val="0"/>
      <w:marRight w:val="0"/>
      <w:marTop w:val="0"/>
      <w:marBottom w:val="0"/>
      <w:divBdr>
        <w:top w:val="none" w:sz="0" w:space="0" w:color="auto"/>
        <w:left w:val="none" w:sz="0" w:space="0" w:color="auto"/>
        <w:bottom w:val="none" w:sz="0" w:space="0" w:color="auto"/>
        <w:right w:val="none" w:sz="0" w:space="0" w:color="auto"/>
      </w:divBdr>
    </w:div>
    <w:div w:id="865219759">
      <w:bodyDiv w:val="1"/>
      <w:marLeft w:val="0"/>
      <w:marRight w:val="0"/>
      <w:marTop w:val="0"/>
      <w:marBottom w:val="0"/>
      <w:divBdr>
        <w:top w:val="none" w:sz="0" w:space="0" w:color="auto"/>
        <w:left w:val="none" w:sz="0" w:space="0" w:color="auto"/>
        <w:bottom w:val="none" w:sz="0" w:space="0" w:color="auto"/>
        <w:right w:val="none" w:sz="0" w:space="0" w:color="auto"/>
      </w:divBdr>
    </w:div>
    <w:div w:id="868488002">
      <w:bodyDiv w:val="1"/>
      <w:marLeft w:val="0"/>
      <w:marRight w:val="0"/>
      <w:marTop w:val="0"/>
      <w:marBottom w:val="0"/>
      <w:divBdr>
        <w:top w:val="none" w:sz="0" w:space="0" w:color="auto"/>
        <w:left w:val="none" w:sz="0" w:space="0" w:color="auto"/>
        <w:bottom w:val="none" w:sz="0" w:space="0" w:color="auto"/>
        <w:right w:val="none" w:sz="0" w:space="0" w:color="auto"/>
      </w:divBdr>
    </w:div>
    <w:div w:id="869034050">
      <w:bodyDiv w:val="1"/>
      <w:marLeft w:val="0"/>
      <w:marRight w:val="0"/>
      <w:marTop w:val="0"/>
      <w:marBottom w:val="0"/>
      <w:divBdr>
        <w:top w:val="none" w:sz="0" w:space="0" w:color="auto"/>
        <w:left w:val="none" w:sz="0" w:space="0" w:color="auto"/>
        <w:bottom w:val="none" w:sz="0" w:space="0" w:color="auto"/>
        <w:right w:val="none" w:sz="0" w:space="0" w:color="auto"/>
      </w:divBdr>
    </w:div>
    <w:div w:id="869610014">
      <w:bodyDiv w:val="1"/>
      <w:marLeft w:val="0"/>
      <w:marRight w:val="0"/>
      <w:marTop w:val="0"/>
      <w:marBottom w:val="0"/>
      <w:divBdr>
        <w:top w:val="none" w:sz="0" w:space="0" w:color="auto"/>
        <w:left w:val="none" w:sz="0" w:space="0" w:color="auto"/>
        <w:bottom w:val="none" w:sz="0" w:space="0" w:color="auto"/>
        <w:right w:val="none" w:sz="0" w:space="0" w:color="auto"/>
      </w:divBdr>
    </w:div>
    <w:div w:id="870338024">
      <w:bodyDiv w:val="1"/>
      <w:marLeft w:val="0"/>
      <w:marRight w:val="0"/>
      <w:marTop w:val="0"/>
      <w:marBottom w:val="0"/>
      <w:divBdr>
        <w:top w:val="none" w:sz="0" w:space="0" w:color="auto"/>
        <w:left w:val="none" w:sz="0" w:space="0" w:color="auto"/>
        <w:bottom w:val="none" w:sz="0" w:space="0" w:color="auto"/>
        <w:right w:val="none" w:sz="0" w:space="0" w:color="auto"/>
      </w:divBdr>
    </w:div>
    <w:div w:id="871456689">
      <w:bodyDiv w:val="1"/>
      <w:marLeft w:val="0"/>
      <w:marRight w:val="0"/>
      <w:marTop w:val="0"/>
      <w:marBottom w:val="0"/>
      <w:divBdr>
        <w:top w:val="none" w:sz="0" w:space="0" w:color="auto"/>
        <w:left w:val="none" w:sz="0" w:space="0" w:color="auto"/>
        <w:bottom w:val="none" w:sz="0" w:space="0" w:color="auto"/>
        <w:right w:val="none" w:sz="0" w:space="0" w:color="auto"/>
      </w:divBdr>
    </w:div>
    <w:div w:id="871499547">
      <w:bodyDiv w:val="1"/>
      <w:marLeft w:val="0"/>
      <w:marRight w:val="0"/>
      <w:marTop w:val="0"/>
      <w:marBottom w:val="0"/>
      <w:divBdr>
        <w:top w:val="none" w:sz="0" w:space="0" w:color="auto"/>
        <w:left w:val="none" w:sz="0" w:space="0" w:color="auto"/>
        <w:bottom w:val="none" w:sz="0" w:space="0" w:color="auto"/>
        <w:right w:val="none" w:sz="0" w:space="0" w:color="auto"/>
      </w:divBdr>
    </w:div>
    <w:div w:id="871959946">
      <w:bodyDiv w:val="1"/>
      <w:marLeft w:val="0"/>
      <w:marRight w:val="0"/>
      <w:marTop w:val="0"/>
      <w:marBottom w:val="0"/>
      <w:divBdr>
        <w:top w:val="none" w:sz="0" w:space="0" w:color="auto"/>
        <w:left w:val="none" w:sz="0" w:space="0" w:color="auto"/>
        <w:bottom w:val="none" w:sz="0" w:space="0" w:color="auto"/>
        <w:right w:val="none" w:sz="0" w:space="0" w:color="auto"/>
      </w:divBdr>
    </w:div>
    <w:div w:id="872153256">
      <w:bodyDiv w:val="1"/>
      <w:marLeft w:val="0"/>
      <w:marRight w:val="0"/>
      <w:marTop w:val="0"/>
      <w:marBottom w:val="0"/>
      <w:divBdr>
        <w:top w:val="none" w:sz="0" w:space="0" w:color="auto"/>
        <w:left w:val="none" w:sz="0" w:space="0" w:color="auto"/>
        <w:bottom w:val="none" w:sz="0" w:space="0" w:color="auto"/>
        <w:right w:val="none" w:sz="0" w:space="0" w:color="auto"/>
      </w:divBdr>
    </w:div>
    <w:div w:id="873075255">
      <w:bodyDiv w:val="1"/>
      <w:marLeft w:val="0"/>
      <w:marRight w:val="0"/>
      <w:marTop w:val="0"/>
      <w:marBottom w:val="0"/>
      <w:divBdr>
        <w:top w:val="none" w:sz="0" w:space="0" w:color="auto"/>
        <w:left w:val="none" w:sz="0" w:space="0" w:color="auto"/>
        <w:bottom w:val="none" w:sz="0" w:space="0" w:color="auto"/>
        <w:right w:val="none" w:sz="0" w:space="0" w:color="auto"/>
      </w:divBdr>
    </w:div>
    <w:div w:id="874342568">
      <w:bodyDiv w:val="1"/>
      <w:marLeft w:val="0"/>
      <w:marRight w:val="0"/>
      <w:marTop w:val="0"/>
      <w:marBottom w:val="0"/>
      <w:divBdr>
        <w:top w:val="none" w:sz="0" w:space="0" w:color="auto"/>
        <w:left w:val="none" w:sz="0" w:space="0" w:color="auto"/>
        <w:bottom w:val="none" w:sz="0" w:space="0" w:color="auto"/>
        <w:right w:val="none" w:sz="0" w:space="0" w:color="auto"/>
      </w:divBdr>
    </w:div>
    <w:div w:id="877664391">
      <w:bodyDiv w:val="1"/>
      <w:marLeft w:val="0"/>
      <w:marRight w:val="0"/>
      <w:marTop w:val="0"/>
      <w:marBottom w:val="0"/>
      <w:divBdr>
        <w:top w:val="none" w:sz="0" w:space="0" w:color="auto"/>
        <w:left w:val="none" w:sz="0" w:space="0" w:color="auto"/>
        <w:bottom w:val="none" w:sz="0" w:space="0" w:color="auto"/>
        <w:right w:val="none" w:sz="0" w:space="0" w:color="auto"/>
      </w:divBdr>
    </w:div>
    <w:div w:id="879248333">
      <w:bodyDiv w:val="1"/>
      <w:marLeft w:val="0"/>
      <w:marRight w:val="0"/>
      <w:marTop w:val="0"/>
      <w:marBottom w:val="0"/>
      <w:divBdr>
        <w:top w:val="none" w:sz="0" w:space="0" w:color="auto"/>
        <w:left w:val="none" w:sz="0" w:space="0" w:color="auto"/>
        <w:bottom w:val="none" w:sz="0" w:space="0" w:color="auto"/>
        <w:right w:val="none" w:sz="0" w:space="0" w:color="auto"/>
      </w:divBdr>
    </w:div>
    <w:div w:id="882013885">
      <w:bodyDiv w:val="1"/>
      <w:marLeft w:val="0"/>
      <w:marRight w:val="0"/>
      <w:marTop w:val="0"/>
      <w:marBottom w:val="0"/>
      <w:divBdr>
        <w:top w:val="none" w:sz="0" w:space="0" w:color="auto"/>
        <w:left w:val="none" w:sz="0" w:space="0" w:color="auto"/>
        <w:bottom w:val="none" w:sz="0" w:space="0" w:color="auto"/>
        <w:right w:val="none" w:sz="0" w:space="0" w:color="auto"/>
      </w:divBdr>
    </w:div>
    <w:div w:id="882255467">
      <w:bodyDiv w:val="1"/>
      <w:marLeft w:val="0"/>
      <w:marRight w:val="0"/>
      <w:marTop w:val="0"/>
      <w:marBottom w:val="0"/>
      <w:divBdr>
        <w:top w:val="none" w:sz="0" w:space="0" w:color="auto"/>
        <w:left w:val="none" w:sz="0" w:space="0" w:color="auto"/>
        <w:bottom w:val="none" w:sz="0" w:space="0" w:color="auto"/>
        <w:right w:val="none" w:sz="0" w:space="0" w:color="auto"/>
      </w:divBdr>
    </w:div>
    <w:div w:id="882474656">
      <w:bodyDiv w:val="1"/>
      <w:marLeft w:val="0"/>
      <w:marRight w:val="0"/>
      <w:marTop w:val="0"/>
      <w:marBottom w:val="0"/>
      <w:divBdr>
        <w:top w:val="none" w:sz="0" w:space="0" w:color="auto"/>
        <w:left w:val="none" w:sz="0" w:space="0" w:color="auto"/>
        <w:bottom w:val="none" w:sz="0" w:space="0" w:color="auto"/>
        <w:right w:val="none" w:sz="0" w:space="0" w:color="auto"/>
      </w:divBdr>
    </w:div>
    <w:div w:id="882601512">
      <w:bodyDiv w:val="1"/>
      <w:marLeft w:val="0"/>
      <w:marRight w:val="0"/>
      <w:marTop w:val="0"/>
      <w:marBottom w:val="0"/>
      <w:divBdr>
        <w:top w:val="none" w:sz="0" w:space="0" w:color="auto"/>
        <w:left w:val="none" w:sz="0" w:space="0" w:color="auto"/>
        <w:bottom w:val="none" w:sz="0" w:space="0" w:color="auto"/>
        <w:right w:val="none" w:sz="0" w:space="0" w:color="auto"/>
      </w:divBdr>
    </w:div>
    <w:div w:id="884100881">
      <w:bodyDiv w:val="1"/>
      <w:marLeft w:val="0"/>
      <w:marRight w:val="0"/>
      <w:marTop w:val="0"/>
      <w:marBottom w:val="0"/>
      <w:divBdr>
        <w:top w:val="none" w:sz="0" w:space="0" w:color="auto"/>
        <w:left w:val="none" w:sz="0" w:space="0" w:color="auto"/>
        <w:bottom w:val="none" w:sz="0" w:space="0" w:color="auto"/>
        <w:right w:val="none" w:sz="0" w:space="0" w:color="auto"/>
      </w:divBdr>
    </w:div>
    <w:div w:id="885143891">
      <w:bodyDiv w:val="1"/>
      <w:marLeft w:val="0"/>
      <w:marRight w:val="0"/>
      <w:marTop w:val="0"/>
      <w:marBottom w:val="0"/>
      <w:divBdr>
        <w:top w:val="none" w:sz="0" w:space="0" w:color="auto"/>
        <w:left w:val="none" w:sz="0" w:space="0" w:color="auto"/>
        <w:bottom w:val="none" w:sz="0" w:space="0" w:color="auto"/>
        <w:right w:val="none" w:sz="0" w:space="0" w:color="auto"/>
      </w:divBdr>
    </w:div>
    <w:div w:id="886338046">
      <w:bodyDiv w:val="1"/>
      <w:marLeft w:val="0"/>
      <w:marRight w:val="0"/>
      <w:marTop w:val="0"/>
      <w:marBottom w:val="0"/>
      <w:divBdr>
        <w:top w:val="none" w:sz="0" w:space="0" w:color="auto"/>
        <w:left w:val="none" w:sz="0" w:space="0" w:color="auto"/>
        <w:bottom w:val="none" w:sz="0" w:space="0" w:color="auto"/>
        <w:right w:val="none" w:sz="0" w:space="0" w:color="auto"/>
      </w:divBdr>
    </w:div>
    <w:div w:id="886601317">
      <w:bodyDiv w:val="1"/>
      <w:marLeft w:val="0"/>
      <w:marRight w:val="0"/>
      <w:marTop w:val="0"/>
      <w:marBottom w:val="0"/>
      <w:divBdr>
        <w:top w:val="none" w:sz="0" w:space="0" w:color="auto"/>
        <w:left w:val="none" w:sz="0" w:space="0" w:color="auto"/>
        <w:bottom w:val="none" w:sz="0" w:space="0" w:color="auto"/>
        <w:right w:val="none" w:sz="0" w:space="0" w:color="auto"/>
      </w:divBdr>
    </w:div>
    <w:div w:id="886991210">
      <w:bodyDiv w:val="1"/>
      <w:marLeft w:val="0"/>
      <w:marRight w:val="0"/>
      <w:marTop w:val="0"/>
      <w:marBottom w:val="0"/>
      <w:divBdr>
        <w:top w:val="none" w:sz="0" w:space="0" w:color="auto"/>
        <w:left w:val="none" w:sz="0" w:space="0" w:color="auto"/>
        <w:bottom w:val="none" w:sz="0" w:space="0" w:color="auto"/>
        <w:right w:val="none" w:sz="0" w:space="0" w:color="auto"/>
      </w:divBdr>
    </w:div>
    <w:div w:id="888302659">
      <w:bodyDiv w:val="1"/>
      <w:marLeft w:val="0"/>
      <w:marRight w:val="0"/>
      <w:marTop w:val="0"/>
      <w:marBottom w:val="0"/>
      <w:divBdr>
        <w:top w:val="none" w:sz="0" w:space="0" w:color="auto"/>
        <w:left w:val="none" w:sz="0" w:space="0" w:color="auto"/>
        <w:bottom w:val="none" w:sz="0" w:space="0" w:color="auto"/>
        <w:right w:val="none" w:sz="0" w:space="0" w:color="auto"/>
      </w:divBdr>
    </w:div>
    <w:div w:id="889070342">
      <w:bodyDiv w:val="1"/>
      <w:marLeft w:val="0"/>
      <w:marRight w:val="0"/>
      <w:marTop w:val="0"/>
      <w:marBottom w:val="0"/>
      <w:divBdr>
        <w:top w:val="none" w:sz="0" w:space="0" w:color="auto"/>
        <w:left w:val="none" w:sz="0" w:space="0" w:color="auto"/>
        <w:bottom w:val="none" w:sz="0" w:space="0" w:color="auto"/>
        <w:right w:val="none" w:sz="0" w:space="0" w:color="auto"/>
      </w:divBdr>
    </w:div>
    <w:div w:id="889464903">
      <w:bodyDiv w:val="1"/>
      <w:marLeft w:val="0"/>
      <w:marRight w:val="0"/>
      <w:marTop w:val="0"/>
      <w:marBottom w:val="0"/>
      <w:divBdr>
        <w:top w:val="none" w:sz="0" w:space="0" w:color="auto"/>
        <w:left w:val="none" w:sz="0" w:space="0" w:color="auto"/>
        <w:bottom w:val="none" w:sz="0" w:space="0" w:color="auto"/>
        <w:right w:val="none" w:sz="0" w:space="0" w:color="auto"/>
      </w:divBdr>
    </w:div>
    <w:div w:id="889541095">
      <w:bodyDiv w:val="1"/>
      <w:marLeft w:val="0"/>
      <w:marRight w:val="0"/>
      <w:marTop w:val="0"/>
      <w:marBottom w:val="0"/>
      <w:divBdr>
        <w:top w:val="none" w:sz="0" w:space="0" w:color="auto"/>
        <w:left w:val="none" w:sz="0" w:space="0" w:color="auto"/>
        <w:bottom w:val="none" w:sz="0" w:space="0" w:color="auto"/>
        <w:right w:val="none" w:sz="0" w:space="0" w:color="auto"/>
      </w:divBdr>
    </w:div>
    <w:div w:id="889927460">
      <w:bodyDiv w:val="1"/>
      <w:marLeft w:val="0"/>
      <w:marRight w:val="0"/>
      <w:marTop w:val="0"/>
      <w:marBottom w:val="0"/>
      <w:divBdr>
        <w:top w:val="none" w:sz="0" w:space="0" w:color="auto"/>
        <w:left w:val="none" w:sz="0" w:space="0" w:color="auto"/>
        <w:bottom w:val="none" w:sz="0" w:space="0" w:color="auto"/>
        <w:right w:val="none" w:sz="0" w:space="0" w:color="auto"/>
      </w:divBdr>
    </w:div>
    <w:div w:id="890842492">
      <w:bodyDiv w:val="1"/>
      <w:marLeft w:val="0"/>
      <w:marRight w:val="0"/>
      <w:marTop w:val="0"/>
      <w:marBottom w:val="0"/>
      <w:divBdr>
        <w:top w:val="none" w:sz="0" w:space="0" w:color="auto"/>
        <w:left w:val="none" w:sz="0" w:space="0" w:color="auto"/>
        <w:bottom w:val="none" w:sz="0" w:space="0" w:color="auto"/>
        <w:right w:val="none" w:sz="0" w:space="0" w:color="auto"/>
      </w:divBdr>
    </w:div>
    <w:div w:id="891769233">
      <w:bodyDiv w:val="1"/>
      <w:marLeft w:val="0"/>
      <w:marRight w:val="0"/>
      <w:marTop w:val="0"/>
      <w:marBottom w:val="0"/>
      <w:divBdr>
        <w:top w:val="none" w:sz="0" w:space="0" w:color="auto"/>
        <w:left w:val="none" w:sz="0" w:space="0" w:color="auto"/>
        <w:bottom w:val="none" w:sz="0" w:space="0" w:color="auto"/>
        <w:right w:val="none" w:sz="0" w:space="0" w:color="auto"/>
      </w:divBdr>
    </w:div>
    <w:div w:id="893007084">
      <w:bodyDiv w:val="1"/>
      <w:marLeft w:val="0"/>
      <w:marRight w:val="0"/>
      <w:marTop w:val="0"/>
      <w:marBottom w:val="0"/>
      <w:divBdr>
        <w:top w:val="none" w:sz="0" w:space="0" w:color="auto"/>
        <w:left w:val="none" w:sz="0" w:space="0" w:color="auto"/>
        <w:bottom w:val="none" w:sz="0" w:space="0" w:color="auto"/>
        <w:right w:val="none" w:sz="0" w:space="0" w:color="auto"/>
      </w:divBdr>
    </w:div>
    <w:div w:id="895117989">
      <w:bodyDiv w:val="1"/>
      <w:marLeft w:val="0"/>
      <w:marRight w:val="0"/>
      <w:marTop w:val="0"/>
      <w:marBottom w:val="0"/>
      <w:divBdr>
        <w:top w:val="none" w:sz="0" w:space="0" w:color="auto"/>
        <w:left w:val="none" w:sz="0" w:space="0" w:color="auto"/>
        <w:bottom w:val="none" w:sz="0" w:space="0" w:color="auto"/>
        <w:right w:val="none" w:sz="0" w:space="0" w:color="auto"/>
      </w:divBdr>
    </w:div>
    <w:div w:id="897790875">
      <w:bodyDiv w:val="1"/>
      <w:marLeft w:val="0"/>
      <w:marRight w:val="0"/>
      <w:marTop w:val="0"/>
      <w:marBottom w:val="0"/>
      <w:divBdr>
        <w:top w:val="none" w:sz="0" w:space="0" w:color="auto"/>
        <w:left w:val="none" w:sz="0" w:space="0" w:color="auto"/>
        <w:bottom w:val="none" w:sz="0" w:space="0" w:color="auto"/>
        <w:right w:val="none" w:sz="0" w:space="0" w:color="auto"/>
      </w:divBdr>
    </w:div>
    <w:div w:id="898172167">
      <w:bodyDiv w:val="1"/>
      <w:marLeft w:val="0"/>
      <w:marRight w:val="0"/>
      <w:marTop w:val="0"/>
      <w:marBottom w:val="0"/>
      <w:divBdr>
        <w:top w:val="none" w:sz="0" w:space="0" w:color="auto"/>
        <w:left w:val="none" w:sz="0" w:space="0" w:color="auto"/>
        <w:bottom w:val="none" w:sz="0" w:space="0" w:color="auto"/>
        <w:right w:val="none" w:sz="0" w:space="0" w:color="auto"/>
      </w:divBdr>
    </w:div>
    <w:div w:id="901135113">
      <w:bodyDiv w:val="1"/>
      <w:marLeft w:val="0"/>
      <w:marRight w:val="0"/>
      <w:marTop w:val="0"/>
      <w:marBottom w:val="0"/>
      <w:divBdr>
        <w:top w:val="none" w:sz="0" w:space="0" w:color="auto"/>
        <w:left w:val="none" w:sz="0" w:space="0" w:color="auto"/>
        <w:bottom w:val="none" w:sz="0" w:space="0" w:color="auto"/>
        <w:right w:val="none" w:sz="0" w:space="0" w:color="auto"/>
      </w:divBdr>
    </w:div>
    <w:div w:id="901522312">
      <w:bodyDiv w:val="1"/>
      <w:marLeft w:val="0"/>
      <w:marRight w:val="0"/>
      <w:marTop w:val="0"/>
      <w:marBottom w:val="0"/>
      <w:divBdr>
        <w:top w:val="none" w:sz="0" w:space="0" w:color="auto"/>
        <w:left w:val="none" w:sz="0" w:space="0" w:color="auto"/>
        <w:bottom w:val="none" w:sz="0" w:space="0" w:color="auto"/>
        <w:right w:val="none" w:sz="0" w:space="0" w:color="auto"/>
      </w:divBdr>
    </w:div>
    <w:div w:id="901868951">
      <w:bodyDiv w:val="1"/>
      <w:marLeft w:val="0"/>
      <w:marRight w:val="0"/>
      <w:marTop w:val="0"/>
      <w:marBottom w:val="0"/>
      <w:divBdr>
        <w:top w:val="none" w:sz="0" w:space="0" w:color="auto"/>
        <w:left w:val="none" w:sz="0" w:space="0" w:color="auto"/>
        <w:bottom w:val="none" w:sz="0" w:space="0" w:color="auto"/>
        <w:right w:val="none" w:sz="0" w:space="0" w:color="auto"/>
      </w:divBdr>
    </w:div>
    <w:div w:id="902374008">
      <w:bodyDiv w:val="1"/>
      <w:marLeft w:val="0"/>
      <w:marRight w:val="0"/>
      <w:marTop w:val="0"/>
      <w:marBottom w:val="0"/>
      <w:divBdr>
        <w:top w:val="none" w:sz="0" w:space="0" w:color="auto"/>
        <w:left w:val="none" w:sz="0" w:space="0" w:color="auto"/>
        <w:bottom w:val="none" w:sz="0" w:space="0" w:color="auto"/>
        <w:right w:val="none" w:sz="0" w:space="0" w:color="auto"/>
      </w:divBdr>
    </w:div>
    <w:div w:id="904140817">
      <w:bodyDiv w:val="1"/>
      <w:marLeft w:val="0"/>
      <w:marRight w:val="0"/>
      <w:marTop w:val="0"/>
      <w:marBottom w:val="0"/>
      <w:divBdr>
        <w:top w:val="none" w:sz="0" w:space="0" w:color="auto"/>
        <w:left w:val="none" w:sz="0" w:space="0" w:color="auto"/>
        <w:bottom w:val="none" w:sz="0" w:space="0" w:color="auto"/>
        <w:right w:val="none" w:sz="0" w:space="0" w:color="auto"/>
      </w:divBdr>
    </w:div>
    <w:div w:id="904147553">
      <w:bodyDiv w:val="1"/>
      <w:marLeft w:val="0"/>
      <w:marRight w:val="0"/>
      <w:marTop w:val="0"/>
      <w:marBottom w:val="0"/>
      <w:divBdr>
        <w:top w:val="none" w:sz="0" w:space="0" w:color="auto"/>
        <w:left w:val="none" w:sz="0" w:space="0" w:color="auto"/>
        <w:bottom w:val="none" w:sz="0" w:space="0" w:color="auto"/>
        <w:right w:val="none" w:sz="0" w:space="0" w:color="auto"/>
      </w:divBdr>
    </w:div>
    <w:div w:id="906110073">
      <w:bodyDiv w:val="1"/>
      <w:marLeft w:val="0"/>
      <w:marRight w:val="0"/>
      <w:marTop w:val="0"/>
      <w:marBottom w:val="0"/>
      <w:divBdr>
        <w:top w:val="none" w:sz="0" w:space="0" w:color="auto"/>
        <w:left w:val="none" w:sz="0" w:space="0" w:color="auto"/>
        <w:bottom w:val="none" w:sz="0" w:space="0" w:color="auto"/>
        <w:right w:val="none" w:sz="0" w:space="0" w:color="auto"/>
      </w:divBdr>
    </w:div>
    <w:div w:id="908462871">
      <w:bodyDiv w:val="1"/>
      <w:marLeft w:val="0"/>
      <w:marRight w:val="0"/>
      <w:marTop w:val="0"/>
      <w:marBottom w:val="0"/>
      <w:divBdr>
        <w:top w:val="none" w:sz="0" w:space="0" w:color="auto"/>
        <w:left w:val="none" w:sz="0" w:space="0" w:color="auto"/>
        <w:bottom w:val="none" w:sz="0" w:space="0" w:color="auto"/>
        <w:right w:val="none" w:sz="0" w:space="0" w:color="auto"/>
      </w:divBdr>
    </w:div>
    <w:div w:id="909343451">
      <w:bodyDiv w:val="1"/>
      <w:marLeft w:val="0"/>
      <w:marRight w:val="0"/>
      <w:marTop w:val="0"/>
      <w:marBottom w:val="0"/>
      <w:divBdr>
        <w:top w:val="none" w:sz="0" w:space="0" w:color="auto"/>
        <w:left w:val="none" w:sz="0" w:space="0" w:color="auto"/>
        <w:bottom w:val="none" w:sz="0" w:space="0" w:color="auto"/>
        <w:right w:val="none" w:sz="0" w:space="0" w:color="auto"/>
      </w:divBdr>
    </w:div>
    <w:div w:id="909734371">
      <w:bodyDiv w:val="1"/>
      <w:marLeft w:val="0"/>
      <w:marRight w:val="0"/>
      <w:marTop w:val="0"/>
      <w:marBottom w:val="0"/>
      <w:divBdr>
        <w:top w:val="none" w:sz="0" w:space="0" w:color="auto"/>
        <w:left w:val="none" w:sz="0" w:space="0" w:color="auto"/>
        <w:bottom w:val="none" w:sz="0" w:space="0" w:color="auto"/>
        <w:right w:val="none" w:sz="0" w:space="0" w:color="auto"/>
      </w:divBdr>
    </w:div>
    <w:div w:id="910386914">
      <w:bodyDiv w:val="1"/>
      <w:marLeft w:val="0"/>
      <w:marRight w:val="0"/>
      <w:marTop w:val="0"/>
      <w:marBottom w:val="0"/>
      <w:divBdr>
        <w:top w:val="none" w:sz="0" w:space="0" w:color="auto"/>
        <w:left w:val="none" w:sz="0" w:space="0" w:color="auto"/>
        <w:bottom w:val="none" w:sz="0" w:space="0" w:color="auto"/>
        <w:right w:val="none" w:sz="0" w:space="0" w:color="auto"/>
      </w:divBdr>
    </w:div>
    <w:div w:id="910889264">
      <w:bodyDiv w:val="1"/>
      <w:marLeft w:val="0"/>
      <w:marRight w:val="0"/>
      <w:marTop w:val="0"/>
      <w:marBottom w:val="0"/>
      <w:divBdr>
        <w:top w:val="none" w:sz="0" w:space="0" w:color="auto"/>
        <w:left w:val="none" w:sz="0" w:space="0" w:color="auto"/>
        <w:bottom w:val="none" w:sz="0" w:space="0" w:color="auto"/>
        <w:right w:val="none" w:sz="0" w:space="0" w:color="auto"/>
      </w:divBdr>
    </w:div>
    <w:div w:id="912741893">
      <w:bodyDiv w:val="1"/>
      <w:marLeft w:val="0"/>
      <w:marRight w:val="0"/>
      <w:marTop w:val="0"/>
      <w:marBottom w:val="0"/>
      <w:divBdr>
        <w:top w:val="none" w:sz="0" w:space="0" w:color="auto"/>
        <w:left w:val="none" w:sz="0" w:space="0" w:color="auto"/>
        <w:bottom w:val="none" w:sz="0" w:space="0" w:color="auto"/>
        <w:right w:val="none" w:sz="0" w:space="0" w:color="auto"/>
      </w:divBdr>
    </w:div>
    <w:div w:id="913391565">
      <w:bodyDiv w:val="1"/>
      <w:marLeft w:val="0"/>
      <w:marRight w:val="0"/>
      <w:marTop w:val="0"/>
      <w:marBottom w:val="0"/>
      <w:divBdr>
        <w:top w:val="none" w:sz="0" w:space="0" w:color="auto"/>
        <w:left w:val="none" w:sz="0" w:space="0" w:color="auto"/>
        <w:bottom w:val="none" w:sz="0" w:space="0" w:color="auto"/>
        <w:right w:val="none" w:sz="0" w:space="0" w:color="auto"/>
      </w:divBdr>
    </w:div>
    <w:div w:id="913591821">
      <w:bodyDiv w:val="1"/>
      <w:marLeft w:val="0"/>
      <w:marRight w:val="0"/>
      <w:marTop w:val="0"/>
      <w:marBottom w:val="0"/>
      <w:divBdr>
        <w:top w:val="none" w:sz="0" w:space="0" w:color="auto"/>
        <w:left w:val="none" w:sz="0" w:space="0" w:color="auto"/>
        <w:bottom w:val="none" w:sz="0" w:space="0" w:color="auto"/>
        <w:right w:val="none" w:sz="0" w:space="0" w:color="auto"/>
      </w:divBdr>
    </w:div>
    <w:div w:id="914239891">
      <w:bodyDiv w:val="1"/>
      <w:marLeft w:val="0"/>
      <w:marRight w:val="0"/>
      <w:marTop w:val="0"/>
      <w:marBottom w:val="0"/>
      <w:divBdr>
        <w:top w:val="none" w:sz="0" w:space="0" w:color="auto"/>
        <w:left w:val="none" w:sz="0" w:space="0" w:color="auto"/>
        <w:bottom w:val="none" w:sz="0" w:space="0" w:color="auto"/>
        <w:right w:val="none" w:sz="0" w:space="0" w:color="auto"/>
      </w:divBdr>
    </w:div>
    <w:div w:id="914510088">
      <w:bodyDiv w:val="1"/>
      <w:marLeft w:val="0"/>
      <w:marRight w:val="0"/>
      <w:marTop w:val="0"/>
      <w:marBottom w:val="0"/>
      <w:divBdr>
        <w:top w:val="none" w:sz="0" w:space="0" w:color="auto"/>
        <w:left w:val="none" w:sz="0" w:space="0" w:color="auto"/>
        <w:bottom w:val="none" w:sz="0" w:space="0" w:color="auto"/>
        <w:right w:val="none" w:sz="0" w:space="0" w:color="auto"/>
      </w:divBdr>
    </w:div>
    <w:div w:id="917058923">
      <w:bodyDiv w:val="1"/>
      <w:marLeft w:val="0"/>
      <w:marRight w:val="0"/>
      <w:marTop w:val="0"/>
      <w:marBottom w:val="0"/>
      <w:divBdr>
        <w:top w:val="none" w:sz="0" w:space="0" w:color="auto"/>
        <w:left w:val="none" w:sz="0" w:space="0" w:color="auto"/>
        <w:bottom w:val="none" w:sz="0" w:space="0" w:color="auto"/>
        <w:right w:val="none" w:sz="0" w:space="0" w:color="auto"/>
      </w:divBdr>
    </w:div>
    <w:div w:id="919169800">
      <w:bodyDiv w:val="1"/>
      <w:marLeft w:val="0"/>
      <w:marRight w:val="0"/>
      <w:marTop w:val="0"/>
      <w:marBottom w:val="0"/>
      <w:divBdr>
        <w:top w:val="none" w:sz="0" w:space="0" w:color="auto"/>
        <w:left w:val="none" w:sz="0" w:space="0" w:color="auto"/>
        <w:bottom w:val="none" w:sz="0" w:space="0" w:color="auto"/>
        <w:right w:val="none" w:sz="0" w:space="0" w:color="auto"/>
      </w:divBdr>
    </w:div>
    <w:div w:id="919174807">
      <w:bodyDiv w:val="1"/>
      <w:marLeft w:val="0"/>
      <w:marRight w:val="0"/>
      <w:marTop w:val="0"/>
      <w:marBottom w:val="0"/>
      <w:divBdr>
        <w:top w:val="none" w:sz="0" w:space="0" w:color="auto"/>
        <w:left w:val="none" w:sz="0" w:space="0" w:color="auto"/>
        <w:bottom w:val="none" w:sz="0" w:space="0" w:color="auto"/>
        <w:right w:val="none" w:sz="0" w:space="0" w:color="auto"/>
      </w:divBdr>
    </w:div>
    <w:div w:id="919480530">
      <w:bodyDiv w:val="1"/>
      <w:marLeft w:val="0"/>
      <w:marRight w:val="0"/>
      <w:marTop w:val="0"/>
      <w:marBottom w:val="0"/>
      <w:divBdr>
        <w:top w:val="none" w:sz="0" w:space="0" w:color="auto"/>
        <w:left w:val="none" w:sz="0" w:space="0" w:color="auto"/>
        <w:bottom w:val="none" w:sz="0" w:space="0" w:color="auto"/>
        <w:right w:val="none" w:sz="0" w:space="0" w:color="auto"/>
      </w:divBdr>
    </w:div>
    <w:div w:id="919828560">
      <w:bodyDiv w:val="1"/>
      <w:marLeft w:val="0"/>
      <w:marRight w:val="0"/>
      <w:marTop w:val="0"/>
      <w:marBottom w:val="0"/>
      <w:divBdr>
        <w:top w:val="none" w:sz="0" w:space="0" w:color="auto"/>
        <w:left w:val="none" w:sz="0" w:space="0" w:color="auto"/>
        <w:bottom w:val="none" w:sz="0" w:space="0" w:color="auto"/>
        <w:right w:val="none" w:sz="0" w:space="0" w:color="auto"/>
      </w:divBdr>
    </w:div>
    <w:div w:id="920335449">
      <w:bodyDiv w:val="1"/>
      <w:marLeft w:val="0"/>
      <w:marRight w:val="0"/>
      <w:marTop w:val="0"/>
      <w:marBottom w:val="0"/>
      <w:divBdr>
        <w:top w:val="none" w:sz="0" w:space="0" w:color="auto"/>
        <w:left w:val="none" w:sz="0" w:space="0" w:color="auto"/>
        <w:bottom w:val="none" w:sz="0" w:space="0" w:color="auto"/>
        <w:right w:val="none" w:sz="0" w:space="0" w:color="auto"/>
      </w:divBdr>
    </w:div>
    <w:div w:id="921110760">
      <w:bodyDiv w:val="1"/>
      <w:marLeft w:val="0"/>
      <w:marRight w:val="0"/>
      <w:marTop w:val="0"/>
      <w:marBottom w:val="0"/>
      <w:divBdr>
        <w:top w:val="none" w:sz="0" w:space="0" w:color="auto"/>
        <w:left w:val="none" w:sz="0" w:space="0" w:color="auto"/>
        <w:bottom w:val="none" w:sz="0" w:space="0" w:color="auto"/>
        <w:right w:val="none" w:sz="0" w:space="0" w:color="auto"/>
      </w:divBdr>
    </w:div>
    <w:div w:id="921598246">
      <w:bodyDiv w:val="1"/>
      <w:marLeft w:val="0"/>
      <w:marRight w:val="0"/>
      <w:marTop w:val="0"/>
      <w:marBottom w:val="0"/>
      <w:divBdr>
        <w:top w:val="none" w:sz="0" w:space="0" w:color="auto"/>
        <w:left w:val="none" w:sz="0" w:space="0" w:color="auto"/>
        <w:bottom w:val="none" w:sz="0" w:space="0" w:color="auto"/>
        <w:right w:val="none" w:sz="0" w:space="0" w:color="auto"/>
      </w:divBdr>
    </w:div>
    <w:div w:id="922108953">
      <w:bodyDiv w:val="1"/>
      <w:marLeft w:val="0"/>
      <w:marRight w:val="0"/>
      <w:marTop w:val="0"/>
      <w:marBottom w:val="0"/>
      <w:divBdr>
        <w:top w:val="none" w:sz="0" w:space="0" w:color="auto"/>
        <w:left w:val="none" w:sz="0" w:space="0" w:color="auto"/>
        <w:bottom w:val="none" w:sz="0" w:space="0" w:color="auto"/>
        <w:right w:val="none" w:sz="0" w:space="0" w:color="auto"/>
      </w:divBdr>
    </w:div>
    <w:div w:id="922690332">
      <w:bodyDiv w:val="1"/>
      <w:marLeft w:val="0"/>
      <w:marRight w:val="0"/>
      <w:marTop w:val="0"/>
      <w:marBottom w:val="0"/>
      <w:divBdr>
        <w:top w:val="none" w:sz="0" w:space="0" w:color="auto"/>
        <w:left w:val="none" w:sz="0" w:space="0" w:color="auto"/>
        <w:bottom w:val="none" w:sz="0" w:space="0" w:color="auto"/>
        <w:right w:val="none" w:sz="0" w:space="0" w:color="auto"/>
      </w:divBdr>
    </w:div>
    <w:div w:id="922880784">
      <w:bodyDiv w:val="1"/>
      <w:marLeft w:val="0"/>
      <w:marRight w:val="0"/>
      <w:marTop w:val="0"/>
      <w:marBottom w:val="0"/>
      <w:divBdr>
        <w:top w:val="none" w:sz="0" w:space="0" w:color="auto"/>
        <w:left w:val="none" w:sz="0" w:space="0" w:color="auto"/>
        <w:bottom w:val="none" w:sz="0" w:space="0" w:color="auto"/>
        <w:right w:val="none" w:sz="0" w:space="0" w:color="auto"/>
      </w:divBdr>
    </w:div>
    <w:div w:id="924461072">
      <w:bodyDiv w:val="1"/>
      <w:marLeft w:val="0"/>
      <w:marRight w:val="0"/>
      <w:marTop w:val="0"/>
      <w:marBottom w:val="0"/>
      <w:divBdr>
        <w:top w:val="none" w:sz="0" w:space="0" w:color="auto"/>
        <w:left w:val="none" w:sz="0" w:space="0" w:color="auto"/>
        <w:bottom w:val="none" w:sz="0" w:space="0" w:color="auto"/>
        <w:right w:val="none" w:sz="0" w:space="0" w:color="auto"/>
      </w:divBdr>
    </w:div>
    <w:div w:id="925844290">
      <w:bodyDiv w:val="1"/>
      <w:marLeft w:val="0"/>
      <w:marRight w:val="0"/>
      <w:marTop w:val="0"/>
      <w:marBottom w:val="0"/>
      <w:divBdr>
        <w:top w:val="none" w:sz="0" w:space="0" w:color="auto"/>
        <w:left w:val="none" w:sz="0" w:space="0" w:color="auto"/>
        <w:bottom w:val="none" w:sz="0" w:space="0" w:color="auto"/>
        <w:right w:val="none" w:sz="0" w:space="0" w:color="auto"/>
      </w:divBdr>
    </w:div>
    <w:div w:id="926425614">
      <w:bodyDiv w:val="1"/>
      <w:marLeft w:val="0"/>
      <w:marRight w:val="0"/>
      <w:marTop w:val="0"/>
      <w:marBottom w:val="0"/>
      <w:divBdr>
        <w:top w:val="none" w:sz="0" w:space="0" w:color="auto"/>
        <w:left w:val="none" w:sz="0" w:space="0" w:color="auto"/>
        <w:bottom w:val="none" w:sz="0" w:space="0" w:color="auto"/>
        <w:right w:val="none" w:sz="0" w:space="0" w:color="auto"/>
      </w:divBdr>
    </w:div>
    <w:div w:id="928464202">
      <w:bodyDiv w:val="1"/>
      <w:marLeft w:val="0"/>
      <w:marRight w:val="0"/>
      <w:marTop w:val="0"/>
      <w:marBottom w:val="0"/>
      <w:divBdr>
        <w:top w:val="none" w:sz="0" w:space="0" w:color="auto"/>
        <w:left w:val="none" w:sz="0" w:space="0" w:color="auto"/>
        <w:bottom w:val="none" w:sz="0" w:space="0" w:color="auto"/>
        <w:right w:val="none" w:sz="0" w:space="0" w:color="auto"/>
      </w:divBdr>
    </w:div>
    <w:div w:id="929045938">
      <w:bodyDiv w:val="1"/>
      <w:marLeft w:val="0"/>
      <w:marRight w:val="0"/>
      <w:marTop w:val="0"/>
      <w:marBottom w:val="0"/>
      <w:divBdr>
        <w:top w:val="none" w:sz="0" w:space="0" w:color="auto"/>
        <w:left w:val="none" w:sz="0" w:space="0" w:color="auto"/>
        <w:bottom w:val="none" w:sz="0" w:space="0" w:color="auto"/>
        <w:right w:val="none" w:sz="0" w:space="0" w:color="auto"/>
      </w:divBdr>
    </w:div>
    <w:div w:id="929890530">
      <w:bodyDiv w:val="1"/>
      <w:marLeft w:val="0"/>
      <w:marRight w:val="0"/>
      <w:marTop w:val="0"/>
      <w:marBottom w:val="0"/>
      <w:divBdr>
        <w:top w:val="none" w:sz="0" w:space="0" w:color="auto"/>
        <w:left w:val="none" w:sz="0" w:space="0" w:color="auto"/>
        <w:bottom w:val="none" w:sz="0" w:space="0" w:color="auto"/>
        <w:right w:val="none" w:sz="0" w:space="0" w:color="auto"/>
      </w:divBdr>
    </w:div>
    <w:div w:id="930236733">
      <w:bodyDiv w:val="1"/>
      <w:marLeft w:val="0"/>
      <w:marRight w:val="0"/>
      <w:marTop w:val="0"/>
      <w:marBottom w:val="0"/>
      <w:divBdr>
        <w:top w:val="none" w:sz="0" w:space="0" w:color="auto"/>
        <w:left w:val="none" w:sz="0" w:space="0" w:color="auto"/>
        <w:bottom w:val="none" w:sz="0" w:space="0" w:color="auto"/>
        <w:right w:val="none" w:sz="0" w:space="0" w:color="auto"/>
      </w:divBdr>
    </w:div>
    <w:div w:id="930701433">
      <w:bodyDiv w:val="1"/>
      <w:marLeft w:val="0"/>
      <w:marRight w:val="0"/>
      <w:marTop w:val="0"/>
      <w:marBottom w:val="0"/>
      <w:divBdr>
        <w:top w:val="none" w:sz="0" w:space="0" w:color="auto"/>
        <w:left w:val="none" w:sz="0" w:space="0" w:color="auto"/>
        <w:bottom w:val="none" w:sz="0" w:space="0" w:color="auto"/>
        <w:right w:val="none" w:sz="0" w:space="0" w:color="auto"/>
      </w:divBdr>
    </w:div>
    <w:div w:id="931551862">
      <w:bodyDiv w:val="1"/>
      <w:marLeft w:val="0"/>
      <w:marRight w:val="0"/>
      <w:marTop w:val="0"/>
      <w:marBottom w:val="0"/>
      <w:divBdr>
        <w:top w:val="none" w:sz="0" w:space="0" w:color="auto"/>
        <w:left w:val="none" w:sz="0" w:space="0" w:color="auto"/>
        <w:bottom w:val="none" w:sz="0" w:space="0" w:color="auto"/>
        <w:right w:val="none" w:sz="0" w:space="0" w:color="auto"/>
      </w:divBdr>
    </w:div>
    <w:div w:id="932015513">
      <w:bodyDiv w:val="1"/>
      <w:marLeft w:val="0"/>
      <w:marRight w:val="0"/>
      <w:marTop w:val="0"/>
      <w:marBottom w:val="0"/>
      <w:divBdr>
        <w:top w:val="none" w:sz="0" w:space="0" w:color="auto"/>
        <w:left w:val="none" w:sz="0" w:space="0" w:color="auto"/>
        <w:bottom w:val="none" w:sz="0" w:space="0" w:color="auto"/>
        <w:right w:val="none" w:sz="0" w:space="0" w:color="auto"/>
      </w:divBdr>
    </w:div>
    <w:div w:id="932470844">
      <w:bodyDiv w:val="1"/>
      <w:marLeft w:val="0"/>
      <w:marRight w:val="0"/>
      <w:marTop w:val="0"/>
      <w:marBottom w:val="0"/>
      <w:divBdr>
        <w:top w:val="none" w:sz="0" w:space="0" w:color="auto"/>
        <w:left w:val="none" w:sz="0" w:space="0" w:color="auto"/>
        <w:bottom w:val="none" w:sz="0" w:space="0" w:color="auto"/>
        <w:right w:val="none" w:sz="0" w:space="0" w:color="auto"/>
      </w:divBdr>
    </w:div>
    <w:div w:id="932663432">
      <w:bodyDiv w:val="1"/>
      <w:marLeft w:val="0"/>
      <w:marRight w:val="0"/>
      <w:marTop w:val="0"/>
      <w:marBottom w:val="0"/>
      <w:divBdr>
        <w:top w:val="none" w:sz="0" w:space="0" w:color="auto"/>
        <w:left w:val="none" w:sz="0" w:space="0" w:color="auto"/>
        <w:bottom w:val="none" w:sz="0" w:space="0" w:color="auto"/>
        <w:right w:val="none" w:sz="0" w:space="0" w:color="auto"/>
      </w:divBdr>
    </w:div>
    <w:div w:id="932933334">
      <w:bodyDiv w:val="1"/>
      <w:marLeft w:val="0"/>
      <w:marRight w:val="0"/>
      <w:marTop w:val="0"/>
      <w:marBottom w:val="0"/>
      <w:divBdr>
        <w:top w:val="none" w:sz="0" w:space="0" w:color="auto"/>
        <w:left w:val="none" w:sz="0" w:space="0" w:color="auto"/>
        <w:bottom w:val="none" w:sz="0" w:space="0" w:color="auto"/>
        <w:right w:val="none" w:sz="0" w:space="0" w:color="auto"/>
      </w:divBdr>
    </w:div>
    <w:div w:id="934089731">
      <w:bodyDiv w:val="1"/>
      <w:marLeft w:val="0"/>
      <w:marRight w:val="0"/>
      <w:marTop w:val="0"/>
      <w:marBottom w:val="0"/>
      <w:divBdr>
        <w:top w:val="none" w:sz="0" w:space="0" w:color="auto"/>
        <w:left w:val="none" w:sz="0" w:space="0" w:color="auto"/>
        <w:bottom w:val="none" w:sz="0" w:space="0" w:color="auto"/>
        <w:right w:val="none" w:sz="0" w:space="0" w:color="auto"/>
      </w:divBdr>
    </w:div>
    <w:div w:id="937563482">
      <w:bodyDiv w:val="1"/>
      <w:marLeft w:val="0"/>
      <w:marRight w:val="0"/>
      <w:marTop w:val="0"/>
      <w:marBottom w:val="0"/>
      <w:divBdr>
        <w:top w:val="none" w:sz="0" w:space="0" w:color="auto"/>
        <w:left w:val="none" w:sz="0" w:space="0" w:color="auto"/>
        <w:bottom w:val="none" w:sz="0" w:space="0" w:color="auto"/>
        <w:right w:val="none" w:sz="0" w:space="0" w:color="auto"/>
      </w:divBdr>
    </w:div>
    <w:div w:id="938832587">
      <w:bodyDiv w:val="1"/>
      <w:marLeft w:val="0"/>
      <w:marRight w:val="0"/>
      <w:marTop w:val="0"/>
      <w:marBottom w:val="0"/>
      <w:divBdr>
        <w:top w:val="none" w:sz="0" w:space="0" w:color="auto"/>
        <w:left w:val="none" w:sz="0" w:space="0" w:color="auto"/>
        <w:bottom w:val="none" w:sz="0" w:space="0" w:color="auto"/>
        <w:right w:val="none" w:sz="0" w:space="0" w:color="auto"/>
      </w:divBdr>
    </w:div>
    <w:div w:id="939996015">
      <w:bodyDiv w:val="1"/>
      <w:marLeft w:val="0"/>
      <w:marRight w:val="0"/>
      <w:marTop w:val="0"/>
      <w:marBottom w:val="0"/>
      <w:divBdr>
        <w:top w:val="none" w:sz="0" w:space="0" w:color="auto"/>
        <w:left w:val="none" w:sz="0" w:space="0" w:color="auto"/>
        <w:bottom w:val="none" w:sz="0" w:space="0" w:color="auto"/>
        <w:right w:val="none" w:sz="0" w:space="0" w:color="auto"/>
      </w:divBdr>
    </w:div>
    <w:div w:id="940066976">
      <w:bodyDiv w:val="1"/>
      <w:marLeft w:val="0"/>
      <w:marRight w:val="0"/>
      <w:marTop w:val="0"/>
      <w:marBottom w:val="0"/>
      <w:divBdr>
        <w:top w:val="none" w:sz="0" w:space="0" w:color="auto"/>
        <w:left w:val="none" w:sz="0" w:space="0" w:color="auto"/>
        <w:bottom w:val="none" w:sz="0" w:space="0" w:color="auto"/>
        <w:right w:val="none" w:sz="0" w:space="0" w:color="auto"/>
      </w:divBdr>
    </w:div>
    <w:div w:id="941106579">
      <w:bodyDiv w:val="1"/>
      <w:marLeft w:val="0"/>
      <w:marRight w:val="0"/>
      <w:marTop w:val="0"/>
      <w:marBottom w:val="0"/>
      <w:divBdr>
        <w:top w:val="none" w:sz="0" w:space="0" w:color="auto"/>
        <w:left w:val="none" w:sz="0" w:space="0" w:color="auto"/>
        <w:bottom w:val="none" w:sz="0" w:space="0" w:color="auto"/>
        <w:right w:val="none" w:sz="0" w:space="0" w:color="auto"/>
      </w:divBdr>
    </w:div>
    <w:div w:id="941307136">
      <w:bodyDiv w:val="1"/>
      <w:marLeft w:val="0"/>
      <w:marRight w:val="0"/>
      <w:marTop w:val="0"/>
      <w:marBottom w:val="0"/>
      <w:divBdr>
        <w:top w:val="none" w:sz="0" w:space="0" w:color="auto"/>
        <w:left w:val="none" w:sz="0" w:space="0" w:color="auto"/>
        <w:bottom w:val="none" w:sz="0" w:space="0" w:color="auto"/>
        <w:right w:val="none" w:sz="0" w:space="0" w:color="auto"/>
      </w:divBdr>
    </w:div>
    <w:div w:id="942802999">
      <w:bodyDiv w:val="1"/>
      <w:marLeft w:val="0"/>
      <w:marRight w:val="0"/>
      <w:marTop w:val="0"/>
      <w:marBottom w:val="0"/>
      <w:divBdr>
        <w:top w:val="none" w:sz="0" w:space="0" w:color="auto"/>
        <w:left w:val="none" w:sz="0" w:space="0" w:color="auto"/>
        <w:bottom w:val="none" w:sz="0" w:space="0" w:color="auto"/>
        <w:right w:val="none" w:sz="0" w:space="0" w:color="auto"/>
      </w:divBdr>
    </w:div>
    <w:div w:id="943070585">
      <w:bodyDiv w:val="1"/>
      <w:marLeft w:val="0"/>
      <w:marRight w:val="0"/>
      <w:marTop w:val="0"/>
      <w:marBottom w:val="0"/>
      <w:divBdr>
        <w:top w:val="none" w:sz="0" w:space="0" w:color="auto"/>
        <w:left w:val="none" w:sz="0" w:space="0" w:color="auto"/>
        <w:bottom w:val="none" w:sz="0" w:space="0" w:color="auto"/>
        <w:right w:val="none" w:sz="0" w:space="0" w:color="auto"/>
      </w:divBdr>
    </w:div>
    <w:div w:id="944657775">
      <w:bodyDiv w:val="1"/>
      <w:marLeft w:val="0"/>
      <w:marRight w:val="0"/>
      <w:marTop w:val="0"/>
      <w:marBottom w:val="0"/>
      <w:divBdr>
        <w:top w:val="none" w:sz="0" w:space="0" w:color="auto"/>
        <w:left w:val="none" w:sz="0" w:space="0" w:color="auto"/>
        <w:bottom w:val="none" w:sz="0" w:space="0" w:color="auto"/>
        <w:right w:val="none" w:sz="0" w:space="0" w:color="auto"/>
      </w:divBdr>
    </w:div>
    <w:div w:id="945775033">
      <w:bodyDiv w:val="1"/>
      <w:marLeft w:val="0"/>
      <w:marRight w:val="0"/>
      <w:marTop w:val="0"/>
      <w:marBottom w:val="0"/>
      <w:divBdr>
        <w:top w:val="none" w:sz="0" w:space="0" w:color="auto"/>
        <w:left w:val="none" w:sz="0" w:space="0" w:color="auto"/>
        <w:bottom w:val="none" w:sz="0" w:space="0" w:color="auto"/>
        <w:right w:val="none" w:sz="0" w:space="0" w:color="auto"/>
      </w:divBdr>
    </w:div>
    <w:div w:id="945892565">
      <w:bodyDiv w:val="1"/>
      <w:marLeft w:val="0"/>
      <w:marRight w:val="0"/>
      <w:marTop w:val="0"/>
      <w:marBottom w:val="0"/>
      <w:divBdr>
        <w:top w:val="none" w:sz="0" w:space="0" w:color="auto"/>
        <w:left w:val="none" w:sz="0" w:space="0" w:color="auto"/>
        <w:bottom w:val="none" w:sz="0" w:space="0" w:color="auto"/>
        <w:right w:val="none" w:sz="0" w:space="0" w:color="auto"/>
      </w:divBdr>
    </w:div>
    <w:div w:id="948659363">
      <w:bodyDiv w:val="1"/>
      <w:marLeft w:val="0"/>
      <w:marRight w:val="0"/>
      <w:marTop w:val="0"/>
      <w:marBottom w:val="0"/>
      <w:divBdr>
        <w:top w:val="none" w:sz="0" w:space="0" w:color="auto"/>
        <w:left w:val="none" w:sz="0" w:space="0" w:color="auto"/>
        <w:bottom w:val="none" w:sz="0" w:space="0" w:color="auto"/>
        <w:right w:val="none" w:sz="0" w:space="0" w:color="auto"/>
      </w:divBdr>
    </w:div>
    <w:div w:id="949049168">
      <w:bodyDiv w:val="1"/>
      <w:marLeft w:val="0"/>
      <w:marRight w:val="0"/>
      <w:marTop w:val="0"/>
      <w:marBottom w:val="0"/>
      <w:divBdr>
        <w:top w:val="none" w:sz="0" w:space="0" w:color="auto"/>
        <w:left w:val="none" w:sz="0" w:space="0" w:color="auto"/>
        <w:bottom w:val="none" w:sz="0" w:space="0" w:color="auto"/>
        <w:right w:val="none" w:sz="0" w:space="0" w:color="auto"/>
      </w:divBdr>
    </w:div>
    <w:div w:id="949553389">
      <w:bodyDiv w:val="1"/>
      <w:marLeft w:val="0"/>
      <w:marRight w:val="0"/>
      <w:marTop w:val="0"/>
      <w:marBottom w:val="0"/>
      <w:divBdr>
        <w:top w:val="none" w:sz="0" w:space="0" w:color="auto"/>
        <w:left w:val="none" w:sz="0" w:space="0" w:color="auto"/>
        <w:bottom w:val="none" w:sz="0" w:space="0" w:color="auto"/>
        <w:right w:val="none" w:sz="0" w:space="0" w:color="auto"/>
      </w:divBdr>
    </w:div>
    <w:div w:id="950479696">
      <w:bodyDiv w:val="1"/>
      <w:marLeft w:val="0"/>
      <w:marRight w:val="0"/>
      <w:marTop w:val="0"/>
      <w:marBottom w:val="0"/>
      <w:divBdr>
        <w:top w:val="none" w:sz="0" w:space="0" w:color="auto"/>
        <w:left w:val="none" w:sz="0" w:space="0" w:color="auto"/>
        <w:bottom w:val="none" w:sz="0" w:space="0" w:color="auto"/>
        <w:right w:val="none" w:sz="0" w:space="0" w:color="auto"/>
      </w:divBdr>
    </w:div>
    <w:div w:id="952245508">
      <w:bodyDiv w:val="1"/>
      <w:marLeft w:val="0"/>
      <w:marRight w:val="0"/>
      <w:marTop w:val="0"/>
      <w:marBottom w:val="0"/>
      <w:divBdr>
        <w:top w:val="none" w:sz="0" w:space="0" w:color="auto"/>
        <w:left w:val="none" w:sz="0" w:space="0" w:color="auto"/>
        <w:bottom w:val="none" w:sz="0" w:space="0" w:color="auto"/>
        <w:right w:val="none" w:sz="0" w:space="0" w:color="auto"/>
      </w:divBdr>
    </w:div>
    <w:div w:id="952442966">
      <w:bodyDiv w:val="1"/>
      <w:marLeft w:val="0"/>
      <w:marRight w:val="0"/>
      <w:marTop w:val="0"/>
      <w:marBottom w:val="0"/>
      <w:divBdr>
        <w:top w:val="none" w:sz="0" w:space="0" w:color="auto"/>
        <w:left w:val="none" w:sz="0" w:space="0" w:color="auto"/>
        <w:bottom w:val="none" w:sz="0" w:space="0" w:color="auto"/>
        <w:right w:val="none" w:sz="0" w:space="0" w:color="auto"/>
      </w:divBdr>
    </w:div>
    <w:div w:id="952976694">
      <w:bodyDiv w:val="1"/>
      <w:marLeft w:val="0"/>
      <w:marRight w:val="0"/>
      <w:marTop w:val="0"/>
      <w:marBottom w:val="0"/>
      <w:divBdr>
        <w:top w:val="none" w:sz="0" w:space="0" w:color="auto"/>
        <w:left w:val="none" w:sz="0" w:space="0" w:color="auto"/>
        <w:bottom w:val="none" w:sz="0" w:space="0" w:color="auto"/>
        <w:right w:val="none" w:sz="0" w:space="0" w:color="auto"/>
      </w:divBdr>
    </w:div>
    <w:div w:id="953092950">
      <w:bodyDiv w:val="1"/>
      <w:marLeft w:val="0"/>
      <w:marRight w:val="0"/>
      <w:marTop w:val="0"/>
      <w:marBottom w:val="0"/>
      <w:divBdr>
        <w:top w:val="none" w:sz="0" w:space="0" w:color="auto"/>
        <w:left w:val="none" w:sz="0" w:space="0" w:color="auto"/>
        <w:bottom w:val="none" w:sz="0" w:space="0" w:color="auto"/>
        <w:right w:val="none" w:sz="0" w:space="0" w:color="auto"/>
      </w:divBdr>
    </w:div>
    <w:div w:id="953370106">
      <w:bodyDiv w:val="1"/>
      <w:marLeft w:val="0"/>
      <w:marRight w:val="0"/>
      <w:marTop w:val="0"/>
      <w:marBottom w:val="0"/>
      <w:divBdr>
        <w:top w:val="none" w:sz="0" w:space="0" w:color="auto"/>
        <w:left w:val="none" w:sz="0" w:space="0" w:color="auto"/>
        <w:bottom w:val="none" w:sz="0" w:space="0" w:color="auto"/>
        <w:right w:val="none" w:sz="0" w:space="0" w:color="auto"/>
      </w:divBdr>
    </w:div>
    <w:div w:id="955260595">
      <w:bodyDiv w:val="1"/>
      <w:marLeft w:val="0"/>
      <w:marRight w:val="0"/>
      <w:marTop w:val="0"/>
      <w:marBottom w:val="0"/>
      <w:divBdr>
        <w:top w:val="none" w:sz="0" w:space="0" w:color="auto"/>
        <w:left w:val="none" w:sz="0" w:space="0" w:color="auto"/>
        <w:bottom w:val="none" w:sz="0" w:space="0" w:color="auto"/>
        <w:right w:val="none" w:sz="0" w:space="0" w:color="auto"/>
      </w:divBdr>
    </w:div>
    <w:div w:id="956185003">
      <w:bodyDiv w:val="1"/>
      <w:marLeft w:val="0"/>
      <w:marRight w:val="0"/>
      <w:marTop w:val="0"/>
      <w:marBottom w:val="0"/>
      <w:divBdr>
        <w:top w:val="none" w:sz="0" w:space="0" w:color="auto"/>
        <w:left w:val="none" w:sz="0" w:space="0" w:color="auto"/>
        <w:bottom w:val="none" w:sz="0" w:space="0" w:color="auto"/>
        <w:right w:val="none" w:sz="0" w:space="0" w:color="auto"/>
      </w:divBdr>
    </w:div>
    <w:div w:id="957177563">
      <w:bodyDiv w:val="1"/>
      <w:marLeft w:val="0"/>
      <w:marRight w:val="0"/>
      <w:marTop w:val="0"/>
      <w:marBottom w:val="0"/>
      <w:divBdr>
        <w:top w:val="none" w:sz="0" w:space="0" w:color="auto"/>
        <w:left w:val="none" w:sz="0" w:space="0" w:color="auto"/>
        <w:bottom w:val="none" w:sz="0" w:space="0" w:color="auto"/>
        <w:right w:val="none" w:sz="0" w:space="0" w:color="auto"/>
      </w:divBdr>
    </w:div>
    <w:div w:id="958606073">
      <w:bodyDiv w:val="1"/>
      <w:marLeft w:val="0"/>
      <w:marRight w:val="0"/>
      <w:marTop w:val="0"/>
      <w:marBottom w:val="0"/>
      <w:divBdr>
        <w:top w:val="none" w:sz="0" w:space="0" w:color="auto"/>
        <w:left w:val="none" w:sz="0" w:space="0" w:color="auto"/>
        <w:bottom w:val="none" w:sz="0" w:space="0" w:color="auto"/>
        <w:right w:val="none" w:sz="0" w:space="0" w:color="auto"/>
      </w:divBdr>
    </w:div>
    <w:div w:id="959534213">
      <w:bodyDiv w:val="1"/>
      <w:marLeft w:val="0"/>
      <w:marRight w:val="0"/>
      <w:marTop w:val="0"/>
      <w:marBottom w:val="0"/>
      <w:divBdr>
        <w:top w:val="none" w:sz="0" w:space="0" w:color="auto"/>
        <w:left w:val="none" w:sz="0" w:space="0" w:color="auto"/>
        <w:bottom w:val="none" w:sz="0" w:space="0" w:color="auto"/>
        <w:right w:val="none" w:sz="0" w:space="0" w:color="auto"/>
      </w:divBdr>
    </w:div>
    <w:div w:id="962007344">
      <w:bodyDiv w:val="1"/>
      <w:marLeft w:val="0"/>
      <w:marRight w:val="0"/>
      <w:marTop w:val="0"/>
      <w:marBottom w:val="0"/>
      <w:divBdr>
        <w:top w:val="none" w:sz="0" w:space="0" w:color="auto"/>
        <w:left w:val="none" w:sz="0" w:space="0" w:color="auto"/>
        <w:bottom w:val="none" w:sz="0" w:space="0" w:color="auto"/>
        <w:right w:val="none" w:sz="0" w:space="0" w:color="auto"/>
      </w:divBdr>
    </w:div>
    <w:div w:id="962273471">
      <w:bodyDiv w:val="1"/>
      <w:marLeft w:val="0"/>
      <w:marRight w:val="0"/>
      <w:marTop w:val="0"/>
      <w:marBottom w:val="0"/>
      <w:divBdr>
        <w:top w:val="none" w:sz="0" w:space="0" w:color="auto"/>
        <w:left w:val="none" w:sz="0" w:space="0" w:color="auto"/>
        <w:bottom w:val="none" w:sz="0" w:space="0" w:color="auto"/>
        <w:right w:val="none" w:sz="0" w:space="0" w:color="auto"/>
      </w:divBdr>
    </w:div>
    <w:div w:id="962343307">
      <w:bodyDiv w:val="1"/>
      <w:marLeft w:val="0"/>
      <w:marRight w:val="0"/>
      <w:marTop w:val="0"/>
      <w:marBottom w:val="0"/>
      <w:divBdr>
        <w:top w:val="none" w:sz="0" w:space="0" w:color="auto"/>
        <w:left w:val="none" w:sz="0" w:space="0" w:color="auto"/>
        <w:bottom w:val="none" w:sz="0" w:space="0" w:color="auto"/>
        <w:right w:val="none" w:sz="0" w:space="0" w:color="auto"/>
      </w:divBdr>
    </w:div>
    <w:div w:id="963003830">
      <w:bodyDiv w:val="1"/>
      <w:marLeft w:val="0"/>
      <w:marRight w:val="0"/>
      <w:marTop w:val="0"/>
      <w:marBottom w:val="0"/>
      <w:divBdr>
        <w:top w:val="none" w:sz="0" w:space="0" w:color="auto"/>
        <w:left w:val="none" w:sz="0" w:space="0" w:color="auto"/>
        <w:bottom w:val="none" w:sz="0" w:space="0" w:color="auto"/>
        <w:right w:val="none" w:sz="0" w:space="0" w:color="auto"/>
      </w:divBdr>
    </w:div>
    <w:div w:id="963971533">
      <w:bodyDiv w:val="1"/>
      <w:marLeft w:val="0"/>
      <w:marRight w:val="0"/>
      <w:marTop w:val="0"/>
      <w:marBottom w:val="0"/>
      <w:divBdr>
        <w:top w:val="none" w:sz="0" w:space="0" w:color="auto"/>
        <w:left w:val="none" w:sz="0" w:space="0" w:color="auto"/>
        <w:bottom w:val="none" w:sz="0" w:space="0" w:color="auto"/>
        <w:right w:val="none" w:sz="0" w:space="0" w:color="auto"/>
      </w:divBdr>
    </w:div>
    <w:div w:id="964576795">
      <w:bodyDiv w:val="1"/>
      <w:marLeft w:val="0"/>
      <w:marRight w:val="0"/>
      <w:marTop w:val="0"/>
      <w:marBottom w:val="0"/>
      <w:divBdr>
        <w:top w:val="none" w:sz="0" w:space="0" w:color="auto"/>
        <w:left w:val="none" w:sz="0" w:space="0" w:color="auto"/>
        <w:bottom w:val="none" w:sz="0" w:space="0" w:color="auto"/>
        <w:right w:val="none" w:sz="0" w:space="0" w:color="auto"/>
      </w:divBdr>
    </w:div>
    <w:div w:id="964962648">
      <w:bodyDiv w:val="1"/>
      <w:marLeft w:val="0"/>
      <w:marRight w:val="0"/>
      <w:marTop w:val="0"/>
      <w:marBottom w:val="0"/>
      <w:divBdr>
        <w:top w:val="none" w:sz="0" w:space="0" w:color="auto"/>
        <w:left w:val="none" w:sz="0" w:space="0" w:color="auto"/>
        <w:bottom w:val="none" w:sz="0" w:space="0" w:color="auto"/>
        <w:right w:val="none" w:sz="0" w:space="0" w:color="auto"/>
      </w:divBdr>
    </w:div>
    <w:div w:id="964967246">
      <w:bodyDiv w:val="1"/>
      <w:marLeft w:val="0"/>
      <w:marRight w:val="0"/>
      <w:marTop w:val="0"/>
      <w:marBottom w:val="0"/>
      <w:divBdr>
        <w:top w:val="none" w:sz="0" w:space="0" w:color="auto"/>
        <w:left w:val="none" w:sz="0" w:space="0" w:color="auto"/>
        <w:bottom w:val="none" w:sz="0" w:space="0" w:color="auto"/>
        <w:right w:val="none" w:sz="0" w:space="0" w:color="auto"/>
      </w:divBdr>
    </w:div>
    <w:div w:id="966083507">
      <w:bodyDiv w:val="1"/>
      <w:marLeft w:val="0"/>
      <w:marRight w:val="0"/>
      <w:marTop w:val="0"/>
      <w:marBottom w:val="0"/>
      <w:divBdr>
        <w:top w:val="none" w:sz="0" w:space="0" w:color="auto"/>
        <w:left w:val="none" w:sz="0" w:space="0" w:color="auto"/>
        <w:bottom w:val="none" w:sz="0" w:space="0" w:color="auto"/>
        <w:right w:val="none" w:sz="0" w:space="0" w:color="auto"/>
      </w:divBdr>
    </w:div>
    <w:div w:id="967004600">
      <w:bodyDiv w:val="1"/>
      <w:marLeft w:val="0"/>
      <w:marRight w:val="0"/>
      <w:marTop w:val="0"/>
      <w:marBottom w:val="0"/>
      <w:divBdr>
        <w:top w:val="none" w:sz="0" w:space="0" w:color="auto"/>
        <w:left w:val="none" w:sz="0" w:space="0" w:color="auto"/>
        <w:bottom w:val="none" w:sz="0" w:space="0" w:color="auto"/>
        <w:right w:val="none" w:sz="0" w:space="0" w:color="auto"/>
      </w:divBdr>
    </w:div>
    <w:div w:id="967050938">
      <w:bodyDiv w:val="1"/>
      <w:marLeft w:val="0"/>
      <w:marRight w:val="0"/>
      <w:marTop w:val="0"/>
      <w:marBottom w:val="0"/>
      <w:divBdr>
        <w:top w:val="none" w:sz="0" w:space="0" w:color="auto"/>
        <w:left w:val="none" w:sz="0" w:space="0" w:color="auto"/>
        <w:bottom w:val="none" w:sz="0" w:space="0" w:color="auto"/>
        <w:right w:val="none" w:sz="0" w:space="0" w:color="auto"/>
      </w:divBdr>
    </w:div>
    <w:div w:id="968322116">
      <w:bodyDiv w:val="1"/>
      <w:marLeft w:val="0"/>
      <w:marRight w:val="0"/>
      <w:marTop w:val="0"/>
      <w:marBottom w:val="0"/>
      <w:divBdr>
        <w:top w:val="none" w:sz="0" w:space="0" w:color="auto"/>
        <w:left w:val="none" w:sz="0" w:space="0" w:color="auto"/>
        <w:bottom w:val="none" w:sz="0" w:space="0" w:color="auto"/>
        <w:right w:val="none" w:sz="0" w:space="0" w:color="auto"/>
      </w:divBdr>
    </w:div>
    <w:div w:id="968629202">
      <w:bodyDiv w:val="1"/>
      <w:marLeft w:val="0"/>
      <w:marRight w:val="0"/>
      <w:marTop w:val="0"/>
      <w:marBottom w:val="0"/>
      <w:divBdr>
        <w:top w:val="none" w:sz="0" w:space="0" w:color="auto"/>
        <w:left w:val="none" w:sz="0" w:space="0" w:color="auto"/>
        <w:bottom w:val="none" w:sz="0" w:space="0" w:color="auto"/>
        <w:right w:val="none" w:sz="0" w:space="0" w:color="auto"/>
      </w:divBdr>
    </w:div>
    <w:div w:id="969821675">
      <w:bodyDiv w:val="1"/>
      <w:marLeft w:val="0"/>
      <w:marRight w:val="0"/>
      <w:marTop w:val="0"/>
      <w:marBottom w:val="0"/>
      <w:divBdr>
        <w:top w:val="none" w:sz="0" w:space="0" w:color="auto"/>
        <w:left w:val="none" w:sz="0" w:space="0" w:color="auto"/>
        <w:bottom w:val="none" w:sz="0" w:space="0" w:color="auto"/>
        <w:right w:val="none" w:sz="0" w:space="0" w:color="auto"/>
      </w:divBdr>
    </w:div>
    <w:div w:id="970550227">
      <w:bodyDiv w:val="1"/>
      <w:marLeft w:val="0"/>
      <w:marRight w:val="0"/>
      <w:marTop w:val="0"/>
      <w:marBottom w:val="0"/>
      <w:divBdr>
        <w:top w:val="none" w:sz="0" w:space="0" w:color="auto"/>
        <w:left w:val="none" w:sz="0" w:space="0" w:color="auto"/>
        <w:bottom w:val="none" w:sz="0" w:space="0" w:color="auto"/>
        <w:right w:val="none" w:sz="0" w:space="0" w:color="auto"/>
      </w:divBdr>
    </w:div>
    <w:div w:id="970551835">
      <w:bodyDiv w:val="1"/>
      <w:marLeft w:val="0"/>
      <w:marRight w:val="0"/>
      <w:marTop w:val="0"/>
      <w:marBottom w:val="0"/>
      <w:divBdr>
        <w:top w:val="none" w:sz="0" w:space="0" w:color="auto"/>
        <w:left w:val="none" w:sz="0" w:space="0" w:color="auto"/>
        <w:bottom w:val="none" w:sz="0" w:space="0" w:color="auto"/>
        <w:right w:val="none" w:sz="0" w:space="0" w:color="auto"/>
      </w:divBdr>
    </w:div>
    <w:div w:id="971209758">
      <w:bodyDiv w:val="1"/>
      <w:marLeft w:val="0"/>
      <w:marRight w:val="0"/>
      <w:marTop w:val="0"/>
      <w:marBottom w:val="0"/>
      <w:divBdr>
        <w:top w:val="none" w:sz="0" w:space="0" w:color="auto"/>
        <w:left w:val="none" w:sz="0" w:space="0" w:color="auto"/>
        <w:bottom w:val="none" w:sz="0" w:space="0" w:color="auto"/>
        <w:right w:val="none" w:sz="0" w:space="0" w:color="auto"/>
      </w:divBdr>
    </w:div>
    <w:div w:id="971590748">
      <w:bodyDiv w:val="1"/>
      <w:marLeft w:val="0"/>
      <w:marRight w:val="0"/>
      <w:marTop w:val="0"/>
      <w:marBottom w:val="0"/>
      <w:divBdr>
        <w:top w:val="none" w:sz="0" w:space="0" w:color="auto"/>
        <w:left w:val="none" w:sz="0" w:space="0" w:color="auto"/>
        <w:bottom w:val="none" w:sz="0" w:space="0" w:color="auto"/>
        <w:right w:val="none" w:sz="0" w:space="0" w:color="auto"/>
      </w:divBdr>
    </w:div>
    <w:div w:id="972171939">
      <w:bodyDiv w:val="1"/>
      <w:marLeft w:val="0"/>
      <w:marRight w:val="0"/>
      <w:marTop w:val="0"/>
      <w:marBottom w:val="0"/>
      <w:divBdr>
        <w:top w:val="none" w:sz="0" w:space="0" w:color="auto"/>
        <w:left w:val="none" w:sz="0" w:space="0" w:color="auto"/>
        <w:bottom w:val="none" w:sz="0" w:space="0" w:color="auto"/>
        <w:right w:val="none" w:sz="0" w:space="0" w:color="auto"/>
      </w:divBdr>
    </w:div>
    <w:div w:id="973409843">
      <w:bodyDiv w:val="1"/>
      <w:marLeft w:val="0"/>
      <w:marRight w:val="0"/>
      <w:marTop w:val="0"/>
      <w:marBottom w:val="0"/>
      <w:divBdr>
        <w:top w:val="none" w:sz="0" w:space="0" w:color="auto"/>
        <w:left w:val="none" w:sz="0" w:space="0" w:color="auto"/>
        <w:bottom w:val="none" w:sz="0" w:space="0" w:color="auto"/>
        <w:right w:val="none" w:sz="0" w:space="0" w:color="auto"/>
      </w:divBdr>
    </w:div>
    <w:div w:id="977763906">
      <w:bodyDiv w:val="1"/>
      <w:marLeft w:val="0"/>
      <w:marRight w:val="0"/>
      <w:marTop w:val="0"/>
      <w:marBottom w:val="0"/>
      <w:divBdr>
        <w:top w:val="none" w:sz="0" w:space="0" w:color="auto"/>
        <w:left w:val="none" w:sz="0" w:space="0" w:color="auto"/>
        <w:bottom w:val="none" w:sz="0" w:space="0" w:color="auto"/>
        <w:right w:val="none" w:sz="0" w:space="0" w:color="auto"/>
      </w:divBdr>
    </w:div>
    <w:div w:id="980160039">
      <w:bodyDiv w:val="1"/>
      <w:marLeft w:val="0"/>
      <w:marRight w:val="0"/>
      <w:marTop w:val="0"/>
      <w:marBottom w:val="0"/>
      <w:divBdr>
        <w:top w:val="none" w:sz="0" w:space="0" w:color="auto"/>
        <w:left w:val="none" w:sz="0" w:space="0" w:color="auto"/>
        <w:bottom w:val="none" w:sz="0" w:space="0" w:color="auto"/>
        <w:right w:val="none" w:sz="0" w:space="0" w:color="auto"/>
      </w:divBdr>
    </w:div>
    <w:div w:id="980188026">
      <w:bodyDiv w:val="1"/>
      <w:marLeft w:val="0"/>
      <w:marRight w:val="0"/>
      <w:marTop w:val="0"/>
      <w:marBottom w:val="0"/>
      <w:divBdr>
        <w:top w:val="none" w:sz="0" w:space="0" w:color="auto"/>
        <w:left w:val="none" w:sz="0" w:space="0" w:color="auto"/>
        <w:bottom w:val="none" w:sz="0" w:space="0" w:color="auto"/>
        <w:right w:val="none" w:sz="0" w:space="0" w:color="auto"/>
      </w:divBdr>
    </w:div>
    <w:div w:id="980229201">
      <w:bodyDiv w:val="1"/>
      <w:marLeft w:val="0"/>
      <w:marRight w:val="0"/>
      <w:marTop w:val="0"/>
      <w:marBottom w:val="0"/>
      <w:divBdr>
        <w:top w:val="none" w:sz="0" w:space="0" w:color="auto"/>
        <w:left w:val="none" w:sz="0" w:space="0" w:color="auto"/>
        <w:bottom w:val="none" w:sz="0" w:space="0" w:color="auto"/>
        <w:right w:val="none" w:sz="0" w:space="0" w:color="auto"/>
      </w:divBdr>
    </w:div>
    <w:div w:id="980962439">
      <w:bodyDiv w:val="1"/>
      <w:marLeft w:val="0"/>
      <w:marRight w:val="0"/>
      <w:marTop w:val="0"/>
      <w:marBottom w:val="0"/>
      <w:divBdr>
        <w:top w:val="none" w:sz="0" w:space="0" w:color="auto"/>
        <w:left w:val="none" w:sz="0" w:space="0" w:color="auto"/>
        <w:bottom w:val="none" w:sz="0" w:space="0" w:color="auto"/>
        <w:right w:val="none" w:sz="0" w:space="0" w:color="auto"/>
      </w:divBdr>
    </w:div>
    <w:div w:id="981427129">
      <w:bodyDiv w:val="1"/>
      <w:marLeft w:val="0"/>
      <w:marRight w:val="0"/>
      <w:marTop w:val="0"/>
      <w:marBottom w:val="0"/>
      <w:divBdr>
        <w:top w:val="none" w:sz="0" w:space="0" w:color="auto"/>
        <w:left w:val="none" w:sz="0" w:space="0" w:color="auto"/>
        <w:bottom w:val="none" w:sz="0" w:space="0" w:color="auto"/>
        <w:right w:val="none" w:sz="0" w:space="0" w:color="auto"/>
      </w:divBdr>
    </w:div>
    <w:div w:id="986402265">
      <w:bodyDiv w:val="1"/>
      <w:marLeft w:val="0"/>
      <w:marRight w:val="0"/>
      <w:marTop w:val="0"/>
      <w:marBottom w:val="0"/>
      <w:divBdr>
        <w:top w:val="none" w:sz="0" w:space="0" w:color="auto"/>
        <w:left w:val="none" w:sz="0" w:space="0" w:color="auto"/>
        <w:bottom w:val="none" w:sz="0" w:space="0" w:color="auto"/>
        <w:right w:val="none" w:sz="0" w:space="0" w:color="auto"/>
      </w:divBdr>
    </w:div>
    <w:div w:id="986974563">
      <w:bodyDiv w:val="1"/>
      <w:marLeft w:val="0"/>
      <w:marRight w:val="0"/>
      <w:marTop w:val="0"/>
      <w:marBottom w:val="0"/>
      <w:divBdr>
        <w:top w:val="none" w:sz="0" w:space="0" w:color="auto"/>
        <w:left w:val="none" w:sz="0" w:space="0" w:color="auto"/>
        <w:bottom w:val="none" w:sz="0" w:space="0" w:color="auto"/>
        <w:right w:val="none" w:sz="0" w:space="0" w:color="auto"/>
      </w:divBdr>
    </w:div>
    <w:div w:id="987829022">
      <w:bodyDiv w:val="1"/>
      <w:marLeft w:val="0"/>
      <w:marRight w:val="0"/>
      <w:marTop w:val="0"/>
      <w:marBottom w:val="0"/>
      <w:divBdr>
        <w:top w:val="none" w:sz="0" w:space="0" w:color="auto"/>
        <w:left w:val="none" w:sz="0" w:space="0" w:color="auto"/>
        <w:bottom w:val="none" w:sz="0" w:space="0" w:color="auto"/>
        <w:right w:val="none" w:sz="0" w:space="0" w:color="auto"/>
      </w:divBdr>
    </w:div>
    <w:div w:id="990870438">
      <w:bodyDiv w:val="1"/>
      <w:marLeft w:val="0"/>
      <w:marRight w:val="0"/>
      <w:marTop w:val="0"/>
      <w:marBottom w:val="0"/>
      <w:divBdr>
        <w:top w:val="none" w:sz="0" w:space="0" w:color="auto"/>
        <w:left w:val="none" w:sz="0" w:space="0" w:color="auto"/>
        <w:bottom w:val="none" w:sz="0" w:space="0" w:color="auto"/>
        <w:right w:val="none" w:sz="0" w:space="0" w:color="auto"/>
      </w:divBdr>
    </w:div>
    <w:div w:id="991061613">
      <w:bodyDiv w:val="1"/>
      <w:marLeft w:val="0"/>
      <w:marRight w:val="0"/>
      <w:marTop w:val="0"/>
      <w:marBottom w:val="0"/>
      <w:divBdr>
        <w:top w:val="none" w:sz="0" w:space="0" w:color="auto"/>
        <w:left w:val="none" w:sz="0" w:space="0" w:color="auto"/>
        <w:bottom w:val="none" w:sz="0" w:space="0" w:color="auto"/>
        <w:right w:val="none" w:sz="0" w:space="0" w:color="auto"/>
      </w:divBdr>
    </w:div>
    <w:div w:id="992103929">
      <w:bodyDiv w:val="1"/>
      <w:marLeft w:val="0"/>
      <w:marRight w:val="0"/>
      <w:marTop w:val="0"/>
      <w:marBottom w:val="0"/>
      <w:divBdr>
        <w:top w:val="none" w:sz="0" w:space="0" w:color="auto"/>
        <w:left w:val="none" w:sz="0" w:space="0" w:color="auto"/>
        <w:bottom w:val="none" w:sz="0" w:space="0" w:color="auto"/>
        <w:right w:val="none" w:sz="0" w:space="0" w:color="auto"/>
      </w:divBdr>
    </w:div>
    <w:div w:id="993878119">
      <w:bodyDiv w:val="1"/>
      <w:marLeft w:val="0"/>
      <w:marRight w:val="0"/>
      <w:marTop w:val="0"/>
      <w:marBottom w:val="0"/>
      <w:divBdr>
        <w:top w:val="none" w:sz="0" w:space="0" w:color="auto"/>
        <w:left w:val="none" w:sz="0" w:space="0" w:color="auto"/>
        <w:bottom w:val="none" w:sz="0" w:space="0" w:color="auto"/>
        <w:right w:val="none" w:sz="0" w:space="0" w:color="auto"/>
      </w:divBdr>
    </w:div>
    <w:div w:id="994072219">
      <w:bodyDiv w:val="1"/>
      <w:marLeft w:val="0"/>
      <w:marRight w:val="0"/>
      <w:marTop w:val="0"/>
      <w:marBottom w:val="0"/>
      <w:divBdr>
        <w:top w:val="none" w:sz="0" w:space="0" w:color="auto"/>
        <w:left w:val="none" w:sz="0" w:space="0" w:color="auto"/>
        <w:bottom w:val="none" w:sz="0" w:space="0" w:color="auto"/>
        <w:right w:val="none" w:sz="0" w:space="0" w:color="auto"/>
      </w:divBdr>
    </w:div>
    <w:div w:id="994602786">
      <w:bodyDiv w:val="1"/>
      <w:marLeft w:val="0"/>
      <w:marRight w:val="0"/>
      <w:marTop w:val="0"/>
      <w:marBottom w:val="0"/>
      <w:divBdr>
        <w:top w:val="none" w:sz="0" w:space="0" w:color="auto"/>
        <w:left w:val="none" w:sz="0" w:space="0" w:color="auto"/>
        <w:bottom w:val="none" w:sz="0" w:space="0" w:color="auto"/>
        <w:right w:val="none" w:sz="0" w:space="0" w:color="auto"/>
      </w:divBdr>
    </w:div>
    <w:div w:id="995305993">
      <w:bodyDiv w:val="1"/>
      <w:marLeft w:val="0"/>
      <w:marRight w:val="0"/>
      <w:marTop w:val="0"/>
      <w:marBottom w:val="0"/>
      <w:divBdr>
        <w:top w:val="none" w:sz="0" w:space="0" w:color="auto"/>
        <w:left w:val="none" w:sz="0" w:space="0" w:color="auto"/>
        <w:bottom w:val="none" w:sz="0" w:space="0" w:color="auto"/>
        <w:right w:val="none" w:sz="0" w:space="0" w:color="auto"/>
      </w:divBdr>
    </w:div>
    <w:div w:id="995376422">
      <w:bodyDiv w:val="1"/>
      <w:marLeft w:val="0"/>
      <w:marRight w:val="0"/>
      <w:marTop w:val="0"/>
      <w:marBottom w:val="0"/>
      <w:divBdr>
        <w:top w:val="none" w:sz="0" w:space="0" w:color="auto"/>
        <w:left w:val="none" w:sz="0" w:space="0" w:color="auto"/>
        <w:bottom w:val="none" w:sz="0" w:space="0" w:color="auto"/>
        <w:right w:val="none" w:sz="0" w:space="0" w:color="auto"/>
      </w:divBdr>
    </w:div>
    <w:div w:id="995499509">
      <w:bodyDiv w:val="1"/>
      <w:marLeft w:val="0"/>
      <w:marRight w:val="0"/>
      <w:marTop w:val="0"/>
      <w:marBottom w:val="0"/>
      <w:divBdr>
        <w:top w:val="none" w:sz="0" w:space="0" w:color="auto"/>
        <w:left w:val="none" w:sz="0" w:space="0" w:color="auto"/>
        <w:bottom w:val="none" w:sz="0" w:space="0" w:color="auto"/>
        <w:right w:val="none" w:sz="0" w:space="0" w:color="auto"/>
      </w:divBdr>
    </w:div>
    <w:div w:id="995957214">
      <w:bodyDiv w:val="1"/>
      <w:marLeft w:val="0"/>
      <w:marRight w:val="0"/>
      <w:marTop w:val="0"/>
      <w:marBottom w:val="0"/>
      <w:divBdr>
        <w:top w:val="none" w:sz="0" w:space="0" w:color="auto"/>
        <w:left w:val="none" w:sz="0" w:space="0" w:color="auto"/>
        <w:bottom w:val="none" w:sz="0" w:space="0" w:color="auto"/>
        <w:right w:val="none" w:sz="0" w:space="0" w:color="auto"/>
      </w:divBdr>
    </w:div>
    <w:div w:id="996222460">
      <w:bodyDiv w:val="1"/>
      <w:marLeft w:val="0"/>
      <w:marRight w:val="0"/>
      <w:marTop w:val="0"/>
      <w:marBottom w:val="0"/>
      <w:divBdr>
        <w:top w:val="none" w:sz="0" w:space="0" w:color="auto"/>
        <w:left w:val="none" w:sz="0" w:space="0" w:color="auto"/>
        <w:bottom w:val="none" w:sz="0" w:space="0" w:color="auto"/>
        <w:right w:val="none" w:sz="0" w:space="0" w:color="auto"/>
      </w:divBdr>
    </w:div>
    <w:div w:id="996807515">
      <w:bodyDiv w:val="1"/>
      <w:marLeft w:val="0"/>
      <w:marRight w:val="0"/>
      <w:marTop w:val="0"/>
      <w:marBottom w:val="0"/>
      <w:divBdr>
        <w:top w:val="none" w:sz="0" w:space="0" w:color="auto"/>
        <w:left w:val="none" w:sz="0" w:space="0" w:color="auto"/>
        <w:bottom w:val="none" w:sz="0" w:space="0" w:color="auto"/>
        <w:right w:val="none" w:sz="0" w:space="0" w:color="auto"/>
      </w:divBdr>
    </w:div>
    <w:div w:id="998313050">
      <w:bodyDiv w:val="1"/>
      <w:marLeft w:val="0"/>
      <w:marRight w:val="0"/>
      <w:marTop w:val="0"/>
      <w:marBottom w:val="0"/>
      <w:divBdr>
        <w:top w:val="none" w:sz="0" w:space="0" w:color="auto"/>
        <w:left w:val="none" w:sz="0" w:space="0" w:color="auto"/>
        <w:bottom w:val="none" w:sz="0" w:space="0" w:color="auto"/>
        <w:right w:val="none" w:sz="0" w:space="0" w:color="auto"/>
      </w:divBdr>
    </w:div>
    <w:div w:id="999425027">
      <w:bodyDiv w:val="1"/>
      <w:marLeft w:val="0"/>
      <w:marRight w:val="0"/>
      <w:marTop w:val="0"/>
      <w:marBottom w:val="0"/>
      <w:divBdr>
        <w:top w:val="none" w:sz="0" w:space="0" w:color="auto"/>
        <w:left w:val="none" w:sz="0" w:space="0" w:color="auto"/>
        <w:bottom w:val="none" w:sz="0" w:space="0" w:color="auto"/>
        <w:right w:val="none" w:sz="0" w:space="0" w:color="auto"/>
      </w:divBdr>
    </w:div>
    <w:div w:id="999844299">
      <w:bodyDiv w:val="1"/>
      <w:marLeft w:val="0"/>
      <w:marRight w:val="0"/>
      <w:marTop w:val="0"/>
      <w:marBottom w:val="0"/>
      <w:divBdr>
        <w:top w:val="none" w:sz="0" w:space="0" w:color="auto"/>
        <w:left w:val="none" w:sz="0" w:space="0" w:color="auto"/>
        <w:bottom w:val="none" w:sz="0" w:space="0" w:color="auto"/>
        <w:right w:val="none" w:sz="0" w:space="0" w:color="auto"/>
      </w:divBdr>
    </w:div>
    <w:div w:id="1000893693">
      <w:bodyDiv w:val="1"/>
      <w:marLeft w:val="0"/>
      <w:marRight w:val="0"/>
      <w:marTop w:val="0"/>
      <w:marBottom w:val="0"/>
      <w:divBdr>
        <w:top w:val="none" w:sz="0" w:space="0" w:color="auto"/>
        <w:left w:val="none" w:sz="0" w:space="0" w:color="auto"/>
        <w:bottom w:val="none" w:sz="0" w:space="0" w:color="auto"/>
        <w:right w:val="none" w:sz="0" w:space="0" w:color="auto"/>
      </w:divBdr>
    </w:div>
    <w:div w:id="1002045527">
      <w:bodyDiv w:val="1"/>
      <w:marLeft w:val="0"/>
      <w:marRight w:val="0"/>
      <w:marTop w:val="0"/>
      <w:marBottom w:val="0"/>
      <w:divBdr>
        <w:top w:val="none" w:sz="0" w:space="0" w:color="auto"/>
        <w:left w:val="none" w:sz="0" w:space="0" w:color="auto"/>
        <w:bottom w:val="none" w:sz="0" w:space="0" w:color="auto"/>
        <w:right w:val="none" w:sz="0" w:space="0" w:color="auto"/>
      </w:divBdr>
    </w:div>
    <w:div w:id="1002395473">
      <w:bodyDiv w:val="1"/>
      <w:marLeft w:val="0"/>
      <w:marRight w:val="0"/>
      <w:marTop w:val="0"/>
      <w:marBottom w:val="0"/>
      <w:divBdr>
        <w:top w:val="none" w:sz="0" w:space="0" w:color="auto"/>
        <w:left w:val="none" w:sz="0" w:space="0" w:color="auto"/>
        <w:bottom w:val="none" w:sz="0" w:space="0" w:color="auto"/>
        <w:right w:val="none" w:sz="0" w:space="0" w:color="auto"/>
      </w:divBdr>
    </w:div>
    <w:div w:id="1003315936">
      <w:bodyDiv w:val="1"/>
      <w:marLeft w:val="0"/>
      <w:marRight w:val="0"/>
      <w:marTop w:val="0"/>
      <w:marBottom w:val="0"/>
      <w:divBdr>
        <w:top w:val="none" w:sz="0" w:space="0" w:color="auto"/>
        <w:left w:val="none" w:sz="0" w:space="0" w:color="auto"/>
        <w:bottom w:val="none" w:sz="0" w:space="0" w:color="auto"/>
        <w:right w:val="none" w:sz="0" w:space="0" w:color="auto"/>
      </w:divBdr>
    </w:div>
    <w:div w:id="1003512370">
      <w:bodyDiv w:val="1"/>
      <w:marLeft w:val="0"/>
      <w:marRight w:val="0"/>
      <w:marTop w:val="0"/>
      <w:marBottom w:val="0"/>
      <w:divBdr>
        <w:top w:val="none" w:sz="0" w:space="0" w:color="auto"/>
        <w:left w:val="none" w:sz="0" w:space="0" w:color="auto"/>
        <w:bottom w:val="none" w:sz="0" w:space="0" w:color="auto"/>
        <w:right w:val="none" w:sz="0" w:space="0" w:color="auto"/>
      </w:divBdr>
    </w:div>
    <w:div w:id="1003581000">
      <w:bodyDiv w:val="1"/>
      <w:marLeft w:val="0"/>
      <w:marRight w:val="0"/>
      <w:marTop w:val="0"/>
      <w:marBottom w:val="0"/>
      <w:divBdr>
        <w:top w:val="none" w:sz="0" w:space="0" w:color="auto"/>
        <w:left w:val="none" w:sz="0" w:space="0" w:color="auto"/>
        <w:bottom w:val="none" w:sz="0" w:space="0" w:color="auto"/>
        <w:right w:val="none" w:sz="0" w:space="0" w:color="auto"/>
      </w:divBdr>
    </w:div>
    <w:div w:id="1007369887">
      <w:bodyDiv w:val="1"/>
      <w:marLeft w:val="0"/>
      <w:marRight w:val="0"/>
      <w:marTop w:val="0"/>
      <w:marBottom w:val="0"/>
      <w:divBdr>
        <w:top w:val="none" w:sz="0" w:space="0" w:color="auto"/>
        <w:left w:val="none" w:sz="0" w:space="0" w:color="auto"/>
        <w:bottom w:val="none" w:sz="0" w:space="0" w:color="auto"/>
        <w:right w:val="none" w:sz="0" w:space="0" w:color="auto"/>
      </w:divBdr>
    </w:div>
    <w:div w:id="1007948993">
      <w:bodyDiv w:val="1"/>
      <w:marLeft w:val="0"/>
      <w:marRight w:val="0"/>
      <w:marTop w:val="0"/>
      <w:marBottom w:val="0"/>
      <w:divBdr>
        <w:top w:val="none" w:sz="0" w:space="0" w:color="auto"/>
        <w:left w:val="none" w:sz="0" w:space="0" w:color="auto"/>
        <w:bottom w:val="none" w:sz="0" w:space="0" w:color="auto"/>
        <w:right w:val="none" w:sz="0" w:space="0" w:color="auto"/>
      </w:divBdr>
    </w:div>
    <w:div w:id="1009066026">
      <w:bodyDiv w:val="1"/>
      <w:marLeft w:val="0"/>
      <w:marRight w:val="0"/>
      <w:marTop w:val="0"/>
      <w:marBottom w:val="0"/>
      <w:divBdr>
        <w:top w:val="none" w:sz="0" w:space="0" w:color="auto"/>
        <w:left w:val="none" w:sz="0" w:space="0" w:color="auto"/>
        <w:bottom w:val="none" w:sz="0" w:space="0" w:color="auto"/>
        <w:right w:val="none" w:sz="0" w:space="0" w:color="auto"/>
      </w:divBdr>
    </w:div>
    <w:div w:id="1009913414">
      <w:bodyDiv w:val="1"/>
      <w:marLeft w:val="0"/>
      <w:marRight w:val="0"/>
      <w:marTop w:val="0"/>
      <w:marBottom w:val="0"/>
      <w:divBdr>
        <w:top w:val="none" w:sz="0" w:space="0" w:color="auto"/>
        <w:left w:val="none" w:sz="0" w:space="0" w:color="auto"/>
        <w:bottom w:val="none" w:sz="0" w:space="0" w:color="auto"/>
        <w:right w:val="none" w:sz="0" w:space="0" w:color="auto"/>
      </w:divBdr>
    </w:div>
    <w:div w:id="1011252728">
      <w:bodyDiv w:val="1"/>
      <w:marLeft w:val="0"/>
      <w:marRight w:val="0"/>
      <w:marTop w:val="0"/>
      <w:marBottom w:val="0"/>
      <w:divBdr>
        <w:top w:val="none" w:sz="0" w:space="0" w:color="auto"/>
        <w:left w:val="none" w:sz="0" w:space="0" w:color="auto"/>
        <w:bottom w:val="none" w:sz="0" w:space="0" w:color="auto"/>
        <w:right w:val="none" w:sz="0" w:space="0" w:color="auto"/>
      </w:divBdr>
    </w:div>
    <w:div w:id="1011489360">
      <w:bodyDiv w:val="1"/>
      <w:marLeft w:val="0"/>
      <w:marRight w:val="0"/>
      <w:marTop w:val="0"/>
      <w:marBottom w:val="0"/>
      <w:divBdr>
        <w:top w:val="none" w:sz="0" w:space="0" w:color="auto"/>
        <w:left w:val="none" w:sz="0" w:space="0" w:color="auto"/>
        <w:bottom w:val="none" w:sz="0" w:space="0" w:color="auto"/>
        <w:right w:val="none" w:sz="0" w:space="0" w:color="auto"/>
      </w:divBdr>
    </w:div>
    <w:div w:id="1014501790">
      <w:bodyDiv w:val="1"/>
      <w:marLeft w:val="0"/>
      <w:marRight w:val="0"/>
      <w:marTop w:val="0"/>
      <w:marBottom w:val="0"/>
      <w:divBdr>
        <w:top w:val="none" w:sz="0" w:space="0" w:color="auto"/>
        <w:left w:val="none" w:sz="0" w:space="0" w:color="auto"/>
        <w:bottom w:val="none" w:sz="0" w:space="0" w:color="auto"/>
        <w:right w:val="none" w:sz="0" w:space="0" w:color="auto"/>
      </w:divBdr>
    </w:div>
    <w:div w:id="1015838177">
      <w:bodyDiv w:val="1"/>
      <w:marLeft w:val="0"/>
      <w:marRight w:val="0"/>
      <w:marTop w:val="0"/>
      <w:marBottom w:val="0"/>
      <w:divBdr>
        <w:top w:val="none" w:sz="0" w:space="0" w:color="auto"/>
        <w:left w:val="none" w:sz="0" w:space="0" w:color="auto"/>
        <w:bottom w:val="none" w:sz="0" w:space="0" w:color="auto"/>
        <w:right w:val="none" w:sz="0" w:space="0" w:color="auto"/>
      </w:divBdr>
    </w:div>
    <w:div w:id="1016538462">
      <w:bodyDiv w:val="1"/>
      <w:marLeft w:val="0"/>
      <w:marRight w:val="0"/>
      <w:marTop w:val="0"/>
      <w:marBottom w:val="0"/>
      <w:divBdr>
        <w:top w:val="none" w:sz="0" w:space="0" w:color="auto"/>
        <w:left w:val="none" w:sz="0" w:space="0" w:color="auto"/>
        <w:bottom w:val="none" w:sz="0" w:space="0" w:color="auto"/>
        <w:right w:val="none" w:sz="0" w:space="0" w:color="auto"/>
      </w:divBdr>
    </w:div>
    <w:div w:id="1018190225">
      <w:bodyDiv w:val="1"/>
      <w:marLeft w:val="0"/>
      <w:marRight w:val="0"/>
      <w:marTop w:val="0"/>
      <w:marBottom w:val="0"/>
      <w:divBdr>
        <w:top w:val="none" w:sz="0" w:space="0" w:color="auto"/>
        <w:left w:val="none" w:sz="0" w:space="0" w:color="auto"/>
        <w:bottom w:val="none" w:sz="0" w:space="0" w:color="auto"/>
        <w:right w:val="none" w:sz="0" w:space="0" w:color="auto"/>
      </w:divBdr>
    </w:div>
    <w:div w:id="1018430827">
      <w:bodyDiv w:val="1"/>
      <w:marLeft w:val="0"/>
      <w:marRight w:val="0"/>
      <w:marTop w:val="0"/>
      <w:marBottom w:val="0"/>
      <w:divBdr>
        <w:top w:val="none" w:sz="0" w:space="0" w:color="auto"/>
        <w:left w:val="none" w:sz="0" w:space="0" w:color="auto"/>
        <w:bottom w:val="none" w:sz="0" w:space="0" w:color="auto"/>
        <w:right w:val="none" w:sz="0" w:space="0" w:color="auto"/>
      </w:divBdr>
    </w:div>
    <w:div w:id="1019043849">
      <w:bodyDiv w:val="1"/>
      <w:marLeft w:val="0"/>
      <w:marRight w:val="0"/>
      <w:marTop w:val="0"/>
      <w:marBottom w:val="0"/>
      <w:divBdr>
        <w:top w:val="none" w:sz="0" w:space="0" w:color="auto"/>
        <w:left w:val="none" w:sz="0" w:space="0" w:color="auto"/>
        <w:bottom w:val="none" w:sz="0" w:space="0" w:color="auto"/>
        <w:right w:val="none" w:sz="0" w:space="0" w:color="auto"/>
      </w:divBdr>
    </w:div>
    <w:div w:id="1021198305">
      <w:bodyDiv w:val="1"/>
      <w:marLeft w:val="0"/>
      <w:marRight w:val="0"/>
      <w:marTop w:val="0"/>
      <w:marBottom w:val="0"/>
      <w:divBdr>
        <w:top w:val="none" w:sz="0" w:space="0" w:color="auto"/>
        <w:left w:val="none" w:sz="0" w:space="0" w:color="auto"/>
        <w:bottom w:val="none" w:sz="0" w:space="0" w:color="auto"/>
        <w:right w:val="none" w:sz="0" w:space="0" w:color="auto"/>
      </w:divBdr>
    </w:div>
    <w:div w:id="1021592175">
      <w:bodyDiv w:val="1"/>
      <w:marLeft w:val="0"/>
      <w:marRight w:val="0"/>
      <w:marTop w:val="0"/>
      <w:marBottom w:val="0"/>
      <w:divBdr>
        <w:top w:val="none" w:sz="0" w:space="0" w:color="auto"/>
        <w:left w:val="none" w:sz="0" w:space="0" w:color="auto"/>
        <w:bottom w:val="none" w:sz="0" w:space="0" w:color="auto"/>
        <w:right w:val="none" w:sz="0" w:space="0" w:color="auto"/>
      </w:divBdr>
    </w:div>
    <w:div w:id="1021857932">
      <w:bodyDiv w:val="1"/>
      <w:marLeft w:val="0"/>
      <w:marRight w:val="0"/>
      <w:marTop w:val="0"/>
      <w:marBottom w:val="0"/>
      <w:divBdr>
        <w:top w:val="none" w:sz="0" w:space="0" w:color="auto"/>
        <w:left w:val="none" w:sz="0" w:space="0" w:color="auto"/>
        <w:bottom w:val="none" w:sz="0" w:space="0" w:color="auto"/>
        <w:right w:val="none" w:sz="0" w:space="0" w:color="auto"/>
      </w:divBdr>
    </w:div>
    <w:div w:id="1023823739">
      <w:bodyDiv w:val="1"/>
      <w:marLeft w:val="0"/>
      <w:marRight w:val="0"/>
      <w:marTop w:val="0"/>
      <w:marBottom w:val="0"/>
      <w:divBdr>
        <w:top w:val="none" w:sz="0" w:space="0" w:color="auto"/>
        <w:left w:val="none" w:sz="0" w:space="0" w:color="auto"/>
        <w:bottom w:val="none" w:sz="0" w:space="0" w:color="auto"/>
        <w:right w:val="none" w:sz="0" w:space="0" w:color="auto"/>
      </w:divBdr>
    </w:div>
    <w:div w:id="1024792734">
      <w:bodyDiv w:val="1"/>
      <w:marLeft w:val="0"/>
      <w:marRight w:val="0"/>
      <w:marTop w:val="0"/>
      <w:marBottom w:val="0"/>
      <w:divBdr>
        <w:top w:val="none" w:sz="0" w:space="0" w:color="auto"/>
        <w:left w:val="none" w:sz="0" w:space="0" w:color="auto"/>
        <w:bottom w:val="none" w:sz="0" w:space="0" w:color="auto"/>
        <w:right w:val="none" w:sz="0" w:space="0" w:color="auto"/>
      </w:divBdr>
    </w:div>
    <w:div w:id="1025330431">
      <w:bodyDiv w:val="1"/>
      <w:marLeft w:val="0"/>
      <w:marRight w:val="0"/>
      <w:marTop w:val="0"/>
      <w:marBottom w:val="0"/>
      <w:divBdr>
        <w:top w:val="none" w:sz="0" w:space="0" w:color="auto"/>
        <w:left w:val="none" w:sz="0" w:space="0" w:color="auto"/>
        <w:bottom w:val="none" w:sz="0" w:space="0" w:color="auto"/>
        <w:right w:val="none" w:sz="0" w:space="0" w:color="auto"/>
      </w:divBdr>
    </w:div>
    <w:div w:id="1026367468">
      <w:bodyDiv w:val="1"/>
      <w:marLeft w:val="0"/>
      <w:marRight w:val="0"/>
      <w:marTop w:val="0"/>
      <w:marBottom w:val="0"/>
      <w:divBdr>
        <w:top w:val="none" w:sz="0" w:space="0" w:color="auto"/>
        <w:left w:val="none" w:sz="0" w:space="0" w:color="auto"/>
        <w:bottom w:val="none" w:sz="0" w:space="0" w:color="auto"/>
        <w:right w:val="none" w:sz="0" w:space="0" w:color="auto"/>
      </w:divBdr>
    </w:div>
    <w:div w:id="1029113424">
      <w:bodyDiv w:val="1"/>
      <w:marLeft w:val="0"/>
      <w:marRight w:val="0"/>
      <w:marTop w:val="0"/>
      <w:marBottom w:val="0"/>
      <w:divBdr>
        <w:top w:val="none" w:sz="0" w:space="0" w:color="auto"/>
        <w:left w:val="none" w:sz="0" w:space="0" w:color="auto"/>
        <w:bottom w:val="none" w:sz="0" w:space="0" w:color="auto"/>
        <w:right w:val="none" w:sz="0" w:space="0" w:color="auto"/>
      </w:divBdr>
    </w:div>
    <w:div w:id="1029259119">
      <w:bodyDiv w:val="1"/>
      <w:marLeft w:val="0"/>
      <w:marRight w:val="0"/>
      <w:marTop w:val="0"/>
      <w:marBottom w:val="0"/>
      <w:divBdr>
        <w:top w:val="none" w:sz="0" w:space="0" w:color="auto"/>
        <w:left w:val="none" w:sz="0" w:space="0" w:color="auto"/>
        <w:bottom w:val="none" w:sz="0" w:space="0" w:color="auto"/>
        <w:right w:val="none" w:sz="0" w:space="0" w:color="auto"/>
      </w:divBdr>
    </w:div>
    <w:div w:id="1030377773">
      <w:bodyDiv w:val="1"/>
      <w:marLeft w:val="0"/>
      <w:marRight w:val="0"/>
      <w:marTop w:val="0"/>
      <w:marBottom w:val="0"/>
      <w:divBdr>
        <w:top w:val="none" w:sz="0" w:space="0" w:color="auto"/>
        <w:left w:val="none" w:sz="0" w:space="0" w:color="auto"/>
        <w:bottom w:val="none" w:sz="0" w:space="0" w:color="auto"/>
        <w:right w:val="none" w:sz="0" w:space="0" w:color="auto"/>
      </w:divBdr>
    </w:div>
    <w:div w:id="1030955155">
      <w:bodyDiv w:val="1"/>
      <w:marLeft w:val="0"/>
      <w:marRight w:val="0"/>
      <w:marTop w:val="0"/>
      <w:marBottom w:val="0"/>
      <w:divBdr>
        <w:top w:val="none" w:sz="0" w:space="0" w:color="auto"/>
        <w:left w:val="none" w:sz="0" w:space="0" w:color="auto"/>
        <w:bottom w:val="none" w:sz="0" w:space="0" w:color="auto"/>
        <w:right w:val="none" w:sz="0" w:space="0" w:color="auto"/>
      </w:divBdr>
    </w:div>
    <w:div w:id="1031415390">
      <w:bodyDiv w:val="1"/>
      <w:marLeft w:val="0"/>
      <w:marRight w:val="0"/>
      <w:marTop w:val="0"/>
      <w:marBottom w:val="0"/>
      <w:divBdr>
        <w:top w:val="none" w:sz="0" w:space="0" w:color="auto"/>
        <w:left w:val="none" w:sz="0" w:space="0" w:color="auto"/>
        <w:bottom w:val="none" w:sz="0" w:space="0" w:color="auto"/>
        <w:right w:val="none" w:sz="0" w:space="0" w:color="auto"/>
      </w:divBdr>
    </w:div>
    <w:div w:id="1031685863">
      <w:bodyDiv w:val="1"/>
      <w:marLeft w:val="0"/>
      <w:marRight w:val="0"/>
      <w:marTop w:val="0"/>
      <w:marBottom w:val="0"/>
      <w:divBdr>
        <w:top w:val="none" w:sz="0" w:space="0" w:color="auto"/>
        <w:left w:val="none" w:sz="0" w:space="0" w:color="auto"/>
        <w:bottom w:val="none" w:sz="0" w:space="0" w:color="auto"/>
        <w:right w:val="none" w:sz="0" w:space="0" w:color="auto"/>
      </w:divBdr>
    </w:div>
    <w:div w:id="1032195840">
      <w:bodyDiv w:val="1"/>
      <w:marLeft w:val="0"/>
      <w:marRight w:val="0"/>
      <w:marTop w:val="0"/>
      <w:marBottom w:val="0"/>
      <w:divBdr>
        <w:top w:val="none" w:sz="0" w:space="0" w:color="auto"/>
        <w:left w:val="none" w:sz="0" w:space="0" w:color="auto"/>
        <w:bottom w:val="none" w:sz="0" w:space="0" w:color="auto"/>
        <w:right w:val="none" w:sz="0" w:space="0" w:color="auto"/>
      </w:divBdr>
    </w:div>
    <w:div w:id="1034162120">
      <w:bodyDiv w:val="1"/>
      <w:marLeft w:val="0"/>
      <w:marRight w:val="0"/>
      <w:marTop w:val="0"/>
      <w:marBottom w:val="0"/>
      <w:divBdr>
        <w:top w:val="none" w:sz="0" w:space="0" w:color="auto"/>
        <w:left w:val="none" w:sz="0" w:space="0" w:color="auto"/>
        <w:bottom w:val="none" w:sz="0" w:space="0" w:color="auto"/>
        <w:right w:val="none" w:sz="0" w:space="0" w:color="auto"/>
      </w:divBdr>
    </w:div>
    <w:div w:id="1034815320">
      <w:bodyDiv w:val="1"/>
      <w:marLeft w:val="0"/>
      <w:marRight w:val="0"/>
      <w:marTop w:val="0"/>
      <w:marBottom w:val="0"/>
      <w:divBdr>
        <w:top w:val="none" w:sz="0" w:space="0" w:color="auto"/>
        <w:left w:val="none" w:sz="0" w:space="0" w:color="auto"/>
        <w:bottom w:val="none" w:sz="0" w:space="0" w:color="auto"/>
        <w:right w:val="none" w:sz="0" w:space="0" w:color="auto"/>
      </w:divBdr>
    </w:div>
    <w:div w:id="1034883215">
      <w:bodyDiv w:val="1"/>
      <w:marLeft w:val="0"/>
      <w:marRight w:val="0"/>
      <w:marTop w:val="0"/>
      <w:marBottom w:val="0"/>
      <w:divBdr>
        <w:top w:val="none" w:sz="0" w:space="0" w:color="auto"/>
        <w:left w:val="none" w:sz="0" w:space="0" w:color="auto"/>
        <w:bottom w:val="none" w:sz="0" w:space="0" w:color="auto"/>
        <w:right w:val="none" w:sz="0" w:space="0" w:color="auto"/>
      </w:divBdr>
    </w:div>
    <w:div w:id="1034963116">
      <w:bodyDiv w:val="1"/>
      <w:marLeft w:val="0"/>
      <w:marRight w:val="0"/>
      <w:marTop w:val="0"/>
      <w:marBottom w:val="0"/>
      <w:divBdr>
        <w:top w:val="none" w:sz="0" w:space="0" w:color="auto"/>
        <w:left w:val="none" w:sz="0" w:space="0" w:color="auto"/>
        <w:bottom w:val="none" w:sz="0" w:space="0" w:color="auto"/>
        <w:right w:val="none" w:sz="0" w:space="0" w:color="auto"/>
      </w:divBdr>
    </w:div>
    <w:div w:id="1036001542">
      <w:bodyDiv w:val="1"/>
      <w:marLeft w:val="0"/>
      <w:marRight w:val="0"/>
      <w:marTop w:val="0"/>
      <w:marBottom w:val="0"/>
      <w:divBdr>
        <w:top w:val="none" w:sz="0" w:space="0" w:color="auto"/>
        <w:left w:val="none" w:sz="0" w:space="0" w:color="auto"/>
        <w:bottom w:val="none" w:sz="0" w:space="0" w:color="auto"/>
        <w:right w:val="none" w:sz="0" w:space="0" w:color="auto"/>
      </w:divBdr>
    </w:div>
    <w:div w:id="1037117598">
      <w:bodyDiv w:val="1"/>
      <w:marLeft w:val="0"/>
      <w:marRight w:val="0"/>
      <w:marTop w:val="0"/>
      <w:marBottom w:val="0"/>
      <w:divBdr>
        <w:top w:val="none" w:sz="0" w:space="0" w:color="auto"/>
        <w:left w:val="none" w:sz="0" w:space="0" w:color="auto"/>
        <w:bottom w:val="none" w:sz="0" w:space="0" w:color="auto"/>
        <w:right w:val="none" w:sz="0" w:space="0" w:color="auto"/>
      </w:divBdr>
    </w:div>
    <w:div w:id="1037975689">
      <w:bodyDiv w:val="1"/>
      <w:marLeft w:val="0"/>
      <w:marRight w:val="0"/>
      <w:marTop w:val="0"/>
      <w:marBottom w:val="0"/>
      <w:divBdr>
        <w:top w:val="none" w:sz="0" w:space="0" w:color="auto"/>
        <w:left w:val="none" w:sz="0" w:space="0" w:color="auto"/>
        <w:bottom w:val="none" w:sz="0" w:space="0" w:color="auto"/>
        <w:right w:val="none" w:sz="0" w:space="0" w:color="auto"/>
      </w:divBdr>
    </w:div>
    <w:div w:id="1038048963">
      <w:bodyDiv w:val="1"/>
      <w:marLeft w:val="0"/>
      <w:marRight w:val="0"/>
      <w:marTop w:val="0"/>
      <w:marBottom w:val="0"/>
      <w:divBdr>
        <w:top w:val="none" w:sz="0" w:space="0" w:color="auto"/>
        <w:left w:val="none" w:sz="0" w:space="0" w:color="auto"/>
        <w:bottom w:val="none" w:sz="0" w:space="0" w:color="auto"/>
        <w:right w:val="none" w:sz="0" w:space="0" w:color="auto"/>
      </w:divBdr>
    </w:div>
    <w:div w:id="1038623023">
      <w:bodyDiv w:val="1"/>
      <w:marLeft w:val="0"/>
      <w:marRight w:val="0"/>
      <w:marTop w:val="0"/>
      <w:marBottom w:val="0"/>
      <w:divBdr>
        <w:top w:val="none" w:sz="0" w:space="0" w:color="auto"/>
        <w:left w:val="none" w:sz="0" w:space="0" w:color="auto"/>
        <w:bottom w:val="none" w:sz="0" w:space="0" w:color="auto"/>
        <w:right w:val="none" w:sz="0" w:space="0" w:color="auto"/>
      </w:divBdr>
    </w:div>
    <w:div w:id="1038702168">
      <w:bodyDiv w:val="1"/>
      <w:marLeft w:val="0"/>
      <w:marRight w:val="0"/>
      <w:marTop w:val="0"/>
      <w:marBottom w:val="0"/>
      <w:divBdr>
        <w:top w:val="none" w:sz="0" w:space="0" w:color="auto"/>
        <w:left w:val="none" w:sz="0" w:space="0" w:color="auto"/>
        <w:bottom w:val="none" w:sz="0" w:space="0" w:color="auto"/>
        <w:right w:val="none" w:sz="0" w:space="0" w:color="auto"/>
      </w:divBdr>
    </w:div>
    <w:div w:id="1039092960">
      <w:bodyDiv w:val="1"/>
      <w:marLeft w:val="0"/>
      <w:marRight w:val="0"/>
      <w:marTop w:val="0"/>
      <w:marBottom w:val="0"/>
      <w:divBdr>
        <w:top w:val="none" w:sz="0" w:space="0" w:color="auto"/>
        <w:left w:val="none" w:sz="0" w:space="0" w:color="auto"/>
        <w:bottom w:val="none" w:sz="0" w:space="0" w:color="auto"/>
        <w:right w:val="none" w:sz="0" w:space="0" w:color="auto"/>
      </w:divBdr>
    </w:div>
    <w:div w:id="1040863286">
      <w:bodyDiv w:val="1"/>
      <w:marLeft w:val="0"/>
      <w:marRight w:val="0"/>
      <w:marTop w:val="0"/>
      <w:marBottom w:val="0"/>
      <w:divBdr>
        <w:top w:val="none" w:sz="0" w:space="0" w:color="auto"/>
        <w:left w:val="none" w:sz="0" w:space="0" w:color="auto"/>
        <w:bottom w:val="none" w:sz="0" w:space="0" w:color="auto"/>
        <w:right w:val="none" w:sz="0" w:space="0" w:color="auto"/>
      </w:divBdr>
    </w:div>
    <w:div w:id="1041780144">
      <w:bodyDiv w:val="1"/>
      <w:marLeft w:val="0"/>
      <w:marRight w:val="0"/>
      <w:marTop w:val="0"/>
      <w:marBottom w:val="0"/>
      <w:divBdr>
        <w:top w:val="none" w:sz="0" w:space="0" w:color="auto"/>
        <w:left w:val="none" w:sz="0" w:space="0" w:color="auto"/>
        <w:bottom w:val="none" w:sz="0" w:space="0" w:color="auto"/>
        <w:right w:val="none" w:sz="0" w:space="0" w:color="auto"/>
      </w:divBdr>
    </w:div>
    <w:div w:id="1041826274">
      <w:bodyDiv w:val="1"/>
      <w:marLeft w:val="0"/>
      <w:marRight w:val="0"/>
      <w:marTop w:val="0"/>
      <w:marBottom w:val="0"/>
      <w:divBdr>
        <w:top w:val="none" w:sz="0" w:space="0" w:color="auto"/>
        <w:left w:val="none" w:sz="0" w:space="0" w:color="auto"/>
        <w:bottom w:val="none" w:sz="0" w:space="0" w:color="auto"/>
        <w:right w:val="none" w:sz="0" w:space="0" w:color="auto"/>
      </w:divBdr>
    </w:div>
    <w:div w:id="1043099422">
      <w:bodyDiv w:val="1"/>
      <w:marLeft w:val="0"/>
      <w:marRight w:val="0"/>
      <w:marTop w:val="0"/>
      <w:marBottom w:val="0"/>
      <w:divBdr>
        <w:top w:val="none" w:sz="0" w:space="0" w:color="auto"/>
        <w:left w:val="none" w:sz="0" w:space="0" w:color="auto"/>
        <w:bottom w:val="none" w:sz="0" w:space="0" w:color="auto"/>
        <w:right w:val="none" w:sz="0" w:space="0" w:color="auto"/>
      </w:divBdr>
    </w:div>
    <w:div w:id="1045521605">
      <w:bodyDiv w:val="1"/>
      <w:marLeft w:val="0"/>
      <w:marRight w:val="0"/>
      <w:marTop w:val="0"/>
      <w:marBottom w:val="0"/>
      <w:divBdr>
        <w:top w:val="none" w:sz="0" w:space="0" w:color="auto"/>
        <w:left w:val="none" w:sz="0" w:space="0" w:color="auto"/>
        <w:bottom w:val="none" w:sz="0" w:space="0" w:color="auto"/>
        <w:right w:val="none" w:sz="0" w:space="0" w:color="auto"/>
      </w:divBdr>
    </w:div>
    <w:div w:id="1045904811">
      <w:bodyDiv w:val="1"/>
      <w:marLeft w:val="0"/>
      <w:marRight w:val="0"/>
      <w:marTop w:val="0"/>
      <w:marBottom w:val="0"/>
      <w:divBdr>
        <w:top w:val="none" w:sz="0" w:space="0" w:color="auto"/>
        <w:left w:val="none" w:sz="0" w:space="0" w:color="auto"/>
        <w:bottom w:val="none" w:sz="0" w:space="0" w:color="auto"/>
        <w:right w:val="none" w:sz="0" w:space="0" w:color="auto"/>
      </w:divBdr>
    </w:div>
    <w:div w:id="1046640918">
      <w:bodyDiv w:val="1"/>
      <w:marLeft w:val="0"/>
      <w:marRight w:val="0"/>
      <w:marTop w:val="0"/>
      <w:marBottom w:val="0"/>
      <w:divBdr>
        <w:top w:val="none" w:sz="0" w:space="0" w:color="auto"/>
        <w:left w:val="none" w:sz="0" w:space="0" w:color="auto"/>
        <w:bottom w:val="none" w:sz="0" w:space="0" w:color="auto"/>
        <w:right w:val="none" w:sz="0" w:space="0" w:color="auto"/>
      </w:divBdr>
    </w:div>
    <w:div w:id="1047726855">
      <w:bodyDiv w:val="1"/>
      <w:marLeft w:val="0"/>
      <w:marRight w:val="0"/>
      <w:marTop w:val="0"/>
      <w:marBottom w:val="0"/>
      <w:divBdr>
        <w:top w:val="none" w:sz="0" w:space="0" w:color="auto"/>
        <w:left w:val="none" w:sz="0" w:space="0" w:color="auto"/>
        <w:bottom w:val="none" w:sz="0" w:space="0" w:color="auto"/>
        <w:right w:val="none" w:sz="0" w:space="0" w:color="auto"/>
      </w:divBdr>
    </w:div>
    <w:div w:id="1048918167">
      <w:bodyDiv w:val="1"/>
      <w:marLeft w:val="0"/>
      <w:marRight w:val="0"/>
      <w:marTop w:val="0"/>
      <w:marBottom w:val="0"/>
      <w:divBdr>
        <w:top w:val="none" w:sz="0" w:space="0" w:color="auto"/>
        <w:left w:val="none" w:sz="0" w:space="0" w:color="auto"/>
        <w:bottom w:val="none" w:sz="0" w:space="0" w:color="auto"/>
        <w:right w:val="none" w:sz="0" w:space="0" w:color="auto"/>
      </w:divBdr>
    </w:div>
    <w:div w:id="1049767429">
      <w:bodyDiv w:val="1"/>
      <w:marLeft w:val="0"/>
      <w:marRight w:val="0"/>
      <w:marTop w:val="0"/>
      <w:marBottom w:val="0"/>
      <w:divBdr>
        <w:top w:val="none" w:sz="0" w:space="0" w:color="auto"/>
        <w:left w:val="none" w:sz="0" w:space="0" w:color="auto"/>
        <w:bottom w:val="none" w:sz="0" w:space="0" w:color="auto"/>
        <w:right w:val="none" w:sz="0" w:space="0" w:color="auto"/>
      </w:divBdr>
    </w:div>
    <w:div w:id="1049961167">
      <w:bodyDiv w:val="1"/>
      <w:marLeft w:val="0"/>
      <w:marRight w:val="0"/>
      <w:marTop w:val="0"/>
      <w:marBottom w:val="0"/>
      <w:divBdr>
        <w:top w:val="none" w:sz="0" w:space="0" w:color="auto"/>
        <w:left w:val="none" w:sz="0" w:space="0" w:color="auto"/>
        <w:bottom w:val="none" w:sz="0" w:space="0" w:color="auto"/>
        <w:right w:val="none" w:sz="0" w:space="0" w:color="auto"/>
      </w:divBdr>
    </w:div>
    <w:div w:id="1051686000">
      <w:bodyDiv w:val="1"/>
      <w:marLeft w:val="0"/>
      <w:marRight w:val="0"/>
      <w:marTop w:val="0"/>
      <w:marBottom w:val="0"/>
      <w:divBdr>
        <w:top w:val="none" w:sz="0" w:space="0" w:color="auto"/>
        <w:left w:val="none" w:sz="0" w:space="0" w:color="auto"/>
        <w:bottom w:val="none" w:sz="0" w:space="0" w:color="auto"/>
        <w:right w:val="none" w:sz="0" w:space="0" w:color="auto"/>
      </w:divBdr>
    </w:div>
    <w:div w:id="1052191336">
      <w:bodyDiv w:val="1"/>
      <w:marLeft w:val="0"/>
      <w:marRight w:val="0"/>
      <w:marTop w:val="0"/>
      <w:marBottom w:val="0"/>
      <w:divBdr>
        <w:top w:val="none" w:sz="0" w:space="0" w:color="auto"/>
        <w:left w:val="none" w:sz="0" w:space="0" w:color="auto"/>
        <w:bottom w:val="none" w:sz="0" w:space="0" w:color="auto"/>
        <w:right w:val="none" w:sz="0" w:space="0" w:color="auto"/>
      </w:divBdr>
    </w:div>
    <w:div w:id="1054281128">
      <w:bodyDiv w:val="1"/>
      <w:marLeft w:val="0"/>
      <w:marRight w:val="0"/>
      <w:marTop w:val="0"/>
      <w:marBottom w:val="0"/>
      <w:divBdr>
        <w:top w:val="none" w:sz="0" w:space="0" w:color="auto"/>
        <w:left w:val="none" w:sz="0" w:space="0" w:color="auto"/>
        <w:bottom w:val="none" w:sz="0" w:space="0" w:color="auto"/>
        <w:right w:val="none" w:sz="0" w:space="0" w:color="auto"/>
      </w:divBdr>
    </w:div>
    <w:div w:id="1054350873">
      <w:bodyDiv w:val="1"/>
      <w:marLeft w:val="0"/>
      <w:marRight w:val="0"/>
      <w:marTop w:val="0"/>
      <w:marBottom w:val="0"/>
      <w:divBdr>
        <w:top w:val="none" w:sz="0" w:space="0" w:color="auto"/>
        <w:left w:val="none" w:sz="0" w:space="0" w:color="auto"/>
        <w:bottom w:val="none" w:sz="0" w:space="0" w:color="auto"/>
        <w:right w:val="none" w:sz="0" w:space="0" w:color="auto"/>
      </w:divBdr>
    </w:div>
    <w:div w:id="1054743899">
      <w:bodyDiv w:val="1"/>
      <w:marLeft w:val="0"/>
      <w:marRight w:val="0"/>
      <w:marTop w:val="0"/>
      <w:marBottom w:val="0"/>
      <w:divBdr>
        <w:top w:val="none" w:sz="0" w:space="0" w:color="auto"/>
        <w:left w:val="none" w:sz="0" w:space="0" w:color="auto"/>
        <w:bottom w:val="none" w:sz="0" w:space="0" w:color="auto"/>
        <w:right w:val="none" w:sz="0" w:space="0" w:color="auto"/>
      </w:divBdr>
    </w:div>
    <w:div w:id="1056007387">
      <w:bodyDiv w:val="1"/>
      <w:marLeft w:val="0"/>
      <w:marRight w:val="0"/>
      <w:marTop w:val="0"/>
      <w:marBottom w:val="0"/>
      <w:divBdr>
        <w:top w:val="none" w:sz="0" w:space="0" w:color="auto"/>
        <w:left w:val="none" w:sz="0" w:space="0" w:color="auto"/>
        <w:bottom w:val="none" w:sz="0" w:space="0" w:color="auto"/>
        <w:right w:val="none" w:sz="0" w:space="0" w:color="auto"/>
      </w:divBdr>
    </w:div>
    <w:div w:id="1056273711">
      <w:bodyDiv w:val="1"/>
      <w:marLeft w:val="0"/>
      <w:marRight w:val="0"/>
      <w:marTop w:val="0"/>
      <w:marBottom w:val="0"/>
      <w:divBdr>
        <w:top w:val="none" w:sz="0" w:space="0" w:color="auto"/>
        <w:left w:val="none" w:sz="0" w:space="0" w:color="auto"/>
        <w:bottom w:val="none" w:sz="0" w:space="0" w:color="auto"/>
        <w:right w:val="none" w:sz="0" w:space="0" w:color="auto"/>
      </w:divBdr>
    </w:div>
    <w:div w:id="1056583035">
      <w:bodyDiv w:val="1"/>
      <w:marLeft w:val="0"/>
      <w:marRight w:val="0"/>
      <w:marTop w:val="0"/>
      <w:marBottom w:val="0"/>
      <w:divBdr>
        <w:top w:val="none" w:sz="0" w:space="0" w:color="auto"/>
        <w:left w:val="none" w:sz="0" w:space="0" w:color="auto"/>
        <w:bottom w:val="none" w:sz="0" w:space="0" w:color="auto"/>
        <w:right w:val="none" w:sz="0" w:space="0" w:color="auto"/>
      </w:divBdr>
    </w:div>
    <w:div w:id="1057245779">
      <w:bodyDiv w:val="1"/>
      <w:marLeft w:val="0"/>
      <w:marRight w:val="0"/>
      <w:marTop w:val="0"/>
      <w:marBottom w:val="0"/>
      <w:divBdr>
        <w:top w:val="none" w:sz="0" w:space="0" w:color="auto"/>
        <w:left w:val="none" w:sz="0" w:space="0" w:color="auto"/>
        <w:bottom w:val="none" w:sz="0" w:space="0" w:color="auto"/>
        <w:right w:val="none" w:sz="0" w:space="0" w:color="auto"/>
      </w:divBdr>
    </w:div>
    <w:div w:id="1058089956">
      <w:bodyDiv w:val="1"/>
      <w:marLeft w:val="0"/>
      <w:marRight w:val="0"/>
      <w:marTop w:val="0"/>
      <w:marBottom w:val="0"/>
      <w:divBdr>
        <w:top w:val="none" w:sz="0" w:space="0" w:color="auto"/>
        <w:left w:val="none" w:sz="0" w:space="0" w:color="auto"/>
        <w:bottom w:val="none" w:sz="0" w:space="0" w:color="auto"/>
        <w:right w:val="none" w:sz="0" w:space="0" w:color="auto"/>
      </w:divBdr>
    </w:div>
    <w:div w:id="1060713103">
      <w:bodyDiv w:val="1"/>
      <w:marLeft w:val="0"/>
      <w:marRight w:val="0"/>
      <w:marTop w:val="0"/>
      <w:marBottom w:val="0"/>
      <w:divBdr>
        <w:top w:val="none" w:sz="0" w:space="0" w:color="auto"/>
        <w:left w:val="none" w:sz="0" w:space="0" w:color="auto"/>
        <w:bottom w:val="none" w:sz="0" w:space="0" w:color="auto"/>
        <w:right w:val="none" w:sz="0" w:space="0" w:color="auto"/>
      </w:divBdr>
    </w:div>
    <w:div w:id="1060859937">
      <w:bodyDiv w:val="1"/>
      <w:marLeft w:val="0"/>
      <w:marRight w:val="0"/>
      <w:marTop w:val="0"/>
      <w:marBottom w:val="0"/>
      <w:divBdr>
        <w:top w:val="none" w:sz="0" w:space="0" w:color="auto"/>
        <w:left w:val="none" w:sz="0" w:space="0" w:color="auto"/>
        <w:bottom w:val="none" w:sz="0" w:space="0" w:color="auto"/>
        <w:right w:val="none" w:sz="0" w:space="0" w:color="auto"/>
      </w:divBdr>
    </w:div>
    <w:div w:id="1062212742">
      <w:bodyDiv w:val="1"/>
      <w:marLeft w:val="0"/>
      <w:marRight w:val="0"/>
      <w:marTop w:val="0"/>
      <w:marBottom w:val="0"/>
      <w:divBdr>
        <w:top w:val="none" w:sz="0" w:space="0" w:color="auto"/>
        <w:left w:val="none" w:sz="0" w:space="0" w:color="auto"/>
        <w:bottom w:val="none" w:sz="0" w:space="0" w:color="auto"/>
        <w:right w:val="none" w:sz="0" w:space="0" w:color="auto"/>
      </w:divBdr>
    </w:div>
    <w:div w:id="1062411333">
      <w:bodyDiv w:val="1"/>
      <w:marLeft w:val="0"/>
      <w:marRight w:val="0"/>
      <w:marTop w:val="0"/>
      <w:marBottom w:val="0"/>
      <w:divBdr>
        <w:top w:val="none" w:sz="0" w:space="0" w:color="auto"/>
        <w:left w:val="none" w:sz="0" w:space="0" w:color="auto"/>
        <w:bottom w:val="none" w:sz="0" w:space="0" w:color="auto"/>
        <w:right w:val="none" w:sz="0" w:space="0" w:color="auto"/>
      </w:divBdr>
    </w:div>
    <w:div w:id="1062752801">
      <w:bodyDiv w:val="1"/>
      <w:marLeft w:val="0"/>
      <w:marRight w:val="0"/>
      <w:marTop w:val="0"/>
      <w:marBottom w:val="0"/>
      <w:divBdr>
        <w:top w:val="none" w:sz="0" w:space="0" w:color="auto"/>
        <w:left w:val="none" w:sz="0" w:space="0" w:color="auto"/>
        <w:bottom w:val="none" w:sz="0" w:space="0" w:color="auto"/>
        <w:right w:val="none" w:sz="0" w:space="0" w:color="auto"/>
      </w:divBdr>
    </w:div>
    <w:div w:id="1064135749">
      <w:bodyDiv w:val="1"/>
      <w:marLeft w:val="0"/>
      <w:marRight w:val="0"/>
      <w:marTop w:val="0"/>
      <w:marBottom w:val="0"/>
      <w:divBdr>
        <w:top w:val="none" w:sz="0" w:space="0" w:color="auto"/>
        <w:left w:val="none" w:sz="0" w:space="0" w:color="auto"/>
        <w:bottom w:val="none" w:sz="0" w:space="0" w:color="auto"/>
        <w:right w:val="none" w:sz="0" w:space="0" w:color="auto"/>
      </w:divBdr>
    </w:div>
    <w:div w:id="1064139424">
      <w:bodyDiv w:val="1"/>
      <w:marLeft w:val="0"/>
      <w:marRight w:val="0"/>
      <w:marTop w:val="0"/>
      <w:marBottom w:val="0"/>
      <w:divBdr>
        <w:top w:val="none" w:sz="0" w:space="0" w:color="auto"/>
        <w:left w:val="none" w:sz="0" w:space="0" w:color="auto"/>
        <w:bottom w:val="none" w:sz="0" w:space="0" w:color="auto"/>
        <w:right w:val="none" w:sz="0" w:space="0" w:color="auto"/>
      </w:divBdr>
    </w:div>
    <w:div w:id="1065878186">
      <w:bodyDiv w:val="1"/>
      <w:marLeft w:val="0"/>
      <w:marRight w:val="0"/>
      <w:marTop w:val="0"/>
      <w:marBottom w:val="0"/>
      <w:divBdr>
        <w:top w:val="none" w:sz="0" w:space="0" w:color="auto"/>
        <w:left w:val="none" w:sz="0" w:space="0" w:color="auto"/>
        <w:bottom w:val="none" w:sz="0" w:space="0" w:color="auto"/>
        <w:right w:val="none" w:sz="0" w:space="0" w:color="auto"/>
      </w:divBdr>
    </w:div>
    <w:div w:id="1067923154">
      <w:bodyDiv w:val="1"/>
      <w:marLeft w:val="0"/>
      <w:marRight w:val="0"/>
      <w:marTop w:val="0"/>
      <w:marBottom w:val="0"/>
      <w:divBdr>
        <w:top w:val="none" w:sz="0" w:space="0" w:color="auto"/>
        <w:left w:val="none" w:sz="0" w:space="0" w:color="auto"/>
        <w:bottom w:val="none" w:sz="0" w:space="0" w:color="auto"/>
        <w:right w:val="none" w:sz="0" w:space="0" w:color="auto"/>
      </w:divBdr>
    </w:div>
    <w:div w:id="1069500631">
      <w:bodyDiv w:val="1"/>
      <w:marLeft w:val="0"/>
      <w:marRight w:val="0"/>
      <w:marTop w:val="0"/>
      <w:marBottom w:val="0"/>
      <w:divBdr>
        <w:top w:val="none" w:sz="0" w:space="0" w:color="auto"/>
        <w:left w:val="none" w:sz="0" w:space="0" w:color="auto"/>
        <w:bottom w:val="none" w:sz="0" w:space="0" w:color="auto"/>
        <w:right w:val="none" w:sz="0" w:space="0" w:color="auto"/>
      </w:divBdr>
    </w:div>
    <w:div w:id="1071922847">
      <w:bodyDiv w:val="1"/>
      <w:marLeft w:val="0"/>
      <w:marRight w:val="0"/>
      <w:marTop w:val="0"/>
      <w:marBottom w:val="0"/>
      <w:divBdr>
        <w:top w:val="none" w:sz="0" w:space="0" w:color="auto"/>
        <w:left w:val="none" w:sz="0" w:space="0" w:color="auto"/>
        <w:bottom w:val="none" w:sz="0" w:space="0" w:color="auto"/>
        <w:right w:val="none" w:sz="0" w:space="0" w:color="auto"/>
      </w:divBdr>
    </w:div>
    <w:div w:id="1072433156">
      <w:bodyDiv w:val="1"/>
      <w:marLeft w:val="0"/>
      <w:marRight w:val="0"/>
      <w:marTop w:val="0"/>
      <w:marBottom w:val="0"/>
      <w:divBdr>
        <w:top w:val="none" w:sz="0" w:space="0" w:color="auto"/>
        <w:left w:val="none" w:sz="0" w:space="0" w:color="auto"/>
        <w:bottom w:val="none" w:sz="0" w:space="0" w:color="auto"/>
        <w:right w:val="none" w:sz="0" w:space="0" w:color="auto"/>
      </w:divBdr>
    </w:div>
    <w:div w:id="1073509075">
      <w:bodyDiv w:val="1"/>
      <w:marLeft w:val="0"/>
      <w:marRight w:val="0"/>
      <w:marTop w:val="0"/>
      <w:marBottom w:val="0"/>
      <w:divBdr>
        <w:top w:val="none" w:sz="0" w:space="0" w:color="auto"/>
        <w:left w:val="none" w:sz="0" w:space="0" w:color="auto"/>
        <w:bottom w:val="none" w:sz="0" w:space="0" w:color="auto"/>
        <w:right w:val="none" w:sz="0" w:space="0" w:color="auto"/>
      </w:divBdr>
    </w:div>
    <w:div w:id="1073770321">
      <w:bodyDiv w:val="1"/>
      <w:marLeft w:val="0"/>
      <w:marRight w:val="0"/>
      <w:marTop w:val="0"/>
      <w:marBottom w:val="0"/>
      <w:divBdr>
        <w:top w:val="none" w:sz="0" w:space="0" w:color="auto"/>
        <w:left w:val="none" w:sz="0" w:space="0" w:color="auto"/>
        <w:bottom w:val="none" w:sz="0" w:space="0" w:color="auto"/>
        <w:right w:val="none" w:sz="0" w:space="0" w:color="auto"/>
      </w:divBdr>
    </w:div>
    <w:div w:id="1074010714">
      <w:bodyDiv w:val="1"/>
      <w:marLeft w:val="0"/>
      <w:marRight w:val="0"/>
      <w:marTop w:val="0"/>
      <w:marBottom w:val="0"/>
      <w:divBdr>
        <w:top w:val="none" w:sz="0" w:space="0" w:color="auto"/>
        <w:left w:val="none" w:sz="0" w:space="0" w:color="auto"/>
        <w:bottom w:val="none" w:sz="0" w:space="0" w:color="auto"/>
        <w:right w:val="none" w:sz="0" w:space="0" w:color="auto"/>
      </w:divBdr>
    </w:div>
    <w:div w:id="1074862315">
      <w:bodyDiv w:val="1"/>
      <w:marLeft w:val="0"/>
      <w:marRight w:val="0"/>
      <w:marTop w:val="0"/>
      <w:marBottom w:val="0"/>
      <w:divBdr>
        <w:top w:val="none" w:sz="0" w:space="0" w:color="auto"/>
        <w:left w:val="none" w:sz="0" w:space="0" w:color="auto"/>
        <w:bottom w:val="none" w:sz="0" w:space="0" w:color="auto"/>
        <w:right w:val="none" w:sz="0" w:space="0" w:color="auto"/>
      </w:divBdr>
    </w:div>
    <w:div w:id="1075129228">
      <w:bodyDiv w:val="1"/>
      <w:marLeft w:val="0"/>
      <w:marRight w:val="0"/>
      <w:marTop w:val="0"/>
      <w:marBottom w:val="0"/>
      <w:divBdr>
        <w:top w:val="none" w:sz="0" w:space="0" w:color="auto"/>
        <w:left w:val="none" w:sz="0" w:space="0" w:color="auto"/>
        <w:bottom w:val="none" w:sz="0" w:space="0" w:color="auto"/>
        <w:right w:val="none" w:sz="0" w:space="0" w:color="auto"/>
      </w:divBdr>
    </w:div>
    <w:div w:id="1075132452">
      <w:bodyDiv w:val="1"/>
      <w:marLeft w:val="0"/>
      <w:marRight w:val="0"/>
      <w:marTop w:val="0"/>
      <w:marBottom w:val="0"/>
      <w:divBdr>
        <w:top w:val="none" w:sz="0" w:space="0" w:color="auto"/>
        <w:left w:val="none" w:sz="0" w:space="0" w:color="auto"/>
        <w:bottom w:val="none" w:sz="0" w:space="0" w:color="auto"/>
        <w:right w:val="none" w:sz="0" w:space="0" w:color="auto"/>
      </w:divBdr>
    </w:div>
    <w:div w:id="1075393629">
      <w:bodyDiv w:val="1"/>
      <w:marLeft w:val="0"/>
      <w:marRight w:val="0"/>
      <w:marTop w:val="0"/>
      <w:marBottom w:val="0"/>
      <w:divBdr>
        <w:top w:val="none" w:sz="0" w:space="0" w:color="auto"/>
        <w:left w:val="none" w:sz="0" w:space="0" w:color="auto"/>
        <w:bottom w:val="none" w:sz="0" w:space="0" w:color="auto"/>
        <w:right w:val="none" w:sz="0" w:space="0" w:color="auto"/>
      </w:divBdr>
    </w:div>
    <w:div w:id="1076516924">
      <w:bodyDiv w:val="1"/>
      <w:marLeft w:val="0"/>
      <w:marRight w:val="0"/>
      <w:marTop w:val="0"/>
      <w:marBottom w:val="0"/>
      <w:divBdr>
        <w:top w:val="none" w:sz="0" w:space="0" w:color="auto"/>
        <w:left w:val="none" w:sz="0" w:space="0" w:color="auto"/>
        <w:bottom w:val="none" w:sz="0" w:space="0" w:color="auto"/>
        <w:right w:val="none" w:sz="0" w:space="0" w:color="auto"/>
      </w:divBdr>
    </w:div>
    <w:div w:id="1077704498">
      <w:bodyDiv w:val="1"/>
      <w:marLeft w:val="0"/>
      <w:marRight w:val="0"/>
      <w:marTop w:val="0"/>
      <w:marBottom w:val="0"/>
      <w:divBdr>
        <w:top w:val="none" w:sz="0" w:space="0" w:color="auto"/>
        <w:left w:val="none" w:sz="0" w:space="0" w:color="auto"/>
        <w:bottom w:val="none" w:sz="0" w:space="0" w:color="auto"/>
        <w:right w:val="none" w:sz="0" w:space="0" w:color="auto"/>
      </w:divBdr>
    </w:div>
    <w:div w:id="1078286281">
      <w:bodyDiv w:val="1"/>
      <w:marLeft w:val="0"/>
      <w:marRight w:val="0"/>
      <w:marTop w:val="0"/>
      <w:marBottom w:val="0"/>
      <w:divBdr>
        <w:top w:val="none" w:sz="0" w:space="0" w:color="auto"/>
        <w:left w:val="none" w:sz="0" w:space="0" w:color="auto"/>
        <w:bottom w:val="none" w:sz="0" w:space="0" w:color="auto"/>
        <w:right w:val="none" w:sz="0" w:space="0" w:color="auto"/>
      </w:divBdr>
    </w:div>
    <w:div w:id="1079206139">
      <w:bodyDiv w:val="1"/>
      <w:marLeft w:val="0"/>
      <w:marRight w:val="0"/>
      <w:marTop w:val="0"/>
      <w:marBottom w:val="0"/>
      <w:divBdr>
        <w:top w:val="none" w:sz="0" w:space="0" w:color="auto"/>
        <w:left w:val="none" w:sz="0" w:space="0" w:color="auto"/>
        <w:bottom w:val="none" w:sz="0" w:space="0" w:color="auto"/>
        <w:right w:val="none" w:sz="0" w:space="0" w:color="auto"/>
      </w:divBdr>
    </w:div>
    <w:div w:id="1081298499">
      <w:bodyDiv w:val="1"/>
      <w:marLeft w:val="0"/>
      <w:marRight w:val="0"/>
      <w:marTop w:val="0"/>
      <w:marBottom w:val="0"/>
      <w:divBdr>
        <w:top w:val="none" w:sz="0" w:space="0" w:color="auto"/>
        <w:left w:val="none" w:sz="0" w:space="0" w:color="auto"/>
        <w:bottom w:val="none" w:sz="0" w:space="0" w:color="auto"/>
        <w:right w:val="none" w:sz="0" w:space="0" w:color="auto"/>
      </w:divBdr>
    </w:div>
    <w:div w:id="1082146735">
      <w:bodyDiv w:val="1"/>
      <w:marLeft w:val="0"/>
      <w:marRight w:val="0"/>
      <w:marTop w:val="0"/>
      <w:marBottom w:val="0"/>
      <w:divBdr>
        <w:top w:val="none" w:sz="0" w:space="0" w:color="auto"/>
        <w:left w:val="none" w:sz="0" w:space="0" w:color="auto"/>
        <w:bottom w:val="none" w:sz="0" w:space="0" w:color="auto"/>
        <w:right w:val="none" w:sz="0" w:space="0" w:color="auto"/>
      </w:divBdr>
    </w:div>
    <w:div w:id="1082213776">
      <w:bodyDiv w:val="1"/>
      <w:marLeft w:val="0"/>
      <w:marRight w:val="0"/>
      <w:marTop w:val="0"/>
      <w:marBottom w:val="0"/>
      <w:divBdr>
        <w:top w:val="none" w:sz="0" w:space="0" w:color="auto"/>
        <w:left w:val="none" w:sz="0" w:space="0" w:color="auto"/>
        <w:bottom w:val="none" w:sz="0" w:space="0" w:color="auto"/>
        <w:right w:val="none" w:sz="0" w:space="0" w:color="auto"/>
      </w:divBdr>
    </w:div>
    <w:div w:id="1082333063">
      <w:bodyDiv w:val="1"/>
      <w:marLeft w:val="0"/>
      <w:marRight w:val="0"/>
      <w:marTop w:val="0"/>
      <w:marBottom w:val="0"/>
      <w:divBdr>
        <w:top w:val="none" w:sz="0" w:space="0" w:color="auto"/>
        <w:left w:val="none" w:sz="0" w:space="0" w:color="auto"/>
        <w:bottom w:val="none" w:sz="0" w:space="0" w:color="auto"/>
        <w:right w:val="none" w:sz="0" w:space="0" w:color="auto"/>
      </w:divBdr>
    </w:div>
    <w:div w:id="1084303096">
      <w:bodyDiv w:val="1"/>
      <w:marLeft w:val="0"/>
      <w:marRight w:val="0"/>
      <w:marTop w:val="0"/>
      <w:marBottom w:val="0"/>
      <w:divBdr>
        <w:top w:val="none" w:sz="0" w:space="0" w:color="auto"/>
        <w:left w:val="none" w:sz="0" w:space="0" w:color="auto"/>
        <w:bottom w:val="none" w:sz="0" w:space="0" w:color="auto"/>
        <w:right w:val="none" w:sz="0" w:space="0" w:color="auto"/>
      </w:divBdr>
    </w:div>
    <w:div w:id="1084688823">
      <w:bodyDiv w:val="1"/>
      <w:marLeft w:val="0"/>
      <w:marRight w:val="0"/>
      <w:marTop w:val="0"/>
      <w:marBottom w:val="0"/>
      <w:divBdr>
        <w:top w:val="none" w:sz="0" w:space="0" w:color="auto"/>
        <w:left w:val="none" w:sz="0" w:space="0" w:color="auto"/>
        <w:bottom w:val="none" w:sz="0" w:space="0" w:color="auto"/>
        <w:right w:val="none" w:sz="0" w:space="0" w:color="auto"/>
      </w:divBdr>
    </w:div>
    <w:div w:id="1084884300">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6077342">
      <w:bodyDiv w:val="1"/>
      <w:marLeft w:val="0"/>
      <w:marRight w:val="0"/>
      <w:marTop w:val="0"/>
      <w:marBottom w:val="0"/>
      <w:divBdr>
        <w:top w:val="none" w:sz="0" w:space="0" w:color="auto"/>
        <w:left w:val="none" w:sz="0" w:space="0" w:color="auto"/>
        <w:bottom w:val="none" w:sz="0" w:space="0" w:color="auto"/>
        <w:right w:val="none" w:sz="0" w:space="0" w:color="auto"/>
      </w:divBdr>
    </w:div>
    <w:div w:id="1086461827">
      <w:bodyDiv w:val="1"/>
      <w:marLeft w:val="0"/>
      <w:marRight w:val="0"/>
      <w:marTop w:val="0"/>
      <w:marBottom w:val="0"/>
      <w:divBdr>
        <w:top w:val="none" w:sz="0" w:space="0" w:color="auto"/>
        <w:left w:val="none" w:sz="0" w:space="0" w:color="auto"/>
        <w:bottom w:val="none" w:sz="0" w:space="0" w:color="auto"/>
        <w:right w:val="none" w:sz="0" w:space="0" w:color="auto"/>
      </w:divBdr>
    </w:div>
    <w:div w:id="1086652949">
      <w:bodyDiv w:val="1"/>
      <w:marLeft w:val="0"/>
      <w:marRight w:val="0"/>
      <w:marTop w:val="0"/>
      <w:marBottom w:val="0"/>
      <w:divBdr>
        <w:top w:val="none" w:sz="0" w:space="0" w:color="auto"/>
        <w:left w:val="none" w:sz="0" w:space="0" w:color="auto"/>
        <w:bottom w:val="none" w:sz="0" w:space="0" w:color="auto"/>
        <w:right w:val="none" w:sz="0" w:space="0" w:color="auto"/>
      </w:divBdr>
    </w:div>
    <w:div w:id="1087847441">
      <w:bodyDiv w:val="1"/>
      <w:marLeft w:val="0"/>
      <w:marRight w:val="0"/>
      <w:marTop w:val="0"/>
      <w:marBottom w:val="0"/>
      <w:divBdr>
        <w:top w:val="none" w:sz="0" w:space="0" w:color="auto"/>
        <w:left w:val="none" w:sz="0" w:space="0" w:color="auto"/>
        <w:bottom w:val="none" w:sz="0" w:space="0" w:color="auto"/>
        <w:right w:val="none" w:sz="0" w:space="0" w:color="auto"/>
      </w:divBdr>
    </w:div>
    <w:div w:id="1089081976">
      <w:bodyDiv w:val="1"/>
      <w:marLeft w:val="0"/>
      <w:marRight w:val="0"/>
      <w:marTop w:val="0"/>
      <w:marBottom w:val="0"/>
      <w:divBdr>
        <w:top w:val="none" w:sz="0" w:space="0" w:color="auto"/>
        <w:left w:val="none" w:sz="0" w:space="0" w:color="auto"/>
        <w:bottom w:val="none" w:sz="0" w:space="0" w:color="auto"/>
        <w:right w:val="none" w:sz="0" w:space="0" w:color="auto"/>
      </w:divBdr>
    </w:div>
    <w:div w:id="1089423500">
      <w:bodyDiv w:val="1"/>
      <w:marLeft w:val="0"/>
      <w:marRight w:val="0"/>
      <w:marTop w:val="0"/>
      <w:marBottom w:val="0"/>
      <w:divBdr>
        <w:top w:val="none" w:sz="0" w:space="0" w:color="auto"/>
        <w:left w:val="none" w:sz="0" w:space="0" w:color="auto"/>
        <w:bottom w:val="none" w:sz="0" w:space="0" w:color="auto"/>
        <w:right w:val="none" w:sz="0" w:space="0" w:color="auto"/>
      </w:divBdr>
    </w:div>
    <w:div w:id="1089426457">
      <w:bodyDiv w:val="1"/>
      <w:marLeft w:val="0"/>
      <w:marRight w:val="0"/>
      <w:marTop w:val="0"/>
      <w:marBottom w:val="0"/>
      <w:divBdr>
        <w:top w:val="none" w:sz="0" w:space="0" w:color="auto"/>
        <w:left w:val="none" w:sz="0" w:space="0" w:color="auto"/>
        <w:bottom w:val="none" w:sz="0" w:space="0" w:color="auto"/>
        <w:right w:val="none" w:sz="0" w:space="0" w:color="auto"/>
      </w:divBdr>
    </w:div>
    <w:div w:id="1089502420">
      <w:bodyDiv w:val="1"/>
      <w:marLeft w:val="0"/>
      <w:marRight w:val="0"/>
      <w:marTop w:val="0"/>
      <w:marBottom w:val="0"/>
      <w:divBdr>
        <w:top w:val="none" w:sz="0" w:space="0" w:color="auto"/>
        <w:left w:val="none" w:sz="0" w:space="0" w:color="auto"/>
        <w:bottom w:val="none" w:sz="0" w:space="0" w:color="auto"/>
        <w:right w:val="none" w:sz="0" w:space="0" w:color="auto"/>
      </w:divBdr>
    </w:div>
    <w:div w:id="1090589682">
      <w:bodyDiv w:val="1"/>
      <w:marLeft w:val="0"/>
      <w:marRight w:val="0"/>
      <w:marTop w:val="0"/>
      <w:marBottom w:val="0"/>
      <w:divBdr>
        <w:top w:val="none" w:sz="0" w:space="0" w:color="auto"/>
        <w:left w:val="none" w:sz="0" w:space="0" w:color="auto"/>
        <w:bottom w:val="none" w:sz="0" w:space="0" w:color="auto"/>
        <w:right w:val="none" w:sz="0" w:space="0" w:color="auto"/>
      </w:divBdr>
    </w:div>
    <w:div w:id="1091313381">
      <w:bodyDiv w:val="1"/>
      <w:marLeft w:val="0"/>
      <w:marRight w:val="0"/>
      <w:marTop w:val="0"/>
      <w:marBottom w:val="0"/>
      <w:divBdr>
        <w:top w:val="none" w:sz="0" w:space="0" w:color="auto"/>
        <w:left w:val="none" w:sz="0" w:space="0" w:color="auto"/>
        <w:bottom w:val="none" w:sz="0" w:space="0" w:color="auto"/>
        <w:right w:val="none" w:sz="0" w:space="0" w:color="auto"/>
      </w:divBdr>
    </w:div>
    <w:div w:id="1091773807">
      <w:bodyDiv w:val="1"/>
      <w:marLeft w:val="0"/>
      <w:marRight w:val="0"/>
      <w:marTop w:val="0"/>
      <w:marBottom w:val="0"/>
      <w:divBdr>
        <w:top w:val="none" w:sz="0" w:space="0" w:color="auto"/>
        <w:left w:val="none" w:sz="0" w:space="0" w:color="auto"/>
        <w:bottom w:val="none" w:sz="0" w:space="0" w:color="auto"/>
        <w:right w:val="none" w:sz="0" w:space="0" w:color="auto"/>
      </w:divBdr>
    </w:div>
    <w:div w:id="1092623732">
      <w:bodyDiv w:val="1"/>
      <w:marLeft w:val="0"/>
      <w:marRight w:val="0"/>
      <w:marTop w:val="0"/>
      <w:marBottom w:val="0"/>
      <w:divBdr>
        <w:top w:val="none" w:sz="0" w:space="0" w:color="auto"/>
        <w:left w:val="none" w:sz="0" w:space="0" w:color="auto"/>
        <w:bottom w:val="none" w:sz="0" w:space="0" w:color="auto"/>
        <w:right w:val="none" w:sz="0" w:space="0" w:color="auto"/>
      </w:divBdr>
    </w:div>
    <w:div w:id="1092697612">
      <w:bodyDiv w:val="1"/>
      <w:marLeft w:val="0"/>
      <w:marRight w:val="0"/>
      <w:marTop w:val="0"/>
      <w:marBottom w:val="0"/>
      <w:divBdr>
        <w:top w:val="none" w:sz="0" w:space="0" w:color="auto"/>
        <w:left w:val="none" w:sz="0" w:space="0" w:color="auto"/>
        <w:bottom w:val="none" w:sz="0" w:space="0" w:color="auto"/>
        <w:right w:val="none" w:sz="0" w:space="0" w:color="auto"/>
      </w:divBdr>
    </w:div>
    <w:div w:id="1092700674">
      <w:bodyDiv w:val="1"/>
      <w:marLeft w:val="0"/>
      <w:marRight w:val="0"/>
      <w:marTop w:val="0"/>
      <w:marBottom w:val="0"/>
      <w:divBdr>
        <w:top w:val="none" w:sz="0" w:space="0" w:color="auto"/>
        <w:left w:val="none" w:sz="0" w:space="0" w:color="auto"/>
        <w:bottom w:val="none" w:sz="0" w:space="0" w:color="auto"/>
        <w:right w:val="none" w:sz="0" w:space="0" w:color="auto"/>
      </w:divBdr>
    </w:div>
    <w:div w:id="1092705371">
      <w:bodyDiv w:val="1"/>
      <w:marLeft w:val="0"/>
      <w:marRight w:val="0"/>
      <w:marTop w:val="0"/>
      <w:marBottom w:val="0"/>
      <w:divBdr>
        <w:top w:val="none" w:sz="0" w:space="0" w:color="auto"/>
        <w:left w:val="none" w:sz="0" w:space="0" w:color="auto"/>
        <w:bottom w:val="none" w:sz="0" w:space="0" w:color="auto"/>
        <w:right w:val="none" w:sz="0" w:space="0" w:color="auto"/>
      </w:divBdr>
    </w:div>
    <w:div w:id="1092776221">
      <w:bodyDiv w:val="1"/>
      <w:marLeft w:val="0"/>
      <w:marRight w:val="0"/>
      <w:marTop w:val="0"/>
      <w:marBottom w:val="0"/>
      <w:divBdr>
        <w:top w:val="none" w:sz="0" w:space="0" w:color="auto"/>
        <w:left w:val="none" w:sz="0" w:space="0" w:color="auto"/>
        <w:bottom w:val="none" w:sz="0" w:space="0" w:color="auto"/>
        <w:right w:val="none" w:sz="0" w:space="0" w:color="auto"/>
      </w:divBdr>
    </w:div>
    <w:div w:id="1093010722">
      <w:bodyDiv w:val="1"/>
      <w:marLeft w:val="0"/>
      <w:marRight w:val="0"/>
      <w:marTop w:val="0"/>
      <w:marBottom w:val="0"/>
      <w:divBdr>
        <w:top w:val="none" w:sz="0" w:space="0" w:color="auto"/>
        <w:left w:val="none" w:sz="0" w:space="0" w:color="auto"/>
        <w:bottom w:val="none" w:sz="0" w:space="0" w:color="auto"/>
        <w:right w:val="none" w:sz="0" w:space="0" w:color="auto"/>
      </w:divBdr>
    </w:div>
    <w:div w:id="1093093060">
      <w:bodyDiv w:val="1"/>
      <w:marLeft w:val="0"/>
      <w:marRight w:val="0"/>
      <w:marTop w:val="0"/>
      <w:marBottom w:val="0"/>
      <w:divBdr>
        <w:top w:val="none" w:sz="0" w:space="0" w:color="auto"/>
        <w:left w:val="none" w:sz="0" w:space="0" w:color="auto"/>
        <w:bottom w:val="none" w:sz="0" w:space="0" w:color="auto"/>
        <w:right w:val="none" w:sz="0" w:space="0" w:color="auto"/>
      </w:divBdr>
    </w:div>
    <w:div w:id="1093628996">
      <w:bodyDiv w:val="1"/>
      <w:marLeft w:val="0"/>
      <w:marRight w:val="0"/>
      <w:marTop w:val="0"/>
      <w:marBottom w:val="0"/>
      <w:divBdr>
        <w:top w:val="none" w:sz="0" w:space="0" w:color="auto"/>
        <w:left w:val="none" w:sz="0" w:space="0" w:color="auto"/>
        <w:bottom w:val="none" w:sz="0" w:space="0" w:color="auto"/>
        <w:right w:val="none" w:sz="0" w:space="0" w:color="auto"/>
      </w:divBdr>
    </w:div>
    <w:div w:id="1093743407">
      <w:bodyDiv w:val="1"/>
      <w:marLeft w:val="0"/>
      <w:marRight w:val="0"/>
      <w:marTop w:val="0"/>
      <w:marBottom w:val="0"/>
      <w:divBdr>
        <w:top w:val="none" w:sz="0" w:space="0" w:color="auto"/>
        <w:left w:val="none" w:sz="0" w:space="0" w:color="auto"/>
        <w:bottom w:val="none" w:sz="0" w:space="0" w:color="auto"/>
        <w:right w:val="none" w:sz="0" w:space="0" w:color="auto"/>
      </w:divBdr>
    </w:div>
    <w:div w:id="1093937100">
      <w:bodyDiv w:val="1"/>
      <w:marLeft w:val="0"/>
      <w:marRight w:val="0"/>
      <w:marTop w:val="0"/>
      <w:marBottom w:val="0"/>
      <w:divBdr>
        <w:top w:val="none" w:sz="0" w:space="0" w:color="auto"/>
        <w:left w:val="none" w:sz="0" w:space="0" w:color="auto"/>
        <w:bottom w:val="none" w:sz="0" w:space="0" w:color="auto"/>
        <w:right w:val="none" w:sz="0" w:space="0" w:color="auto"/>
      </w:divBdr>
    </w:div>
    <w:div w:id="1094714910">
      <w:bodyDiv w:val="1"/>
      <w:marLeft w:val="0"/>
      <w:marRight w:val="0"/>
      <w:marTop w:val="0"/>
      <w:marBottom w:val="0"/>
      <w:divBdr>
        <w:top w:val="none" w:sz="0" w:space="0" w:color="auto"/>
        <w:left w:val="none" w:sz="0" w:space="0" w:color="auto"/>
        <w:bottom w:val="none" w:sz="0" w:space="0" w:color="auto"/>
        <w:right w:val="none" w:sz="0" w:space="0" w:color="auto"/>
      </w:divBdr>
    </w:div>
    <w:div w:id="1094788364">
      <w:bodyDiv w:val="1"/>
      <w:marLeft w:val="0"/>
      <w:marRight w:val="0"/>
      <w:marTop w:val="0"/>
      <w:marBottom w:val="0"/>
      <w:divBdr>
        <w:top w:val="none" w:sz="0" w:space="0" w:color="auto"/>
        <w:left w:val="none" w:sz="0" w:space="0" w:color="auto"/>
        <w:bottom w:val="none" w:sz="0" w:space="0" w:color="auto"/>
        <w:right w:val="none" w:sz="0" w:space="0" w:color="auto"/>
      </w:divBdr>
    </w:div>
    <w:div w:id="1095401140">
      <w:bodyDiv w:val="1"/>
      <w:marLeft w:val="0"/>
      <w:marRight w:val="0"/>
      <w:marTop w:val="0"/>
      <w:marBottom w:val="0"/>
      <w:divBdr>
        <w:top w:val="none" w:sz="0" w:space="0" w:color="auto"/>
        <w:left w:val="none" w:sz="0" w:space="0" w:color="auto"/>
        <w:bottom w:val="none" w:sz="0" w:space="0" w:color="auto"/>
        <w:right w:val="none" w:sz="0" w:space="0" w:color="auto"/>
      </w:divBdr>
    </w:div>
    <w:div w:id="1096294052">
      <w:bodyDiv w:val="1"/>
      <w:marLeft w:val="0"/>
      <w:marRight w:val="0"/>
      <w:marTop w:val="0"/>
      <w:marBottom w:val="0"/>
      <w:divBdr>
        <w:top w:val="none" w:sz="0" w:space="0" w:color="auto"/>
        <w:left w:val="none" w:sz="0" w:space="0" w:color="auto"/>
        <w:bottom w:val="none" w:sz="0" w:space="0" w:color="auto"/>
        <w:right w:val="none" w:sz="0" w:space="0" w:color="auto"/>
      </w:divBdr>
    </w:div>
    <w:div w:id="1097217271">
      <w:bodyDiv w:val="1"/>
      <w:marLeft w:val="0"/>
      <w:marRight w:val="0"/>
      <w:marTop w:val="0"/>
      <w:marBottom w:val="0"/>
      <w:divBdr>
        <w:top w:val="none" w:sz="0" w:space="0" w:color="auto"/>
        <w:left w:val="none" w:sz="0" w:space="0" w:color="auto"/>
        <w:bottom w:val="none" w:sz="0" w:space="0" w:color="auto"/>
        <w:right w:val="none" w:sz="0" w:space="0" w:color="auto"/>
      </w:divBdr>
    </w:div>
    <w:div w:id="1097870642">
      <w:bodyDiv w:val="1"/>
      <w:marLeft w:val="0"/>
      <w:marRight w:val="0"/>
      <w:marTop w:val="0"/>
      <w:marBottom w:val="0"/>
      <w:divBdr>
        <w:top w:val="none" w:sz="0" w:space="0" w:color="auto"/>
        <w:left w:val="none" w:sz="0" w:space="0" w:color="auto"/>
        <w:bottom w:val="none" w:sz="0" w:space="0" w:color="auto"/>
        <w:right w:val="none" w:sz="0" w:space="0" w:color="auto"/>
      </w:divBdr>
    </w:div>
    <w:div w:id="1099906843">
      <w:bodyDiv w:val="1"/>
      <w:marLeft w:val="0"/>
      <w:marRight w:val="0"/>
      <w:marTop w:val="0"/>
      <w:marBottom w:val="0"/>
      <w:divBdr>
        <w:top w:val="none" w:sz="0" w:space="0" w:color="auto"/>
        <w:left w:val="none" w:sz="0" w:space="0" w:color="auto"/>
        <w:bottom w:val="none" w:sz="0" w:space="0" w:color="auto"/>
        <w:right w:val="none" w:sz="0" w:space="0" w:color="auto"/>
      </w:divBdr>
    </w:div>
    <w:div w:id="1102073584">
      <w:bodyDiv w:val="1"/>
      <w:marLeft w:val="0"/>
      <w:marRight w:val="0"/>
      <w:marTop w:val="0"/>
      <w:marBottom w:val="0"/>
      <w:divBdr>
        <w:top w:val="none" w:sz="0" w:space="0" w:color="auto"/>
        <w:left w:val="none" w:sz="0" w:space="0" w:color="auto"/>
        <w:bottom w:val="none" w:sz="0" w:space="0" w:color="auto"/>
        <w:right w:val="none" w:sz="0" w:space="0" w:color="auto"/>
      </w:divBdr>
    </w:div>
    <w:div w:id="1102645496">
      <w:bodyDiv w:val="1"/>
      <w:marLeft w:val="0"/>
      <w:marRight w:val="0"/>
      <w:marTop w:val="0"/>
      <w:marBottom w:val="0"/>
      <w:divBdr>
        <w:top w:val="none" w:sz="0" w:space="0" w:color="auto"/>
        <w:left w:val="none" w:sz="0" w:space="0" w:color="auto"/>
        <w:bottom w:val="none" w:sz="0" w:space="0" w:color="auto"/>
        <w:right w:val="none" w:sz="0" w:space="0" w:color="auto"/>
      </w:divBdr>
    </w:div>
    <w:div w:id="1104573359">
      <w:bodyDiv w:val="1"/>
      <w:marLeft w:val="0"/>
      <w:marRight w:val="0"/>
      <w:marTop w:val="0"/>
      <w:marBottom w:val="0"/>
      <w:divBdr>
        <w:top w:val="none" w:sz="0" w:space="0" w:color="auto"/>
        <w:left w:val="none" w:sz="0" w:space="0" w:color="auto"/>
        <w:bottom w:val="none" w:sz="0" w:space="0" w:color="auto"/>
        <w:right w:val="none" w:sz="0" w:space="0" w:color="auto"/>
      </w:divBdr>
    </w:div>
    <w:div w:id="1104576257">
      <w:bodyDiv w:val="1"/>
      <w:marLeft w:val="0"/>
      <w:marRight w:val="0"/>
      <w:marTop w:val="0"/>
      <w:marBottom w:val="0"/>
      <w:divBdr>
        <w:top w:val="none" w:sz="0" w:space="0" w:color="auto"/>
        <w:left w:val="none" w:sz="0" w:space="0" w:color="auto"/>
        <w:bottom w:val="none" w:sz="0" w:space="0" w:color="auto"/>
        <w:right w:val="none" w:sz="0" w:space="0" w:color="auto"/>
      </w:divBdr>
    </w:div>
    <w:div w:id="1104618549">
      <w:bodyDiv w:val="1"/>
      <w:marLeft w:val="0"/>
      <w:marRight w:val="0"/>
      <w:marTop w:val="0"/>
      <w:marBottom w:val="0"/>
      <w:divBdr>
        <w:top w:val="none" w:sz="0" w:space="0" w:color="auto"/>
        <w:left w:val="none" w:sz="0" w:space="0" w:color="auto"/>
        <w:bottom w:val="none" w:sz="0" w:space="0" w:color="auto"/>
        <w:right w:val="none" w:sz="0" w:space="0" w:color="auto"/>
      </w:divBdr>
    </w:div>
    <w:div w:id="1105612585">
      <w:bodyDiv w:val="1"/>
      <w:marLeft w:val="0"/>
      <w:marRight w:val="0"/>
      <w:marTop w:val="0"/>
      <w:marBottom w:val="0"/>
      <w:divBdr>
        <w:top w:val="none" w:sz="0" w:space="0" w:color="auto"/>
        <w:left w:val="none" w:sz="0" w:space="0" w:color="auto"/>
        <w:bottom w:val="none" w:sz="0" w:space="0" w:color="auto"/>
        <w:right w:val="none" w:sz="0" w:space="0" w:color="auto"/>
      </w:divBdr>
    </w:div>
    <w:div w:id="1106920263">
      <w:bodyDiv w:val="1"/>
      <w:marLeft w:val="0"/>
      <w:marRight w:val="0"/>
      <w:marTop w:val="0"/>
      <w:marBottom w:val="0"/>
      <w:divBdr>
        <w:top w:val="none" w:sz="0" w:space="0" w:color="auto"/>
        <w:left w:val="none" w:sz="0" w:space="0" w:color="auto"/>
        <w:bottom w:val="none" w:sz="0" w:space="0" w:color="auto"/>
        <w:right w:val="none" w:sz="0" w:space="0" w:color="auto"/>
      </w:divBdr>
    </w:div>
    <w:div w:id="1109162843">
      <w:bodyDiv w:val="1"/>
      <w:marLeft w:val="0"/>
      <w:marRight w:val="0"/>
      <w:marTop w:val="0"/>
      <w:marBottom w:val="0"/>
      <w:divBdr>
        <w:top w:val="none" w:sz="0" w:space="0" w:color="auto"/>
        <w:left w:val="none" w:sz="0" w:space="0" w:color="auto"/>
        <w:bottom w:val="none" w:sz="0" w:space="0" w:color="auto"/>
        <w:right w:val="none" w:sz="0" w:space="0" w:color="auto"/>
      </w:divBdr>
    </w:div>
    <w:div w:id="1109281149">
      <w:bodyDiv w:val="1"/>
      <w:marLeft w:val="0"/>
      <w:marRight w:val="0"/>
      <w:marTop w:val="0"/>
      <w:marBottom w:val="0"/>
      <w:divBdr>
        <w:top w:val="none" w:sz="0" w:space="0" w:color="auto"/>
        <w:left w:val="none" w:sz="0" w:space="0" w:color="auto"/>
        <w:bottom w:val="none" w:sz="0" w:space="0" w:color="auto"/>
        <w:right w:val="none" w:sz="0" w:space="0" w:color="auto"/>
      </w:divBdr>
    </w:div>
    <w:div w:id="1109545627">
      <w:bodyDiv w:val="1"/>
      <w:marLeft w:val="0"/>
      <w:marRight w:val="0"/>
      <w:marTop w:val="0"/>
      <w:marBottom w:val="0"/>
      <w:divBdr>
        <w:top w:val="none" w:sz="0" w:space="0" w:color="auto"/>
        <w:left w:val="none" w:sz="0" w:space="0" w:color="auto"/>
        <w:bottom w:val="none" w:sz="0" w:space="0" w:color="auto"/>
        <w:right w:val="none" w:sz="0" w:space="0" w:color="auto"/>
      </w:divBdr>
    </w:div>
    <w:div w:id="1109928846">
      <w:bodyDiv w:val="1"/>
      <w:marLeft w:val="0"/>
      <w:marRight w:val="0"/>
      <w:marTop w:val="0"/>
      <w:marBottom w:val="0"/>
      <w:divBdr>
        <w:top w:val="none" w:sz="0" w:space="0" w:color="auto"/>
        <w:left w:val="none" w:sz="0" w:space="0" w:color="auto"/>
        <w:bottom w:val="none" w:sz="0" w:space="0" w:color="auto"/>
        <w:right w:val="none" w:sz="0" w:space="0" w:color="auto"/>
      </w:divBdr>
    </w:div>
    <w:div w:id="1110860366">
      <w:bodyDiv w:val="1"/>
      <w:marLeft w:val="0"/>
      <w:marRight w:val="0"/>
      <w:marTop w:val="0"/>
      <w:marBottom w:val="0"/>
      <w:divBdr>
        <w:top w:val="none" w:sz="0" w:space="0" w:color="auto"/>
        <w:left w:val="none" w:sz="0" w:space="0" w:color="auto"/>
        <w:bottom w:val="none" w:sz="0" w:space="0" w:color="auto"/>
        <w:right w:val="none" w:sz="0" w:space="0" w:color="auto"/>
      </w:divBdr>
    </w:div>
    <w:div w:id="1112045148">
      <w:bodyDiv w:val="1"/>
      <w:marLeft w:val="0"/>
      <w:marRight w:val="0"/>
      <w:marTop w:val="0"/>
      <w:marBottom w:val="0"/>
      <w:divBdr>
        <w:top w:val="none" w:sz="0" w:space="0" w:color="auto"/>
        <w:left w:val="none" w:sz="0" w:space="0" w:color="auto"/>
        <w:bottom w:val="none" w:sz="0" w:space="0" w:color="auto"/>
        <w:right w:val="none" w:sz="0" w:space="0" w:color="auto"/>
      </w:divBdr>
    </w:div>
    <w:div w:id="1113093726">
      <w:bodyDiv w:val="1"/>
      <w:marLeft w:val="0"/>
      <w:marRight w:val="0"/>
      <w:marTop w:val="0"/>
      <w:marBottom w:val="0"/>
      <w:divBdr>
        <w:top w:val="none" w:sz="0" w:space="0" w:color="auto"/>
        <w:left w:val="none" w:sz="0" w:space="0" w:color="auto"/>
        <w:bottom w:val="none" w:sz="0" w:space="0" w:color="auto"/>
        <w:right w:val="none" w:sz="0" w:space="0" w:color="auto"/>
      </w:divBdr>
    </w:div>
    <w:div w:id="1114710602">
      <w:bodyDiv w:val="1"/>
      <w:marLeft w:val="0"/>
      <w:marRight w:val="0"/>
      <w:marTop w:val="0"/>
      <w:marBottom w:val="0"/>
      <w:divBdr>
        <w:top w:val="none" w:sz="0" w:space="0" w:color="auto"/>
        <w:left w:val="none" w:sz="0" w:space="0" w:color="auto"/>
        <w:bottom w:val="none" w:sz="0" w:space="0" w:color="auto"/>
        <w:right w:val="none" w:sz="0" w:space="0" w:color="auto"/>
      </w:divBdr>
    </w:div>
    <w:div w:id="1115250751">
      <w:bodyDiv w:val="1"/>
      <w:marLeft w:val="0"/>
      <w:marRight w:val="0"/>
      <w:marTop w:val="0"/>
      <w:marBottom w:val="0"/>
      <w:divBdr>
        <w:top w:val="none" w:sz="0" w:space="0" w:color="auto"/>
        <w:left w:val="none" w:sz="0" w:space="0" w:color="auto"/>
        <w:bottom w:val="none" w:sz="0" w:space="0" w:color="auto"/>
        <w:right w:val="none" w:sz="0" w:space="0" w:color="auto"/>
      </w:divBdr>
    </w:div>
    <w:div w:id="1115251373">
      <w:bodyDiv w:val="1"/>
      <w:marLeft w:val="0"/>
      <w:marRight w:val="0"/>
      <w:marTop w:val="0"/>
      <w:marBottom w:val="0"/>
      <w:divBdr>
        <w:top w:val="none" w:sz="0" w:space="0" w:color="auto"/>
        <w:left w:val="none" w:sz="0" w:space="0" w:color="auto"/>
        <w:bottom w:val="none" w:sz="0" w:space="0" w:color="auto"/>
        <w:right w:val="none" w:sz="0" w:space="0" w:color="auto"/>
      </w:divBdr>
    </w:div>
    <w:div w:id="1116564348">
      <w:bodyDiv w:val="1"/>
      <w:marLeft w:val="0"/>
      <w:marRight w:val="0"/>
      <w:marTop w:val="0"/>
      <w:marBottom w:val="0"/>
      <w:divBdr>
        <w:top w:val="none" w:sz="0" w:space="0" w:color="auto"/>
        <w:left w:val="none" w:sz="0" w:space="0" w:color="auto"/>
        <w:bottom w:val="none" w:sz="0" w:space="0" w:color="auto"/>
        <w:right w:val="none" w:sz="0" w:space="0" w:color="auto"/>
      </w:divBdr>
    </w:div>
    <w:div w:id="1116674183">
      <w:bodyDiv w:val="1"/>
      <w:marLeft w:val="0"/>
      <w:marRight w:val="0"/>
      <w:marTop w:val="0"/>
      <w:marBottom w:val="0"/>
      <w:divBdr>
        <w:top w:val="none" w:sz="0" w:space="0" w:color="auto"/>
        <w:left w:val="none" w:sz="0" w:space="0" w:color="auto"/>
        <w:bottom w:val="none" w:sz="0" w:space="0" w:color="auto"/>
        <w:right w:val="none" w:sz="0" w:space="0" w:color="auto"/>
      </w:divBdr>
    </w:div>
    <w:div w:id="1117027040">
      <w:bodyDiv w:val="1"/>
      <w:marLeft w:val="0"/>
      <w:marRight w:val="0"/>
      <w:marTop w:val="0"/>
      <w:marBottom w:val="0"/>
      <w:divBdr>
        <w:top w:val="none" w:sz="0" w:space="0" w:color="auto"/>
        <w:left w:val="none" w:sz="0" w:space="0" w:color="auto"/>
        <w:bottom w:val="none" w:sz="0" w:space="0" w:color="auto"/>
        <w:right w:val="none" w:sz="0" w:space="0" w:color="auto"/>
      </w:divBdr>
    </w:div>
    <w:div w:id="1118993252">
      <w:bodyDiv w:val="1"/>
      <w:marLeft w:val="0"/>
      <w:marRight w:val="0"/>
      <w:marTop w:val="0"/>
      <w:marBottom w:val="0"/>
      <w:divBdr>
        <w:top w:val="none" w:sz="0" w:space="0" w:color="auto"/>
        <w:left w:val="none" w:sz="0" w:space="0" w:color="auto"/>
        <w:bottom w:val="none" w:sz="0" w:space="0" w:color="auto"/>
        <w:right w:val="none" w:sz="0" w:space="0" w:color="auto"/>
      </w:divBdr>
    </w:div>
    <w:div w:id="1119225641">
      <w:bodyDiv w:val="1"/>
      <w:marLeft w:val="0"/>
      <w:marRight w:val="0"/>
      <w:marTop w:val="0"/>
      <w:marBottom w:val="0"/>
      <w:divBdr>
        <w:top w:val="none" w:sz="0" w:space="0" w:color="auto"/>
        <w:left w:val="none" w:sz="0" w:space="0" w:color="auto"/>
        <w:bottom w:val="none" w:sz="0" w:space="0" w:color="auto"/>
        <w:right w:val="none" w:sz="0" w:space="0" w:color="auto"/>
      </w:divBdr>
    </w:div>
    <w:div w:id="1119301125">
      <w:bodyDiv w:val="1"/>
      <w:marLeft w:val="0"/>
      <w:marRight w:val="0"/>
      <w:marTop w:val="0"/>
      <w:marBottom w:val="0"/>
      <w:divBdr>
        <w:top w:val="none" w:sz="0" w:space="0" w:color="auto"/>
        <w:left w:val="none" w:sz="0" w:space="0" w:color="auto"/>
        <w:bottom w:val="none" w:sz="0" w:space="0" w:color="auto"/>
        <w:right w:val="none" w:sz="0" w:space="0" w:color="auto"/>
      </w:divBdr>
    </w:div>
    <w:div w:id="1119833932">
      <w:bodyDiv w:val="1"/>
      <w:marLeft w:val="0"/>
      <w:marRight w:val="0"/>
      <w:marTop w:val="0"/>
      <w:marBottom w:val="0"/>
      <w:divBdr>
        <w:top w:val="none" w:sz="0" w:space="0" w:color="auto"/>
        <w:left w:val="none" w:sz="0" w:space="0" w:color="auto"/>
        <w:bottom w:val="none" w:sz="0" w:space="0" w:color="auto"/>
        <w:right w:val="none" w:sz="0" w:space="0" w:color="auto"/>
      </w:divBdr>
    </w:div>
    <w:div w:id="1122117326">
      <w:bodyDiv w:val="1"/>
      <w:marLeft w:val="0"/>
      <w:marRight w:val="0"/>
      <w:marTop w:val="0"/>
      <w:marBottom w:val="0"/>
      <w:divBdr>
        <w:top w:val="none" w:sz="0" w:space="0" w:color="auto"/>
        <w:left w:val="none" w:sz="0" w:space="0" w:color="auto"/>
        <w:bottom w:val="none" w:sz="0" w:space="0" w:color="auto"/>
        <w:right w:val="none" w:sz="0" w:space="0" w:color="auto"/>
      </w:divBdr>
    </w:div>
    <w:div w:id="1122959970">
      <w:bodyDiv w:val="1"/>
      <w:marLeft w:val="0"/>
      <w:marRight w:val="0"/>
      <w:marTop w:val="0"/>
      <w:marBottom w:val="0"/>
      <w:divBdr>
        <w:top w:val="none" w:sz="0" w:space="0" w:color="auto"/>
        <w:left w:val="none" w:sz="0" w:space="0" w:color="auto"/>
        <w:bottom w:val="none" w:sz="0" w:space="0" w:color="auto"/>
        <w:right w:val="none" w:sz="0" w:space="0" w:color="auto"/>
      </w:divBdr>
    </w:div>
    <w:div w:id="1123110847">
      <w:bodyDiv w:val="1"/>
      <w:marLeft w:val="0"/>
      <w:marRight w:val="0"/>
      <w:marTop w:val="0"/>
      <w:marBottom w:val="0"/>
      <w:divBdr>
        <w:top w:val="none" w:sz="0" w:space="0" w:color="auto"/>
        <w:left w:val="none" w:sz="0" w:space="0" w:color="auto"/>
        <w:bottom w:val="none" w:sz="0" w:space="0" w:color="auto"/>
        <w:right w:val="none" w:sz="0" w:space="0" w:color="auto"/>
      </w:divBdr>
    </w:div>
    <w:div w:id="1124346042">
      <w:bodyDiv w:val="1"/>
      <w:marLeft w:val="0"/>
      <w:marRight w:val="0"/>
      <w:marTop w:val="0"/>
      <w:marBottom w:val="0"/>
      <w:divBdr>
        <w:top w:val="none" w:sz="0" w:space="0" w:color="auto"/>
        <w:left w:val="none" w:sz="0" w:space="0" w:color="auto"/>
        <w:bottom w:val="none" w:sz="0" w:space="0" w:color="auto"/>
        <w:right w:val="none" w:sz="0" w:space="0" w:color="auto"/>
      </w:divBdr>
    </w:div>
    <w:div w:id="1124470022">
      <w:bodyDiv w:val="1"/>
      <w:marLeft w:val="0"/>
      <w:marRight w:val="0"/>
      <w:marTop w:val="0"/>
      <w:marBottom w:val="0"/>
      <w:divBdr>
        <w:top w:val="none" w:sz="0" w:space="0" w:color="auto"/>
        <w:left w:val="none" w:sz="0" w:space="0" w:color="auto"/>
        <w:bottom w:val="none" w:sz="0" w:space="0" w:color="auto"/>
        <w:right w:val="none" w:sz="0" w:space="0" w:color="auto"/>
      </w:divBdr>
    </w:div>
    <w:div w:id="1125082503">
      <w:bodyDiv w:val="1"/>
      <w:marLeft w:val="0"/>
      <w:marRight w:val="0"/>
      <w:marTop w:val="0"/>
      <w:marBottom w:val="0"/>
      <w:divBdr>
        <w:top w:val="none" w:sz="0" w:space="0" w:color="auto"/>
        <w:left w:val="none" w:sz="0" w:space="0" w:color="auto"/>
        <w:bottom w:val="none" w:sz="0" w:space="0" w:color="auto"/>
        <w:right w:val="none" w:sz="0" w:space="0" w:color="auto"/>
      </w:divBdr>
    </w:div>
    <w:div w:id="1125536913">
      <w:bodyDiv w:val="1"/>
      <w:marLeft w:val="0"/>
      <w:marRight w:val="0"/>
      <w:marTop w:val="0"/>
      <w:marBottom w:val="0"/>
      <w:divBdr>
        <w:top w:val="none" w:sz="0" w:space="0" w:color="auto"/>
        <w:left w:val="none" w:sz="0" w:space="0" w:color="auto"/>
        <w:bottom w:val="none" w:sz="0" w:space="0" w:color="auto"/>
        <w:right w:val="none" w:sz="0" w:space="0" w:color="auto"/>
      </w:divBdr>
    </w:div>
    <w:div w:id="1126922242">
      <w:bodyDiv w:val="1"/>
      <w:marLeft w:val="0"/>
      <w:marRight w:val="0"/>
      <w:marTop w:val="0"/>
      <w:marBottom w:val="0"/>
      <w:divBdr>
        <w:top w:val="none" w:sz="0" w:space="0" w:color="auto"/>
        <w:left w:val="none" w:sz="0" w:space="0" w:color="auto"/>
        <w:bottom w:val="none" w:sz="0" w:space="0" w:color="auto"/>
        <w:right w:val="none" w:sz="0" w:space="0" w:color="auto"/>
      </w:divBdr>
    </w:div>
    <w:div w:id="1128355349">
      <w:bodyDiv w:val="1"/>
      <w:marLeft w:val="0"/>
      <w:marRight w:val="0"/>
      <w:marTop w:val="0"/>
      <w:marBottom w:val="0"/>
      <w:divBdr>
        <w:top w:val="none" w:sz="0" w:space="0" w:color="auto"/>
        <w:left w:val="none" w:sz="0" w:space="0" w:color="auto"/>
        <w:bottom w:val="none" w:sz="0" w:space="0" w:color="auto"/>
        <w:right w:val="none" w:sz="0" w:space="0" w:color="auto"/>
      </w:divBdr>
    </w:div>
    <w:div w:id="1129012919">
      <w:bodyDiv w:val="1"/>
      <w:marLeft w:val="0"/>
      <w:marRight w:val="0"/>
      <w:marTop w:val="0"/>
      <w:marBottom w:val="0"/>
      <w:divBdr>
        <w:top w:val="none" w:sz="0" w:space="0" w:color="auto"/>
        <w:left w:val="none" w:sz="0" w:space="0" w:color="auto"/>
        <w:bottom w:val="none" w:sz="0" w:space="0" w:color="auto"/>
        <w:right w:val="none" w:sz="0" w:space="0" w:color="auto"/>
      </w:divBdr>
    </w:div>
    <w:div w:id="1132287845">
      <w:bodyDiv w:val="1"/>
      <w:marLeft w:val="0"/>
      <w:marRight w:val="0"/>
      <w:marTop w:val="0"/>
      <w:marBottom w:val="0"/>
      <w:divBdr>
        <w:top w:val="none" w:sz="0" w:space="0" w:color="auto"/>
        <w:left w:val="none" w:sz="0" w:space="0" w:color="auto"/>
        <w:bottom w:val="none" w:sz="0" w:space="0" w:color="auto"/>
        <w:right w:val="none" w:sz="0" w:space="0" w:color="auto"/>
      </w:divBdr>
    </w:div>
    <w:div w:id="1132671623">
      <w:bodyDiv w:val="1"/>
      <w:marLeft w:val="0"/>
      <w:marRight w:val="0"/>
      <w:marTop w:val="0"/>
      <w:marBottom w:val="0"/>
      <w:divBdr>
        <w:top w:val="none" w:sz="0" w:space="0" w:color="auto"/>
        <w:left w:val="none" w:sz="0" w:space="0" w:color="auto"/>
        <w:bottom w:val="none" w:sz="0" w:space="0" w:color="auto"/>
        <w:right w:val="none" w:sz="0" w:space="0" w:color="auto"/>
      </w:divBdr>
    </w:div>
    <w:div w:id="1133257645">
      <w:bodyDiv w:val="1"/>
      <w:marLeft w:val="0"/>
      <w:marRight w:val="0"/>
      <w:marTop w:val="0"/>
      <w:marBottom w:val="0"/>
      <w:divBdr>
        <w:top w:val="none" w:sz="0" w:space="0" w:color="auto"/>
        <w:left w:val="none" w:sz="0" w:space="0" w:color="auto"/>
        <w:bottom w:val="none" w:sz="0" w:space="0" w:color="auto"/>
        <w:right w:val="none" w:sz="0" w:space="0" w:color="auto"/>
      </w:divBdr>
    </w:div>
    <w:div w:id="1133905844">
      <w:bodyDiv w:val="1"/>
      <w:marLeft w:val="0"/>
      <w:marRight w:val="0"/>
      <w:marTop w:val="0"/>
      <w:marBottom w:val="0"/>
      <w:divBdr>
        <w:top w:val="none" w:sz="0" w:space="0" w:color="auto"/>
        <w:left w:val="none" w:sz="0" w:space="0" w:color="auto"/>
        <w:bottom w:val="none" w:sz="0" w:space="0" w:color="auto"/>
        <w:right w:val="none" w:sz="0" w:space="0" w:color="auto"/>
      </w:divBdr>
    </w:div>
    <w:div w:id="1134561868">
      <w:bodyDiv w:val="1"/>
      <w:marLeft w:val="0"/>
      <w:marRight w:val="0"/>
      <w:marTop w:val="0"/>
      <w:marBottom w:val="0"/>
      <w:divBdr>
        <w:top w:val="none" w:sz="0" w:space="0" w:color="auto"/>
        <w:left w:val="none" w:sz="0" w:space="0" w:color="auto"/>
        <w:bottom w:val="none" w:sz="0" w:space="0" w:color="auto"/>
        <w:right w:val="none" w:sz="0" w:space="0" w:color="auto"/>
      </w:divBdr>
    </w:div>
    <w:div w:id="1135559112">
      <w:bodyDiv w:val="1"/>
      <w:marLeft w:val="0"/>
      <w:marRight w:val="0"/>
      <w:marTop w:val="0"/>
      <w:marBottom w:val="0"/>
      <w:divBdr>
        <w:top w:val="none" w:sz="0" w:space="0" w:color="auto"/>
        <w:left w:val="none" w:sz="0" w:space="0" w:color="auto"/>
        <w:bottom w:val="none" w:sz="0" w:space="0" w:color="auto"/>
        <w:right w:val="none" w:sz="0" w:space="0" w:color="auto"/>
      </w:divBdr>
    </w:div>
    <w:div w:id="1136408178">
      <w:bodyDiv w:val="1"/>
      <w:marLeft w:val="0"/>
      <w:marRight w:val="0"/>
      <w:marTop w:val="0"/>
      <w:marBottom w:val="0"/>
      <w:divBdr>
        <w:top w:val="none" w:sz="0" w:space="0" w:color="auto"/>
        <w:left w:val="none" w:sz="0" w:space="0" w:color="auto"/>
        <w:bottom w:val="none" w:sz="0" w:space="0" w:color="auto"/>
        <w:right w:val="none" w:sz="0" w:space="0" w:color="auto"/>
      </w:divBdr>
    </w:div>
    <w:div w:id="1136530346">
      <w:bodyDiv w:val="1"/>
      <w:marLeft w:val="0"/>
      <w:marRight w:val="0"/>
      <w:marTop w:val="0"/>
      <w:marBottom w:val="0"/>
      <w:divBdr>
        <w:top w:val="none" w:sz="0" w:space="0" w:color="auto"/>
        <w:left w:val="none" w:sz="0" w:space="0" w:color="auto"/>
        <w:bottom w:val="none" w:sz="0" w:space="0" w:color="auto"/>
        <w:right w:val="none" w:sz="0" w:space="0" w:color="auto"/>
      </w:divBdr>
    </w:div>
    <w:div w:id="1137067120">
      <w:bodyDiv w:val="1"/>
      <w:marLeft w:val="0"/>
      <w:marRight w:val="0"/>
      <w:marTop w:val="0"/>
      <w:marBottom w:val="0"/>
      <w:divBdr>
        <w:top w:val="none" w:sz="0" w:space="0" w:color="auto"/>
        <w:left w:val="none" w:sz="0" w:space="0" w:color="auto"/>
        <w:bottom w:val="none" w:sz="0" w:space="0" w:color="auto"/>
        <w:right w:val="none" w:sz="0" w:space="0" w:color="auto"/>
      </w:divBdr>
    </w:div>
    <w:div w:id="1137333081">
      <w:bodyDiv w:val="1"/>
      <w:marLeft w:val="0"/>
      <w:marRight w:val="0"/>
      <w:marTop w:val="0"/>
      <w:marBottom w:val="0"/>
      <w:divBdr>
        <w:top w:val="none" w:sz="0" w:space="0" w:color="auto"/>
        <w:left w:val="none" w:sz="0" w:space="0" w:color="auto"/>
        <w:bottom w:val="none" w:sz="0" w:space="0" w:color="auto"/>
        <w:right w:val="none" w:sz="0" w:space="0" w:color="auto"/>
      </w:divBdr>
    </w:div>
    <w:div w:id="1139834501">
      <w:bodyDiv w:val="1"/>
      <w:marLeft w:val="0"/>
      <w:marRight w:val="0"/>
      <w:marTop w:val="0"/>
      <w:marBottom w:val="0"/>
      <w:divBdr>
        <w:top w:val="none" w:sz="0" w:space="0" w:color="auto"/>
        <w:left w:val="none" w:sz="0" w:space="0" w:color="auto"/>
        <w:bottom w:val="none" w:sz="0" w:space="0" w:color="auto"/>
        <w:right w:val="none" w:sz="0" w:space="0" w:color="auto"/>
      </w:divBdr>
    </w:div>
    <w:div w:id="1141460642">
      <w:bodyDiv w:val="1"/>
      <w:marLeft w:val="0"/>
      <w:marRight w:val="0"/>
      <w:marTop w:val="0"/>
      <w:marBottom w:val="0"/>
      <w:divBdr>
        <w:top w:val="none" w:sz="0" w:space="0" w:color="auto"/>
        <w:left w:val="none" w:sz="0" w:space="0" w:color="auto"/>
        <w:bottom w:val="none" w:sz="0" w:space="0" w:color="auto"/>
        <w:right w:val="none" w:sz="0" w:space="0" w:color="auto"/>
      </w:divBdr>
    </w:div>
    <w:div w:id="1141800560">
      <w:bodyDiv w:val="1"/>
      <w:marLeft w:val="0"/>
      <w:marRight w:val="0"/>
      <w:marTop w:val="0"/>
      <w:marBottom w:val="0"/>
      <w:divBdr>
        <w:top w:val="none" w:sz="0" w:space="0" w:color="auto"/>
        <w:left w:val="none" w:sz="0" w:space="0" w:color="auto"/>
        <w:bottom w:val="none" w:sz="0" w:space="0" w:color="auto"/>
        <w:right w:val="none" w:sz="0" w:space="0" w:color="auto"/>
      </w:divBdr>
    </w:div>
    <w:div w:id="1141845657">
      <w:bodyDiv w:val="1"/>
      <w:marLeft w:val="0"/>
      <w:marRight w:val="0"/>
      <w:marTop w:val="0"/>
      <w:marBottom w:val="0"/>
      <w:divBdr>
        <w:top w:val="none" w:sz="0" w:space="0" w:color="auto"/>
        <w:left w:val="none" w:sz="0" w:space="0" w:color="auto"/>
        <w:bottom w:val="none" w:sz="0" w:space="0" w:color="auto"/>
        <w:right w:val="none" w:sz="0" w:space="0" w:color="auto"/>
      </w:divBdr>
    </w:div>
    <w:div w:id="1144002034">
      <w:bodyDiv w:val="1"/>
      <w:marLeft w:val="0"/>
      <w:marRight w:val="0"/>
      <w:marTop w:val="0"/>
      <w:marBottom w:val="0"/>
      <w:divBdr>
        <w:top w:val="none" w:sz="0" w:space="0" w:color="auto"/>
        <w:left w:val="none" w:sz="0" w:space="0" w:color="auto"/>
        <w:bottom w:val="none" w:sz="0" w:space="0" w:color="auto"/>
        <w:right w:val="none" w:sz="0" w:space="0" w:color="auto"/>
      </w:divBdr>
    </w:div>
    <w:div w:id="1144934618">
      <w:bodyDiv w:val="1"/>
      <w:marLeft w:val="0"/>
      <w:marRight w:val="0"/>
      <w:marTop w:val="0"/>
      <w:marBottom w:val="0"/>
      <w:divBdr>
        <w:top w:val="none" w:sz="0" w:space="0" w:color="auto"/>
        <w:left w:val="none" w:sz="0" w:space="0" w:color="auto"/>
        <w:bottom w:val="none" w:sz="0" w:space="0" w:color="auto"/>
        <w:right w:val="none" w:sz="0" w:space="0" w:color="auto"/>
      </w:divBdr>
    </w:div>
    <w:div w:id="1145396847">
      <w:bodyDiv w:val="1"/>
      <w:marLeft w:val="0"/>
      <w:marRight w:val="0"/>
      <w:marTop w:val="0"/>
      <w:marBottom w:val="0"/>
      <w:divBdr>
        <w:top w:val="none" w:sz="0" w:space="0" w:color="auto"/>
        <w:left w:val="none" w:sz="0" w:space="0" w:color="auto"/>
        <w:bottom w:val="none" w:sz="0" w:space="0" w:color="auto"/>
        <w:right w:val="none" w:sz="0" w:space="0" w:color="auto"/>
      </w:divBdr>
    </w:div>
    <w:div w:id="1147163953">
      <w:bodyDiv w:val="1"/>
      <w:marLeft w:val="0"/>
      <w:marRight w:val="0"/>
      <w:marTop w:val="0"/>
      <w:marBottom w:val="0"/>
      <w:divBdr>
        <w:top w:val="none" w:sz="0" w:space="0" w:color="auto"/>
        <w:left w:val="none" w:sz="0" w:space="0" w:color="auto"/>
        <w:bottom w:val="none" w:sz="0" w:space="0" w:color="auto"/>
        <w:right w:val="none" w:sz="0" w:space="0" w:color="auto"/>
      </w:divBdr>
    </w:div>
    <w:div w:id="1148670659">
      <w:bodyDiv w:val="1"/>
      <w:marLeft w:val="0"/>
      <w:marRight w:val="0"/>
      <w:marTop w:val="0"/>
      <w:marBottom w:val="0"/>
      <w:divBdr>
        <w:top w:val="none" w:sz="0" w:space="0" w:color="auto"/>
        <w:left w:val="none" w:sz="0" w:space="0" w:color="auto"/>
        <w:bottom w:val="none" w:sz="0" w:space="0" w:color="auto"/>
        <w:right w:val="none" w:sz="0" w:space="0" w:color="auto"/>
      </w:divBdr>
    </w:div>
    <w:div w:id="1149177904">
      <w:bodyDiv w:val="1"/>
      <w:marLeft w:val="0"/>
      <w:marRight w:val="0"/>
      <w:marTop w:val="0"/>
      <w:marBottom w:val="0"/>
      <w:divBdr>
        <w:top w:val="none" w:sz="0" w:space="0" w:color="auto"/>
        <w:left w:val="none" w:sz="0" w:space="0" w:color="auto"/>
        <w:bottom w:val="none" w:sz="0" w:space="0" w:color="auto"/>
        <w:right w:val="none" w:sz="0" w:space="0" w:color="auto"/>
      </w:divBdr>
    </w:div>
    <w:div w:id="1149975396">
      <w:bodyDiv w:val="1"/>
      <w:marLeft w:val="0"/>
      <w:marRight w:val="0"/>
      <w:marTop w:val="0"/>
      <w:marBottom w:val="0"/>
      <w:divBdr>
        <w:top w:val="none" w:sz="0" w:space="0" w:color="auto"/>
        <w:left w:val="none" w:sz="0" w:space="0" w:color="auto"/>
        <w:bottom w:val="none" w:sz="0" w:space="0" w:color="auto"/>
        <w:right w:val="none" w:sz="0" w:space="0" w:color="auto"/>
      </w:divBdr>
    </w:div>
    <w:div w:id="1150362346">
      <w:bodyDiv w:val="1"/>
      <w:marLeft w:val="0"/>
      <w:marRight w:val="0"/>
      <w:marTop w:val="0"/>
      <w:marBottom w:val="0"/>
      <w:divBdr>
        <w:top w:val="none" w:sz="0" w:space="0" w:color="auto"/>
        <w:left w:val="none" w:sz="0" w:space="0" w:color="auto"/>
        <w:bottom w:val="none" w:sz="0" w:space="0" w:color="auto"/>
        <w:right w:val="none" w:sz="0" w:space="0" w:color="auto"/>
      </w:divBdr>
    </w:div>
    <w:div w:id="1153646623">
      <w:bodyDiv w:val="1"/>
      <w:marLeft w:val="0"/>
      <w:marRight w:val="0"/>
      <w:marTop w:val="0"/>
      <w:marBottom w:val="0"/>
      <w:divBdr>
        <w:top w:val="none" w:sz="0" w:space="0" w:color="auto"/>
        <w:left w:val="none" w:sz="0" w:space="0" w:color="auto"/>
        <w:bottom w:val="none" w:sz="0" w:space="0" w:color="auto"/>
        <w:right w:val="none" w:sz="0" w:space="0" w:color="auto"/>
      </w:divBdr>
    </w:div>
    <w:div w:id="1153908210">
      <w:bodyDiv w:val="1"/>
      <w:marLeft w:val="0"/>
      <w:marRight w:val="0"/>
      <w:marTop w:val="0"/>
      <w:marBottom w:val="0"/>
      <w:divBdr>
        <w:top w:val="none" w:sz="0" w:space="0" w:color="auto"/>
        <w:left w:val="none" w:sz="0" w:space="0" w:color="auto"/>
        <w:bottom w:val="none" w:sz="0" w:space="0" w:color="auto"/>
        <w:right w:val="none" w:sz="0" w:space="0" w:color="auto"/>
      </w:divBdr>
    </w:div>
    <w:div w:id="1153989362">
      <w:bodyDiv w:val="1"/>
      <w:marLeft w:val="0"/>
      <w:marRight w:val="0"/>
      <w:marTop w:val="0"/>
      <w:marBottom w:val="0"/>
      <w:divBdr>
        <w:top w:val="none" w:sz="0" w:space="0" w:color="auto"/>
        <w:left w:val="none" w:sz="0" w:space="0" w:color="auto"/>
        <w:bottom w:val="none" w:sz="0" w:space="0" w:color="auto"/>
        <w:right w:val="none" w:sz="0" w:space="0" w:color="auto"/>
      </w:divBdr>
    </w:div>
    <w:div w:id="1154179196">
      <w:bodyDiv w:val="1"/>
      <w:marLeft w:val="0"/>
      <w:marRight w:val="0"/>
      <w:marTop w:val="0"/>
      <w:marBottom w:val="0"/>
      <w:divBdr>
        <w:top w:val="none" w:sz="0" w:space="0" w:color="auto"/>
        <w:left w:val="none" w:sz="0" w:space="0" w:color="auto"/>
        <w:bottom w:val="none" w:sz="0" w:space="0" w:color="auto"/>
        <w:right w:val="none" w:sz="0" w:space="0" w:color="auto"/>
      </w:divBdr>
    </w:div>
    <w:div w:id="1154682190">
      <w:bodyDiv w:val="1"/>
      <w:marLeft w:val="0"/>
      <w:marRight w:val="0"/>
      <w:marTop w:val="0"/>
      <w:marBottom w:val="0"/>
      <w:divBdr>
        <w:top w:val="none" w:sz="0" w:space="0" w:color="auto"/>
        <w:left w:val="none" w:sz="0" w:space="0" w:color="auto"/>
        <w:bottom w:val="none" w:sz="0" w:space="0" w:color="auto"/>
        <w:right w:val="none" w:sz="0" w:space="0" w:color="auto"/>
      </w:divBdr>
    </w:div>
    <w:div w:id="1156071534">
      <w:bodyDiv w:val="1"/>
      <w:marLeft w:val="0"/>
      <w:marRight w:val="0"/>
      <w:marTop w:val="0"/>
      <w:marBottom w:val="0"/>
      <w:divBdr>
        <w:top w:val="none" w:sz="0" w:space="0" w:color="auto"/>
        <w:left w:val="none" w:sz="0" w:space="0" w:color="auto"/>
        <w:bottom w:val="none" w:sz="0" w:space="0" w:color="auto"/>
        <w:right w:val="none" w:sz="0" w:space="0" w:color="auto"/>
      </w:divBdr>
    </w:div>
    <w:div w:id="1156143625">
      <w:bodyDiv w:val="1"/>
      <w:marLeft w:val="0"/>
      <w:marRight w:val="0"/>
      <w:marTop w:val="0"/>
      <w:marBottom w:val="0"/>
      <w:divBdr>
        <w:top w:val="none" w:sz="0" w:space="0" w:color="auto"/>
        <w:left w:val="none" w:sz="0" w:space="0" w:color="auto"/>
        <w:bottom w:val="none" w:sz="0" w:space="0" w:color="auto"/>
        <w:right w:val="none" w:sz="0" w:space="0" w:color="auto"/>
      </w:divBdr>
    </w:div>
    <w:div w:id="1156996578">
      <w:bodyDiv w:val="1"/>
      <w:marLeft w:val="0"/>
      <w:marRight w:val="0"/>
      <w:marTop w:val="0"/>
      <w:marBottom w:val="0"/>
      <w:divBdr>
        <w:top w:val="none" w:sz="0" w:space="0" w:color="auto"/>
        <w:left w:val="none" w:sz="0" w:space="0" w:color="auto"/>
        <w:bottom w:val="none" w:sz="0" w:space="0" w:color="auto"/>
        <w:right w:val="none" w:sz="0" w:space="0" w:color="auto"/>
      </w:divBdr>
    </w:div>
    <w:div w:id="1156998827">
      <w:bodyDiv w:val="1"/>
      <w:marLeft w:val="0"/>
      <w:marRight w:val="0"/>
      <w:marTop w:val="0"/>
      <w:marBottom w:val="0"/>
      <w:divBdr>
        <w:top w:val="none" w:sz="0" w:space="0" w:color="auto"/>
        <w:left w:val="none" w:sz="0" w:space="0" w:color="auto"/>
        <w:bottom w:val="none" w:sz="0" w:space="0" w:color="auto"/>
        <w:right w:val="none" w:sz="0" w:space="0" w:color="auto"/>
      </w:divBdr>
    </w:div>
    <w:div w:id="1159270667">
      <w:bodyDiv w:val="1"/>
      <w:marLeft w:val="0"/>
      <w:marRight w:val="0"/>
      <w:marTop w:val="0"/>
      <w:marBottom w:val="0"/>
      <w:divBdr>
        <w:top w:val="none" w:sz="0" w:space="0" w:color="auto"/>
        <w:left w:val="none" w:sz="0" w:space="0" w:color="auto"/>
        <w:bottom w:val="none" w:sz="0" w:space="0" w:color="auto"/>
        <w:right w:val="none" w:sz="0" w:space="0" w:color="auto"/>
      </w:divBdr>
    </w:div>
    <w:div w:id="1160078148">
      <w:bodyDiv w:val="1"/>
      <w:marLeft w:val="0"/>
      <w:marRight w:val="0"/>
      <w:marTop w:val="0"/>
      <w:marBottom w:val="0"/>
      <w:divBdr>
        <w:top w:val="none" w:sz="0" w:space="0" w:color="auto"/>
        <w:left w:val="none" w:sz="0" w:space="0" w:color="auto"/>
        <w:bottom w:val="none" w:sz="0" w:space="0" w:color="auto"/>
        <w:right w:val="none" w:sz="0" w:space="0" w:color="auto"/>
      </w:divBdr>
    </w:div>
    <w:div w:id="1161241762">
      <w:bodyDiv w:val="1"/>
      <w:marLeft w:val="0"/>
      <w:marRight w:val="0"/>
      <w:marTop w:val="0"/>
      <w:marBottom w:val="0"/>
      <w:divBdr>
        <w:top w:val="none" w:sz="0" w:space="0" w:color="auto"/>
        <w:left w:val="none" w:sz="0" w:space="0" w:color="auto"/>
        <w:bottom w:val="none" w:sz="0" w:space="0" w:color="auto"/>
        <w:right w:val="none" w:sz="0" w:space="0" w:color="auto"/>
      </w:divBdr>
    </w:div>
    <w:div w:id="1161890946">
      <w:bodyDiv w:val="1"/>
      <w:marLeft w:val="0"/>
      <w:marRight w:val="0"/>
      <w:marTop w:val="0"/>
      <w:marBottom w:val="0"/>
      <w:divBdr>
        <w:top w:val="none" w:sz="0" w:space="0" w:color="auto"/>
        <w:left w:val="none" w:sz="0" w:space="0" w:color="auto"/>
        <w:bottom w:val="none" w:sz="0" w:space="0" w:color="auto"/>
        <w:right w:val="none" w:sz="0" w:space="0" w:color="auto"/>
      </w:divBdr>
    </w:div>
    <w:div w:id="1162962790">
      <w:bodyDiv w:val="1"/>
      <w:marLeft w:val="0"/>
      <w:marRight w:val="0"/>
      <w:marTop w:val="0"/>
      <w:marBottom w:val="0"/>
      <w:divBdr>
        <w:top w:val="none" w:sz="0" w:space="0" w:color="auto"/>
        <w:left w:val="none" w:sz="0" w:space="0" w:color="auto"/>
        <w:bottom w:val="none" w:sz="0" w:space="0" w:color="auto"/>
        <w:right w:val="none" w:sz="0" w:space="0" w:color="auto"/>
      </w:divBdr>
    </w:div>
    <w:div w:id="1163089576">
      <w:bodyDiv w:val="1"/>
      <w:marLeft w:val="0"/>
      <w:marRight w:val="0"/>
      <w:marTop w:val="0"/>
      <w:marBottom w:val="0"/>
      <w:divBdr>
        <w:top w:val="none" w:sz="0" w:space="0" w:color="auto"/>
        <w:left w:val="none" w:sz="0" w:space="0" w:color="auto"/>
        <w:bottom w:val="none" w:sz="0" w:space="0" w:color="auto"/>
        <w:right w:val="none" w:sz="0" w:space="0" w:color="auto"/>
      </w:divBdr>
    </w:div>
    <w:div w:id="1164391781">
      <w:bodyDiv w:val="1"/>
      <w:marLeft w:val="0"/>
      <w:marRight w:val="0"/>
      <w:marTop w:val="0"/>
      <w:marBottom w:val="0"/>
      <w:divBdr>
        <w:top w:val="none" w:sz="0" w:space="0" w:color="auto"/>
        <w:left w:val="none" w:sz="0" w:space="0" w:color="auto"/>
        <w:bottom w:val="none" w:sz="0" w:space="0" w:color="auto"/>
        <w:right w:val="none" w:sz="0" w:space="0" w:color="auto"/>
      </w:divBdr>
    </w:div>
    <w:div w:id="1165054669">
      <w:bodyDiv w:val="1"/>
      <w:marLeft w:val="0"/>
      <w:marRight w:val="0"/>
      <w:marTop w:val="0"/>
      <w:marBottom w:val="0"/>
      <w:divBdr>
        <w:top w:val="none" w:sz="0" w:space="0" w:color="auto"/>
        <w:left w:val="none" w:sz="0" w:space="0" w:color="auto"/>
        <w:bottom w:val="none" w:sz="0" w:space="0" w:color="auto"/>
        <w:right w:val="none" w:sz="0" w:space="0" w:color="auto"/>
      </w:divBdr>
    </w:div>
    <w:div w:id="1166433820">
      <w:bodyDiv w:val="1"/>
      <w:marLeft w:val="0"/>
      <w:marRight w:val="0"/>
      <w:marTop w:val="0"/>
      <w:marBottom w:val="0"/>
      <w:divBdr>
        <w:top w:val="none" w:sz="0" w:space="0" w:color="auto"/>
        <w:left w:val="none" w:sz="0" w:space="0" w:color="auto"/>
        <w:bottom w:val="none" w:sz="0" w:space="0" w:color="auto"/>
        <w:right w:val="none" w:sz="0" w:space="0" w:color="auto"/>
      </w:divBdr>
    </w:div>
    <w:div w:id="1167787482">
      <w:bodyDiv w:val="1"/>
      <w:marLeft w:val="0"/>
      <w:marRight w:val="0"/>
      <w:marTop w:val="0"/>
      <w:marBottom w:val="0"/>
      <w:divBdr>
        <w:top w:val="none" w:sz="0" w:space="0" w:color="auto"/>
        <w:left w:val="none" w:sz="0" w:space="0" w:color="auto"/>
        <w:bottom w:val="none" w:sz="0" w:space="0" w:color="auto"/>
        <w:right w:val="none" w:sz="0" w:space="0" w:color="auto"/>
      </w:divBdr>
    </w:div>
    <w:div w:id="1168979613">
      <w:bodyDiv w:val="1"/>
      <w:marLeft w:val="0"/>
      <w:marRight w:val="0"/>
      <w:marTop w:val="0"/>
      <w:marBottom w:val="0"/>
      <w:divBdr>
        <w:top w:val="none" w:sz="0" w:space="0" w:color="auto"/>
        <w:left w:val="none" w:sz="0" w:space="0" w:color="auto"/>
        <w:bottom w:val="none" w:sz="0" w:space="0" w:color="auto"/>
        <w:right w:val="none" w:sz="0" w:space="0" w:color="auto"/>
      </w:divBdr>
    </w:div>
    <w:div w:id="1169055636">
      <w:bodyDiv w:val="1"/>
      <w:marLeft w:val="0"/>
      <w:marRight w:val="0"/>
      <w:marTop w:val="0"/>
      <w:marBottom w:val="0"/>
      <w:divBdr>
        <w:top w:val="none" w:sz="0" w:space="0" w:color="auto"/>
        <w:left w:val="none" w:sz="0" w:space="0" w:color="auto"/>
        <w:bottom w:val="none" w:sz="0" w:space="0" w:color="auto"/>
        <w:right w:val="none" w:sz="0" w:space="0" w:color="auto"/>
      </w:divBdr>
    </w:div>
    <w:div w:id="1169254316">
      <w:bodyDiv w:val="1"/>
      <w:marLeft w:val="0"/>
      <w:marRight w:val="0"/>
      <w:marTop w:val="0"/>
      <w:marBottom w:val="0"/>
      <w:divBdr>
        <w:top w:val="none" w:sz="0" w:space="0" w:color="auto"/>
        <w:left w:val="none" w:sz="0" w:space="0" w:color="auto"/>
        <w:bottom w:val="none" w:sz="0" w:space="0" w:color="auto"/>
        <w:right w:val="none" w:sz="0" w:space="0" w:color="auto"/>
      </w:divBdr>
    </w:div>
    <w:div w:id="1170020676">
      <w:bodyDiv w:val="1"/>
      <w:marLeft w:val="0"/>
      <w:marRight w:val="0"/>
      <w:marTop w:val="0"/>
      <w:marBottom w:val="0"/>
      <w:divBdr>
        <w:top w:val="none" w:sz="0" w:space="0" w:color="auto"/>
        <w:left w:val="none" w:sz="0" w:space="0" w:color="auto"/>
        <w:bottom w:val="none" w:sz="0" w:space="0" w:color="auto"/>
        <w:right w:val="none" w:sz="0" w:space="0" w:color="auto"/>
      </w:divBdr>
    </w:div>
    <w:div w:id="1170098891">
      <w:bodyDiv w:val="1"/>
      <w:marLeft w:val="0"/>
      <w:marRight w:val="0"/>
      <w:marTop w:val="0"/>
      <w:marBottom w:val="0"/>
      <w:divBdr>
        <w:top w:val="none" w:sz="0" w:space="0" w:color="auto"/>
        <w:left w:val="none" w:sz="0" w:space="0" w:color="auto"/>
        <w:bottom w:val="none" w:sz="0" w:space="0" w:color="auto"/>
        <w:right w:val="none" w:sz="0" w:space="0" w:color="auto"/>
      </w:divBdr>
    </w:div>
    <w:div w:id="1171137829">
      <w:bodyDiv w:val="1"/>
      <w:marLeft w:val="0"/>
      <w:marRight w:val="0"/>
      <w:marTop w:val="0"/>
      <w:marBottom w:val="0"/>
      <w:divBdr>
        <w:top w:val="none" w:sz="0" w:space="0" w:color="auto"/>
        <w:left w:val="none" w:sz="0" w:space="0" w:color="auto"/>
        <w:bottom w:val="none" w:sz="0" w:space="0" w:color="auto"/>
        <w:right w:val="none" w:sz="0" w:space="0" w:color="auto"/>
      </w:divBdr>
    </w:div>
    <w:div w:id="1171601706">
      <w:bodyDiv w:val="1"/>
      <w:marLeft w:val="0"/>
      <w:marRight w:val="0"/>
      <w:marTop w:val="0"/>
      <w:marBottom w:val="0"/>
      <w:divBdr>
        <w:top w:val="none" w:sz="0" w:space="0" w:color="auto"/>
        <w:left w:val="none" w:sz="0" w:space="0" w:color="auto"/>
        <w:bottom w:val="none" w:sz="0" w:space="0" w:color="auto"/>
        <w:right w:val="none" w:sz="0" w:space="0" w:color="auto"/>
      </w:divBdr>
    </w:div>
    <w:div w:id="1172642202">
      <w:bodyDiv w:val="1"/>
      <w:marLeft w:val="0"/>
      <w:marRight w:val="0"/>
      <w:marTop w:val="0"/>
      <w:marBottom w:val="0"/>
      <w:divBdr>
        <w:top w:val="none" w:sz="0" w:space="0" w:color="auto"/>
        <w:left w:val="none" w:sz="0" w:space="0" w:color="auto"/>
        <w:bottom w:val="none" w:sz="0" w:space="0" w:color="auto"/>
        <w:right w:val="none" w:sz="0" w:space="0" w:color="auto"/>
      </w:divBdr>
    </w:div>
    <w:div w:id="1174027946">
      <w:bodyDiv w:val="1"/>
      <w:marLeft w:val="0"/>
      <w:marRight w:val="0"/>
      <w:marTop w:val="0"/>
      <w:marBottom w:val="0"/>
      <w:divBdr>
        <w:top w:val="none" w:sz="0" w:space="0" w:color="auto"/>
        <w:left w:val="none" w:sz="0" w:space="0" w:color="auto"/>
        <w:bottom w:val="none" w:sz="0" w:space="0" w:color="auto"/>
        <w:right w:val="none" w:sz="0" w:space="0" w:color="auto"/>
      </w:divBdr>
    </w:div>
    <w:div w:id="1174609047">
      <w:bodyDiv w:val="1"/>
      <w:marLeft w:val="0"/>
      <w:marRight w:val="0"/>
      <w:marTop w:val="0"/>
      <w:marBottom w:val="0"/>
      <w:divBdr>
        <w:top w:val="none" w:sz="0" w:space="0" w:color="auto"/>
        <w:left w:val="none" w:sz="0" w:space="0" w:color="auto"/>
        <w:bottom w:val="none" w:sz="0" w:space="0" w:color="auto"/>
        <w:right w:val="none" w:sz="0" w:space="0" w:color="auto"/>
      </w:divBdr>
    </w:div>
    <w:div w:id="1174883115">
      <w:bodyDiv w:val="1"/>
      <w:marLeft w:val="0"/>
      <w:marRight w:val="0"/>
      <w:marTop w:val="0"/>
      <w:marBottom w:val="0"/>
      <w:divBdr>
        <w:top w:val="none" w:sz="0" w:space="0" w:color="auto"/>
        <w:left w:val="none" w:sz="0" w:space="0" w:color="auto"/>
        <w:bottom w:val="none" w:sz="0" w:space="0" w:color="auto"/>
        <w:right w:val="none" w:sz="0" w:space="0" w:color="auto"/>
      </w:divBdr>
    </w:div>
    <w:div w:id="1175921776">
      <w:bodyDiv w:val="1"/>
      <w:marLeft w:val="0"/>
      <w:marRight w:val="0"/>
      <w:marTop w:val="0"/>
      <w:marBottom w:val="0"/>
      <w:divBdr>
        <w:top w:val="none" w:sz="0" w:space="0" w:color="auto"/>
        <w:left w:val="none" w:sz="0" w:space="0" w:color="auto"/>
        <w:bottom w:val="none" w:sz="0" w:space="0" w:color="auto"/>
        <w:right w:val="none" w:sz="0" w:space="0" w:color="auto"/>
      </w:divBdr>
    </w:div>
    <w:div w:id="1176843468">
      <w:bodyDiv w:val="1"/>
      <w:marLeft w:val="0"/>
      <w:marRight w:val="0"/>
      <w:marTop w:val="0"/>
      <w:marBottom w:val="0"/>
      <w:divBdr>
        <w:top w:val="none" w:sz="0" w:space="0" w:color="auto"/>
        <w:left w:val="none" w:sz="0" w:space="0" w:color="auto"/>
        <w:bottom w:val="none" w:sz="0" w:space="0" w:color="auto"/>
        <w:right w:val="none" w:sz="0" w:space="0" w:color="auto"/>
      </w:divBdr>
    </w:div>
    <w:div w:id="1178033779">
      <w:bodyDiv w:val="1"/>
      <w:marLeft w:val="0"/>
      <w:marRight w:val="0"/>
      <w:marTop w:val="0"/>
      <w:marBottom w:val="0"/>
      <w:divBdr>
        <w:top w:val="none" w:sz="0" w:space="0" w:color="auto"/>
        <w:left w:val="none" w:sz="0" w:space="0" w:color="auto"/>
        <w:bottom w:val="none" w:sz="0" w:space="0" w:color="auto"/>
        <w:right w:val="none" w:sz="0" w:space="0" w:color="auto"/>
      </w:divBdr>
    </w:div>
    <w:div w:id="1179080792">
      <w:bodyDiv w:val="1"/>
      <w:marLeft w:val="0"/>
      <w:marRight w:val="0"/>
      <w:marTop w:val="0"/>
      <w:marBottom w:val="0"/>
      <w:divBdr>
        <w:top w:val="none" w:sz="0" w:space="0" w:color="auto"/>
        <w:left w:val="none" w:sz="0" w:space="0" w:color="auto"/>
        <w:bottom w:val="none" w:sz="0" w:space="0" w:color="auto"/>
        <w:right w:val="none" w:sz="0" w:space="0" w:color="auto"/>
      </w:divBdr>
    </w:div>
    <w:div w:id="1179271440">
      <w:bodyDiv w:val="1"/>
      <w:marLeft w:val="0"/>
      <w:marRight w:val="0"/>
      <w:marTop w:val="0"/>
      <w:marBottom w:val="0"/>
      <w:divBdr>
        <w:top w:val="none" w:sz="0" w:space="0" w:color="auto"/>
        <w:left w:val="none" w:sz="0" w:space="0" w:color="auto"/>
        <w:bottom w:val="none" w:sz="0" w:space="0" w:color="auto"/>
        <w:right w:val="none" w:sz="0" w:space="0" w:color="auto"/>
      </w:divBdr>
    </w:div>
    <w:div w:id="1179545776">
      <w:bodyDiv w:val="1"/>
      <w:marLeft w:val="0"/>
      <w:marRight w:val="0"/>
      <w:marTop w:val="0"/>
      <w:marBottom w:val="0"/>
      <w:divBdr>
        <w:top w:val="none" w:sz="0" w:space="0" w:color="auto"/>
        <w:left w:val="none" w:sz="0" w:space="0" w:color="auto"/>
        <w:bottom w:val="none" w:sz="0" w:space="0" w:color="auto"/>
        <w:right w:val="none" w:sz="0" w:space="0" w:color="auto"/>
      </w:divBdr>
    </w:div>
    <w:div w:id="1180118993">
      <w:bodyDiv w:val="1"/>
      <w:marLeft w:val="0"/>
      <w:marRight w:val="0"/>
      <w:marTop w:val="0"/>
      <w:marBottom w:val="0"/>
      <w:divBdr>
        <w:top w:val="none" w:sz="0" w:space="0" w:color="auto"/>
        <w:left w:val="none" w:sz="0" w:space="0" w:color="auto"/>
        <w:bottom w:val="none" w:sz="0" w:space="0" w:color="auto"/>
        <w:right w:val="none" w:sz="0" w:space="0" w:color="auto"/>
      </w:divBdr>
    </w:div>
    <w:div w:id="1180120623">
      <w:bodyDiv w:val="1"/>
      <w:marLeft w:val="0"/>
      <w:marRight w:val="0"/>
      <w:marTop w:val="0"/>
      <w:marBottom w:val="0"/>
      <w:divBdr>
        <w:top w:val="none" w:sz="0" w:space="0" w:color="auto"/>
        <w:left w:val="none" w:sz="0" w:space="0" w:color="auto"/>
        <w:bottom w:val="none" w:sz="0" w:space="0" w:color="auto"/>
        <w:right w:val="none" w:sz="0" w:space="0" w:color="auto"/>
      </w:divBdr>
    </w:div>
    <w:div w:id="1180314626">
      <w:bodyDiv w:val="1"/>
      <w:marLeft w:val="0"/>
      <w:marRight w:val="0"/>
      <w:marTop w:val="0"/>
      <w:marBottom w:val="0"/>
      <w:divBdr>
        <w:top w:val="none" w:sz="0" w:space="0" w:color="auto"/>
        <w:left w:val="none" w:sz="0" w:space="0" w:color="auto"/>
        <w:bottom w:val="none" w:sz="0" w:space="0" w:color="auto"/>
        <w:right w:val="none" w:sz="0" w:space="0" w:color="auto"/>
      </w:divBdr>
    </w:div>
    <w:div w:id="1180461888">
      <w:bodyDiv w:val="1"/>
      <w:marLeft w:val="0"/>
      <w:marRight w:val="0"/>
      <w:marTop w:val="0"/>
      <w:marBottom w:val="0"/>
      <w:divBdr>
        <w:top w:val="none" w:sz="0" w:space="0" w:color="auto"/>
        <w:left w:val="none" w:sz="0" w:space="0" w:color="auto"/>
        <w:bottom w:val="none" w:sz="0" w:space="0" w:color="auto"/>
        <w:right w:val="none" w:sz="0" w:space="0" w:color="auto"/>
      </w:divBdr>
    </w:div>
    <w:div w:id="1180922917">
      <w:bodyDiv w:val="1"/>
      <w:marLeft w:val="0"/>
      <w:marRight w:val="0"/>
      <w:marTop w:val="0"/>
      <w:marBottom w:val="0"/>
      <w:divBdr>
        <w:top w:val="none" w:sz="0" w:space="0" w:color="auto"/>
        <w:left w:val="none" w:sz="0" w:space="0" w:color="auto"/>
        <w:bottom w:val="none" w:sz="0" w:space="0" w:color="auto"/>
        <w:right w:val="none" w:sz="0" w:space="0" w:color="auto"/>
      </w:divBdr>
    </w:div>
    <w:div w:id="1181696279">
      <w:bodyDiv w:val="1"/>
      <w:marLeft w:val="0"/>
      <w:marRight w:val="0"/>
      <w:marTop w:val="0"/>
      <w:marBottom w:val="0"/>
      <w:divBdr>
        <w:top w:val="none" w:sz="0" w:space="0" w:color="auto"/>
        <w:left w:val="none" w:sz="0" w:space="0" w:color="auto"/>
        <w:bottom w:val="none" w:sz="0" w:space="0" w:color="auto"/>
        <w:right w:val="none" w:sz="0" w:space="0" w:color="auto"/>
      </w:divBdr>
    </w:div>
    <w:div w:id="1182623486">
      <w:bodyDiv w:val="1"/>
      <w:marLeft w:val="0"/>
      <w:marRight w:val="0"/>
      <w:marTop w:val="0"/>
      <w:marBottom w:val="0"/>
      <w:divBdr>
        <w:top w:val="none" w:sz="0" w:space="0" w:color="auto"/>
        <w:left w:val="none" w:sz="0" w:space="0" w:color="auto"/>
        <w:bottom w:val="none" w:sz="0" w:space="0" w:color="auto"/>
        <w:right w:val="none" w:sz="0" w:space="0" w:color="auto"/>
      </w:divBdr>
    </w:div>
    <w:div w:id="1183713032">
      <w:bodyDiv w:val="1"/>
      <w:marLeft w:val="0"/>
      <w:marRight w:val="0"/>
      <w:marTop w:val="0"/>
      <w:marBottom w:val="0"/>
      <w:divBdr>
        <w:top w:val="none" w:sz="0" w:space="0" w:color="auto"/>
        <w:left w:val="none" w:sz="0" w:space="0" w:color="auto"/>
        <w:bottom w:val="none" w:sz="0" w:space="0" w:color="auto"/>
        <w:right w:val="none" w:sz="0" w:space="0" w:color="auto"/>
      </w:divBdr>
    </w:div>
    <w:div w:id="1184172094">
      <w:bodyDiv w:val="1"/>
      <w:marLeft w:val="0"/>
      <w:marRight w:val="0"/>
      <w:marTop w:val="0"/>
      <w:marBottom w:val="0"/>
      <w:divBdr>
        <w:top w:val="none" w:sz="0" w:space="0" w:color="auto"/>
        <w:left w:val="none" w:sz="0" w:space="0" w:color="auto"/>
        <w:bottom w:val="none" w:sz="0" w:space="0" w:color="auto"/>
        <w:right w:val="none" w:sz="0" w:space="0" w:color="auto"/>
      </w:divBdr>
    </w:div>
    <w:div w:id="1184244855">
      <w:bodyDiv w:val="1"/>
      <w:marLeft w:val="0"/>
      <w:marRight w:val="0"/>
      <w:marTop w:val="0"/>
      <w:marBottom w:val="0"/>
      <w:divBdr>
        <w:top w:val="none" w:sz="0" w:space="0" w:color="auto"/>
        <w:left w:val="none" w:sz="0" w:space="0" w:color="auto"/>
        <w:bottom w:val="none" w:sz="0" w:space="0" w:color="auto"/>
        <w:right w:val="none" w:sz="0" w:space="0" w:color="auto"/>
      </w:divBdr>
    </w:div>
    <w:div w:id="1184246740">
      <w:bodyDiv w:val="1"/>
      <w:marLeft w:val="0"/>
      <w:marRight w:val="0"/>
      <w:marTop w:val="0"/>
      <w:marBottom w:val="0"/>
      <w:divBdr>
        <w:top w:val="none" w:sz="0" w:space="0" w:color="auto"/>
        <w:left w:val="none" w:sz="0" w:space="0" w:color="auto"/>
        <w:bottom w:val="none" w:sz="0" w:space="0" w:color="auto"/>
        <w:right w:val="none" w:sz="0" w:space="0" w:color="auto"/>
      </w:divBdr>
    </w:div>
    <w:div w:id="1185292702">
      <w:bodyDiv w:val="1"/>
      <w:marLeft w:val="0"/>
      <w:marRight w:val="0"/>
      <w:marTop w:val="0"/>
      <w:marBottom w:val="0"/>
      <w:divBdr>
        <w:top w:val="none" w:sz="0" w:space="0" w:color="auto"/>
        <w:left w:val="none" w:sz="0" w:space="0" w:color="auto"/>
        <w:bottom w:val="none" w:sz="0" w:space="0" w:color="auto"/>
        <w:right w:val="none" w:sz="0" w:space="0" w:color="auto"/>
      </w:divBdr>
    </w:div>
    <w:div w:id="1186748016">
      <w:bodyDiv w:val="1"/>
      <w:marLeft w:val="0"/>
      <w:marRight w:val="0"/>
      <w:marTop w:val="0"/>
      <w:marBottom w:val="0"/>
      <w:divBdr>
        <w:top w:val="none" w:sz="0" w:space="0" w:color="auto"/>
        <w:left w:val="none" w:sz="0" w:space="0" w:color="auto"/>
        <w:bottom w:val="none" w:sz="0" w:space="0" w:color="auto"/>
        <w:right w:val="none" w:sz="0" w:space="0" w:color="auto"/>
      </w:divBdr>
    </w:div>
    <w:div w:id="1187601411">
      <w:bodyDiv w:val="1"/>
      <w:marLeft w:val="0"/>
      <w:marRight w:val="0"/>
      <w:marTop w:val="0"/>
      <w:marBottom w:val="0"/>
      <w:divBdr>
        <w:top w:val="none" w:sz="0" w:space="0" w:color="auto"/>
        <w:left w:val="none" w:sz="0" w:space="0" w:color="auto"/>
        <w:bottom w:val="none" w:sz="0" w:space="0" w:color="auto"/>
        <w:right w:val="none" w:sz="0" w:space="0" w:color="auto"/>
      </w:divBdr>
    </w:div>
    <w:div w:id="1187863667">
      <w:bodyDiv w:val="1"/>
      <w:marLeft w:val="0"/>
      <w:marRight w:val="0"/>
      <w:marTop w:val="0"/>
      <w:marBottom w:val="0"/>
      <w:divBdr>
        <w:top w:val="none" w:sz="0" w:space="0" w:color="auto"/>
        <w:left w:val="none" w:sz="0" w:space="0" w:color="auto"/>
        <w:bottom w:val="none" w:sz="0" w:space="0" w:color="auto"/>
        <w:right w:val="none" w:sz="0" w:space="0" w:color="auto"/>
      </w:divBdr>
    </w:div>
    <w:div w:id="1188258479">
      <w:bodyDiv w:val="1"/>
      <w:marLeft w:val="0"/>
      <w:marRight w:val="0"/>
      <w:marTop w:val="0"/>
      <w:marBottom w:val="0"/>
      <w:divBdr>
        <w:top w:val="none" w:sz="0" w:space="0" w:color="auto"/>
        <w:left w:val="none" w:sz="0" w:space="0" w:color="auto"/>
        <w:bottom w:val="none" w:sz="0" w:space="0" w:color="auto"/>
        <w:right w:val="none" w:sz="0" w:space="0" w:color="auto"/>
      </w:divBdr>
    </w:div>
    <w:div w:id="1191841581">
      <w:bodyDiv w:val="1"/>
      <w:marLeft w:val="0"/>
      <w:marRight w:val="0"/>
      <w:marTop w:val="0"/>
      <w:marBottom w:val="0"/>
      <w:divBdr>
        <w:top w:val="none" w:sz="0" w:space="0" w:color="auto"/>
        <w:left w:val="none" w:sz="0" w:space="0" w:color="auto"/>
        <w:bottom w:val="none" w:sz="0" w:space="0" w:color="auto"/>
        <w:right w:val="none" w:sz="0" w:space="0" w:color="auto"/>
      </w:divBdr>
    </w:div>
    <w:div w:id="1192840747">
      <w:bodyDiv w:val="1"/>
      <w:marLeft w:val="0"/>
      <w:marRight w:val="0"/>
      <w:marTop w:val="0"/>
      <w:marBottom w:val="0"/>
      <w:divBdr>
        <w:top w:val="none" w:sz="0" w:space="0" w:color="auto"/>
        <w:left w:val="none" w:sz="0" w:space="0" w:color="auto"/>
        <w:bottom w:val="none" w:sz="0" w:space="0" w:color="auto"/>
        <w:right w:val="none" w:sz="0" w:space="0" w:color="auto"/>
      </w:divBdr>
    </w:div>
    <w:div w:id="1193883091">
      <w:bodyDiv w:val="1"/>
      <w:marLeft w:val="0"/>
      <w:marRight w:val="0"/>
      <w:marTop w:val="0"/>
      <w:marBottom w:val="0"/>
      <w:divBdr>
        <w:top w:val="none" w:sz="0" w:space="0" w:color="auto"/>
        <w:left w:val="none" w:sz="0" w:space="0" w:color="auto"/>
        <w:bottom w:val="none" w:sz="0" w:space="0" w:color="auto"/>
        <w:right w:val="none" w:sz="0" w:space="0" w:color="auto"/>
      </w:divBdr>
    </w:div>
    <w:div w:id="1195458389">
      <w:bodyDiv w:val="1"/>
      <w:marLeft w:val="0"/>
      <w:marRight w:val="0"/>
      <w:marTop w:val="0"/>
      <w:marBottom w:val="0"/>
      <w:divBdr>
        <w:top w:val="none" w:sz="0" w:space="0" w:color="auto"/>
        <w:left w:val="none" w:sz="0" w:space="0" w:color="auto"/>
        <w:bottom w:val="none" w:sz="0" w:space="0" w:color="auto"/>
        <w:right w:val="none" w:sz="0" w:space="0" w:color="auto"/>
      </w:divBdr>
    </w:div>
    <w:div w:id="1195466232">
      <w:bodyDiv w:val="1"/>
      <w:marLeft w:val="0"/>
      <w:marRight w:val="0"/>
      <w:marTop w:val="0"/>
      <w:marBottom w:val="0"/>
      <w:divBdr>
        <w:top w:val="none" w:sz="0" w:space="0" w:color="auto"/>
        <w:left w:val="none" w:sz="0" w:space="0" w:color="auto"/>
        <w:bottom w:val="none" w:sz="0" w:space="0" w:color="auto"/>
        <w:right w:val="none" w:sz="0" w:space="0" w:color="auto"/>
      </w:divBdr>
    </w:div>
    <w:div w:id="1195920322">
      <w:bodyDiv w:val="1"/>
      <w:marLeft w:val="0"/>
      <w:marRight w:val="0"/>
      <w:marTop w:val="0"/>
      <w:marBottom w:val="0"/>
      <w:divBdr>
        <w:top w:val="none" w:sz="0" w:space="0" w:color="auto"/>
        <w:left w:val="none" w:sz="0" w:space="0" w:color="auto"/>
        <w:bottom w:val="none" w:sz="0" w:space="0" w:color="auto"/>
        <w:right w:val="none" w:sz="0" w:space="0" w:color="auto"/>
      </w:divBdr>
    </w:div>
    <w:div w:id="1197961221">
      <w:bodyDiv w:val="1"/>
      <w:marLeft w:val="0"/>
      <w:marRight w:val="0"/>
      <w:marTop w:val="0"/>
      <w:marBottom w:val="0"/>
      <w:divBdr>
        <w:top w:val="none" w:sz="0" w:space="0" w:color="auto"/>
        <w:left w:val="none" w:sz="0" w:space="0" w:color="auto"/>
        <w:bottom w:val="none" w:sz="0" w:space="0" w:color="auto"/>
        <w:right w:val="none" w:sz="0" w:space="0" w:color="auto"/>
      </w:divBdr>
    </w:div>
    <w:div w:id="1198926767">
      <w:bodyDiv w:val="1"/>
      <w:marLeft w:val="0"/>
      <w:marRight w:val="0"/>
      <w:marTop w:val="0"/>
      <w:marBottom w:val="0"/>
      <w:divBdr>
        <w:top w:val="none" w:sz="0" w:space="0" w:color="auto"/>
        <w:left w:val="none" w:sz="0" w:space="0" w:color="auto"/>
        <w:bottom w:val="none" w:sz="0" w:space="0" w:color="auto"/>
        <w:right w:val="none" w:sz="0" w:space="0" w:color="auto"/>
      </w:divBdr>
    </w:div>
    <w:div w:id="1202865746">
      <w:bodyDiv w:val="1"/>
      <w:marLeft w:val="0"/>
      <w:marRight w:val="0"/>
      <w:marTop w:val="0"/>
      <w:marBottom w:val="0"/>
      <w:divBdr>
        <w:top w:val="none" w:sz="0" w:space="0" w:color="auto"/>
        <w:left w:val="none" w:sz="0" w:space="0" w:color="auto"/>
        <w:bottom w:val="none" w:sz="0" w:space="0" w:color="auto"/>
        <w:right w:val="none" w:sz="0" w:space="0" w:color="auto"/>
      </w:divBdr>
    </w:div>
    <w:div w:id="1203402243">
      <w:bodyDiv w:val="1"/>
      <w:marLeft w:val="0"/>
      <w:marRight w:val="0"/>
      <w:marTop w:val="0"/>
      <w:marBottom w:val="0"/>
      <w:divBdr>
        <w:top w:val="none" w:sz="0" w:space="0" w:color="auto"/>
        <w:left w:val="none" w:sz="0" w:space="0" w:color="auto"/>
        <w:bottom w:val="none" w:sz="0" w:space="0" w:color="auto"/>
        <w:right w:val="none" w:sz="0" w:space="0" w:color="auto"/>
      </w:divBdr>
    </w:div>
    <w:div w:id="1204097231">
      <w:bodyDiv w:val="1"/>
      <w:marLeft w:val="0"/>
      <w:marRight w:val="0"/>
      <w:marTop w:val="0"/>
      <w:marBottom w:val="0"/>
      <w:divBdr>
        <w:top w:val="none" w:sz="0" w:space="0" w:color="auto"/>
        <w:left w:val="none" w:sz="0" w:space="0" w:color="auto"/>
        <w:bottom w:val="none" w:sz="0" w:space="0" w:color="auto"/>
        <w:right w:val="none" w:sz="0" w:space="0" w:color="auto"/>
      </w:divBdr>
    </w:div>
    <w:div w:id="1205017738">
      <w:bodyDiv w:val="1"/>
      <w:marLeft w:val="0"/>
      <w:marRight w:val="0"/>
      <w:marTop w:val="0"/>
      <w:marBottom w:val="0"/>
      <w:divBdr>
        <w:top w:val="none" w:sz="0" w:space="0" w:color="auto"/>
        <w:left w:val="none" w:sz="0" w:space="0" w:color="auto"/>
        <w:bottom w:val="none" w:sz="0" w:space="0" w:color="auto"/>
        <w:right w:val="none" w:sz="0" w:space="0" w:color="auto"/>
      </w:divBdr>
    </w:div>
    <w:div w:id="1207257459">
      <w:bodyDiv w:val="1"/>
      <w:marLeft w:val="0"/>
      <w:marRight w:val="0"/>
      <w:marTop w:val="0"/>
      <w:marBottom w:val="0"/>
      <w:divBdr>
        <w:top w:val="none" w:sz="0" w:space="0" w:color="auto"/>
        <w:left w:val="none" w:sz="0" w:space="0" w:color="auto"/>
        <w:bottom w:val="none" w:sz="0" w:space="0" w:color="auto"/>
        <w:right w:val="none" w:sz="0" w:space="0" w:color="auto"/>
      </w:divBdr>
    </w:div>
    <w:div w:id="1208251756">
      <w:bodyDiv w:val="1"/>
      <w:marLeft w:val="0"/>
      <w:marRight w:val="0"/>
      <w:marTop w:val="0"/>
      <w:marBottom w:val="0"/>
      <w:divBdr>
        <w:top w:val="none" w:sz="0" w:space="0" w:color="auto"/>
        <w:left w:val="none" w:sz="0" w:space="0" w:color="auto"/>
        <w:bottom w:val="none" w:sz="0" w:space="0" w:color="auto"/>
        <w:right w:val="none" w:sz="0" w:space="0" w:color="auto"/>
      </w:divBdr>
    </w:div>
    <w:div w:id="1209150644">
      <w:bodyDiv w:val="1"/>
      <w:marLeft w:val="0"/>
      <w:marRight w:val="0"/>
      <w:marTop w:val="0"/>
      <w:marBottom w:val="0"/>
      <w:divBdr>
        <w:top w:val="none" w:sz="0" w:space="0" w:color="auto"/>
        <w:left w:val="none" w:sz="0" w:space="0" w:color="auto"/>
        <w:bottom w:val="none" w:sz="0" w:space="0" w:color="auto"/>
        <w:right w:val="none" w:sz="0" w:space="0" w:color="auto"/>
      </w:divBdr>
    </w:div>
    <w:div w:id="1210344225">
      <w:bodyDiv w:val="1"/>
      <w:marLeft w:val="0"/>
      <w:marRight w:val="0"/>
      <w:marTop w:val="0"/>
      <w:marBottom w:val="0"/>
      <w:divBdr>
        <w:top w:val="none" w:sz="0" w:space="0" w:color="auto"/>
        <w:left w:val="none" w:sz="0" w:space="0" w:color="auto"/>
        <w:bottom w:val="none" w:sz="0" w:space="0" w:color="auto"/>
        <w:right w:val="none" w:sz="0" w:space="0" w:color="auto"/>
      </w:divBdr>
    </w:div>
    <w:div w:id="1211188356">
      <w:bodyDiv w:val="1"/>
      <w:marLeft w:val="0"/>
      <w:marRight w:val="0"/>
      <w:marTop w:val="0"/>
      <w:marBottom w:val="0"/>
      <w:divBdr>
        <w:top w:val="none" w:sz="0" w:space="0" w:color="auto"/>
        <w:left w:val="none" w:sz="0" w:space="0" w:color="auto"/>
        <w:bottom w:val="none" w:sz="0" w:space="0" w:color="auto"/>
        <w:right w:val="none" w:sz="0" w:space="0" w:color="auto"/>
      </w:divBdr>
    </w:div>
    <w:div w:id="1211334617">
      <w:bodyDiv w:val="1"/>
      <w:marLeft w:val="0"/>
      <w:marRight w:val="0"/>
      <w:marTop w:val="0"/>
      <w:marBottom w:val="0"/>
      <w:divBdr>
        <w:top w:val="none" w:sz="0" w:space="0" w:color="auto"/>
        <w:left w:val="none" w:sz="0" w:space="0" w:color="auto"/>
        <w:bottom w:val="none" w:sz="0" w:space="0" w:color="auto"/>
        <w:right w:val="none" w:sz="0" w:space="0" w:color="auto"/>
      </w:divBdr>
    </w:div>
    <w:div w:id="1212036857">
      <w:bodyDiv w:val="1"/>
      <w:marLeft w:val="0"/>
      <w:marRight w:val="0"/>
      <w:marTop w:val="0"/>
      <w:marBottom w:val="0"/>
      <w:divBdr>
        <w:top w:val="none" w:sz="0" w:space="0" w:color="auto"/>
        <w:left w:val="none" w:sz="0" w:space="0" w:color="auto"/>
        <w:bottom w:val="none" w:sz="0" w:space="0" w:color="auto"/>
        <w:right w:val="none" w:sz="0" w:space="0" w:color="auto"/>
      </w:divBdr>
    </w:div>
    <w:div w:id="1213809619">
      <w:bodyDiv w:val="1"/>
      <w:marLeft w:val="0"/>
      <w:marRight w:val="0"/>
      <w:marTop w:val="0"/>
      <w:marBottom w:val="0"/>
      <w:divBdr>
        <w:top w:val="none" w:sz="0" w:space="0" w:color="auto"/>
        <w:left w:val="none" w:sz="0" w:space="0" w:color="auto"/>
        <w:bottom w:val="none" w:sz="0" w:space="0" w:color="auto"/>
        <w:right w:val="none" w:sz="0" w:space="0" w:color="auto"/>
      </w:divBdr>
    </w:div>
    <w:div w:id="1216745174">
      <w:bodyDiv w:val="1"/>
      <w:marLeft w:val="0"/>
      <w:marRight w:val="0"/>
      <w:marTop w:val="0"/>
      <w:marBottom w:val="0"/>
      <w:divBdr>
        <w:top w:val="none" w:sz="0" w:space="0" w:color="auto"/>
        <w:left w:val="none" w:sz="0" w:space="0" w:color="auto"/>
        <w:bottom w:val="none" w:sz="0" w:space="0" w:color="auto"/>
        <w:right w:val="none" w:sz="0" w:space="0" w:color="auto"/>
      </w:divBdr>
    </w:div>
    <w:div w:id="1217207871">
      <w:bodyDiv w:val="1"/>
      <w:marLeft w:val="0"/>
      <w:marRight w:val="0"/>
      <w:marTop w:val="0"/>
      <w:marBottom w:val="0"/>
      <w:divBdr>
        <w:top w:val="none" w:sz="0" w:space="0" w:color="auto"/>
        <w:left w:val="none" w:sz="0" w:space="0" w:color="auto"/>
        <w:bottom w:val="none" w:sz="0" w:space="0" w:color="auto"/>
        <w:right w:val="none" w:sz="0" w:space="0" w:color="auto"/>
      </w:divBdr>
    </w:div>
    <w:div w:id="1218013404">
      <w:bodyDiv w:val="1"/>
      <w:marLeft w:val="0"/>
      <w:marRight w:val="0"/>
      <w:marTop w:val="0"/>
      <w:marBottom w:val="0"/>
      <w:divBdr>
        <w:top w:val="none" w:sz="0" w:space="0" w:color="auto"/>
        <w:left w:val="none" w:sz="0" w:space="0" w:color="auto"/>
        <w:bottom w:val="none" w:sz="0" w:space="0" w:color="auto"/>
        <w:right w:val="none" w:sz="0" w:space="0" w:color="auto"/>
      </w:divBdr>
    </w:div>
    <w:div w:id="1218513194">
      <w:bodyDiv w:val="1"/>
      <w:marLeft w:val="0"/>
      <w:marRight w:val="0"/>
      <w:marTop w:val="0"/>
      <w:marBottom w:val="0"/>
      <w:divBdr>
        <w:top w:val="none" w:sz="0" w:space="0" w:color="auto"/>
        <w:left w:val="none" w:sz="0" w:space="0" w:color="auto"/>
        <w:bottom w:val="none" w:sz="0" w:space="0" w:color="auto"/>
        <w:right w:val="none" w:sz="0" w:space="0" w:color="auto"/>
      </w:divBdr>
    </w:div>
    <w:div w:id="1220941922">
      <w:bodyDiv w:val="1"/>
      <w:marLeft w:val="0"/>
      <w:marRight w:val="0"/>
      <w:marTop w:val="0"/>
      <w:marBottom w:val="0"/>
      <w:divBdr>
        <w:top w:val="none" w:sz="0" w:space="0" w:color="auto"/>
        <w:left w:val="none" w:sz="0" w:space="0" w:color="auto"/>
        <w:bottom w:val="none" w:sz="0" w:space="0" w:color="auto"/>
        <w:right w:val="none" w:sz="0" w:space="0" w:color="auto"/>
      </w:divBdr>
    </w:div>
    <w:div w:id="1221985701">
      <w:bodyDiv w:val="1"/>
      <w:marLeft w:val="0"/>
      <w:marRight w:val="0"/>
      <w:marTop w:val="0"/>
      <w:marBottom w:val="0"/>
      <w:divBdr>
        <w:top w:val="none" w:sz="0" w:space="0" w:color="auto"/>
        <w:left w:val="none" w:sz="0" w:space="0" w:color="auto"/>
        <w:bottom w:val="none" w:sz="0" w:space="0" w:color="auto"/>
        <w:right w:val="none" w:sz="0" w:space="0" w:color="auto"/>
      </w:divBdr>
    </w:div>
    <w:div w:id="1222137912">
      <w:bodyDiv w:val="1"/>
      <w:marLeft w:val="0"/>
      <w:marRight w:val="0"/>
      <w:marTop w:val="0"/>
      <w:marBottom w:val="0"/>
      <w:divBdr>
        <w:top w:val="none" w:sz="0" w:space="0" w:color="auto"/>
        <w:left w:val="none" w:sz="0" w:space="0" w:color="auto"/>
        <w:bottom w:val="none" w:sz="0" w:space="0" w:color="auto"/>
        <w:right w:val="none" w:sz="0" w:space="0" w:color="auto"/>
      </w:divBdr>
    </w:div>
    <w:div w:id="1225143775">
      <w:bodyDiv w:val="1"/>
      <w:marLeft w:val="0"/>
      <w:marRight w:val="0"/>
      <w:marTop w:val="0"/>
      <w:marBottom w:val="0"/>
      <w:divBdr>
        <w:top w:val="none" w:sz="0" w:space="0" w:color="auto"/>
        <w:left w:val="none" w:sz="0" w:space="0" w:color="auto"/>
        <w:bottom w:val="none" w:sz="0" w:space="0" w:color="auto"/>
        <w:right w:val="none" w:sz="0" w:space="0" w:color="auto"/>
      </w:divBdr>
    </w:div>
    <w:div w:id="1225412153">
      <w:bodyDiv w:val="1"/>
      <w:marLeft w:val="0"/>
      <w:marRight w:val="0"/>
      <w:marTop w:val="0"/>
      <w:marBottom w:val="0"/>
      <w:divBdr>
        <w:top w:val="none" w:sz="0" w:space="0" w:color="auto"/>
        <w:left w:val="none" w:sz="0" w:space="0" w:color="auto"/>
        <w:bottom w:val="none" w:sz="0" w:space="0" w:color="auto"/>
        <w:right w:val="none" w:sz="0" w:space="0" w:color="auto"/>
      </w:divBdr>
    </w:div>
    <w:div w:id="1225994626">
      <w:bodyDiv w:val="1"/>
      <w:marLeft w:val="0"/>
      <w:marRight w:val="0"/>
      <w:marTop w:val="0"/>
      <w:marBottom w:val="0"/>
      <w:divBdr>
        <w:top w:val="none" w:sz="0" w:space="0" w:color="auto"/>
        <w:left w:val="none" w:sz="0" w:space="0" w:color="auto"/>
        <w:bottom w:val="none" w:sz="0" w:space="0" w:color="auto"/>
        <w:right w:val="none" w:sz="0" w:space="0" w:color="auto"/>
      </w:divBdr>
    </w:div>
    <w:div w:id="1228297302">
      <w:bodyDiv w:val="1"/>
      <w:marLeft w:val="0"/>
      <w:marRight w:val="0"/>
      <w:marTop w:val="0"/>
      <w:marBottom w:val="0"/>
      <w:divBdr>
        <w:top w:val="none" w:sz="0" w:space="0" w:color="auto"/>
        <w:left w:val="none" w:sz="0" w:space="0" w:color="auto"/>
        <w:bottom w:val="none" w:sz="0" w:space="0" w:color="auto"/>
        <w:right w:val="none" w:sz="0" w:space="0" w:color="auto"/>
      </w:divBdr>
    </w:div>
    <w:div w:id="1228757672">
      <w:bodyDiv w:val="1"/>
      <w:marLeft w:val="0"/>
      <w:marRight w:val="0"/>
      <w:marTop w:val="0"/>
      <w:marBottom w:val="0"/>
      <w:divBdr>
        <w:top w:val="none" w:sz="0" w:space="0" w:color="auto"/>
        <w:left w:val="none" w:sz="0" w:space="0" w:color="auto"/>
        <w:bottom w:val="none" w:sz="0" w:space="0" w:color="auto"/>
        <w:right w:val="none" w:sz="0" w:space="0" w:color="auto"/>
      </w:divBdr>
    </w:div>
    <w:div w:id="1229077890">
      <w:bodyDiv w:val="1"/>
      <w:marLeft w:val="0"/>
      <w:marRight w:val="0"/>
      <w:marTop w:val="0"/>
      <w:marBottom w:val="0"/>
      <w:divBdr>
        <w:top w:val="none" w:sz="0" w:space="0" w:color="auto"/>
        <w:left w:val="none" w:sz="0" w:space="0" w:color="auto"/>
        <w:bottom w:val="none" w:sz="0" w:space="0" w:color="auto"/>
        <w:right w:val="none" w:sz="0" w:space="0" w:color="auto"/>
      </w:divBdr>
    </w:div>
    <w:div w:id="1229345655">
      <w:bodyDiv w:val="1"/>
      <w:marLeft w:val="0"/>
      <w:marRight w:val="0"/>
      <w:marTop w:val="0"/>
      <w:marBottom w:val="0"/>
      <w:divBdr>
        <w:top w:val="none" w:sz="0" w:space="0" w:color="auto"/>
        <w:left w:val="none" w:sz="0" w:space="0" w:color="auto"/>
        <w:bottom w:val="none" w:sz="0" w:space="0" w:color="auto"/>
        <w:right w:val="none" w:sz="0" w:space="0" w:color="auto"/>
      </w:divBdr>
    </w:div>
    <w:div w:id="1230110988">
      <w:bodyDiv w:val="1"/>
      <w:marLeft w:val="0"/>
      <w:marRight w:val="0"/>
      <w:marTop w:val="0"/>
      <w:marBottom w:val="0"/>
      <w:divBdr>
        <w:top w:val="none" w:sz="0" w:space="0" w:color="auto"/>
        <w:left w:val="none" w:sz="0" w:space="0" w:color="auto"/>
        <w:bottom w:val="none" w:sz="0" w:space="0" w:color="auto"/>
        <w:right w:val="none" w:sz="0" w:space="0" w:color="auto"/>
      </w:divBdr>
    </w:div>
    <w:div w:id="1230264321">
      <w:bodyDiv w:val="1"/>
      <w:marLeft w:val="0"/>
      <w:marRight w:val="0"/>
      <w:marTop w:val="0"/>
      <w:marBottom w:val="0"/>
      <w:divBdr>
        <w:top w:val="none" w:sz="0" w:space="0" w:color="auto"/>
        <w:left w:val="none" w:sz="0" w:space="0" w:color="auto"/>
        <w:bottom w:val="none" w:sz="0" w:space="0" w:color="auto"/>
        <w:right w:val="none" w:sz="0" w:space="0" w:color="auto"/>
      </w:divBdr>
    </w:div>
    <w:div w:id="1230965396">
      <w:bodyDiv w:val="1"/>
      <w:marLeft w:val="0"/>
      <w:marRight w:val="0"/>
      <w:marTop w:val="0"/>
      <w:marBottom w:val="0"/>
      <w:divBdr>
        <w:top w:val="none" w:sz="0" w:space="0" w:color="auto"/>
        <w:left w:val="none" w:sz="0" w:space="0" w:color="auto"/>
        <w:bottom w:val="none" w:sz="0" w:space="0" w:color="auto"/>
        <w:right w:val="none" w:sz="0" w:space="0" w:color="auto"/>
      </w:divBdr>
    </w:div>
    <w:div w:id="1231043850">
      <w:bodyDiv w:val="1"/>
      <w:marLeft w:val="0"/>
      <w:marRight w:val="0"/>
      <w:marTop w:val="0"/>
      <w:marBottom w:val="0"/>
      <w:divBdr>
        <w:top w:val="none" w:sz="0" w:space="0" w:color="auto"/>
        <w:left w:val="none" w:sz="0" w:space="0" w:color="auto"/>
        <w:bottom w:val="none" w:sz="0" w:space="0" w:color="auto"/>
        <w:right w:val="none" w:sz="0" w:space="0" w:color="auto"/>
      </w:divBdr>
    </w:div>
    <w:div w:id="1231228913">
      <w:bodyDiv w:val="1"/>
      <w:marLeft w:val="0"/>
      <w:marRight w:val="0"/>
      <w:marTop w:val="0"/>
      <w:marBottom w:val="0"/>
      <w:divBdr>
        <w:top w:val="none" w:sz="0" w:space="0" w:color="auto"/>
        <w:left w:val="none" w:sz="0" w:space="0" w:color="auto"/>
        <w:bottom w:val="none" w:sz="0" w:space="0" w:color="auto"/>
        <w:right w:val="none" w:sz="0" w:space="0" w:color="auto"/>
      </w:divBdr>
    </w:div>
    <w:div w:id="1231623055">
      <w:bodyDiv w:val="1"/>
      <w:marLeft w:val="0"/>
      <w:marRight w:val="0"/>
      <w:marTop w:val="0"/>
      <w:marBottom w:val="0"/>
      <w:divBdr>
        <w:top w:val="none" w:sz="0" w:space="0" w:color="auto"/>
        <w:left w:val="none" w:sz="0" w:space="0" w:color="auto"/>
        <w:bottom w:val="none" w:sz="0" w:space="0" w:color="auto"/>
        <w:right w:val="none" w:sz="0" w:space="0" w:color="auto"/>
      </w:divBdr>
    </w:div>
    <w:div w:id="1232546930">
      <w:bodyDiv w:val="1"/>
      <w:marLeft w:val="0"/>
      <w:marRight w:val="0"/>
      <w:marTop w:val="0"/>
      <w:marBottom w:val="0"/>
      <w:divBdr>
        <w:top w:val="none" w:sz="0" w:space="0" w:color="auto"/>
        <w:left w:val="none" w:sz="0" w:space="0" w:color="auto"/>
        <w:bottom w:val="none" w:sz="0" w:space="0" w:color="auto"/>
        <w:right w:val="none" w:sz="0" w:space="0" w:color="auto"/>
      </w:divBdr>
    </w:div>
    <w:div w:id="1233540175">
      <w:bodyDiv w:val="1"/>
      <w:marLeft w:val="0"/>
      <w:marRight w:val="0"/>
      <w:marTop w:val="0"/>
      <w:marBottom w:val="0"/>
      <w:divBdr>
        <w:top w:val="none" w:sz="0" w:space="0" w:color="auto"/>
        <w:left w:val="none" w:sz="0" w:space="0" w:color="auto"/>
        <w:bottom w:val="none" w:sz="0" w:space="0" w:color="auto"/>
        <w:right w:val="none" w:sz="0" w:space="0" w:color="auto"/>
      </w:divBdr>
    </w:div>
    <w:div w:id="1233585268">
      <w:bodyDiv w:val="1"/>
      <w:marLeft w:val="0"/>
      <w:marRight w:val="0"/>
      <w:marTop w:val="0"/>
      <w:marBottom w:val="0"/>
      <w:divBdr>
        <w:top w:val="none" w:sz="0" w:space="0" w:color="auto"/>
        <w:left w:val="none" w:sz="0" w:space="0" w:color="auto"/>
        <w:bottom w:val="none" w:sz="0" w:space="0" w:color="auto"/>
        <w:right w:val="none" w:sz="0" w:space="0" w:color="auto"/>
      </w:divBdr>
    </w:div>
    <w:div w:id="1236092775">
      <w:bodyDiv w:val="1"/>
      <w:marLeft w:val="0"/>
      <w:marRight w:val="0"/>
      <w:marTop w:val="0"/>
      <w:marBottom w:val="0"/>
      <w:divBdr>
        <w:top w:val="none" w:sz="0" w:space="0" w:color="auto"/>
        <w:left w:val="none" w:sz="0" w:space="0" w:color="auto"/>
        <w:bottom w:val="none" w:sz="0" w:space="0" w:color="auto"/>
        <w:right w:val="none" w:sz="0" w:space="0" w:color="auto"/>
      </w:divBdr>
    </w:div>
    <w:div w:id="1236477023">
      <w:bodyDiv w:val="1"/>
      <w:marLeft w:val="0"/>
      <w:marRight w:val="0"/>
      <w:marTop w:val="0"/>
      <w:marBottom w:val="0"/>
      <w:divBdr>
        <w:top w:val="none" w:sz="0" w:space="0" w:color="auto"/>
        <w:left w:val="none" w:sz="0" w:space="0" w:color="auto"/>
        <w:bottom w:val="none" w:sz="0" w:space="0" w:color="auto"/>
        <w:right w:val="none" w:sz="0" w:space="0" w:color="auto"/>
      </w:divBdr>
    </w:div>
    <w:div w:id="1236623163">
      <w:bodyDiv w:val="1"/>
      <w:marLeft w:val="0"/>
      <w:marRight w:val="0"/>
      <w:marTop w:val="0"/>
      <w:marBottom w:val="0"/>
      <w:divBdr>
        <w:top w:val="none" w:sz="0" w:space="0" w:color="auto"/>
        <w:left w:val="none" w:sz="0" w:space="0" w:color="auto"/>
        <w:bottom w:val="none" w:sz="0" w:space="0" w:color="auto"/>
        <w:right w:val="none" w:sz="0" w:space="0" w:color="auto"/>
      </w:divBdr>
    </w:div>
    <w:div w:id="1236741725">
      <w:bodyDiv w:val="1"/>
      <w:marLeft w:val="0"/>
      <w:marRight w:val="0"/>
      <w:marTop w:val="0"/>
      <w:marBottom w:val="0"/>
      <w:divBdr>
        <w:top w:val="none" w:sz="0" w:space="0" w:color="auto"/>
        <w:left w:val="none" w:sz="0" w:space="0" w:color="auto"/>
        <w:bottom w:val="none" w:sz="0" w:space="0" w:color="auto"/>
        <w:right w:val="none" w:sz="0" w:space="0" w:color="auto"/>
      </w:divBdr>
    </w:div>
    <w:div w:id="1237980216">
      <w:bodyDiv w:val="1"/>
      <w:marLeft w:val="0"/>
      <w:marRight w:val="0"/>
      <w:marTop w:val="0"/>
      <w:marBottom w:val="0"/>
      <w:divBdr>
        <w:top w:val="none" w:sz="0" w:space="0" w:color="auto"/>
        <w:left w:val="none" w:sz="0" w:space="0" w:color="auto"/>
        <w:bottom w:val="none" w:sz="0" w:space="0" w:color="auto"/>
        <w:right w:val="none" w:sz="0" w:space="0" w:color="auto"/>
      </w:divBdr>
    </w:div>
    <w:div w:id="1239486945">
      <w:bodyDiv w:val="1"/>
      <w:marLeft w:val="0"/>
      <w:marRight w:val="0"/>
      <w:marTop w:val="0"/>
      <w:marBottom w:val="0"/>
      <w:divBdr>
        <w:top w:val="none" w:sz="0" w:space="0" w:color="auto"/>
        <w:left w:val="none" w:sz="0" w:space="0" w:color="auto"/>
        <w:bottom w:val="none" w:sz="0" w:space="0" w:color="auto"/>
        <w:right w:val="none" w:sz="0" w:space="0" w:color="auto"/>
      </w:divBdr>
    </w:div>
    <w:div w:id="1241673830">
      <w:bodyDiv w:val="1"/>
      <w:marLeft w:val="0"/>
      <w:marRight w:val="0"/>
      <w:marTop w:val="0"/>
      <w:marBottom w:val="0"/>
      <w:divBdr>
        <w:top w:val="none" w:sz="0" w:space="0" w:color="auto"/>
        <w:left w:val="none" w:sz="0" w:space="0" w:color="auto"/>
        <w:bottom w:val="none" w:sz="0" w:space="0" w:color="auto"/>
        <w:right w:val="none" w:sz="0" w:space="0" w:color="auto"/>
      </w:divBdr>
    </w:div>
    <w:div w:id="1242330823">
      <w:bodyDiv w:val="1"/>
      <w:marLeft w:val="0"/>
      <w:marRight w:val="0"/>
      <w:marTop w:val="0"/>
      <w:marBottom w:val="0"/>
      <w:divBdr>
        <w:top w:val="none" w:sz="0" w:space="0" w:color="auto"/>
        <w:left w:val="none" w:sz="0" w:space="0" w:color="auto"/>
        <w:bottom w:val="none" w:sz="0" w:space="0" w:color="auto"/>
        <w:right w:val="none" w:sz="0" w:space="0" w:color="auto"/>
      </w:divBdr>
    </w:div>
    <w:div w:id="1242451636">
      <w:bodyDiv w:val="1"/>
      <w:marLeft w:val="0"/>
      <w:marRight w:val="0"/>
      <w:marTop w:val="0"/>
      <w:marBottom w:val="0"/>
      <w:divBdr>
        <w:top w:val="none" w:sz="0" w:space="0" w:color="auto"/>
        <w:left w:val="none" w:sz="0" w:space="0" w:color="auto"/>
        <w:bottom w:val="none" w:sz="0" w:space="0" w:color="auto"/>
        <w:right w:val="none" w:sz="0" w:space="0" w:color="auto"/>
      </w:divBdr>
    </w:div>
    <w:div w:id="1242526039">
      <w:bodyDiv w:val="1"/>
      <w:marLeft w:val="0"/>
      <w:marRight w:val="0"/>
      <w:marTop w:val="0"/>
      <w:marBottom w:val="0"/>
      <w:divBdr>
        <w:top w:val="none" w:sz="0" w:space="0" w:color="auto"/>
        <w:left w:val="none" w:sz="0" w:space="0" w:color="auto"/>
        <w:bottom w:val="none" w:sz="0" w:space="0" w:color="auto"/>
        <w:right w:val="none" w:sz="0" w:space="0" w:color="auto"/>
      </w:divBdr>
    </w:div>
    <w:div w:id="1242714489">
      <w:bodyDiv w:val="1"/>
      <w:marLeft w:val="0"/>
      <w:marRight w:val="0"/>
      <w:marTop w:val="0"/>
      <w:marBottom w:val="0"/>
      <w:divBdr>
        <w:top w:val="none" w:sz="0" w:space="0" w:color="auto"/>
        <w:left w:val="none" w:sz="0" w:space="0" w:color="auto"/>
        <w:bottom w:val="none" w:sz="0" w:space="0" w:color="auto"/>
        <w:right w:val="none" w:sz="0" w:space="0" w:color="auto"/>
      </w:divBdr>
    </w:div>
    <w:div w:id="1242762233">
      <w:bodyDiv w:val="1"/>
      <w:marLeft w:val="0"/>
      <w:marRight w:val="0"/>
      <w:marTop w:val="0"/>
      <w:marBottom w:val="0"/>
      <w:divBdr>
        <w:top w:val="none" w:sz="0" w:space="0" w:color="auto"/>
        <w:left w:val="none" w:sz="0" w:space="0" w:color="auto"/>
        <w:bottom w:val="none" w:sz="0" w:space="0" w:color="auto"/>
        <w:right w:val="none" w:sz="0" w:space="0" w:color="auto"/>
      </w:divBdr>
    </w:div>
    <w:div w:id="1243027006">
      <w:bodyDiv w:val="1"/>
      <w:marLeft w:val="0"/>
      <w:marRight w:val="0"/>
      <w:marTop w:val="0"/>
      <w:marBottom w:val="0"/>
      <w:divBdr>
        <w:top w:val="none" w:sz="0" w:space="0" w:color="auto"/>
        <w:left w:val="none" w:sz="0" w:space="0" w:color="auto"/>
        <w:bottom w:val="none" w:sz="0" w:space="0" w:color="auto"/>
        <w:right w:val="none" w:sz="0" w:space="0" w:color="auto"/>
      </w:divBdr>
    </w:div>
    <w:div w:id="1243176119">
      <w:bodyDiv w:val="1"/>
      <w:marLeft w:val="0"/>
      <w:marRight w:val="0"/>
      <w:marTop w:val="0"/>
      <w:marBottom w:val="0"/>
      <w:divBdr>
        <w:top w:val="none" w:sz="0" w:space="0" w:color="auto"/>
        <w:left w:val="none" w:sz="0" w:space="0" w:color="auto"/>
        <w:bottom w:val="none" w:sz="0" w:space="0" w:color="auto"/>
        <w:right w:val="none" w:sz="0" w:space="0" w:color="auto"/>
      </w:divBdr>
    </w:div>
    <w:div w:id="1244947931">
      <w:bodyDiv w:val="1"/>
      <w:marLeft w:val="0"/>
      <w:marRight w:val="0"/>
      <w:marTop w:val="0"/>
      <w:marBottom w:val="0"/>
      <w:divBdr>
        <w:top w:val="none" w:sz="0" w:space="0" w:color="auto"/>
        <w:left w:val="none" w:sz="0" w:space="0" w:color="auto"/>
        <w:bottom w:val="none" w:sz="0" w:space="0" w:color="auto"/>
        <w:right w:val="none" w:sz="0" w:space="0" w:color="auto"/>
      </w:divBdr>
    </w:div>
    <w:div w:id="1245727212">
      <w:bodyDiv w:val="1"/>
      <w:marLeft w:val="0"/>
      <w:marRight w:val="0"/>
      <w:marTop w:val="0"/>
      <w:marBottom w:val="0"/>
      <w:divBdr>
        <w:top w:val="none" w:sz="0" w:space="0" w:color="auto"/>
        <w:left w:val="none" w:sz="0" w:space="0" w:color="auto"/>
        <w:bottom w:val="none" w:sz="0" w:space="0" w:color="auto"/>
        <w:right w:val="none" w:sz="0" w:space="0" w:color="auto"/>
      </w:divBdr>
    </w:div>
    <w:div w:id="1245799487">
      <w:bodyDiv w:val="1"/>
      <w:marLeft w:val="0"/>
      <w:marRight w:val="0"/>
      <w:marTop w:val="0"/>
      <w:marBottom w:val="0"/>
      <w:divBdr>
        <w:top w:val="none" w:sz="0" w:space="0" w:color="auto"/>
        <w:left w:val="none" w:sz="0" w:space="0" w:color="auto"/>
        <w:bottom w:val="none" w:sz="0" w:space="0" w:color="auto"/>
        <w:right w:val="none" w:sz="0" w:space="0" w:color="auto"/>
      </w:divBdr>
    </w:div>
    <w:div w:id="1246455885">
      <w:bodyDiv w:val="1"/>
      <w:marLeft w:val="0"/>
      <w:marRight w:val="0"/>
      <w:marTop w:val="0"/>
      <w:marBottom w:val="0"/>
      <w:divBdr>
        <w:top w:val="none" w:sz="0" w:space="0" w:color="auto"/>
        <w:left w:val="none" w:sz="0" w:space="0" w:color="auto"/>
        <w:bottom w:val="none" w:sz="0" w:space="0" w:color="auto"/>
        <w:right w:val="none" w:sz="0" w:space="0" w:color="auto"/>
      </w:divBdr>
    </w:div>
    <w:div w:id="1246721584">
      <w:bodyDiv w:val="1"/>
      <w:marLeft w:val="0"/>
      <w:marRight w:val="0"/>
      <w:marTop w:val="0"/>
      <w:marBottom w:val="0"/>
      <w:divBdr>
        <w:top w:val="none" w:sz="0" w:space="0" w:color="auto"/>
        <w:left w:val="none" w:sz="0" w:space="0" w:color="auto"/>
        <w:bottom w:val="none" w:sz="0" w:space="0" w:color="auto"/>
        <w:right w:val="none" w:sz="0" w:space="0" w:color="auto"/>
      </w:divBdr>
    </w:div>
    <w:div w:id="1246768101">
      <w:bodyDiv w:val="1"/>
      <w:marLeft w:val="0"/>
      <w:marRight w:val="0"/>
      <w:marTop w:val="0"/>
      <w:marBottom w:val="0"/>
      <w:divBdr>
        <w:top w:val="none" w:sz="0" w:space="0" w:color="auto"/>
        <w:left w:val="none" w:sz="0" w:space="0" w:color="auto"/>
        <w:bottom w:val="none" w:sz="0" w:space="0" w:color="auto"/>
        <w:right w:val="none" w:sz="0" w:space="0" w:color="auto"/>
      </w:divBdr>
    </w:div>
    <w:div w:id="1247232366">
      <w:bodyDiv w:val="1"/>
      <w:marLeft w:val="0"/>
      <w:marRight w:val="0"/>
      <w:marTop w:val="0"/>
      <w:marBottom w:val="0"/>
      <w:divBdr>
        <w:top w:val="none" w:sz="0" w:space="0" w:color="auto"/>
        <w:left w:val="none" w:sz="0" w:space="0" w:color="auto"/>
        <w:bottom w:val="none" w:sz="0" w:space="0" w:color="auto"/>
        <w:right w:val="none" w:sz="0" w:space="0" w:color="auto"/>
      </w:divBdr>
    </w:div>
    <w:div w:id="1247420583">
      <w:bodyDiv w:val="1"/>
      <w:marLeft w:val="0"/>
      <w:marRight w:val="0"/>
      <w:marTop w:val="0"/>
      <w:marBottom w:val="0"/>
      <w:divBdr>
        <w:top w:val="none" w:sz="0" w:space="0" w:color="auto"/>
        <w:left w:val="none" w:sz="0" w:space="0" w:color="auto"/>
        <w:bottom w:val="none" w:sz="0" w:space="0" w:color="auto"/>
        <w:right w:val="none" w:sz="0" w:space="0" w:color="auto"/>
      </w:divBdr>
    </w:div>
    <w:div w:id="1247883944">
      <w:bodyDiv w:val="1"/>
      <w:marLeft w:val="0"/>
      <w:marRight w:val="0"/>
      <w:marTop w:val="0"/>
      <w:marBottom w:val="0"/>
      <w:divBdr>
        <w:top w:val="none" w:sz="0" w:space="0" w:color="auto"/>
        <w:left w:val="none" w:sz="0" w:space="0" w:color="auto"/>
        <w:bottom w:val="none" w:sz="0" w:space="0" w:color="auto"/>
        <w:right w:val="none" w:sz="0" w:space="0" w:color="auto"/>
      </w:divBdr>
    </w:div>
    <w:div w:id="1249117058">
      <w:bodyDiv w:val="1"/>
      <w:marLeft w:val="0"/>
      <w:marRight w:val="0"/>
      <w:marTop w:val="0"/>
      <w:marBottom w:val="0"/>
      <w:divBdr>
        <w:top w:val="none" w:sz="0" w:space="0" w:color="auto"/>
        <w:left w:val="none" w:sz="0" w:space="0" w:color="auto"/>
        <w:bottom w:val="none" w:sz="0" w:space="0" w:color="auto"/>
        <w:right w:val="none" w:sz="0" w:space="0" w:color="auto"/>
      </w:divBdr>
    </w:div>
    <w:div w:id="1249465837">
      <w:bodyDiv w:val="1"/>
      <w:marLeft w:val="0"/>
      <w:marRight w:val="0"/>
      <w:marTop w:val="0"/>
      <w:marBottom w:val="0"/>
      <w:divBdr>
        <w:top w:val="none" w:sz="0" w:space="0" w:color="auto"/>
        <w:left w:val="none" w:sz="0" w:space="0" w:color="auto"/>
        <w:bottom w:val="none" w:sz="0" w:space="0" w:color="auto"/>
        <w:right w:val="none" w:sz="0" w:space="0" w:color="auto"/>
      </w:divBdr>
    </w:div>
    <w:div w:id="1249995118">
      <w:bodyDiv w:val="1"/>
      <w:marLeft w:val="0"/>
      <w:marRight w:val="0"/>
      <w:marTop w:val="0"/>
      <w:marBottom w:val="0"/>
      <w:divBdr>
        <w:top w:val="none" w:sz="0" w:space="0" w:color="auto"/>
        <w:left w:val="none" w:sz="0" w:space="0" w:color="auto"/>
        <w:bottom w:val="none" w:sz="0" w:space="0" w:color="auto"/>
        <w:right w:val="none" w:sz="0" w:space="0" w:color="auto"/>
      </w:divBdr>
    </w:div>
    <w:div w:id="1252616483">
      <w:bodyDiv w:val="1"/>
      <w:marLeft w:val="0"/>
      <w:marRight w:val="0"/>
      <w:marTop w:val="0"/>
      <w:marBottom w:val="0"/>
      <w:divBdr>
        <w:top w:val="none" w:sz="0" w:space="0" w:color="auto"/>
        <w:left w:val="none" w:sz="0" w:space="0" w:color="auto"/>
        <w:bottom w:val="none" w:sz="0" w:space="0" w:color="auto"/>
        <w:right w:val="none" w:sz="0" w:space="0" w:color="auto"/>
      </w:divBdr>
    </w:div>
    <w:div w:id="1253390951">
      <w:bodyDiv w:val="1"/>
      <w:marLeft w:val="0"/>
      <w:marRight w:val="0"/>
      <w:marTop w:val="0"/>
      <w:marBottom w:val="0"/>
      <w:divBdr>
        <w:top w:val="none" w:sz="0" w:space="0" w:color="auto"/>
        <w:left w:val="none" w:sz="0" w:space="0" w:color="auto"/>
        <w:bottom w:val="none" w:sz="0" w:space="0" w:color="auto"/>
        <w:right w:val="none" w:sz="0" w:space="0" w:color="auto"/>
      </w:divBdr>
    </w:div>
    <w:div w:id="1256941131">
      <w:bodyDiv w:val="1"/>
      <w:marLeft w:val="0"/>
      <w:marRight w:val="0"/>
      <w:marTop w:val="0"/>
      <w:marBottom w:val="0"/>
      <w:divBdr>
        <w:top w:val="none" w:sz="0" w:space="0" w:color="auto"/>
        <w:left w:val="none" w:sz="0" w:space="0" w:color="auto"/>
        <w:bottom w:val="none" w:sz="0" w:space="0" w:color="auto"/>
        <w:right w:val="none" w:sz="0" w:space="0" w:color="auto"/>
      </w:divBdr>
    </w:div>
    <w:div w:id="1258977732">
      <w:bodyDiv w:val="1"/>
      <w:marLeft w:val="0"/>
      <w:marRight w:val="0"/>
      <w:marTop w:val="0"/>
      <w:marBottom w:val="0"/>
      <w:divBdr>
        <w:top w:val="none" w:sz="0" w:space="0" w:color="auto"/>
        <w:left w:val="none" w:sz="0" w:space="0" w:color="auto"/>
        <w:bottom w:val="none" w:sz="0" w:space="0" w:color="auto"/>
        <w:right w:val="none" w:sz="0" w:space="0" w:color="auto"/>
      </w:divBdr>
    </w:div>
    <w:div w:id="1261453855">
      <w:bodyDiv w:val="1"/>
      <w:marLeft w:val="0"/>
      <w:marRight w:val="0"/>
      <w:marTop w:val="0"/>
      <w:marBottom w:val="0"/>
      <w:divBdr>
        <w:top w:val="none" w:sz="0" w:space="0" w:color="auto"/>
        <w:left w:val="none" w:sz="0" w:space="0" w:color="auto"/>
        <w:bottom w:val="none" w:sz="0" w:space="0" w:color="auto"/>
        <w:right w:val="none" w:sz="0" w:space="0" w:color="auto"/>
      </w:divBdr>
    </w:div>
    <w:div w:id="1261915005">
      <w:bodyDiv w:val="1"/>
      <w:marLeft w:val="0"/>
      <w:marRight w:val="0"/>
      <w:marTop w:val="0"/>
      <w:marBottom w:val="0"/>
      <w:divBdr>
        <w:top w:val="none" w:sz="0" w:space="0" w:color="auto"/>
        <w:left w:val="none" w:sz="0" w:space="0" w:color="auto"/>
        <w:bottom w:val="none" w:sz="0" w:space="0" w:color="auto"/>
        <w:right w:val="none" w:sz="0" w:space="0" w:color="auto"/>
      </w:divBdr>
    </w:div>
    <w:div w:id="1262103968">
      <w:bodyDiv w:val="1"/>
      <w:marLeft w:val="0"/>
      <w:marRight w:val="0"/>
      <w:marTop w:val="0"/>
      <w:marBottom w:val="0"/>
      <w:divBdr>
        <w:top w:val="none" w:sz="0" w:space="0" w:color="auto"/>
        <w:left w:val="none" w:sz="0" w:space="0" w:color="auto"/>
        <w:bottom w:val="none" w:sz="0" w:space="0" w:color="auto"/>
        <w:right w:val="none" w:sz="0" w:space="0" w:color="auto"/>
      </w:divBdr>
    </w:div>
    <w:div w:id="1262253806">
      <w:bodyDiv w:val="1"/>
      <w:marLeft w:val="0"/>
      <w:marRight w:val="0"/>
      <w:marTop w:val="0"/>
      <w:marBottom w:val="0"/>
      <w:divBdr>
        <w:top w:val="none" w:sz="0" w:space="0" w:color="auto"/>
        <w:left w:val="none" w:sz="0" w:space="0" w:color="auto"/>
        <w:bottom w:val="none" w:sz="0" w:space="0" w:color="auto"/>
        <w:right w:val="none" w:sz="0" w:space="0" w:color="auto"/>
      </w:divBdr>
    </w:div>
    <w:div w:id="1263344043">
      <w:bodyDiv w:val="1"/>
      <w:marLeft w:val="0"/>
      <w:marRight w:val="0"/>
      <w:marTop w:val="0"/>
      <w:marBottom w:val="0"/>
      <w:divBdr>
        <w:top w:val="none" w:sz="0" w:space="0" w:color="auto"/>
        <w:left w:val="none" w:sz="0" w:space="0" w:color="auto"/>
        <w:bottom w:val="none" w:sz="0" w:space="0" w:color="auto"/>
        <w:right w:val="none" w:sz="0" w:space="0" w:color="auto"/>
      </w:divBdr>
    </w:div>
    <w:div w:id="1263491908">
      <w:bodyDiv w:val="1"/>
      <w:marLeft w:val="0"/>
      <w:marRight w:val="0"/>
      <w:marTop w:val="0"/>
      <w:marBottom w:val="0"/>
      <w:divBdr>
        <w:top w:val="none" w:sz="0" w:space="0" w:color="auto"/>
        <w:left w:val="none" w:sz="0" w:space="0" w:color="auto"/>
        <w:bottom w:val="none" w:sz="0" w:space="0" w:color="auto"/>
        <w:right w:val="none" w:sz="0" w:space="0" w:color="auto"/>
      </w:divBdr>
    </w:div>
    <w:div w:id="1263683257">
      <w:bodyDiv w:val="1"/>
      <w:marLeft w:val="0"/>
      <w:marRight w:val="0"/>
      <w:marTop w:val="0"/>
      <w:marBottom w:val="0"/>
      <w:divBdr>
        <w:top w:val="none" w:sz="0" w:space="0" w:color="auto"/>
        <w:left w:val="none" w:sz="0" w:space="0" w:color="auto"/>
        <w:bottom w:val="none" w:sz="0" w:space="0" w:color="auto"/>
        <w:right w:val="none" w:sz="0" w:space="0" w:color="auto"/>
      </w:divBdr>
    </w:div>
    <w:div w:id="1264261138">
      <w:bodyDiv w:val="1"/>
      <w:marLeft w:val="0"/>
      <w:marRight w:val="0"/>
      <w:marTop w:val="0"/>
      <w:marBottom w:val="0"/>
      <w:divBdr>
        <w:top w:val="none" w:sz="0" w:space="0" w:color="auto"/>
        <w:left w:val="none" w:sz="0" w:space="0" w:color="auto"/>
        <w:bottom w:val="none" w:sz="0" w:space="0" w:color="auto"/>
        <w:right w:val="none" w:sz="0" w:space="0" w:color="auto"/>
      </w:divBdr>
    </w:div>
    <w:div w:id="1266037576">
      <w:bodyDiv w:val="1"/>
      <w:marLeft w:val="0"/>
      <w:marRight w:val="0"/>
      <w:marTop w:val="0"/>
      <w:marBottom w:val="0"/>
      <w:divBdr>
        <w:top w:val="none" w:sz="0" w:space="0" w:color="auto"/>
        <w:left w:val="none" w:sz="0" w:space="0" w:color="auto"/>
        <w:bottom w:val="none" w:sz="0" w:space="0" w:color="auto"/>
        <w:right w:val="none" w:sz="0" w:space="0" w:color="auto"/>
      </w:divBdr>
    </w:div>
    <w:div w:id="1267008571">
      <w:bodyDiv w:val="1"/>
      <w:marLeft w:val="0"/>
      <w:marRight w:val="0"/>
      <w:marTop w:val="0"/>
      <w:marBottom w:val="0"/>
      <w:divBdr>
        <w:top w:val="none" w:sz="0" w:space="0" w:color="auto"/>
        <w:left w:val="none" w:sz="0" w:space="0" w:color="auto"/>
        <w:bottom w:val="none" w:sz="0" w:space="0" w:color="auto"/>
        <w:right w:val="none" w:sz="0" w:space="0" w:color="auto"/>
      </w:divBdr>
    </w:div>
    <w:div w:id="1268268451">
      <w:bodyDiv w:val="1"/>
      <w:marLeft w:val="0"/>
      <w:marRight w:val="0"/>
      <w:marTop w:val="0"/>
      <w:marBottom w:val="0"/>
      <w:divBdr>
        <w:top w:val="none" w:sz="0" w:space="0" w:color="auto"/>
        <w:left w:val="none" w:sz="0" w:space="0" w:color="auto"/>
        <w:bottom w:val="none" w:sz="0" w:space="0" w:color="auto"/>
        <w:right w:val="none" w:sz="0" w:space="0" w:color="auto"/>
      </w:divBdr>
    </w:div>
    <w:div w:id="1269505929">
      <w:bodyDiv w:val="1"/>
      <w:marLeft w:val="0"/>
      <w:marRight w:val="0"/>
      <w:marTop w:val="0"/>
      <w:marBottom w:val="0"/>
      <w:divBdr>
        <w:top w:val="none" w:sz="0" w:space="0" w:color="auto"/>
        <w:left w:val="none" w:sz="0" w:space="0" w:color="auto"/>
        <w:bottom w:val="none" w:sz="0" w:space="0" w:color="auto"/>
        <w:right w:val="none" w:sz="0" w:space="0" w:color="auto"/>
      </w:divBdr>
    </w:div>
    <w:div w:id="1269579733">
      <w:bodyDiv w:val="1"/>
      <w:marLeft w:val="0"/>
      <w:marRight w:val="0"/>
      <w:marTop w:val="0"/>
      <w:marBottom w:val="0"/>
      <w:divBdr>
        <w:top w:val="none" w:sz="0" w:space="0" w:color="auto"/>
        <w:left w:val="none" w:sz="0" w:space="0" w:color="auto"/>
        <w:bottom w:val="none" w:sz="0" w:space="0" w:color="auto"/>
        <w:right w:val="none" w:sz="0" w:space="0" w:color="auto"/>
      </w:divBdr>
    </w:div>
    <w:div w:id="1269653069">
      <w:bodyDiv w:val="1"/>
      <w:marLeft w:val="0"/>
      <w:marRight w:val="0"/>
      <w:marTop w:val="0"/>
      <w:marBottom w:val="0"/>
      <w:divBdr>
        <w:top w:val="none" w:sz="0" w:space="0" w:color="auto"/>
        <w:left w:val="none" w:sz="0" w:space="0" w:color="auto"/>
        <w:bottom w:val="none" w:sz="0" w:space="0" w:color="auto"/>
        <w:right w:val="none" w:sz="0" w:space="0" w:color="auto"/>
      </w:divBdr>
    </w:div>
    <w:div w:id="1269895140">
      <w:bodyDiv w:val="1"/>
      <w:marLeft w:val="0"/>
      <w:marRight w:val="0"/>
      <w:marTop w:val="0"/>
      <w:marBottom w:val="0"/>
      <w:divBdr>
        <w:top w:val="none" w:sz="0" w:space="0" w:color="auto"/>
        <w:left w:val="none" w:sz="0" w:space="0" w:color="auto"/>
        <w:bottom w:val="none" w:sz="0" w:space="0" w:color="auto"/>
        <w:right w:val="none" w:sz="0" w:space="0" w:color="auto"/>
      </w:divBdr>
    </w:div>
    <w:div w:id="1270048548">
      <w:bodyDiv w:val="1"/>
      <w:marLeft w:val="0"/>
      <w:marRight w:val="0"/>
      <w:marTop w:val="0"/>
      <w:marBottom w:val="0"/>
      <w:divBdr>
        <w:top w:val="none" w:sz="0" w:space="0" w:color="auto"/>
        <w:left w:val="none" w:sz="0" w:space="0" w:color="auto"/>
        <w:bottom w:val="none" w:sz="0" w:space="0" w:color="auto"/>
        <w:right w:val="none" w:sz="0" w:space="0" w:color="auto"/>
      </w:divBdr>
    </w:div>
    <w:div w:id="1270548171">
      <w:bodyDiv w:val="1"/>
      <w:marLeft w:val="0"/>
      <w:marRight w:val="0"/>
      <w:marTop w:val="0"/>
      <w:marBottom w:val="0"/>
      <w:divBdr>
        <w:top w:val="none" w:sz="0" w:space="0" w:color="auto"/>
        <w:left w:val="none" w:sz="0" w:space="0" w:color="auto"/>
        <w:bottom w:val="none" w:sz="0" w:space="0" w:color="auto"/>
        <w:right w:val="none" w:sz="0" w:space="0" w:color="auto"/>
      </w:divBdr>
    </w:div>
    <w:div w:id="1270963832">
      <w:bodyDiv w:val="1"/>
      <w:marLeft w:val="0"/>
      <w:marRight w:val="0"/>
      <w:marTop w:val="0"/>
      <w:marBottom w:val="0"/>
      <w:divBdr>
        <w:top w:val="none" w:sz="0" w:space="0" w:color="auto"/>
        <w:left w:val="none" w:sz="0" w:space="0" w:color="auto"/>
        <w:bottom w:val="none" w:sz="0" w:space="0" w:color="auto"/>
        <w:right w:val="none" w:sz="0" w:space="0" w:color="auto"/>
      </w:divBdr>
    </w:div>
    <w:div w:id="1271668599">
      <w:bodyDiv w:val="1"/>
      <w:marLeft w:val="0"/>
      <w:marRight w:val="0"/>
      <w:marTop w:val="0"/>
      <w:marBottom w:val="0"/>
      <w:divBdr>
        <w:top w:val="none" w:sz="0" w:space="0" w:color="auto"/>
        <w:left w:val="none" w:sz="0" w:space="0" w:color="auto"/>
        <w:bottom w:val="none" w:sz="0" w:space="0" w:color="auto"/>
        <w:right w:val="none" w:sz="0" w:space="0" w:color="auto"/>
      </w:divBdr>
    </w:div>
    <w:div w:id="1274287389">
      <w:bodyDiv w:val="1"/>
      <w:marLeft w:val="0"/>
      <w:marRight w:val="0"/>
      <w:marTop w:val="0"/>
      <w:marBottom w:val="0"/>
      <w:divBdr>
        <w:top w:val="none" w:sz="0" w:space="0" w:color="auto"/>
        <w:left w:val="none" w:sz="0" w:space="0" w:color="auto"/>
        <w:bottom w:val="none" w:sz="0" w:space="0" w:color="auto"/>
        <w:right w:val="none" w:sz="0" w:space="0" w:color="auto"/>
      </w:divBdr>
    </w:div>
    <w:div w:id="1276912720">
      <w:bodyDiv w:val="1"/>
      <w:marLeft w:val="0"/>
      <w:marRight w:val="0"/>
      <w:marTop w:val="0"/>
      <w:marBottom w:val="0"/>
      <w:divBdr>
        <w:top w:val="none" w:sz="0" w:space="0" w:color="auto"/>
        <w:left w:val="none" w:sz="0" w:space="0" w:color="auto"/>
        <w:bottom w:val="none" w:sz="0" w:space="0" w:color="auto"/>
        <w:right w:val="none" w:sz="0" w:space="0" w:color="auto"/>
      </w:divBdr>
    </w:div>
    <w:div w:id="1277835379">
      <w:bodyDiv w:val="1"/>
      <w:marLeft w:val="0"/>
      <w:marRight w:val="0"/>
      <w:marTop w:val="0"/>
      <w:marBottom w:val="0"/>
      <w:divBdr>
        <w:top w:val="none" w:sz="0" w:space="0" w:color="auto"/>
        <w:left w:val="none" w:sz="0" w:space="0" w:color="auto"/>
        <w:bottom w:val="none" w:sz="0" w:space="0" w:color="auto"/>
        <w:right w:val="none" w:sz="0" w:space="0" w:color="auto"/>
      </w:divBdr>
    </w:div>
    <w:div w:id="1278373829">
      <w:bodyDiv w:val="1"/>
      <w:marLeft w:val="0"/>
      <w:marRight w:val="0"/>
      <w:marTop w:val="0"/>
      <w:marBottom w:val="0"/>
      <w:divBdr>
        <w:top w:val="none" w:sz="0" w:space="0" w:color="auto"/>
        <w:left w:val="none" w:sz="0" w:space="0" w:color="auto"/>
        <w:bottom w:val="none" w:sz="0" w:space="0" w:color="auto"/>
        <w:right w:val="none" w:sz="0" w:space="0" w:color="auto"/>
      </w:divBdr>
    </w:div>
    <w:div w:id="1278415755">
      <w:bodyDiv w:val="1"/>
      <w:marLeft w:val="0"/>
      <w:marRight w:val="0"/>
      <w:marTop w:val="0"/>
      <w:marBottom w:val="0"/>
      <w:divBdr>
        <w:top w:val="none" w:sz="0" w:space="0" w:color="auto"/>
        <w:left w:val="none" w:sz="0" w:space="0" w:color="auto"/>
        <w:bottom w:val="none" w:sz="0" w:space="0" w:color="auto"/>
        <w:right w:val="none" w:sz="0" w:space="0" w:color="auto"/>
      </w:divBdr>
    </w:div>
    <w:div w:id="1279022206">
      <w:bodyDiv w:val="1"/>
      <w:marLeft w:val="0"/>
      <w:marRight w:val="0"/>
      <w:marTop w:val="0"/>
      <w:marBottom w:val="0"/>
      <w:divBdr>
        <w:top w:val="none" w:sz="0" w:space="0" w:color="auto"/>
        <w:left w:val="none" w:sz="0" w:space="0" w:color="auto"/>
        <w:bottom w:val="none" w:sz="0" w:space="0" w:color="auto"/>
        <w:right w:val="none" w:sz="0" w:space="0" w:color="auto"/>
      </w:divBdr>
    </w:div>
    <w:div w:id="1279675832">
      <w:bodyDiv w:val="1"/>
      <w:marLeft w:val="0"/>
      <w:marRight w:val="0"/>
      <w:marTop w:val="0"/>
      <w:marBottom w:val="0"/>
      <w:divBdr>
        <w:top w:val="none" w:sz="0" w:space="0" w:color="auto"/>
        <w:left w:val="none" w:sz="0" w:space="0" w:color="auto"/>
        <w:bottom w:val="none" w:sz="0" w:space="0" w:color="auto"/>
        <w:right w:val="none" w:sz="0" w:space="0" w:color="auto"/>
      </w:divBdr>
    </w:div>
    <w:div w:id="1279944988">
      <w:bodyDiv w:val="1"/>
      <w:marLeft w:val="0"/>
      <w:marRight w:val="0"/>
      <w:marTop w:val="0"/>
      <w:marBottom w:val="0"/>
      <w:divBdr>
        <w:top w:val="none" w:sz="0" w:space="0" w:color="auto"/>
        <w:left w:val="none" w:sz="0" w:space="0" w:color="auto"/>
        <w:bottom w:val="none" w:sz="0" w:space="0" w:color="auto"/>
        <w:right w:val="none" w:sz="0" w:space="0" w:color="auto"/>
      </w:divBdr>
    </w:div>
    <w:div w:id="1282299138">
      <w:bodyDiv w:val="1"/>
      <w:marLeft w:val="0"/>
      <w:marRight w:val="0"/>
      <w:marTop w:val="0"/>
      <w:marBottom w:val="0"/>
      <w:divBdr>
        <w:top w:val="none" w:sz="0" w:space="0" w:color="auto"/>
        <w:left w:val="none" w:sz="0" w:space="0" w:color="auto"/>
        <w:bottom w:val="none" w:sz="0" w:space="0" w:color="auto"/>
        <w:right w:val="none" w:sz="0" w:space="0" w:color="auto"/>
      </w:divBdr>
    </w:div>
    <w:div w:id="1286236746">
      <w:bodyDiv w:val="1"/>
      <w:marLeft w:val="0"/>
      <w:marRight w:val="0"/>
      <w:marTop w:val="0"/>
      <w:marBottom w:val="0"/>
      <w:divBdr>
        <w:top w:val="none" w:sz="0" w:space="0" w:color="auto"/>
        <w:left w:val="none" w:sz="0" w:space="0" w:color="auto"/>
        <w:bottom w:val="none" w:sz="0" w:space="0" w:color="auto"/>
        <w:right w:val="none" w:sz="0" w:space="0" w:color="auto"/>
      </w:divBdr>
    </w:div>
    <w:div w:id="1286816467">
      <w:bodyDiv w:val="1"/>
      <w:marLeft w:val="0"/>
      <w:marRight w:val="0"/>
      <w:marTop w:val="0"/>
      <w:marBottom w:val="0"/>
      <w:divBdr>
        <w:top w:val="none" w:sz="0" w:space="0" w:color="auto"/>
        <w:left w:val="none" w:sz="0" w:space="0" w:color="auto"/>
        <w:bottom w:val="none" w:sz="0" w:space="0" w:color="auto"/>
        <w:right w:val="none" w:sz="0" w:space="0" w:color="auto"/>
      </w:divBdr>
    </w:div>
    <w:div w:id="1288001437">
      <w:bodyDiv w:val="1"/>
      <w:marLeft w:val="0"/>
      <w:marRight w:val="0"/>
      <w:marTop w:val="0"/>
      <w:marBottom w:val="0"/>
      <w:divBdr>
        <w:top w:val="none" w:sz="0" w:space="0" w:color="auto"/>
        <w:left w:val="none" w:sz="0" w:space="0" w:color="auto"/>
        <w:bottom w:val="none" w:sz="0" w:space="0" w:color="auto"/>
        <w:right w:val="none" w:sz="0" w:space="0" w:color="auto"/>
      </w:divBdr>
    </w:div>
    <w:div w:id="1289051797">
      <w:bodyDiv w:val="1"/>
      <w:marLeft w:val="0"/>
      <w:marRight w:val="0"/>
      <w:marTop w:val="0"/>
      <w:marBottom w:val="0"/>
      <w:divBdr>
        <w:top w:val="none" w:sz="0" w:space="0" w:color="auto"/>
        <w:left w:val="none" w:sz="0" w:space="0" w:color="auto"/>
        <w:bottom w:val="none" w:sz="0" w:space="0" w:color="auto"/>
        <w:right w:val="none" w:sz="0" w:space="0" w:color="auto"/>
      </w:divBdr>
    </w:div>
    <w:div w:id="1289895729">
      <w:bodyDiv w:val="1"/>
      <w:marLeft w:val="0"/>
      <w:marRight w:val="0"/>
      <w:marTop w:val="0"/>
      <w:marBottom w:val="0"/>
      <w:divBdr>
        <w:top w:val="none" w:sz="0" w:space="0" w:color="auto"/>
        <w:left w:val="none" w:sz="0" w:space="0" w:color="auto"/>
        <w:bottom w:val="none" w:sz="0" w:space="0" w:color="auto"/>
        <w:right w:val="none" w:sz="0" w:space="0" w:color="auto"/>
      </w:divBdr>
    </w:div>
    <w:div w:id="1291589789">
      <w:bodyDiv w:val="1"/>
      <w:marLeft w:val="0"/>
      <w:marRight w:val="0"/>
      <w:marTop w:val="0"/>
      <w:marBottom w:val="0"/>
      <w:divBdr>
        <w:top w:val="none" w:sz="0" w:space="0" w:color="auto"/>
        <w:left w:val="none" w:sz="0" w:space="0" w:color="auto"/>
        <w:bottom w:val="none" w:sz="0" w:space="0" w:color="auto"/>
        <w:right w:val="none" w:sz="0" w:space="0" w:color="auto"/>
      </w:divBdr>
    </w:div>
    <w:div w:id="1292437612">
      <w:bodyDiv w:val="1"/>
      <w:marLeft w:val="0"/>
      <w:marRight w:val="0"/>
      <w:marTop w:val="0"/>
      <w:marBottom w:val="0"/>
      <w:divBdr>
        <w:top w:val="none" w:sz="0" w:space="0" w:color="auto"/>
        <w:left w:val="none" w:sz="0" w:space="0" w:color="auto"/>
        <w:bottom w:val="none" w:sz="0" w:space="0" w:color="auto"/>
        <w:right w:val="none" w:sz="0" w:space="0" w:color="auto"/>
      </w:divBdr>
    </w:div>
    <w:div w:id="1293362521">
      <w:bodyDiv w:val="1"/>
      <w:marLeft w:val="0"/>
      <w:marRight w:val="0"/>
      <w:marTop w:val="0"/>
      <w:marBottom w:val="0"/>
      <w:divBdr>
        <w:top w:val="none" w:sz="0" w:space="0" w:color="auto"/>
        <w:left w:val="none" w:sz="0" w:space="0" w:color="auto"/>
        <w:bottom w:val="none" w:sz="0" w:space="0" w:color="auto"/>
        <w:right w:val="none" w:sz="0" w:space="0" w:color="auto"/>
      </w:divBdr>
    </w:div>
    <w:div w:id="1295140244">
      <w:bodyDiv w:val="1"/>
      <w:marLeft w:val="0"/>
      <w:marRight w:val="0"/>
      <w:marTop w:val="0"/>
      <w:marBottom w:val="0"/>
      <w:divBdr>
        <w:top w:val="none" w:sz="0" w:space="0" w:color="auto"/>
        <w:left w:val="none" w:sz="0" w:space="0" w:color="auto"/>
        <w:bottom w:val="none" w:sz="0" w:space="0" w:color="auto"/>
        <w:right w:val="none" w:sz="0" w:space="0" w:color="auto"/>
      </w:divBdr>
    </w:div>
    <w:div w:id="1296638900">
      <w:bodyDiv w:val="1"/>
      <w:marLeft w:val="0"/>
      <w:marRight w:val="0"/>
      <w:marTop w:val="0"/>
      <w:marBottom w:val="0"/>
      <w:divBdr>
        <w:top w:val="none" w:sz="0" w:space="0" w:color="auto"/>
        <w:left w:val="none" w:sz="0" w:space="0" w:color="auto"/>
        <w:bottom w:val="none" w:sz="0" w:space="0" w:color="auto"/>
        <w:right w:val="none" w:sz="0" w:space="0" w:color="auto"/>
      </w:divBdr>
    </w:div>
    <w:div w:id="1296645575">
      <w:bodyDiv w:val="1"/>
      <w:marLeft w:val="0"/>
      <w:marRight w:val="0"/>
      <w:marTop w:val="0"/>
      <w:marBottom w:val="0"/>
      <w:divBdr>
        <w:top w:val="none" w:sz="0" w:space="0" w:color="auto"/>
        <w:left w:val="none" w:sz="0" w:space="0" w:color="auto"/>
        <w:bottom w:val="none" w:sz="0" w:space="0" w:color="auto"/>
        <w:right w:val="none" w:sz="0" w:space="0" w:color="auto"/>
      </w:divBdr>
    </w:div>
    <w:div w:id="1301109303">
      <w:bodyDiv w:val="1"/>
      <w:marLeft w:val="0"/>
      <w:marRight w:val="0"/>
      <w:marTop w:val="0"/>
      <w:marBottom w:val="0"/>
      <w:divBdr>
        <w:top w:val="none" w:sz="0" w:space="0" w:color="auto"/>
        <w:left w:val="none" w:sz="0" w:space="0" w:color="auto"/>
        <w:bottom w:val="none" w:sz="0" w:space="0" w:color="auto"/>
        <w:right w:val="none" w:sz="0" w:space="0" w:color="auto"/>
      </w:divBdr>
    </w:div>
    <w:div w:id="1301492670">
      <w:bodyDiv w:val="1"/>
      <w:marLeft w:val="0"/>
      <w:marRight w:val="0"/>
      <w:marTop w:val="0"/>
      <w:marBottom w:val="0"/>
      <w:divBdr>
        <w:top w:val="none" w:sz="0" w:space="0" w:color="auto"/>
        <w:left w:val="none" w:sz="0" w:space="0" w:color="auto"/>
        <w:bottom w:val="none" w:sz="0" w:space="0" w:color="auto"/>
        <w:right w:val="none" w:sz="0" w:space="0" w:color="auto"/>
      </w:divBdr>
    </w:div>
    <w:div w:id="1301496052">
      <w:bodyDiv w:val="1"/>
      <w:marLeft w:val="0"/>
      <w:marRight w:val="0"/>
      <w:marTop w:val="0"/>
      <w:marBottom w:val="0"/>
      <w:divBdr>
        <w:top w:val="none" w:sz="0" w:space="0" w:color="auto"/>
        <w:left w:val="none" w:sz="0" w:space="0" w:color="auto"/>
        <w:bottom w:val="none" w:sz="0" w:space="0" w:color="auto"/>
        <w:right w:val="none" w:sz="0" w:space="0" w:color="auto"/>
      </w:divBdr>
    </w:div>
    <w:div w:id="1303463193">
      <w:bodyDiv w:val="1"/>
      <w:marLeft w:val="0"/>
      <w:marRight w:val="0"/>
      <w:marTop w:val="0"/>
      <w:marBottom w:val="0"/>
      <w:divBdr>
        <w:top w:val="none" w:sz="0" w:space="0" w:color="auto"/>
        <w:left w:val="none" w:sz="0" w:space="0" w:color="auto"/>
        <w:bottom w:val="none" w:sz="0" w:space="0" w:color="auto"/>
        <w:right w:val="none" w:sz="0" w:space="0" w:color="auto"/>
      </w:divBdr>
    </w:div>
    <w:div w:id="1303774505">
      <w:bodyDiv w:val="1"/>
      <w:marLeft w:val="0"/>
      <w:marRight w:val="0"/>
      <w:marTop w:val="0"/>
      <w:marBottom w:val="0"/>
      <w:divBdr>
        <w:top w:val="none" w:sz="0" w:space="0" w:color="auto"/>
        <w:left w:val="none" w:sz="0" w:space="0" w:color="auto"/>
        <w:bottom w:val="none" w:sz="0" w:space="0" w:color="auto"/>
        <w:right w:val="none" w:sz="0" w:space="0" w:color="auto"/>
      </w:divBdr>
    </w:div>
    <w:div w:id="1304509677">
      <w:bodyDiv w:val="1"/>
      <w:marLeft w:val="0"/>
      <w:marRight w:val="0"/>
      <w:marTop w:val="0"/>
      <w:marBottom w:val="0"/>
      <w:divBdr>
        <w:top w:val="none" w:sz="0" w:space="0" w:color="auto"/>
        <w:left w:val="none" w:sz="0" w:space="0" w:color="auto"/>
        <w:bottom w:val="none" w:sz="0" w:space="0" w:color="auto"/>
        <w:right w:val="none" w:sz="0" w:space="0" w:color="auto"/>
      </w:divBdr>
    </w:div>
    <w:div w:id="1305164725">
      <w:bodyDiv w:val="1"/>
      <w:marLeft w:val="0"/>
      <w:marRight w:val="0"/>
      <w:marTop w:val="0"/>
      <w:marBottom w:val="0"/>
      <w:divBdr>
        <w:top w:val="none" w:sz="0" w:space="0" w:color="auto"/>
        <w:left w:val="none" w:sz="0" w:space="0" w:color="auto"/>
        <w:bottom w:val="none" w:sz="0" w:space="0" w:color="auto"/>
        <w:right w:val="none" w:sz="0" w:space="0" w:color="auto"/>
      </w:divBdr>
    </w:div>
    <w:div w:id="1306620426">
      <w:bodyDiv w:val="1"/>
      <w:marLeft w:val="0"/>
      <w:marRight w:val="0"/>
      <w:marTop w:val="0"/>
      <w:marBottom w:val="0"/>
      <w:divBdr>
        <w:top w:val="none" w:sz="0" w:space="0" w:color="auto"/>
        <w:left w:val="none" w:sz="0" w:space="0" w:color="auto"/>
        <w:bottom w:val="none" w:sz="0" w:space="0" w:color="auto"/>
        <w:right w:val="none" w:sz="0" w:space="0" w:color="auto"/>
      </w:divBdr>
    </w:div>
    <w:div w:id="1307323021">
      <w:bodyDiv w:val="1"/>
      <w:marLeft w:val="0"/>
      <w:marRight w:val="0"/>
      <w:marTop w:val="0"/>
      <w:marBottom w:val="0"/>
      <w:divBdr>
        <w:top w:val="none" w:sz="0" w:space="0" w:color="auto"/>
        <w:left w:val="none" w:sz="0" w:space="0" w:color="auto"/>
        <w:bottom w:val="none" w:sz="0" w:space="0" w:color="auto"/>
        <w:right w:val="none" w:sz="0" w:space="0" w:color="auto"/>
      </w:divBdr>
    </w:div>
    <w:div w:id="1307932366">
      <w:bodyDiv w:val="1"/>
      <w:marLeft w:val="0"/>
      <w:marRight w:val="0"/>
      <w:marTop w:val="0"/>
      <w:marBottom w:val="0"/>
      <w:divBdr>
        <w:top w:val="none" w:sz="0" w:space="0" w:color="auto"/>
        <w:left w:val="none" w:sz="0" w:space="0" w:color="auto"/>
        <w:bottom w:val="none" w:sz="0" w:space="0" w:color="auto"/>
        <w:right w:val="none" w:sz="0" w:space="0" w:color="auto"/>
      </w:divBdr>
    </w:div>
    <w:div w:id="1308512646">
      <w:bodyDiv w:val="1"/>
      <w:marLeft w:val="0"/>
      <w:marRight w:val="0"/>
      <w:marTop w:val="0"/>
      <w:marBottom w:val="0"/>
      <w:divBdr>
        <w:top w:val="none" w:sz="0" w:space="0" w:color="auto"/>
        <w:left w:val="none" w:sz="0" w:space="0" w:color="auto"/>
        <w:bottom w:val="none" w:sz="0" w:space="0" w:color="auto"/>
        <w:right w:val="none" w:sz="0" w:space="0" w:color="auto"/>
      </w:divBdr>
    </w:div>
    <w:div w:id="1308784181">
      <w:bodyDiv w:val="1"/>
      <w:marLeft w:val="0"/>
      <w:marRight w:val="0"/>
      <w:marTop w:val="0"/>
      <w:marBottom w:val="0"/>
      <w:divBdr>
        <w:top w:val="none" w:sz="0" w:space="0" w:color="auto"/>
        <w:left w:val="none" w:sz="0" w:space="0" w:color="auto"/>
        <w:bottom w:val="none" w:sz="0" w:space="0" w:color="auto"/>
        <w:right w:val="none" w:sz="0" w:space="0" w:color="auto"/>
      </w:divBdr>
    </w:div>
    <w:div w:id="1309897437">
      <w:bodyDiv w:val="1"/>
      <w:marLeft w:val="0"/>
      <w:marRight w:val="0"/>
      <w:marTop w:val="0"/>
      <w:marBottom w:val="0"/>
      <w:divBdr>
        <w:top w:val="none" w:sz="0" w:space="0" w:color="auto"/>
        <w:left w:val="none" w:sz="0" w:space="0" w:color="auto"/>
        <w:bottom w:val="none" w:sz="0" w:space="0" w:color="auto"/>
        <w:right w:val="none" w:sz="0" w:space="0" w:color="auto"/>
      </w:divBdr>
    </w:div>
    <w:div w:id="1310405536">
      <w:bodyDiv w:val="1"/>
      <w:marLeft w:val="0"/>
      <w:marRight w:val="0"/>
      <w:marTop w:val="0"/>
      <w:marBottom w:val="0"/>
      <w:divBdr>
        <w:top w:val="none" w:sz="0" w:space="0" w:color="auto"/>
        <w:left w:val="none" w:sz="0" w:space="0" w:color="auto"/>
        <w:bottom w:val="none" w:sz="0" w:space="0" w:color="auto"/>
        <w:right w:val="none" w:sz="0" w:space="0" w:color="auto"/>
      </w:divBdr>
    </w:div>
    <w:div w:id="1311905458">
      <w:bodyDiv w:val="1"/>
      <w:marLeft w:val="0"/>
      <w:marRight w:val="0"/>
      <w:marTop w:val="0"/>
      <w:marBottom w:val="0"/>
      <w:divBdr>
        <w:top w:val="none" w:sz="0" w:space="0" w:color="auto"/>
        <w:left w:val="none" w:sz="0" w:space="0" w:color="auto"/>
        <w:bottom w:val="none" w:sz="0" w:space="0" w:color="auto"/>
        <w:right w:val="none" w:sz="0" w:space="0" w:color="auto"/>
      </w:divBdr>
    </w:div>
    <w:div w:id="1314219602">
      <w:bodyDiv w:val="1"/>
      <w:marLeft w:val="0"/>
      <w:marRight w:val="0"/>
      <w:marTop w:val="0"/>
      <w:marBottom w:val="0"/>
      <w:divBdr>
        <w:top w:val="none" w:sz="0" w:space="0" w:color="auto"/>
        <w:left w:val="none" w:sz="0" w:space="0" w:color="auto"/>
        <w:bottom w:val="none" w:sz="0" w:space="0" w:color="auto"/>
        <w:right w:val="none" w:sz="0" w:space="0" w:color="auto"/>
      </w:divBdr>
    </w:div>
    <w:div w:id="1314480507">
      <w:bodyDiv w:val="1"/>
      <w:marLeft w:val="0"/>
      <w:marRight w:val="0"/>
      <w:marTop w:val="0"/>
      <w:marBottom w:val="0"/>
      <w:divBdr>
        <w:top w:val="none" w:sz="0" w:space="0" w:color="auto"/>
        <w:left w:val="none" w:sz="0" w:space="0" w:color="auto"/>
        <w:bottom w:val="none" w:sz="0" w:space="0" w:color="auto"/>
        <w:right w:val="none" w:sz="0" w:space="0" w:color="auto"/>
      </w:divBdr>
    </w:div>
    <w:div w:id="1315330973">
      <w:bodyDiv w:val="1"/>
      <w:marLeft w:val="0"/>
      <w:marRight w:val="0"/>
      <w:marTop w:val="0"/>
      <w:marBottom w:val="0"/>
      <w:divBdr>
        <w:top w:val="none" w:sz="0" w:space="0" w:color="auto"/>
        <w:left w:val="none" w:sz="0" w:space="0" w:color="auto"/>
        <w:bottom w:val="none" w:sz="0" w:space="0" w:color="auto"/>
        <w:right w:val="none" w:sz="0" w:space="0" w:color="auto"/>
      </w:divBdr>
    </w:div>
    <w:div w:id="1316715073">
      <w:bodyDiv w:val="1"/>
      <w:marLeft w:val="0"/>
      <w:marRight w:val="0"/>
      <w:marTop w:val="0"/>
      <w:marBottom w:val="0"/>
      <w:divBdr>
        <w:top w:val="none" w:sz="0" w:space="0" w:color="auto"/>
        <w:left w:val="none" w:sz="0" w:space="0" w:color="auto"/>
        <w:bottom w:val="none" w:sz="0" w:space="0" w:color="auto"/>
        <w:right w:val="none" w:sz="0" w:space="0" w:color="auto"/>
      </w:divBdr>
    </w:div>
    <w:div w:id="1317150937">
      <w:bodyDiv w:val="1"/>
      <w:marLeft w:val="0"/>
      <w:marRight w:val="0"/>
      <w:marTop w:val="0"/>
      <w:marBottom w:val="0"/>
      <w:divBdr>
        <w:top w:val="none" w:sz="0" w:space="0" w:color="auto"/>
        <w:left w:val="none" w:sz="0" w:space="0" w:color="auto"/>
        <w:bottom w:val="none" w:sz="0" w:space="0" w:color="auto"/>
        <w:right w:val="none" w:sz="0" w:space="0" w:color="auto"/>
      </w:divBdr>
    </w:div>
    <w:div w:id="1317538783">
      <w:bodyDiv w:val="1"/>
      <w:marLeft w:val="0"/>
      <w:marRight w:val="0"/>
      <w:marTop w:val="0"/>
      <w:marBottom w:val="0"/>
      <w:divBdr>
        <w:top w:val="none" w:sz="0" w:space="0" w:color="auto"/>
        <w:left w:val="none" w:sz="0" w:space="0" w:color="auto"/>
        <w:bottom w:val="none" w:sz="0" w:space="0" w:color="auto"/>
        <w:right w:val="none" w:sz="0" w:space="0" w:color="auto"/>
      </w:divBdr>
    </w:div>
    <w:div w:id="1318261795">
      <w:bodyDiv w:val="1"/>
      <w:marLeft w:val="0"/>
      <w:marRight w:val="0"/>
      <w:marTop w:val="0"/>
      <w:marBottom w:val="0"/>
      <w:divBdr>
        <w:top w:val="none" w:sz="0" w:space="0" w:color="auto"/>
        <w:left w:val="none" w:sz="0" w:space="0" w:color="auto"/>
        <w:bottom w:val="none" w:sz="0" w:space="0" w:color="auto"/>
        <w:right w:val="none" w:sz="0" w:space="0" w:color="auto"/>
      </w:divBdr>
    </w:div>
    <w:div w:id="1325666291">
      <w:bodyDiv w:val="1"/>
      <w:marLeft w:val="0"/>
      <w:marRight w:val="0"/>
      <w:marTop w:val="0"/>
      <w:marBottom w:val="0"/>
      <w:divBdr>
        <w:top w:val="none" w:sz="0" w:space="0" w:color="auto"/>
        <w:left w:val="none" w:sz="0" w:space="0" w:color="auto"/>
        <w:bottom w:val="none" w:sz="0" w:space="0" w:color="auto"/>
        <w:right w:val="none" w:sz="0" w:space="0" w:color="auto"/>
      </w:divBdr>
    </w:div>
    <w:div w:id="1325935336">
      <w:bodyDiv w:val="1"/>
      <w:marLeft w:val="0"/>
      <w:marRight w:val="0"/>
      <w:marTop w:val="0"/>
      <w:marBottom w:val="0"/>
      <w:divBdr>
        <w:top w:val="none" w:sz="0" w:space="0" w:color="auto"/>
        <w:left w:val="none" w:sz="0" w:space="0" w:color="auto"/>
        <w:bottom w:val="none" w:sz="0" w:space="0" w:color="auto"/>
        <w:right w:val="none" w:sz="0" w:space="0" w:color="auto"/>
      </w:divBdr>
    </w:div>
    <w:div w:id="1326205853">
      <w:bodyDiv w:val="1"/>
      <w:marLeft w:val="0"/>
      <w:marRight w:val="0"/>
      <w:marTop w:val="0"/>
      <w:marBottom w:val="0"/>
      <w:divBdr>
        <w:top w:val="none" w:sz="0" w:space="0" w:color="auto"/>
        <w:left w:val="none" w:sz="0" w:space="0" w:color="auto"/>
        <w:bottom w:val="none" w:sz="0" w:space="0" w:color="auto"/>
        <w:right w:val="none" w:sz="0" w:space="0" w:color="auto"/>
      </w:divBdr>
    </w:div>
    <w:div w:id="1327053604">
      <w:bodyDiv w:val="1"/>
      <w:marLeft w:val="0"/>
      <w:marRight w:val="0"/>
      <w:marTop w:val="0"/>
      <w:marBottom w:val="0"/>
      <w:divBdr>
        <w:top w:val="none" w:sz="0" w:space="0" w:color="auto"/>
        <w:left w:val="none" w:sz="0" w:space="0" w:color="auto"/>
        <w:bottom w:val="none" w:sz="0" w:space="0" w:color="auto"/>
        <w:right w:val="none" w:sz="0" w:space="0" w:color="auto"/>
      </w:divBdr>
    </w:div>
    <w:div w:id="1328240939">
      <w:bodyDiv w:val="1"/>
      <w:marLeft w:val="0"/>
      <w:marRight w:val="0"/>
      <w:marTop w:val="0"/>
      <w:marBottom w:val="0"/>
      <w:divBdr>
        <w:top w:val="none" w:sz="0" w:space="0" w:color="auto"/>
        <w:left w:val="none" w:sz="0" w:space="0" w:color="auto"/>
        <w:bottom w:val="none" w:sz="0" w:space="0" w:color="auto"/>
        <w:right w:val="none" w:sz="0" w:space="0" w:color="auto"/>
      </w:divBdr>
    </w:div>
    <w:div w:id="1329333616">
      <w:bodyDiv w:val="1"/>
      <w:marLeft w:val="0"/>
      <w:marRight w:val="0"/>
      <w:marTop w:val="0"/>
      <w:marBottom w:val="0"/>
      <w:divBdr>
        <w:top w:val="none" w:sz="0" w:space="0" w:color="auto"/>
        <w:left w:val="none" w:sz="0" w:space="0" w:color="auto"/>
        <w:bottom w:val="none" w:sz="0" w:space="0" w:color="auto"/>
        <w:right w:val="none" w:sz="0" w:space="0" w:color="auto"/>
      </w:divBdr>
    </w:div>
    <w:div w:id="1329400354">
      <w:bodyDiv w:val="1"/>
      <w:marLeft w:val="0"/>
      <w:marRight w:val="0"/>
      <w:marTop w:val="0"/>
      <w:marBottom w:val="0"/>
      <w:divBdr>
        <w:top w:val="none" w:sz="0" w:space="0" w:color="auto"/>
        <w:left w:val="none" w:sz="0" w:space="0" w:color="auto"/>
        <w:bottom w:val="none" w:sz="0" w:space="0" w:color="auto"/>
        <w:right w:val="none" w:sz="0" w:space="0" w:color="auto"/>
      </w:divBdr>
    </w:div>
    <w:div w:id="1331979375">
      <w:bodyDiv w:val="1"/>
      <w:marLeft w:val="0"/>
      <w:marRight w:val="0"/>
      <w:marTop w:val="0"/>
      <w:marBottom w:val="0"/>
      <w:divBdr>
        <w:top w:val="none" w:sz="0" w:space="0" w:color="auto"/>
        <w:left w:val="none" w:sz="0" w:space="0" w:color="auto"/>
        <w:bottom w:val="none" w:sz="0" w:space="0" w:color="auto"/>
        <w:right w:val="none" w:sz="0" w:space="0" w:color="auto"/>
      </w:divBdr>
    </w:div>
    <w:div w:id="1332022060">
      <w:bodyDiv w:val="1"/>
      <w:marLeft w:val="0"/>
      <w:marRight w:val="0"/>
      <w:marTop w:val="0"/>
      <w:marBottom w:val="0"/>
      <w:divBdr>
        <w:top w:val="none" w:sz="0" w:space="0" w:color="auto"/>
        <w:left w:val="none" w:sz="0" w:space="0" w:color="auto"/>
        <w:bottom w:val="none" w:sz="0" w:space="0" w:color="auto"/>
        <w:right w:val="none" w:sz="0" w:space="0" w:color="auto"/>
      </w:divBdr>
    </w:div>
    <w:div w:id="1332828759">
      <w:bodyDiv w:val="1"/>
      <w:marLeft w:val="0"/>
      <w:marRight w:val="0"/>
      <w:marTop w:val="0"/>
      <w:marBottom w:val="0"/>
      <w:divBdr>
        <w:top w:val="none" w:sz="0" w:space="0" w:color="auto"/>
        <w:left w:val="none" w:sz="0" w:space="0" w:color="auto"/>
        <w:bottom w:val="none" w:sz="0" w:space="0" w:color="auto"/>
        <w:right w:val="none" w:sz="0" w:space="0" w:color="auto"/>
      </w:divBdr>
    </w:div>
    <w:div w:id="1333139139">
      <w:bodyDiv w:val="1"/>
      <w:marLeft w:val="0"/>
      <w:marRight w:val="0"/>
      <w:marTop w:val="0"/>
      <w:marBottom w:val="0"/>
      <w:divBdr>
        <w:top w:val="none" w:sz="0" w:space="0" w:color="auto"/>
        <w:left w:val="none" w:sz="0" w:space="0" w:color="auto"/>
        <w:bottom w:val="none" w:sz="0" w:space="0" w:color="auto"/>
        <w:right w:val="none" w:sz="0" w:space="0" w:color="auto"/>
      </w:divBdr>
    </w:div>
    <w:div w:id="1333486766">
      <w:bodyDiv w:val="1"/>
      <w:marLeft w:val="0"/>
      <w:marRight w:val="0"/>
      <w:marTop w:val="0"/>
      <w:marBottom w:val="0"/>
      <w:divBdr>
        <w:top w:val="none" w:sz="0" w:space="0" w:color="auto"/>
        <w:left w:val="none" w:sz="0" w:space="0" w:color="auto"/>
        <w:bottom w:val="none" w:sz="0" w:space="0" w:color="auto"/>
        <w:right w:val="none" w:sz="0" w:space="0" w:color="auto"/>
      </w:divBdr>
    </w:div>
    <w:div w:id="1337733490">
      <w:bodyDiv w:val="1"/>
      <w:marLeft w:val="0"/>
      <w:marRight w:val="0"/>
      <w:marTop w:val="0"/>
      <w:marBottom w:val="0"/>
      <w:divBdr>
        <w:top w:val="none" w:sz="0" w:space="0" w:color="auto"/>
        <w:left w:val="none" w:sz="0" w:space="0" w:color="auto"/>
        <w:bottom w:val="none" w:sz="0" w:space="0" w:color="auto"/>
        <w:right w:val="none" w:sz="0" w:space="0" w:color="auto"/>
      </w:divBdr>
    </w:div>
    <w:div w:id="1339382069">
      <w:bodyDiv w:val="1"/>
      <w:marLeft w:val="0"/>
      <w:marRight w:val="0"/>
      <w:marTop w:val="0"/>
      <w:marBottom w:val="0"/>
      <w:divBdr>
        <w:top w:val="none" w:sz="0" w:space="0" w:color="auto"/>
        <w:left w:val="none" w:sz="0" w:space="0" w:color="auto"/>
        <w:bottom w:val="none" w:sz="0" w:space="0" w:color="auto"/>
        <w:right w:val="none" w:sz="0" w:space="0" w:color="auto"/>
      </w:divBdr>
    </w:div>
    <w:div w:id="1339580760">
      <w:bodyDiv w:val="1"/>
      <w:marLeft w:val="0"/>
      <w:marRight w:val="0"/>
      <w:marTop w:val="0"/>
      <w:marBottom w:val="0"/>
      <w:divBdr>
        <w:top w:val="none" w:sz="0" w:space="0" w:color="auto"/>
        <w:left w:val="none" w:sz="0" w:space="0" w:color="auto"/>
        <w:bottom w:val="none" w:sz="0" w:space="0" w:color="auto"/>
        <w:right w:val="none" w:sz="0" w:space="0" w:color="auto"/>
      </w:divBdr>
    </w:div>
    <w:div w:id="1340933594">
      <w:bodyDiv w:val="1"/>
      <w:marLeft w:val="0"/>
      <w:marRight w:val="0"/>
      <w:marTop w:val="0"/>
      <w:marBottom w:val="0"/>
      <w:divBdr>
        <w:top w:val="none" w:sz="0" w:space="0" w:color="auto"/>
        <w:left w:val="none" w:sz="0" w:space="0" w:color="auto"/>
        <w:bottom w:val="none" w:sz="0" w:space="0" w:color="auto"/>
        <w:right w:val="none" w:sz="0" w:space="0" w:color="auto"/>
      </w:divBdr>
    </w:div>
    <w:div w:id="1341200835">
      <w:bodyDiv w:val="1"/>
      <w:marLeft w:val="0"/>
      <w:marRight w:val="0"/>
      <w:marTop w:val="0"/>
      <w:marBottom w:val="0"/>
      <w:divBdr>
        <w:top w:val="none" w:sz="0" w:space="0" w:color="auto"/>
        <w:left w:val="none" w:sz="0" w:space="0" w:color="auto"/>
        <w:bottom w:val="none" w:sz="0" w:space="0" w:color="auto"/>
        <w:right w:val="none" w:sz="0" w:space="0" w:color="auto"/>
      </w:divBdr>
    </w:div>
    <w:div w:id="1341473309">
      <w:bodyDiv w:val="1"/>
      <w:marLeft w:val="0"/>
      <w:marRight w:val="0"/>
      <w:marTop w:val="0"/>
      <w:marBottom w:val="0"/>
      <w:divBdr>
        <w:top w:val="none" w:sz="0" w:space="0" w:color="auto"/>
        <w:left w:val="none" w:sz="0" w:space="0" w:color="auto"/>
        <w:bottom w:val="none" w:sz="0" w:space="0" w:color="auto"/>
        <w:right w:val="none" w:sz="0" w:space="0" w:color="auto"/>
      </w:divBdr>
    </w:div>
    <w:div w:id="1341927824">
      <w:bodyDiv w:val="1"/>
      <w:marLeft w:val="0"/>
      <w:marRight w:val="0"/>
      <w:marTop w:val="0"/>
      <w:marBottom w:val="0"/>
      <w:divBdr>
        <w:top w:val="none" w:sz="0" w:space="0" w:color="auto"/>
        <w:left w:val="none" w:sz="0" w:space="0" w:color="auto"/>
        <w:bottom w:val="none" w:sz="0" w:space="0" w:color="auto"/>
        <w:right w:val="none" w:sz="0" w:space="0" w:color="auto"/>
      </w:divBdr>
    </w:div>
    <w:div w:id="1342463473">
      <w:bodyDiv w:val="1"/>
      <w:marLeft w:val="0"/>
      <w:marRight w:val="0"/>
      <w:marTop w:val="0"/>
      <w:marBottom w:val="0"/>
      <w:divBdr>
        <w:top w:val="none" w:sz="0" w:space="0" w:color="auto"/>
        <w:left w:val="none" w:sz="0" w:space="0" w:color="auto"/>
        <w:bottom w:val="none" w:sz="0" w:space="0" w:color="auto"/>
        <w:right w:val="none" w:sz="0" w:space="0" w:color="auto"/>
      </w:divBdr>
    </w:div>
    <w:div w:id="1342782311">
      <w:bodyDiv w:val="1"/>
      <w:marLeft w:val="0"/>
      <w:marRight w:val="0"/>
      <w:marTop w:val="0"/>
      <w:marBottom w:val="0"/>
      <w:divBdr>
        <w:top w:val="none" w:sz="0" w:space="0" w:color="auto"/>
        <w:left w:val="none" w:sz="0" w:space="0" w:color="auto"/>
        <w:bottom w:val="none" w:sz="0" w:space="0" w:color="auto"/>
        <w:right w:val="none" w:sz="0" w:space="0" w:color="auto"/>
      </w:divBdr>
    </w:div>
    <w:div w:id="1343170228">
      <w:bodyDiv w:val="1"/>
      <w:marLeft w:val="0"/>
      <w:marRight w:val="0"/>
      <w:marTop w:val="0"/>
      <w:marBottom w:val="0"/>
      <w:divBdr>
        <w:top w:val="none" w:sz="0" w:space="0" w:color="auto"/>
        <w:left w:val="none" w:sz="0" w:space="0" w:color="auto"/>
        <w:bottom w:val="none" w:sz="0" w:space="0" w:color="auto"/>
        <w:right w:val="none" w:sz="0" w:space="0" w:color="auto"/>
      </w:divBdr>
    </w:div>
    <w:div w:id="1346593148">
      <w:bodyDiv w:val="1"/>
      <w:marLeft w:val="0"/>
      <w:marRight w:val="0"/>
      <w:marTop w:val="0"/>
      <w:marBottom w:val="0"/>
      <w:divBdr>
        <w:top w:val="none" w:sz="0" w:space="0" w:color="auto"/>
        <w:left w:val="none" w:sz="0" w:space="0" w:color="auto"/>
        <w:bottom w:val="none" w:sz="0" w:space="0" w:color="auto"/>
        <w:right w:val="none" w:sz="0" w:space="0" w:color="auto"/>
      </w:divBdr>
    </w:div>
    <w:div w:id="1347366492">
      <w:bodyDiv w:val="1"/>
      <w:marLeft w:val="0"/>
      <w:marRight w:val="0"/>
      <w:marTop w:val="0"/>
      <w:marBottom w:val="0"/>
      <w:divBdr>
        <w:top w:val="none" w:sz="0" w:space="0" w:color="auto"/>
        <w:left w:val="none" w:sz="0" w:space="0" w:color="auto"/>
        <w:bottom w:val="none" w:sz="0" w:space="0" w:color="auto"/>
        <w:right w:val="none" w:sz="0" w:space="0" w:color="auto"/>
      </w:divBdr>
    </w:div>
    <w:div w:id="1347946985">
      <w:bodyDiv w:val="1"/>
      <w:marLeft w:val="0"/>
      <w:marRight w:val="0"/>
      <w:marTop w:val="0"/>
      <w:marBottom w:val="0"/>
      <w:divBdr>
        <w:top w:val="none" w:sz="0" w:space="0" w:color="auto"/>
        <w:left w:val="none" w:sz="0" w:space="0" w:color="auto"/>
        <w:bottom w:val="none" w:sz="0" w:space="0" w:color="auto"/>
        <w:right w:val="none" w:sz="0" w:space="0" w:color="auto"/>
      </w:divBdr>
    </w:div>
    <w:div w:id="1348025335">
      <w:bodyDiv w:val="1"/>
      <w:marLeft w:val="0"/>
      <w:marRight w:val="0"/>
      <w:marTop w:val="0"/>
      <w:marBottom w:val="0"/>
      <w:divBdr>
        <w:top w:val="none" w:sz="0" w:space="0" w:color="auto"/>
        <w:left w:val="none" w:sz="0" w:space="0" w:color="auto"/>
        <w:bottom w:val="none" w:sz="0" w:space="0" w:color="auto"/>
        <w:right w:val="none" w:sz="0" w:space="0" w:color="auto"/>
      </w:divBdr>
    </w:div>
    <w:div w:id="1348094079">
      <w:bodyDiv w:val="1"/>
      <w:marLeft w:val="0"/>
      <w:marRight w:val="0"/>
      <w:marTop w:val="0"/>
      <w:marBottom w:val="0"/>
      <w:divBdr>
        <w:top w:val="none" w:sz="0" w:space="0" w:color="auto"/>
        <w:left w:val="none" w:sz="0" w:space="0" w:color="auto"/>
        <w:bottom w:val="none" w:sz="0" w:space="0" w:color="auto"/>
        <w:right w:val="none" w:sz="0" w:space="0" w:color="auto"/>
      </w:divBdr>
    </w:div>
    <w:div w:id="1348098387">
      <w:bodyDiv w:val="1"/>
      <w:marLeft w:val="0"/>
      <w:marRight w:val="0"/>
      <w:marTop w:val="0"/>
      <w:marBottom w:val="0"/>
      <w:divBdr>
        <w:top w:val="none" w:sz="0" w:space="0" w:color="auto"/>
        <w:left w:val="none" w:sz="0" w:space="0" w:color="auto"/>
        <w:bottom w:val="none" w:sz="0" w:space="0" w:color="auto"/>
        <w:right w:val="none" w:sz="0" w:space="0" w:color="auto"/>
      </w:divBdr>
    </w:div>
    <w:div w:id="1348171975">
      <w:bodyDiv w:val="1"/>
      <w:marLeft w:val="0"/>
      <w:marRight w:val="0"/>
      <w:marTop w:val="0"/>
      <w:marBottom w:val="0"/>
      <w:divBdr>
        <w:top w:val="none" w:sz="0" w:space="0" w:color="auto"/>
        <w:left w:val="none" w:sz="0" w:space="0" w:color="auto"/>
        <w:bottom w:val="none" w:sz="0" w:space="0" w:color="auto"/>
        <w:right w:val="none" w:sz="0" w:space="0" w:color="auto"/>
      </w:divBdr>
    </w:div>
    <w:div w:id="1349605454">
      <w:bodyDiv w:val="1"/>
      <w:marLeft w:val="0"/>
      <w:marRight w:val="0"/>
      <w:marTop w:val="0"/>
      <w:marBottom w:val="0"/>
      <w:divBdr>
        <w:top w:val="none" w:sz="0" w:space="0" w:color="auto"/>
        <w:left w:val="none" w:sz="0" w:space="0" w:color="auto"/>
        <w:bottom w:val="none" w:sz="0" w:space="0" w:color="auto"/>
        <w:right w:val="none" w:sz="0" w:space="0" w:color="auto"/>
      </w:divBdr>
    </w:div>
    <w:div w:id="1350138347">
      <w:bodyDiv w:val="1"/>
      <w:marLeft w:val="0"/>
      <w:marRight w:val="0"/>
      <w:marTop w:val="0"/>
      <w:marBottom w:val="0"/>
      <w:divBdr>
        <w:top w:val="none" w:sz="0" w:space="0" w:color="auto"/>
        <w:left w:val="none" w:sz="0" w:space="0" w:color="auto"/>
        <w:bottom w:val="none" w:sz="0" w:space="0" w:color="auto"/>
        <w:right w:val="none" w:sz="0" w:space="0" w:color="auto"/>
      </w:divBdr>
    </w:div>
    <w:div w:id="1350566423">
      <w:bodyDiv w:val="1"/>
      <w:marLeft w:val="0"/>
      <w:marRight w:val="0"/>
      <w:marTop w:val="0"/>
      <w:marBottom w:val="0"/>
      <w:divBdr>
        <w:top w:val="none" w:sz="0" w:space="0" w:color="auto"/>
        <w:left w:val="none" w:sz="0" w:space="0" w:color="auto"/>
        <w:bottom w:val="none" w:sz="0" w:space="0" w:color="auto"/>
        <w:right w:val="none" w:sz="0" w:space="0" w:color="auto"/>
      </w:divBdr>
    </w:div>
    <w:div w:id="1350638859">
      <w:bodyDiv w:val="1"/>
      <w:marLeft w:val="0"/>
      <w:marRight w:val="0"/>
      <w:marTop w:val="0"/>
      <w:marBottom w:val="0"/>
      <w:divBdr>
        <w:top w:val="none" w:sz="0" w:space="0" w:color="auto"/>
        <w:left w:val="none" w:sz="0" w:space="0" w:color="auto"/>
        <w:bottom w:val="none" w:sz="0" w:space="0" w:color="auto"/>
        <w:right w:val="none" w:sz="0" w:space="0" w:color="auto"/>
      </w:divBdr>
    </w:div>
    <w:div w:id="1352143892">
      <w:bodyDiv w:val="1"/>
      <w:marLeft w:val="0"/>
      <w:marRight w:val="0"/>
      <w:marTop w:val="0"/>
      <w:marBottom w:val="0"/>
      <w:divBdr>
        <w:top w:val="none" w:sz="0" w:space="0" w:color="auto"/>
        <w:left w:val="none" w:sz="0" w:space="0" w:color="auto"/>
        <w:bottom w:val="none" w:sz="0" w:space="0" w:color="auto"/>
        <w:right w:val="none" w:sz="0" w:space="0" w:color="auto"/>
      </w:divBdr>
    </w:div>
    <w:div w:id="1352301298">
      <w:bodyDiv w:val="1"/>
      <w:marLeft w:val="0"/>
      <w:marRight w:val="0"/>
      <w:marTop w:val="0"/>
      <w:marBottom w:val="0"/>
      <w:divBdr>
        <w:top w:val="none" w:sz="0" w:space="0" w:color="auto"/>
        <w:left w:val="none" w:sz="0" w:space="0" w:color="auto"/>
        <w:bottom w:val="none" w:sz="0" w:space="0" w:color="auto"/>
        <w:right w:val="none" w:sz="0" w:space="0" w:color="auto"/>
      </w:divBdr>
    </w:div>
    <w:div w:id="1352343947">
      <w:bodyDiv w:val="1"/>
      <w:marLeft w:val="0"/>
      <w:marRight w:val="0"/>
      <w:marTop w:val="0"/>
      <w:marBottom w:val="0"/>
      <w:divBdr>
        <w:top w:val="none" w:sz="0" w:space="0" w:color="auto"/>
        <w:left w:val="none" w:sz="0" w:space="0" w:color="auto"/>
        <w:bottom w:val="none" w:sz="0" w:space="0" w:color="auto"/>
        <w:right w:val="none" w:sz="0" w:space="0" w:color="auto"/>
      </w:divBdr>
    </w:div>
    <w:div w:id="1352730498">
      <w:bodyDiv w:val="1"/>
      <w:marLeft w:val="0"/>
      <w:marRight w:val="0"/>
      <w:marTop w:val="0"/>
      <w:marBottom w:val="0"/>
      <w:divBdr>
        <w:top w:val="none" w:sz="0" w:space="0" w:color="auto"/>
        <w:left w:val="none" w:sz="0" w:space="0" w:color="auto"/>
        <w:bottom w:val="none" w:sz="0" w:space="0" w:color="auto"/>
        <w:right w:val="none" w:sz="0" w:space="0" w:color="auto"/>
      </w:divBdr>
    </w:div>
    <w:div w:id="1353460892">
      <w:bodyDiv w:val="1"/>
      <w:marLeft w:val="0"/>
      <w:marRight w:val="0"/>
      <w:marTop w:val="0"/>
      <w:marBottom w:val="0"/>
      <w:divBdr>
        <w:top w:val="none" w:sz="0" w:space="0" w:color="auto"/>
        <w:left w:val="none" w:sz="0" w:space="0" w:color="auto"/>
        <w:bottom w:val="none" w:sz="0" w:space="0" w:color="auto"/>
        <w:right w:val="none" w:sz="0" w:space="0" w:color="auto"/>
      </w:divBdr>
    </w:div>
    <w:div w:id="1354040438">
      <w:bodyDiv w:val="1"/>
      <w:marLeft w:val="0"/>
      <w:marRight w:val="0"/>
      <w:marTop w:val="0"/>
      <w:marBottom w:val="0"/>
      <w:divBdr>
        <w:top w:val="none" w:sz="0" w:space="0" w:color="auto"/>
        <w:left w:val="none" w:sz="0" w:space="0" w:color="auto"/>
        <w:bottom w:val="none" w:sz="0" w:space="0" w:color="auto"/>
        <w:right w:val="none" w:sz="0" w:space="0" w:color="auto"/>
      </w:divBdr>
    </w:div>
    <w:div w:id="1354963892">
      <w:bodyDiv w:val="1"/>
      <w:marLeft w:val="0"/>
      <w:marRight w:val="0"/>
      <w:marTop w:val="0"/>
      <w:marBottom w:val="0"/>
      <w:divBdr>
        <w:top w:val="none" w:sz="0" w:space="0" w:color="auto"/>
        <w:left w:val="none" w:sz="0" w:space="0" w:color="auto"/>
        <w:bottom w:val="none" w:sz="0" w:space="0" w:color="auto"/>
        <w:right w:val="none" w:sz="0" w:space="0" w:color="auto"/>
      </w:divBdr>
    </w:div>
    <w:div w:id="1355036154">
      <w:bodyDiv w:val="1"/>
      <w:marLeft w:val="0"/>
      <w:marRight w:val="0"/>
      <w:marTop w:val="0"/>
      <w:marBottom w:val="0"/>
      <w:divBdr>
        <w:top w:val="none" w:sz="0" w:space="0" w:color="auto"/>
        <w:left w:val="none" w:sz="0" w:space="0" w:color="auto"/>
        <w:bottom w:val="none" w:sz="0" w:space="0" w:color="auto"/>
        <w:right w:val="none" w:sz="0" w:space="0" w:color="auto"/>
      </w:divBdr>
    </w:div>
    <w:div w:id="1355379512">
      <w:bodyDiv w:val="1"/>
      <w:marLeft w:val="0"/>
      <w:marRight w:val="0"/>
      <w:marTop w:val="0"/>
      <w:marBottom w:val="0"/>
      <w:divBdr>
        <w:top w:val="none" w:sz="0" w:space="0" w:color="auto"/>
        <w:left w:val="none" w:sz="0" w:space="0" w:color="auto"/>
        <w:bottom w:val="none" w:sz="0" w:space="0" w:color="auto"/>
        <w:right w:val="none" w:sz="0" w:space="0" w:color="auto"/>
      </w:divBdr>
    </w:div>
    <w:div w:id="1356225411">
      <w:bodyDiv w:val="1"/>
      <w:marLeft w:val="0"/>
      <w:marRight w:val="0"/>
      <w:marTop w:val="0"/>
      <w:marBottom w:val="0"/>
      <w:divBdr>
        <w:top w:val="none" w:sz="0" w:space="0" w:color="auto"/>
        <w:left w:val="none" w:sz="0" w:space="0" w:color="auto"/>
        <w:bottom w:val="none" w:sz="0" w:space="0" w:color="auto"/>
        <w:right w:val="none" w:sz="0" w:space="0" w:color="auto"/>
      </w:divBdr>
    </w:div>
    <w:div w:id="1356425556">
      <w:bodyDiv w:val="1"/>
      <w:marLeft w:val="0"/>
      <w:marRight w:val="0"/>
      <w:marTop w:val="0"/>
      <w:marBottom w:val="0"/>
      <w:divBdr>
        <w:top w:val="none" w:sz="0" w:space="0" w:color="auto"/>
        <w:left w:val="none" w:sz="0" w:space="0" w:color="auto"/>
        <w:bottom w:val="none" w:sz="0" w:space="0" w:color="auto"/>
        <w:right w:val="none" w:sz="0" w:space="0" w:color="auto"/>
      </w:divBdr>
    </w:div>
    <w:div w:id="1356926420">
      <w:bodyDiv w:val="1"/>
      <w:marLeft w:val="0"/>
      <w:marRight w:val="0"/>
      <w:marTop w:val="0"/>
      <w:marBottom w:val="0"/>
      <w:divBdr>
        <w:top w:val="none" w:sz="0" w:space="0" w:color="auto"/>
        <w:left w:val="none" w:sz="0" w:space="0" w:color="auto"/>
        <w:bottom w:val="none" w:sz="0" w:space="0" w:color="auto"/>
        <w:right w:val="none" w:sz="0" w:space="0" w:color="auto"/>
      </w:divBdr>
    </w:div>
    <w:div w:id="1357537912">
      <w:bodyDiv w:val="1"/>
      <w:marLeft w:val="0"/>
      <w:marRight w:val="0"/>
      <w:marTop w:val="0"/>
      <w:marBottom w:val="0"/>
      <w:divBdr>
        <w:top w:val="none" w:sz="0" w:space="0" w:color="auto"/>
        <w:left w:val="none" w:sz="0" w:space="0" w:color="auto"/>
        <w:bottom w:val="none" w:sz="0" w:space="0" w:color="auto"/>
        <w:right w:val="none" w:sz="0" w:space="0" w:color="auto"/>
      </w:divBdr>
    </w:div>
    <w:div w:id="1358853235">
      <w:bodyDiv w:val="1"/>
      <w:marLeft w:val="0"/>
      <w:marRight w:val="0"/>
      <w:marTop w:val="0"/>
      <w:marBottom w:val="0"/>
      <w:divBdr>
        <w:top w:val="none" w:sz="0" w:space="0" w:color="auto"/>
        <w:left w:val="none" w:sz="0" w:space="0" w:color="auto"/>
        <w:bottom w:val="none" w:sz="0" w:space="0" w:color="auto"/>
        <w:right w:val="none" w:sz="0" w:space="0" w:color="auto"/>
      </w:divBdr>
    </w:div>
    <w:div w:id="1360084640">
      <w:bodyDiv w:val="1"/>
      <w:marLeft w:val="0"/>
      <w:marRight w:val="0"/>
      <w:marTop w:val="0"/>
      <w:marBottom w:val="0"/>
      <w:divBdr>
        <w:top w:val="none" w:sz="0" w:space="0" w:color="auto"/>
        <w:left w:val="none" w:sz="0" w:space="0" w:color="auto"/>
        <w:bottom w:val="none" w:sz="0" w:space="0" w:color="auto"/>
        <w:right w:val="none" w:sz="0" w:space="0" w:color="auto"/>
      </w:divBdr>
    </w:div>
    <w:div w:id="1360424349">
      <w:bodyDiv w:val="1"/>
      <w:marLeft w:val="0"/>
      <w:marRight w:val="0"/>
      <w:marTop w:val="0"/>
      <w:marBottom w:val="0"/>
      <w:divBdr>
        <w:top w:val="none" w:sz="0" w:space="0" w:color="auto"/>
        <w:left w:val="none" w:sz="0" w:space="0" w:color="auto"/>
        <w:bottom w:val="none" w:sz="0" w:space="0" w:color="auto"/>
        <w:right w:val="none" w:sz="0" w:space="0" w:color="auto"/>
      </w:divBdr>
    </w:div>
    <w:div w:id="1360621490">
      <w:bodyDiv w:val="1"/>
      <w:marLeft w:val="0"/>
      <w:marRight w:val="0"/>
      <w:marTop w:val="0"/>
      <w:marBottom w:val="0"/>
      <w:divBdr>
        <w:top w:val="none" w:sz="0" w:space="0" w:color="auto"/>
        <w:left w:val="none" w:sz="0" w:space="0" w:color="auto"/>
        <w:bottom w:val="none" w:sz="0" w:space="0" w:color="auto"/>
        <w:right w:val="none" w:sz="0" w:space="0" w:color="auto"/>
      </w:divBdr>
    </w:div>
    <w:div w:id="1360857804">
      <w:bodyDiv w:val="1"/>
      <w:marLeft w:val="0"/>
      <w:marRight w:val="0"/>
      <w:marTop w:val="0"/>
      <w:marBottom w:val="0"/>
      <w:divBdr>
        <w:top w:val="none" w:sz="0" w:space="0" w:color="auto"/>
        <w:left w:val="none" w:sz="0" w:space="0" w:color="auto"/>
        <w:bottom w:val="none" w:sz="0" w:space="0" w:color="auto"/>
        <w:right w:val="none" w:sz="0" w:space="0" w:color="auto"/>
      </w:divBdr>
    </w:div>
    <w:div w:id="1361317497">
      <w:bodyDiv w:val="1"/>
      <w:marLeft w:val="0"/>
      <w:marRight w:val="0"/>
      <w:marTop w:val="0"/>
      <w:marBottom w:val="0"/>
      <w:divBdr>
        <w:top w:val="none" w:sz="0" w:space="0" w:color="auto"/>
        <w:left w:val="none" w:sz="0" w:space="0" w:color="auto"/>
        <w:bottom w:val="none" w:sz="0" w:space="0" w:color="auto"/>
        <w:right w:val="none" w:sz="0" w:space="0" w:color="auto"/>
      </w:divBdr>
    </w:div>
    <w:div w:id="1361323743">
      <w:bodyDiv w:val="1"/>
      <w:marLeft w:val="0"/>
      <w:marRight w:val="0"/>
      <w:marTop w:val="0"/>
      <w:marBottom w:val="0"/>
      <w:divBdr>
        <w:top w:val="none" w:sz="0" w:space="0" w:color="auto"/>
        <w:left w:val="none" w:sz="0" w:space="0" w:color="auto"/>
        <w:bottom w:val="none" w:sz="0" w:space="0" w:color="auto"/>
        <w:right w:val="none" w:sz="0" w:space="0" w:color="auto"/>
      </w:divBdr>
    </w:div>
    <w:div w:id="1361475044">
      <w:bodyDiv w:val="1"/>
      <w:marLeft w:val="0"/>
      <w:marRight w:val="0"/>
      <w:marTop w:val="0"/>
      <w:marBottom w:val="0"/>
      <w:divBdr>
        <w:top w:val="none" w:sz="0" w:space="0" w:color="auto"/>
        <w:left w:val="none" w:sz="0" w:space="0" w:color="auto"/>
        <w:bottom w:val="none" w:sz="0" w:space="0" w:color="auto"/>
        <w:right w:val="none" w:sz="0" w:space="0" w:color="auto"/>
      </w:divBdr>
    </w:div>
    <w:div w:id="1361928767">
      <w:bodyDiv w:val="1"/>
      <w:marLeft w:val="0"/>
      <w:marRight w:val="0"/>
      <w:marTop w:val="0"/>
      <w:marBottom w:val="0"/>
      <w:divBdr>
        <w:top w:val="none" w:sz="0" w:space="0" w:color="auto"/>
        <w:left w:val="none" w:sz="0" w:space="0" w:color="auto"/>
        <w:bottom w:val="none" w:sz="0" w:space="0" w:color="auto"/>
        <w:right w:val="none" w:sz="0" w:space="0" w:color="auto"/>
      </w:divBdr>
    </w:div>
    <w:div w:id="1361935291">
      <w:bodyDiv w:val="1"/>
      <w:marLeft w:val="0"/>
      <w:marRight w:val="0"/>
      <w:marTop w:val="0"/>
      <w:marBottom w:val="0"/>
      <w:divBdr>
        <w:top w:val="none" w:sz="0" w:space="0" w:color="auto"/>
        <w:left w:val="none" w:sz="0" w:space="0" w:color="auto"/>
        <w:bottom w:val="none" w:sz="0" w:space="0" w:color="auto"/>
        <w:right w:val="none" w:sz="0" w:space="0" w:color="auto"/>
      </w:divBdr>
    </w:div>
    <w:div w:id="1363281138">
      <w:bodyDiv w:val="1"/>
      <w:marLeft w:val="0"/>
      <w:marRight w:val="0"/>
      <w:marTop w:val="0"/>
      <w:marBottom w:val="0"/>
      <w:divBdr>
        <w:top w:val="none" w:sz="0" w:space="0" w:color="auto"/>
        <w:left w:val="none" w:sz="0" w:space="0" w:color="auto"/>
        <w:bottom w:val="none" w:sz="0" w:space="0" w:color="auto"/>
        <w:right w:val="none" w:sz="0" w:space="0" w:color="auto"/>
      </w:divBdr>
    </w:div>
    <w:div w:id="1363478829">
      <w:bodyDiv w:val="1"/>
      <w:marLeft w:val="0"/>
      <w:marRight w:val="0"/>
      <w:marTop w:val="0"/>
      <w:marBottom w:val="0"/>
      <w:divBdr>
        <w:top w:val="none" w:sz="0" w:space="0" w:color="auto"/>
        <w:left w:val="none" w:sz="0" w:space="0" w:color="auto"/>
        <w:bottom w:val="none" w:sz="0" w:space="0" w:color="auto"/>
        <w:right w:val="none" w:sz="0" w:space="0" w:color="auto"/>
      </w:divBdr>
    </w:div>
    <w:div w:id="1363479208">
      <w:bodyDiv w:val="1"/>
      <w:marLeft w:val="0"/>
      <w:marRight w:val="0"/>
      <w:marTop w:val="0"/>
      <w:marBottom w:val="0"/>
      <w:divBdr>
        <w:top w:val="none" w:sz="0" w:space="0" w:color="auto"/>
        <w:left w:val="none" w:sz="0" w:space="0" w:color="auto"/>
        <w:bottom w:val="none" w:sz="0" w:space="0" w:color="auto"/>
        <w:right w:val="none" w:sz="0" w:space="0" w:color="auto"/>
      </w:divBdr>
    </w:div>
    <w:div w:id="1363749989">
      <w:bodyDiv w:val="1"/>
      <w:marLeft w:val="0"/>
      <w:marRight w:val="0"/>
      <w:marTop w:val="0"/>
      <w:marBottom w:val="0"/>
      <w:divBdr>
        <w:top w:val="none" w:sz="0" w:space="0" w:color="auto"/>
        <w:left w:val="none" w:sz="0" w:space="0" w:color="auto"/>
        <w:bottom w:val="none" w:sz="0" w:space="0" w:color="auto"/>
        <w:right w:val="none" w:sz="0" w:space="0" w:color="auto"/>
      </w:divBdr>
    </w:div>
    <w:div w:id="1364017421">
      <w:bodyDiv w:val="1"/>
      <w:marLeft w:val="0"/>
      <w:marRight w:val="0"/>
      <w:marTop w:val="0"/>
      <w:marBottom w:val="0"/>
      <w:divBdr>
        <w:top w:val="none" w:sz="0" w:space="0" w:color="auto"/>
        <w:left w:val="none" w:sz="0" w:space="0" w:color="auto"/>
        <w:bottom w:val="none" w:sz="0" w:space="0" w:color="auto"/>
        <w:right w:val="none" w:sz="0" w:space="0" w:color="auto"/>
      </w:divBdr>
    </w:div>
    <w:div w:id="1364986987">
      <w:bodyDiv w:val="1"/>
      <w:marLeft w:val="0"/>
      <w:marRight w:val="0"/>
      <w:marTop w:val="0"/>
      <w:marBottom w:val="0"/>
      <w:divBdr>
        <w:top w:val="none" w:sz="0" w:space="0" w:color="auto"/>
        <w:left w:val="none" w:sz="0" w:space="0" w:color="auto"/>
        <w:bottom w:val="none" w:sz="0" w:space="0" w:color="auto"/>
        <w:right w:val="none" w:sz="0" w:space="0" w:color="auto"/>
      </w:divBdr>
    </w:div>
    <w:div w:id="1368945096">
      <w:bodyDiv w:val="1"/>
      <w:marLeft w:val="0"/>
      <w:marRight w:val="0"/>
      <w:marTop w:val="0"/>
      <w:marBottom w:val="0"/>
      <w:divBdr>
        <w:top w:val="none" w:sz="0" w:space="0" w:color="auto"/>
        <w:left w:val="none" w:sz="0" w:space="0" w:color="auto"/>
        <w:bottom w:val="none" w:sz="0" w:space="0" w:color="auto"/>
        <w:right w:val="none" w:sz="0" w:space="0" w:color="auto"/>
      </w:divBdr>
    </w:div>
    <w:div w:id="1369572067">
      <w:bodyDiv w:val="1"/>
      <w:marLeft w:val="0"/>
      <w:marRight w:val="0"/>
      <w:marTop w:val="0"/>
      <w:marBottom w:val="0"/>
      <w:divBdr>
        <w:top w:val="none" w:sz="0" w:space="0" w:color="auto"/>
        <w:left w:val="none" w:sz="0" w:space="0" w:color="auto"/>
        <w:bottom w:val="none" w:sz="0" w:space="0" w:color="auto"/>
        <w:right w:val="none" w:sz="0" w:space="0" w:color="auto"/>
      </w:divBdr>
    </w:div>
    <w:div w:id="1371105028">
      <w:bodyDiv w:val="1"/>
      <w:marLeft w:val="0"/>
      <w:marRight w:val="0"/>
      <w:marTop w:val="0"/>
      <w:marBottom w:val="0"/>
      <w:divBdr>
        <w:top w:val="none" w:sz="0" w:space="0" w:color="auto"/>
        <w:left w:val="none" w:sz="0" w:space="0" w:color="auto"/>
        <w:bottom w:val="none" w:sz="0" w:space="0" w:color="auto"/>
        <w:right w:val="none" w:sz="0" w:space="0" w:color="auto"/>
      </w:divBdr>
    </w:div>
    <w:div w:id="1375083364">
      <w:bodyDiv w:val="1"/>
      <w:marLeft w:val="0"/>
      <w:marRight w:val="0"/>
      <w:marTop w:val="0"/>
      <w:marBottom w:val="0"/>
      <w:divBdr>
        <w:top w:val="none" w:sz="0" w:space="0" w:color="auto"/>
        <w:left w:val="none" w:sz="0" w:space="0" w:color="auto"/>
        <w:bottom w:val="none" w:sz="0" w:space="0" w:color="auto"/>
        <w:right w:val="none" w:sz="0" w:space="0" w:color="auto"/>
      </w:divBdr>
    </w:div>
    <w:div w:id="1377658140">
      <w:bodyDiv w:val="1"/>
      <w:marLeft w:val="0"/>
      <w:marRight w:val="0"/>
      <w:marTop w:val="0"/>
      <w:marBottom w:val="0"/>
      <w:divBdr>
        <w:top w:val="none" w:sz="0" w:space="0" w:color="auto"/>
        <w:left w:val="none" w:sz="0" w:space="0" w:color="auto"/>
        <w:bottom w:val="none" w:sz="0" w:space="0" w:color="auto"/>
        <w:right w:val="none" w:sz="0" w:space="0" w:color="auto"/>
      </w:divBdr>
    </w:div>
    <w:div w:id="1378624626">
      <w:bodyDiv w:val="1"/>
      <w:marLeft w:val="0"/>
      <w:marRight w:val="0"/>
      <w:marTop w:val="0"/>
      <w:marBottom w:val="0"/>
      <w:divBdr>
        <w:top w:val="none" w:sz="0" w:space="0" w:color="auto"/>
        <w:left w:val="none" w:sz="0" w:space="0" w:color="auto"/>
        <w:bottom w:val="none" w:sz="0" w:space="0" w:color="auto"/>
        <w:right w:val="none" w:sz="0" w:space="0" w:color="auto"/>
      </w:divBdr>
    </w:div>
    <w:div w:id="1379433574">
      <w:bodyDiv w:val="1"/>
      <w:marLeft w:val="0"/>
      <w:marRight w:val="0"/>
      <w:marTop w:val="0"/>
      <w:marBottom w:val="0"/>
      <w:divBdr>
        <w:top w:val="none" w:sz="0" w:space="0" w:color="auto"/>
        <w:left w:val="none" w:sz="0" w:space="0" w:color="auto"/>
        <w:bottom w:val="none" w:sz="0" w:space="0" w:color="auto"/>
        <w:right w:val="none" w:sz="0" w:space="0" w:color="auto"/>
      </w:divBdr>
    </w:div>
    <w:div w:id="1379547155">
      <w:bodyDiv w:val="1"/>
      <w:marLeft w:val="0"/>
      <w:marRight w:val="0"/>
      <w:marTop w:val="0"/>
      <w:marBottom w:val="0"/>
      <w:divBdr>
        <w:top w:val="none" w:sz="0" w:space="0" w:color="auto"/>
        <w:left w:val="none" w:sz="0" w:space="0" w:color="auto"/>
        <w:bottom w:val="none" w:sz="0" w:space="0" w:color="auto"/>
        <w:right w:val="none" w:sz="0" w:space="0" w:color="auto"/>
      </w:divBdr>
    </w:div>
    <w:div w:id="1380281417">
      <w:bodyDiv w:val="1"/>
      <w:marLeft w:val="0"/>
      <w:marRight w:val="0"/>
      <w:marTop w:val="0"/>
      <w:marBottom w:val="0"/>
      <w:divBdr>
        <w:top w:val="none" w:sz="0" w:space="0" w:color="auto"/>
        <w:left w:val="none" w:sz="0" w:space="0" w:color="auto"/>
        <w:bottom w:val="none" w:sz="0" w:space="0" w:color="auto"/>
        <w:right w:val="none" w:sz="0" w:space="0" w:color="auto"/>
      </w:divBdr>
    </w:div>
    <w:div w:id="1383166284">
      <w:bodyDiv w:val="1"/>
      <w:marLeft w:val="0"/>
      <w:marRight w:val="0"/>
      <w:marTop w:val="0"/>
      <w:marBottom w:val="0"/>
      <w:divBdr>
        <w:top w:val="none" w:sz="0" w:space="0" w:color="auto"/>
        <w:left w:val="none" w:sz="0" w:space="0" w:color="auto"/>
        <w:bottom w:val="none" w:sz="0" w:space="0" w:color="auto"/>
        <w:right w:val="none" w:sz="0" w:space="0" w:color="auto"/>
      </w:divBdr>
    </w:div>
    <w:div w:id="1383481413">
      <w:bodyDiv w:val="1"/>
      <w:marLeft w:val="0"/>
      <w:marRight w:val="0"/>
      <w:marTop w:val="0"/>
      <w:marBottom w:val="0"/>
      <w:divBdr>
        <w:top w:val="none" w:sz="0" w:space="0" w:color="auto"/>
        <w:left w:val="none" w:sz="0" w:space="0" w:color="auto"/>
        <w:bottom w:val="none" w:sz="0" w:space="0" w:color="auto"/>
        <w:right w:val="none" w:sz="0" w:space="0" w:color="auto"/>
      </w:divBdr>
    </w:div>
    <w:div w:id="1383753088">
      <w:bodyDiv w:val="1"/>
      <w:marLeft w:val="0"/>
      <w:marRight w:val="0"/>
      <w:marTop w:val="0"/>
      <w:marBottom w:val="0"/>
      <w:divBdr>
        <w:top w:val="none" w:sz="0" w:space="0" w:color="auto"/>
        <w:left w:val="none" w:sz="0" w:space="0" w:color="auto"/>
        <w:bottom w:val="none" w:sz="0" w:space="0" w:color="auto"/>
        <w:right w:val="none" w:sz="0" w:space="0" w:color="auto"/>
      </w:divBdr>
    </w:div>
    <w:div w:id="1383944303">
      <w:bodyDiv w:val="1"/>
      <w:marLeft w:val="0"/>
      <w:marRight w:val="0"/>
      <w:marTop w:val="0"/>
      <w:marBottom w:val="0"/>
      <w:divBdr>
        <w:top w:val="none" w:sz="0" w:space="0" w:color="auto"/>
        <w:left w:val="none" w:sz="0" w:space="0" w:color="auto"/>
        <w:bottom w:val="none" w:sz="0" w:space="0" w:color="auto"/>
        <w:right w:val="none" w:sz="0" w:space="0" w:color="auto"/>
      </w:divBdr>
    </w:div>
    <w:div w:id="1384518937">
      <w:bodyDiv w:val="1"/>
      <w:marLeft w:val="0"/>
      <w:marRight w:val="0"/>
      <w:marTop w:val="0"/>
      <w:marBottom w:val="0"/>
      <w:divBdr>
        <w:top w:val="none" w:sz="0" w:space="0" w:color="auto"/>
        <w:left w:val="none" w:sz="0" w:space="0" w:color="auto"/>
        <w:bottom w:val="none" w:sz="0" w:space="0" w:color="auto"/>
        <w:right w:val="none" w:sz="0" w:space="0" w:color="auto"/>
      </w:divBdr>
    </w:div>
    <w:div w:id="1384868164">
      <w:bodyDiv w:val="1"/>
      <w:marLeft w:val="0"/>
      <w:marRight w:val="0"/>
      <w:marTop w:val="0"/>
      <w:marBottom w:val="0"/>
      <w:divBdr>
        <w:top w:val="none" w:sz="0" w:space="0" w:color="auto"/>
        <w:left w:val="none" w:sz="0" w:space="0" w:color="auto"/>
        <w:bottom w:val="none" w:sz="0" w:space="0" w:color="auto"/>
        <w:right w:val="none" w:sz="0" w:space="0" w:color="auto"/>
      </w:divBdr>
    </w:div>
    <w:div w:id="1387143147">
      <w:bodyDiv w:val="1"/>
      <w:marLeft w:val="0"/>
      <w:marRight w:val="0"/>
      <w:marTop w:val="0"/>
      <w:marBottom w:val="0"/>
      <w:divBdr>
        <w:top w:val="none" w:sz="0" w:space="0" w:color="auto"/>
        <w:left w:val="none" w:sz="0" w:space="0" w:color="auto"/>
        <w:bottom w:val="none" w:sz="0" w:space="0" w:color="auto"/>
        <w:right w:val="none" w:sz="0" w:space="0" w:color="auto"/>
      </w:divBdr>
    </w:div>
    <w:div w:id="1387801241">
      <w:bodyDiv w:val="1"/>
      <w:marLeft w:val="0"/>
      <w:marRight w:val="0"/>
      <w:marTop w:val="0"/>
      <w:marBottom w:val="0"/>
      <w:divBdr>
        <w:top w:val="none" w:sz="0" w:space="0" w:color="auto"/>
        <w:left w:val="none" w:sz="0" w:space="0" w:color="auto"/>
        <w:bottom w:val="none" w:sz="0" w:space="0" w:color="auto"/>
        <w:right w:val="none" w:sz="0" w:space="0" w:color="auto"/>
      </w:divBdr>
    </w:div>
    <w:div w:id="1388383643">
      <w:bodyDiv w:val="1"/>
      <w:marLeft w:val="0"/>
      <w:marRight w:val="0"/>
      <w:marTop w:val="0"/>
      <w:marBottom w:val="0"/>
      <w:divBdr>
        <w:top w:val="none" w:sz="0" w:space="0" w:color="auto"/>
        <w:left w:val="none" w:sz="0" w:space="0" w:color="auto"/>
        <w:bottom w:val="none" w:sz="0" w:space="0" w:color="auto"/>
        <w:right w:val="none" w:sz="0" w:space="0" w:color="auto"/>
      </w:divBdr>
    </w:div>
    <w:div w:id="1388916867">
      <w:bodyDiv w:val="1"/>
      <w:marLeft w:val="0"/>
      <w:marRight w:val="0"/>
      <w:marTop w:val="0"/>
      <w:marBottom w:val="0"/>
      <w:divBdr>
        <w:top w:val="none" w:sz="0" w:space="0" w:color="auto"/>
        <w:left w:val="none" w:sz="0" w:space="0" w:color="auto"/>
        <w:bottom w:val="none" w:sz="0" w:space="0" w:color="auto"/>
        <w:right w:val="none" w:sz="0" w:space="0" w:color="auto"/>
      </w:divBdr>
    </w:div>
    <w:div w:id="1389760626">
      <w:bodyDiv w:val="1"/>
      <w:marLeft w:val="0"/>
      <w:marRight w:val="0"/>
      <w:marTop w:val="0"/>
      <w:marBottom w:val="0"/>
      <w:divBdr>
        <w:top w:val="none" w:sz="0" w:space="0" w:color="auto"/>
        <w:left w:val="none" w:sz="0" w:space="0" w:color="auto"/>
        <w:bottom w:val="none" w:sz="0" w:space="0" w:color="auto"/>
        <w:right w:val="none" w:sz="0" w:space="0" w:color="auto"/>
      </w:divBdr>
    </w:div>
    <w:div w:id="1390029078">
      <w:bodyDiv w:val="1"/>
      <w:marLeft w:val="0"/>
      <w:marRight w:val="0"/>
      <w:marTop w:val="0"/>
      <w:marBottom w:val="0"/>
      <w:divBdr>
        <w:top w:val="none" w:sz="0" w:space="0" w:color="auto"/>
        <w:left w:val="none" w:sz="0" w:space="0" w:color="auto"/>
        <w:bottom w:val="none" w:sz="0" w:space="0" w:color="auto"/>
        <w:right w:val="none" w:sz="0" w:space="0" w:color="auto"/>
      </w:divBdr>
    </w:div>
    <w:div w:id="1390883999">
      <w:bodyDiv w:val="1"/>
      <w:marLeft w:val="0"/>
      <w:marRight w:val="0"/>
      <w:marTop w:val="0"/>
      <w:marBottom w:val="0"/>
      <w:divBdr>
        <w:top w:val="none" w:sz="0" w:space="0" w:color="auto"/>
        <w:left w:val="none" w:sz="0" w:space="0" w:color="auto"/>
        <w:bottom w:val="none" w:sz="0" w:space="0" w:color="auto"/>
        <w:right w:val="none" w:sz="0" w:space="0" w:color="auto"/>
      </w:divBdr>
    </w:div>
    <w:div w:id="1392340029">
      <w:bodyDiv w:val="1"/>
      <w:marLeft w:val="0"/>
      <w:marRight w:val="0"/>
      <w:marTop w:val="0"/>
      <w:marBottom w:val="0"/>
      <w:divBdr>
        <w:top w:val="none" w:sz="0" w:space="0" w:color="auto"/>
        <w:left w:val="none" w:sz="0" w:space="0" w:color="auto"/>
        <w:bottom w:val="none" w:sz="0" w:space="0" w:color="auto"/>
        <w:right w:val="none" w:sz="0" w:space="0" w:color="auto"/>
      </w:divBdr>
    </w:div>
    <w:div w:id="1392463835">
      <w:bodyDiv w:val="1"/>
      <w:marLeft w:val="0"/>
      <w:marRight w:val="0"/>
      <w:marTop w:val="0"/>
      <w:marBottom w:val="0"/>
      <w:divBdr>
        <w:top w:val="none" w:sz="0" w:space="0" w:color="auto"/>
        <w:left w:val="none" w:sz="0" w:space="0" w:color="auto"/>
        <w:bottom w:val="none" w:sz="0" w:space="0" w:color="auto"/>
        <w:right w:val="none" w:sz="0" w:space="0" w:color="auto"/>
      </w:divBdr>
    </w:div>
    <w:div w:id="1392776983">
      <w:bodyDiv w:val="1"/>
      <w:marLeft w:val="0"/>
      <w:marRight w:val="0"/>
      <w:marTop w:val="0"/>
      <w:marBottom w:val="0"/>
      <w:divBdr>
        <w:top w:val="none" w:sz="0" w:space="0" w:color="auto"/>
        <w:left w:val="none" w:sz="0" w:space="0" w:color="auto"/>
        <w:bottom w:val="none" w:sz="0" w:space="0" w:color="auto"/>
        <w:right w:val="none" w:sz="0" w:space="0" w:color="auto"/>
      </w:divBdr>
    </w:div>
    <w:div w:id="1392852207">
      <w:bodyDiv w:val="1"/>
      <w:marLeft w:val="0"/>
      <w:marRight w:val="0"/>
      <w:marTop w:val="0"/>
      <w:marBottom w:val="0"/>
      <w:divBdr>
        <w:top w:val="none" w:sz="0" w:space="0" w:color="auto"/>
        <w:left w:val="none" w:sz="0" w:space="0" w:color="auto"/>
        <w:bottom w:val="none" w:sz="0" w:space="0" w:color="auto"/>
        <w:right w:val="none" w:sz="0" w:space="0" w:color="auto"/>
      </w:divBdr>
    </w:div>
    <w:div w:id="1394036917">
      <w:bodyDiv w:val="1"/>
      <w:marLeft w:val="0"/>
      <w:marRight w:val="0"/>
      <w:marTop w:val="0"/>
      <w:marBottom w:val="0"/>
      <w:divBdr>
        <w:top w:val="none" w:sz="0" w:space="0" w:color="auto"/>
        <w:left w:val="none" w:sz="0" w:space="0" w:color="auto"/>
        <w:bottom w:val="none" w:sz="0" w:space="0" w:color="auto"/>
        <w:right w:val="none" w:sz="0" w:space="0" w:color="auto"/>
      </w:divBdr>
    </w:div>
    <w:div w:id="1394501934">
      <w:bodyDiv w:val="1"/>
      <w:marLeft w:val="0"/>
      <w:marRight w:val="0"/>
      <w:marTop w:val="0"/>
      <w:marBottom w:val="0"/>
      <w:divBdr>
        <w:top w:val="none" w:sz="0" w:space="0" w:color="auto"/>
        <w:left w:val="none" w:sz="0" w:space="0" w:color="auto"/>
        <w:bottom w:val="none" w:sz="0" w:space="0" w:color="auto"/>
        <w:right w:val="none" w:sz="0" w:space="0" w:color="auto"/>
      </w:divBdr>
    </w:div>
    <w:div w:id="1396077974">
      <w:bodyDiv w:val="1"/>
      <w:marLeft w:val="0"/>
      <w:marRight w:val="0"/>
      <w:marTop w:val="0"/>
      <w:marBottom w:val="0"/>
      <w:divBdr>
        <w:top w:val="none" w:sz="0" w:space="0" w:color="auto"/>
        <w:left w:val="none" w:sz="0" w:space="0" w:color="auto"/>
        <w:bottom w:val="none" w:sz="0" w:space="0" w:color="auto"/>
        <w:right w:val="none" w:sz="0" w:space="0" w:color="auto"/>
      </w:divBdr>
    </w:div>
    <w:div w:id="1396973055">
      <w:bodyDiv w:val="1"/>
      <w:marLeft w:val="0"/>
      <w:marRight w:val="0"/>
      <w:marTop w:val="0"/>
      <w:marBottom w:val="0"/>
      <w:divBdr>
        <w:top w:val="none" w:sz="0" w:space="0" w:color="auto"/>
        <w:left w:val="none" w:sz="0" w:space="0" w:color="auto"/>
        <w:bottom w:val="none" w:sz="0" w:space="0" w:color="auto"/>
        <w:right w:val="none" w:sz="0" w:space="0" w:color="auto"/>
      </w:divBdr>
    </w:div>
    <w:div w:id="1398699152">
      <w:bodyDiv w:val="1"/>
      <w:marLeft w:val="0"/>
      <w:marRight w:val="0"/>
      <w:marTop w:val="0"/>
      <w:marBottom w:val="0"/>
      <w:divBdr>
        <w:top w:val="none" w:sz="0" w:space="0" w:color="auto"/>
        <w:left w:val="none" w:sz="0" w:space="0" w:color="auto"/>
        <w:bottom w:val="none" w:sz="0" w:space="0" w:color="auto"/>
        <w:right w:val="none" w:sz="0" w:space="0" w:color="auto"/>
      </w:divBdr>
    </w:div>
    <w:div w:id="1398942010">
      <w:bodyDiv w:val="1"/>
      <w:marLeft w:val="0"/>
      <w:marRight w:val="0"/>
      <w:marTop w:val="0"/>
      <w:marBottom w:val="0"/>
      <w:divBdr>
        <w:top w:val="none" w:sz="0" w:space="0" w:color="auto"/>
        <w:left w:val="none" w:sz="0" w:space="0" w:color="auto"/>
        <w:bottom w:val="none" w:sz="0" w:space="0" w:color="auto"/>
        <w:right w:val="none" w:sz="0" w:space="0" w:color="auto"/>
      </w:divBdr>
    </w:div>
    <w:div w:id="1399085888">
      <w:bodyDiv w:val="1"/>
      <w:marLeft w:val="0"/>
      <w:marRight w:val="0"/>
      <w:marTop w:val="0"/>
      <w:marBottom w:val="0"/>
      <w:divBdr>
        <w:top w:val="none" w:sz="0" w:space="0" w:color="auto"/>
        <w:left w:val="none" w:sz="0" w:space="0" w:color="auto"/>
        <w:bottom w:val="none" w:sz="0" w:space="0" w:color="auto"/>
        <w:right w:val="none" w:sz="0" w:space="0" w:color="auto"/>
      </w:divBdr>
    </w:div>
    <w:div w:id="1399286523">
      <w:bodyDiv w:val="1"/>
      <w:marLeft w:val="0"/>
      <w:marRight w:val="0"/>
      <w:marTop w:val="0"/>
      <w:marBottom w:val="0"/>
      <w:divBdr>
        <w:top w:val="none" w:sz="0" w:space="0" w:color="auto"/>
        <w:left w:val="none" w:sz="0" w:space="0" w:color="auto"/>
        <w:bottom w:val="none" w:sz="0" w:space="0" w:color="auto"/>
        <w:right w:val="none" w:sz="0" w:space="0" w:color="auto"/>
      </w:divBdr>
    </w:div>
    <w:div w:id="1401638864">
      <w:bodyDiv w:val="1"/>
      <w:marLeft w:val="0"/>
      <w:marRight w:val="0"/>
      <w:marTop w:val="0"/>
      <w:marBottom w:val="0"/>
      <w:divBdr>
        <w:top w:val="none" w:sz="0" w:space="0" w:color="auto"/>
        <w:left w:val="none" w:sz="0" w:space="0" w:color="auto"/>
        <w:bottom w:val="none" w:sz="0" w:space="0" w:color="auto"/>
        <w:right w:val="none" w:sz="0" w:space="0" w:color="auto"/>
      </w:divBdr>
    </w:div>
    <w:div w:id="1402488973">
      <w:bodyDiv w:val="1"/>
      <w:marLeft w:val="0"/>
      <w:marRight w:val="0"/>
      <w:marTop w:val="0"/>
      <w:marBottom w:val="0"/>
      <w:divBdr>
        <w:top w:val="none" w:sz="0" w:space="0" w:color="auto"/>
        <w:left w:val="none" w:sz="0" w:space="0" w:color="auto"/>
        <w:bottom w:val="none" w:sz="0" w:space="0" w:color="auto"/>
        <w:right w:val="none" w:sz="0" w:space="0" w:color="auto"/>
      </w:divBdr>
    </w:div>
    <w:div w:id="1402601704">
      <w:bodyDiv w:val="1"/>
      <w:marLeft w:val="0"/>
      <w:marRight w:val="0"/>
      <w:marTop w:val="0"/>
      <w:marBottom w:val="0"/>
      <w:divBdr>
        <w:top w:val="none" w:sz="0" w:space="0" w:color="auto"/>
        <w:left w:val="none" w:sz="0" w:space="0" w:color="auto"/>
        <w:bottom w:val="none" w:sz="0" w:space="0" w:color="auto"/>
        <w:right w:val="none" w:sz="0" w:space="0" w:color="auto"/>
      </w:divBdr>
    </w:div>
    <w:div w:id="1404448964">
      <w:bodyDiv w:val="1"/>
      <w:marLeft w:val="0"/>
      <w:marRight w:val="0"/>
      <w:marTop w:val="0"/>
      <w:marBottom w:val="0"/>
      <w:divBdr>
        <w:top w:val="none" w:sz="0" w:space="0" w:color="auto"/>
        <w:left w:val="none" w:sz="0" w:space="0" w:color="auto"/>
        <w:bottom w:val="none" w:sz="0" w:space="0" w:color="auto"/>
        <w:right w:val="none" w:sz="0" w:space="0" w:color="auto"/>
      </w:divBdr>
    </w:div>
    <w:div w:id="1405952067">
      <w:bodyDiv w:val="1"/>
      <w:marLeft w:val="0"/>
      <w:marRight w:val="0"/>
      <w:marTop w:val="0"/>
      <w:marBottom w:val="0"/>
      <w:divBdr>
        <w:top w:val="none" w:sz="0" w:space="0" w:color="auto"/>
        <w:left w:val="none" w:sz="0" w:space="0" w:color="auto"/>
        <w:bottom w:val="none" w:sz="0" w:space="0" w:color="auto"/>
        <w:right w:val="none" w:sz="0" w:space="0" w:color="auto"/>
      </w:divBdr>
    </w:div>
    <w:div w:id="1406220131">
      <w:bodyDiv w:val="1"/>
      <w:marLeft w:val="0"/>
      <w:marRight w:val="0"/>
      <w:marTop w:val="0"/>
      <w:marBottom w:val="0"/>
      <w:divBdr>
        <w:top w:val="none" w:sz="0" w:space="0" w:color="auto"/>
        <w:left w:val="none" w:sz="0" w:space="0" w:color="auto"/>
        <w:bottom w:val="none" w:sz="0" w:space="0" w:color="auto"/>
        <w:right w:val="none" w:sz="0" w:space="0" w:color="auto"/>
      </w:divBdr>
    </w:div>
    <w:div w:id="1406223515">
      <w:bodyDiv w:val="1"/>
      <w:marLeft w:val="0"/>
      <w:marRight w:val="0"/>
      <w:marTop w:val="0"/>
      <w:marBottom w:val="0"/>
      <w:divBdr>
        <w:top w:val="none" w:sz="0" w:space="0" w:color="auto"/>
        <w:left w:val="none" w:sz="0" w:space="0" w:color="auto"/>
        <w:bottom w:val="none" w:sz="0" w:space="0" w:color="auto"/>
        <w:right w:val="none" w:sz="0" w:space="0" w:color="auto"/>
      </w:divBdr>
    </w:div>
    <w:div w:id="1407068428">
      <w:bodyDiv w:val="1"/>
      <w:marLeft w:val="0"/>
      <w:marRight w:val="0"/>
      <w:marTop w:val="0"/>
      <w:marBottom w:val="0"/>
      <w:divBdr>
        <w:top w:val="none" w:sz="0" w:space="0" w:color="auto"/>
        <w:left w:val="none" w:sz="0" w:space="0" w:color="auto"/>
        <w:bottom w:val="none" w:sz="0" w:space="0" w:color="auto"/>
        <w:right w:val="none" w:sz="0" w:space="0" w:color="auto"/>
      </w:divBdr>
    </w:div>
    <w:div w:id="1407612108">
      <w:bodyDiv w:val="1"/>
      <w:marLeft w:val="0"/>
      <w:marRight w:val="0"/>
      <w:marTop w:val="0"/>
      <w:marBottom w:val="0"/>
      <w:divBdr>
        <w:top w:val="none" w:sz="0" w:space="0" w:color="auto"/>
        <w:left w:val="none" w:sz="0" w:space="0" w:color="auto"/>
        <w:bottom w:val="none" w:sz="0" w:space="0" w:color="auto"/>
        <w:right w:val="none" w:sz="0" w:space="0" w:color="auto"/>
      </w:divBdr>
    </w:div>
    <w:div w:id="1410156038">
      <w:bodyDiv w:val="1"/>
      <w:marLeft w:val="0"/>
      <w:marRight w:val="0"/>
      <w:marTop w:val="0"/>
      <w:marBottom w:val="0"/>
      <w:divBdr>
        <w:top w:val="none" w:sz="0" w:space="0" w:color="auto"/>
        <w:left w:val="none" w:sz="0" w:space="0" w:color="auto"/>
        <w:bottom w:val="none" w:sz="0" w:space="0" w:color="auto"/>
        <w:right w:val="none" w:sz="0" w:space="0" w:color="auto"/>
      </w:divBdr>
    </w:div>
    <w:div w:id="1410346137">
      <w:bodyDiv w:val="1"/>
      <w:marLeft w:val="0"/>
      <w:marRight w:val="0"/>
      <w:marTop w:val="0"/>
      <w:marBottom w:val="0"/>
      <w:divBdr>
        <w:top w:val="none" w:sz="0" w:space="0" w:color="auto"/>
        <w:left w:val="none" w:sz="0" w:space="0" w:color="auto"/>
        <w:bottom w:val="none" w:sz="0" w:space="0" w:color="auto"/>
        <w:right w:val="none" w:sz="0" w:space="0" w:color="auto"/>
      </w:divBdr>
    </w:div>
    <w:div w:id="1411074400">
      <w:bodyDiv w:val="1"/>
      <w:marLeft w:val="0"/>
      <w:marRight w:val="0"/>
      <w:marTop w:val="0"/>
      <w:marBottom w:val="0"/>
      <w:divBdr>
        <w:top w:val="none" w:sz="0" w:space="0" w:color="auto"/>
        <w:left w:val="none" w:sz="0" w:space="0" w:color="auto"/>
        <w:bottom w:val="none" w:sz="0" w:space="0" w:color="auto"/>
        <w:right w:val="none" w:sz="0" w:space="0" w:color="auto"/>
      </w:divBdr>
    </w:div>
    <w:div w:id="1411731405">
      <w:bodyDiv w:val="1"/>
      <w:marLeft w:val="0"/>
      <w:marRight w:val="0"/>
      <w:marTop w:val="0"/>
      <w:marBottom w:val="0"/>
      <w:divBdr>
        <w:top w:val="none" w:sz="0" w:space="0" w:color="auto"/>
        <w:left w:val="none" w:sz="0" w:space="0" w:color="auto"/>
        <w:bottom w:val="none" w:sz="0" w:space="0" w:color="auto"/>
        <w:right w:val="none" w:sz="0" w:space="0" w:color="auto"/>
      </w:divBdr>
    </w:div>
    <w:div w:id="1412850329">
      <w:bodyDiv w:val="1"/>
      <w:marLeft w:val="0"/>
      <w:marRight w:val="0"/>
      <w:marTop w:val="0"/>
      <w:marBottom w:val="0"/>
      <w:divBdr>
        <w:top w:val="none" w:sz="0" w:space="0" w:color="auto"/>
        <w:left w:val="none" w:sz="0" w:space="0" w:color="auto"/>
        <w:bottom w:val="none" w:sz="0" w:space="0" w:color="auto"/>
        <w:right w:val="none" w:sz="0" w:space="0" w:color="auto"/>
      </w:divBdr>
    </w:div>
    <w:div w:id="1414163853">
      <w:bodyDiv w:val="1"/>
      <w:marLeft w:val="0"/>
      <w:marRight w:val="0"/>
      <w:marTop w:val="0"/>
      <w:marBottom w:val="0"/>
      <w:divBdr>
        <w:top w:val="none" w:sz="0" w:space="0" w:color="auto"/>
        <w:left w:val="none" w:sz="0" w:space="0" w:color="auto"/>
        <w:bottom w:val="none" w:sz="0" w:space="0" w:color="auto"/>
        <w:right w:val="none" w:sz="0" w:space="0" w:color="auto"/>
      </w:divBdr>
    </w:div>
    <w:div w:id="1416048596">
      <w:bodyDiv w:val="1"/>
      <w:marLeft w:val="0"/>
      <w:marRight w:val="0"/>
      <w:marTop w:val="0"/>
      <w:marBottom w:val="0"/>
      <w:divBdr>
        <w:top w:val="none" w:sz="0" w:space="0" w:color="auto"/>
        <w:left w:val="none" w:sz="0" w:space="0" w:color="auto"/>
        <w:bottom w:val="none" w:sz="0" w:space="0" w:color="auto"/>
        <w:right w:val="none" w:sz="0" w:space="0" w:color="auto"/>
      </w:divBdr>
    </w:div>
    <w:div w:id="1416199251">
      <w:bodyDiv w:val="1"/>
      <w:marLeft w:val="0"/>
      <w:marRight w:val="0"/>
      <w:marTop w:val="0"/>
      <w:marBottom w:val="0"/>
      <w:divBdr>
        <w:top w:val="none" w:sz="0" w:space="0" w:color="auto"/>
        <w:left w:val="none" w:sz="0" w:space="0" w:color="auto"/>
        <w:bottom w:val="none" w:sz="0" w:space="0" w:color="auto"/>
        <w:right w:val="none" w:sz="0" w:space="0" w:color="auto"/>
      </w:divBdr>
    </w:div>
    <w:div w:id="1417094104">
      <w:bodyDiv w:val="1"/>
      <w:marLeft w:val="0"/>
      <w:marRight w:val="0"/>
      <w:marTop w:val="0"/>
      <w:marBottom w:val="0"/>
      <w:divBdr>
        <w:top w:val="none" w:sz="0" w:space="0" w:color="auto"/>
        <w:left w:val="none" w:sz="0" w:space="0" w:color="auto"/>
        <w:bottom w:val="none" w:sz="0" w:space="0" w:color="auto"/>
        <w:right w:val="none" w:sz="0" w:space="0" w:color="auto"/>
      </w:divBdr>
    </w:div>
    <w:div w:id="1417286371">
      <w:bodyDiv w:val="1"/>
      <w:marLeft w:val="0"/>
      <w:marRight w:val="0"/>
      <w:marTop w:val="0"/>
      <w:marBottom w:val="0"/>
      <w:divBdr>
        <w:top w:val="none" w:sz="0" w:space="0" w:color="auto"/>
        <w:left w:val="none" w:sz="0" w:space="0" w:color="auto"/>
        <w:bottom w:val="none" w:sz="0" w:space="0" w:color="auto"/>
        <w:right w:val="none" w:sz="0" w:space="0" w:color="auto"/>
      </w:divBdr>
    </w:div>
    <w:div w:id="1419213422">
      <w:bodyDiv w:val="1"/>
      <w:marLeft w:val="0"/>
      <w:marRight w:val="0"/>
      <w:marTop w:val="0"/>
      <w:marBottom w:val="0"/>
      <w:divBdr>
        <w:top w:val="none" w:sz="0" w:space="0" w:color="auto"/>
        <w:left w:val="none" w:sz="0" w:space="0" w:color="auto"/>
        <w:bottom w:val="none" w:sz="0" w:space="0" w:color="auto"/>
        <w:right w:val="none" w:sz="0" w:space="0" w:color="auto"/>
      </w:divBdr>
    </w:div>
    <w:div w:id="1419667069">
      <w:bodyDiv w:val="1"/>
      <w:marLeft w:val="0"/>
      <w:marRight w:val="0"/>
      <w:marTop w:val="0"/>
      <w:marBottom w:val="0"/>
      <w:divBdr>
        <w:top w:val="none" w:sz="0" w:space="0" w:color="auto"/>
        <w:left w:val="none" w:sz="0" w:space="0" w:color="auto"/>
        <w:bottom w:val="none" w:sz="0" w:space="0" w:color="auto"/>
        <w:right w:val="none" w:sz="0" w:space="0" w:color="auto"/>
      </w:divBdr>
    </w:div>
    <w:div w:id="1419711537">
      <w:bodyDiv w:val="1"/>
      <w:marLeft w:val="0"/>
      <w:marRight w:val="0"/>
      <w:marTop w:val="0"/>
      <w:marBottom w:val="0"/>
      <w:divBdr>
        <w:top w:val="none" w:sz="0" w:space="0" w:color="auto"/>
        <w:left w:val="none" w:sz="0" w:space="0" w:color="auto"/>
        <w:bottom w:val="none" w:sz="0" w:space="0" w:color="auto"/>
        <w:right w:val="none" w:sz="0" w:space="0" w:color="auto"/>
      </w:divBdr>
    </w:div>
    <w:div w:id="1420254548">
      <w:bodyDiv w:val="1"/>
      <w:marLeft w:val="0"/>
      <w:marRight w:val="0"/>
      <w:marTop w:val="0"/>
      <w:marBottom w:val="0"/>
      <w:divBdr>
        <w:top w:val="none" w:sz="0" w:space="0" w:color="auto"/>
        <w:left w:val="none" w:sz="0" w:space="0" w:color="auto"/>
        <w:bottom w:val="none" w:sz="0" w:space="0" w:color="auto"/>
        <w:right w:val="none" w:sz="0" w:space="0" w:color="auto"/>
      </w:divBdr>
    </w:div>
    <w:div w:id="1420365487">
      <w:bodyDiv w:val="1"/>
      <w:marLeft w:val="0"/>
      <w:marRight w:val="0"/>
      <w:marTop w:val="0"/>
      <w:marBottom w:val="0"/>
      <w:divBdr>
        <w:top w:val="none" w:sz="0" w:space="0" w:color="auto"/>
        <w:left w:val="none" w:sz="0" w:space="0" w:color="auto"/>
        <w:bottom w:val="none" w:sz="0" w:space="0" w:color="auto"/>
        <w:right w:val="none" w:sz="0" w:space="0" w:color="auto"/>
      </w:divBdr>
    </w:div>
    <w:div w:id="1420638175">
      <w:bodyDiv w:val="1"/>
      <w:marLeft w:val="0"/>
      <w:marRight w:val="0"/>
      <w:marTop w:val="0"/>
      <w:marBottom w:val="0"/>
      <w:divBdr>
        <w:top w:val="none" w:sz="0" w:space="0" w:color="auto"/>
        <w:left w:val="none" w:sz="0" w:space="0" w:color="auto"/>
        <w:bottom w:val="none" w:sz="0" w:space="0" w:color="auto"/>
        <w:right w:val="none" w:sz="0" w:space="0" w:color="auto"/>
      </w:divBdr>
    </w:div>
    <w:div w:id="1420756243">
      <w:bodyDiv w:val="1"/>
      <w:marLeft w:val="0"/>
      <w:marRight w:val="0"/>
      <w:marTop w:val="0"/>
      <w:marBottom w:val="0"/>
      <w:divBdr>
        <w:top w:val="none" w:sz="0" w:space="0" w:color="auto"/>
        <w:left w:val="none" w:sz="0" w:space="0" w:color="auto"/>
        <w:bottom w:val="none" w:sz="0" w:space="0" w:color="auto"/>
        <w:right w:val="none" w:sz="0" w:space="0" w:color="auto"/>
      </w:divBdr>
    </w:div>
    <w:div w:id="1420785725">
      <w:bodyDiv w:val="1"/>
      <w:marLeft w:val="0"/>
      <w:marRight w:val="0"/>
      <w:marTop w:val="0"/>
      <w:marBottom w:val="0"/>
      <w:divBdr>
        <w:top w:val="none" w:sz="0" w:space="0" w:color="auto"/>
        <w:left w:val="none" w:sz="0" w:space="0" w:color="auto"/>
        <w:bottom w:val="none" w:sz="0" w:space="0" w:color="auto"/>
        <w:right w:val="none" w:sz="0" w:space="0" w:color="auto"/>
      </w:divBdr>
    </w:div>
    <w:div w:id="1421027621">
      <w:bodyDiv w:val="1"/>
      <w:marLeft w:val="0"/>
      <w:marRight w:val="0"/>
      <w:marTop w:val="0"/>
      <w:marBottom w:val="0"/>
      <w:divBdr>
        <w:top w:val="none" w:sz="0" w:space="0" w:color="auto"/>
        <w:left w:val="none" w:sz="0" w:space="0" w:color="auto"/>
        <w:bottom w:val="none" w:sz="0" w:space="0" w:color="auto"/>
        <w:right w:val="none" w:sz="0" w:space="0" w:color="auto"/>
      </w:divBdr>
    </w:div>
    <w:div w:id="1422873082">
      <w:bodyDiv w:val="1"/>
      <w:marLeft w:val="0"/>
      <w:marRight w:val="0"/>
      <w:marTop w:val="0"/>
      <w:marBottom w:val="0"/>
      <w:divBdr>
        <w:top w:val="none" w:sz="0" w:space="0" w:color="auto"/>
        <w:left w:val="none" w:sz="0" w:space="0" w:color="auto"/>
        <w:bottom w:val="none" w:sz="0" w:space="0" w:color="auto"/>
        <w:right w:val="none" w:sz="0" w:space="0" w:color="auto"/>
      </w:divBdr>
    </w:div>
    <w:div w:id="1423917039">
      <w:bodyDiv w:val="1"/>
      <w:marLeft w:val="0"/>
      <w:marRight w:val="0"/>
      <w:marTop w:val="0"/>
      <w:marBottom w:val="0"/>
      <w:divBdr>
        <w:top w:val="none" w:sz="0" w:space="0" w:color="auto"/>
        <w:left w:val="none" w:sz="0" w:space="0" w:color="auto"/>
        <w:bottom w:val="none" w:sz="0" w:space="0" w:color="auto"/>
        <w:right w:val="none" w:sz="0" w:space="0" w:color="auto"/>
      </w:divBdr>
    </w:div>
    <w:div w:id="1424765672">
      <w:bodyDiv w:val="1"/>
      <w:marLeft w:val="0"/>
      <w:marRight w:val="0"/>
      <w:marTop w:val="0"/>
      <w:marBottom w:val="0"/>
      <w:divBdr>
        <w:top w:val="none" w:sz="0" w:space="0" w:color="auto"/>
        <w:left w:val="none" w:sz="0" w:space="0" w:color="auto"/>
        <w:bottom w:val="none" w:sz="0" w:space="0" w:color="auto"/>
        <w:right w:val="none" w:sz="0" w:space="0" w:color="auto"/>
      </w:divBdr>
    </w:div>
    <w:div w:id="1428161184">
      <w:bodyDiv w:val="1"/>
      <w:marLeft w:val="0"/>
      <w:marRight w:val="0"/>
      <w:marTop w:val="0"/>
      <w:marBottom w:val="0"/>
      <w:divBdr>
        <w:top w:val="none" w:sz="0" w:space="0" w:color="auto"/>
        <w:left w:val="none" w:sz="0" w:space="0" w:color="auto"/>
        <w:bottom w:val="none" w:sz="0" w:space="0" w:color="auto"/>
        <w:right w:val="none" w:sz="0" w:space="0" w:color="auto"/>
      </w:divBdr>
    </w:div>
    <w:div w:id="1428382132">
      <w:bodyDiv w:val="1"/>
      <w:marLeft w:val="0"/>
      <w:marRight w:val="0"/>
      <w:marTop w:val="0"/>
      <w:marBottom w:val="0"/>
      <w:divBdr>
        <w:top w:val="none" w:sz="0" w:space="0" w:color="auto"/>
        <w:left w:val="none" w:sz="0" w:space="0" w:color="auto"/>
        <w:bottom w:val="none" w:sz="0" w:space="0" w:color="auto"/>
        <w:right w:val="none" w:sz="0" w:space="0" w:color="auto"/>
      </w:divBdr>
    </w:div>
    <w:div w:id="1431003123">
      <w:bodyDiv w:val="1"/>
      <w:marLeft w:val="0"/>
      <w:marRight w:val="0"/>
      <w:marTop w:val="0"/>
      <w:marBottom w:val="0"/>
      <w:divBdr>
        <w:top w:val="none" w:sz="0" w:space="0" w:color="auto"/>
        <w:left w:val="none" w:sz="0" w:space="0" w:color="auto"/>
        <w:bottom w:val="none" w:sz="0" w:space="0" w:color="auto"/>
        <w:right w:val="none" w:sz="0" w:space="0" w:color="auto"/>
      </w:divBdr>
    </w:div>
    <w:div w:id="1431504690">
      <w:bodyDiv w:val="1"/>
      <w:marLeft w:val="0"/>
      <w:marRight w:val="0"/>
      <w:marTop w:val="0"/>
      <w:marBottom w:val="0"/>
      <w:divBdr>
        <w:top w:val="none" w:sz="0" w:space="0" w:color="auto"/>
        <w:left w:val="none" w:sz="0" w:space="0" w:color="auto"/>
        <w:bottom w:val="none" w:sz="0" w:space="0" w:color="auto"/>
        <w:right w:val="none" w:sz="0" w:space="0" w:color="auto"/>
      </w:divBdr>
    </w:div>
    <w:div w:id="1433092688">
      <w:bodyDiv w:val="1"/>
      <w:marLeft w:val="0"/>
      <w:marRight w:val="0"/>
      <w:marTop w:val="0"/>
      <w:marBottom w:val="0"/>
      <w:divBdr>
        <w:top w:val="none" w:sz="0" w:space="0" w:color="auto"/>
        <w:left w:val="none" w:sz="0" w:space="0" w:color="auto"/>
        <w:bottom w:val="none" w:sz="0" w:space="0" w:color="auto"/>
        <w:right w:val="none" w:sz="0" w:space="0" w:color="auto"/>
      </w:divBdr>
    </w:div>
    <w:div w:id="1433161532">
      <w:bodyDiv w:val="1"/>
      <w:marLeft w:val="0"/>
      <w:marRight w:val="0"/>
      <w:marTop w:val="0"/>
      <w:marBottom w:val="0"/>
      <w:divBdr>
        <w:top w:val="none" w:sz="0" w:space="0" w:color="auto"/>
        <w:left w:val="none" w:sz="0" w:space="0" w:color="auto"/>
        <w:bottom w:val="none" w:sz="0" w:space="0" w:color="auto"/>
        <w:right w:val="none" w:sz="0" w:space="0" w:color="auto"/>
      </w:divBdr>
    </w:div>
    <w:div w:id="1434977466">
      <w:bodyDiv w:val="1"/>
      <w:marLeft w:val="0"/>
      <w:marRight w:val="0"/>
      <w:marTop w:val="0"/>
      <w:marBottom w:val="0"/>
      <w:divBdr>
        <w:top w:val="none" w:sz="0" w:space="0" w:color="auto"/>
        <w:left w:val="none" w:sz="0" w:space="0" w:color="auto"/>
        <w:bottom w:val="none" w:sz="0" w:space="0" w:color="auto"/>
        <w:right w:val="none" w:sz="0" w:space="0" w:color="auto"/>
      </w:divBdr>
    </w:div>
    <w:div w:id="1435057838">
      <w:bodyDiv w:val="1"/>
      <w:marLeft w:val="0"/>
      <w:marRight w:val="0"/>
      <w:marTop w:val="0"/>
      <w:marBottom w:val="0"/>
      <w:divBdr>
        <w:top w:val="none" w:sz="0" w:space="0" w:color="auto"/>
        <w:left w:val="none" w:sz="0" w:space="0" w:color="auto"/>
        <w:bottom w:val="none" w:sz="0" w:space="0" w:color="auto"/>
        <w:right w:val="none" w:sz="0" w:space="0" w:color="auto"/>
      </w:divBdr>
    </w:div>
    <w:div w:id="1435515826">
      <w:bodyDiv w:val="1"/>
      <w:marLeft w:val="0"/>
      <w:marRight w:val="0"/>
      <w:marTop w:val="0"/>
      <w:marBottom w:val="0"/>
      <w:divBdr>
        <w:top w:val="none" w:sz="0" w:space="0" w:color="auto"/>
        <w:left w:val="none" w:sz="0" w:space="0" w:color="auto"/>
        <w:bottom w:val="none" w:sz="0" w:space="0" w:color="auto"/>
        <w:right w:val="none" w:sz="0" w:space="0" w:color="auto"/>
      </w:divBdr>
    </w:div>
    <w:div w:id="1437552479">
      <w:bodyDiv w:val="1"/>
      <w:marLeft w:val="0"/>
      <w:marRight w:val="0"/>
      <w:marTop w:val="0"/>
      <w:marBottom w:val="0"/>
      <w:divBdr>
        <w:top w:val="none" w:sz="0" w:space="0" w:color="auto"/>
        <w:left w:val="none" w:sz="0" w:space="0" w:color="auto"/>
        <w:bottom w:val="none" w:sz="0" w:space="0" w:color="auto"/>
        <w:right w:val="none" w:sz="0" w:space="0" w:color="auto"/>
      </w:divBdr>
    </w:div>
    <w:div w:id="1437746014">
      <w:bodyDiv w:val="1"/>
      <w:marLeft w:val="0"/>
      <w:marRight w:val="0"/>
      <w:marTop w:val="0"/>
      <w:marBottom w:val="0"/>
      <w:divBdr>
        <w:top w:val="none" w:sz="0" w:space="0" w:color="auto"/>
        <w:left w:val="none" w:sz="0" w:space="0" w:color="auto"/>
        <w:bottom w:val="none" w:sz="0" w:space="0" w:color="auto"/>
        <w:right w:val="none" w:sz="0" w:space="0" w:color="auto"/>
      </w:divBdr>
    </w:div>
    <w:div w:id="1439058476">
      <w:bodyDiv w:val="1"/>
      <w:marLeft w:val="0"/>
      <w:marRight w:val="0"/>
      <w:marTop w:val="0"/>
      <w:marBottom w:val="0"/>
      <w:divBdr>
        <w:top w:val="none" w:sz="0" w:space="0" w:color="auto"/>
        <w:left w:val="none" w:sz="0" w:space="0" w:color="auto"/>
        <w:bottom w:val="none" w:sz="0" w:space="0" w:color="auto"/>
        <w:right w:val="none" w:sz="0" w:space="0" w:color="auto"/>
      </w:divBdr>
    </w:div>
    <w:div w:id="1442455982">
      <w:bodyDiv w:val="1"/>
      <w:marLeft w:val="0"/>
      <w:marRight w:val="0"/>
      <w:marTop w:val="0"/>
      <w:marBottom w:val="0"/>
      <w:divBdr>
        <w:top w:val="none" w:sz="0" w:space="0" w:color="auto"/>
        <w:left w:val="none" w:sz="0" w:space="0" w:color="auto"/>
        <w:bottom w:val="none" w:sz="0" w:space="0" w:color="auto"/>
        <w:right w:val="none" w:sz="0" w:space="0" w:color="auto"/>
      </w:divBdr>
    </w:div>
    <w:div w:id="1443264289">
      <w:bodyDiv w:val="1"/>
      <w:marLeft w:val="0"/>
      <w:marRight w:val="0"/>
      <w:marTop w:val="0"/>
      <w:marBottom w:val="0"/>
      <w:divBdr>
        <w:top w:val="none" w:sz="0" w:space="0" w:color="auto"/>
        <w:left w:val="none" w:sz="0" w:space="0" w:color="auto"/>
        <w:bottom w:val="none" w:sz="0" w:space="0" w:color="auto"/>
        <w:right w:val="none" w:sz="0" w:space="0" w:color="auto"/>
      </w:divBdr>
    </w:div>
    <w:div w:id="1443306955">
      <w:bodyDiv w:val="1"/>
      <w:marLeft w:val="0"/>
      <w:marRight w:val="0"/>
      <w:marTop w:val="0"/>
      <w:marBottom w:val="0"/>
      <w:divBdr>
        <w:top w:val="none" w:sz="0" w:space="0" w:color="auto"/>
        <w:left w:val="none" w:sz="0" w:space="0" w:color="auto"/>
        <w:bottom w:val="none" w:sz="0" w:space="0" w:color="auto"/>
        <w:right w:val="none" w:sz="0" w:space="0" w:color="auto"/>
      </w:divBdr>
    </w:div>
    <w:div w:id="1444960749">
      <w:bodyDiv w:val="1"/>
      <w:marLeft w:val="0"/>
      <w:marRight w:val="0"/>
      <w:marTop w:val="0"/>
      <w:marBottom w:val="0"/>
      <w:divBdr>
        <w:top w:val="none" w:sz="0" w:space="0" w:color="auto"/>
        <w:left w:val="none" w:sz="0" w:space="0" w:color="auto"/>
        <w:bottom w:val="none" w:sz="0" w:space="0" w:color="auto"/>
        <w:right w:val="none" w:sz="0" w:space="0" w:color="auto"/>
      </w:divBdr>
    </w:div>
    <w:div w:id="1445155959">
      <w:bodyDiv w:val="1"/>
      <w:marLeft w:val="0"/>
      <w:marRight w:val="0"/>
      <w:marTop w:val="0"/>
      <w:marBottom w:val="0"/>
      <w:divBdr>
        <w:top w:val="none" w:sz="0" w:space="0" w:color="auto"/>
        <w:left w:val="none" w:sz="0" w:space="0" w:color="auto"/>
        <w:bottom w:val="none" w:sz="0" w:space="0" w:color="auto"/>
        <w:right w:val="none" w:sz="0" w:space="0" w:color="auto"/>
      </w:divBdr>
    </w:div>
    <w:div w:id="1446651657">
      <w:bodyDiv w:val="1"/>
      <w:marLeft w:val="0"/>
      <w:marRight w:val="0"/>
      <w:marTop w:val="0"/>
      <w:marBottom w:val="0"/>
      <w:divBdr>
        <w:top w:val="none" w:sz="0" w:space="0" w:color="auto"/>
        <w:left w:val="none" w:sz="0" w:space="0" w:color="auto"/>
        <w:bottom w:val="none" w:sz="0" w:space="0" w:color="auto"/>
        <w:right w:val="none" w:sz="0" w:space="0" w:color="auto"/>
      </w:divBdr>
    </w:div>
    <w:div w:id="1446805139">
      <w:bodyDiv w:val="1"/>
      <w:marLeft w:val="0"/>
      <w:marRight w:val="0"/>
      <w:marTop w:val="0"/>
      <w:marBottom w:val="0"/>
      <w:divBdr>
        <w:top w:val="none" w:sz="0" w:space="0" w:color="auto"/>
        <w:left w:val="none" w:sz="0" w:space="0" w:color="auto"/>
        <w:bottom w:val="none" w:sz="0" w:space="0" w:color="auto"/>
        <w:right w:val="none" w:sz="0" w:space="0" w:color="auto"/>
      </w:divBdr>
    </w:div>
    <w:div w:id="1447499806">
      <w:bodyDiv w:val="1"/>
      <w:marLeft w:val="0"/>
      <w:marRight w:val="0"/>
      <w:marTop w:val="0"/>
      <w:marBottom w:val="0"/>
      <w:divBdr>
        <w:top w:val="none" w:sz="0" w:space="0" w:color="auto"/>
        <w:left w:val="none" w:sz="0" w:space="0" w:color="auto"/>
        <w:bottom w:val="none" w:sz="0" w:space="0" w:color="auto"/>
        <w:right w:val="none" w:sz="0" w:space="0" w:color="auto"/>
      </w:divBdr>
    </w:div>
    <w:div w:id="1448964002">
      <w:bodyDiv w:val="1"/>
      <w:marLeft w:val="0"/>
      <w:marRight w:val="0"/>
      <w:marTop w:val="0"/>
      <w:marBottom w:val="0"/>
      <w:divBdr>
        <w:top w:val="none" w:sz="0" w:space="0" w:color="auto"/>
        <w:left w:val="none" w:sz="0" w:space="0" w:color="auto"/>
        <w:bottom w:val="none" w:sz="0" w:space="0" w:color="auto"/>
        <w:right w:val="none" w:sz="0" w:space="0" w:color="auto"/>
      </w:divBdr>
    </w:div>
    <w:div w:id="1449397986">
      <w:bodyDiv w:val="1"/>
      <w:marLeft w:val="0"/>
      <w:marRight w:val="0"/>
      <w:marTop w:val="0"/>
      <w:marBottom w:val="0"/>
      <w:divBdr>
        <w:top w:val="none" w:sz="0" w:space="0" w:color="auto"/>
        <w:left w:val="none" w:sz="0" w:space="0" w:color="auto"/>
        <w:bottom w:val="none" w:sz="0" w:space="0" w:color="auto"/>
        <w:right w:val="none" w:sz="0" w:space="0" w:color="auto"/>
      </w:divBdr>
    </w:div>
    <w:div w:id="1449471645">
      <w:bodyDiv w:val="1"/>
      <w:marLeft w:val="0"/>
      <w:marRight w:val="0"/>
      <w:marTop w:val="0"/>
      <w:marBottom w:val="0"/>
      <w:divBdr>
        <w:top w:val="none" w:sz="0" w:space="0" w:color="auto"/>
        <w:left w:val="none" w:sz="0" w:space="0" w:color="auto"/>
        <w:bottom w:val="none" w:sz="0" w:space="0" w:color="auto"/>
        <w:right w:val="none" w:sz="0" w:space="0" w:color="auto"/>
      </w:divBdr>
    </w:div>
    <w:div w:id="1449618581">
      <w:bodyDiv w:val="1"/>
      <w:marLeft w:val="0"/>
      <w:marRight w:val="0"/>
      <w:marTop w:val="0"/>
      <w:marBottom w:val="0"/>
      <w:divBdr>
        <w:top w:val="none" w:sz="0" w:space="0" w:color="auto"/>
        <w:left w:val="none" w:sz="0" w:space="0" w:color="auto"/>
        <w:bottom w:val="none" w:sz="0" w:space="0" w:color="auto"/>
        <w:right w:val="none" w:sz="0" w:space="0" w:color="auto"/>
      </w:divBdr>
    </w:div>
    <w:div w:id="1450003166">
      <w:bodyDiv w:val="1"/>
      <w:marLeft w:val="0"/>
      <w:marRight w:val="0"/>
      <w:marTop w:val="0"/>
      <w:marBottom w:val="0"/>
      <w:divBdr>
        <w:top w:val="none" w:sz="0" w:space="0" w:color="auto"/>
        <w:left w:val="none" w:sz="0" w:space="0" w:color="auto"/>
        <w:bottom w:val="none" w:sz="0" w:space="0" w:color="auto"/>
        <w:right w:val="none" w:sz="0" w:space="0" w:color="auto"/>
      </w:divBdr>
    </w:div>
    <w:div w:id="1451632222">
      <w:bodyDiv w:val="1"/>
      <w:marLeft w:val="0"/>
      <w:marRight w:val="0"/>
      <w:marTop w:val="0"/>
      <w:marBottom w:val="0"/>
      <w:divBdr>
        <w:top w:val="none" w:sz="0" w:space="0" w:color="auto"/>
        <w:left w:val="none" w:sz="0" w:space="0" w:color="auto"/>
        <w:bottom w:val="none" w:sz="0" w:space="0" w:color="auto"/>
        <w:right w:val="none" w:sz="0" w:space="0" w:color="auto"/>
      </w:divBdr>
    </w:div>
    <w:div w:id="1451783482">
      <w:bodyDiv w:val="1"/>
      <w:marLeft w:val="0"/>
      <w:marRight w:val="0"/>
      <w:marTop w:val="0"/>
      <w:marBottom w:val="0"/>
      <w:divBdr>
        <w:top w:val="none" w:sz="0" w:space="0" w:color="auto"/>
        <w:left w:val="none" w:sz="0" w:space="0" w:color="auto"/>
        <w:bottom w:val="none" w:sz="0" w:space="0" w:color="auto"/>
        <w:right w:val="none" w:sz="0" w:space="0" w:color="auto"/>
      </w:divBdr>
    </w:div>
    <w:div w:id="1452171504">
      <w:bodyDiv w:val="1"/>
      <w:marLeft w:val="0"/>
      <w:marRight w:val="0"/>
      <w:marTop w:val="0"/>
      <w:marBottom w:val="0"/>
      <w:divBdr>
        <w:top w:val="none" w:sz="0" w:space="0" w:color="auto"/>
        <w:left w:val="none" w:sz="0" w:space="0" w:color="auto"/>
        <w:bottom w:val="none" w:sz="0" w:space="0" w:color="auto"/>
        <w:right w:val="none" w:sz="0" w:space="0" w:color="auto"/>
      </w:divBdr>
    </w:div>
    <w:div w:id="1452434779">
      <w:bodyDiv w:val="1"/>
      <w:marLeft w:val="0"/>
      <w:marRight w:val="0"/>
      <w:marTop w:val="0"/>
      <w:marBottom w:val="0"/>
      <w:divBdr>
        <w:top w:val="none" w:sz="0" w:space="0" w:color="auto"/>
        <w:left w:val="none" w:sz="0" w:space="0" w:color="auto"/>
        <w:bottom w:val="none" w:sz="0" w:space="0" w:color="auto"/>
        <w:right w:val="none" w:sz="0" w:space="0" w:color="auto"/>
      </w:divBdr>
    </w:div>
    <w:div w:id="1452745599">
      <w:bodyDiv w:val="1"/>
      <w:marLeft w:val="0"/>
      <w:marRight w:val="0"/>
      <w:marTop w:val="0"/>
      <w:marBottom w:val="0"/>
      <w:divBdr>
        <w:top w:val="none" w:sz="0" w:space="0" w:color="auto"/>
        <w:left w:val="none" w:sz="0" w:space="0" w:color="auto"/>
        <w:bottom w:val="none" w:sz="0" w:space="0" w:color="auto"/>
        <w:right w:val="none" w:sz="0" w:space="0" w:color="auto"/>
      </w:divBdr>
    </w:div>
    <w:div w:id="1453017951">
      <w:bodyDiv w:val="1"/>
      <w:marLeft w:val="0"/>
      <w:marRight w:val="0"/>
      <w:marTop w:val="0"/>
      <w:marBottom w:val="0"/>
      <w:divBdr>
        <w:top w:val="none" w:sz="0" w:space="0" w:color="auto"/>
        <w:left w:val="none" w:sz="0" w:space="0" w:color="auto"/>
        <w:bottom w:val="none" w:sz="0" w:space="0" w:color="auto"/>
        <w:right w:val="none" w:sz="0" w:space="0" w:color="auto"/>
      </w:divBdr>
    </w:div>
    <w:div w:id="1454667310">
      <w:bodyDiv w:val="1"/>
      <w:marLeft w:val="0"/>
      <w:marRight w:val="0"/>
      <w:marTop w:val="0"/>
      <w:marBottom w:val="0"/>
      <w:divBdr>
        <w:top w:val="none" w:sz="0" w:space="0" w:color="auto"/>
        <w:left w:val="none" w:sz="0" w:space="0" w:color="auto"/>
        <w:bottom w:val="none" w:sz="0" w:space="0" w:color="auto"/>
        <w:right w:val="none" w:sz="0" w:space="0" w:color="auto"/>
      </w:divBdr>
    </w:div>
    <w:div w:id="1454789172">
      <w:bodyDiv w:val="1"/>
      <w:marLeft w:val="0"/>
      <w:marRight w:val="0"/>
      <w:marTop w:val="0"/>
      <w:marBottom w:val="0"/>
      <w:divBdr>
        <w:top w:val="none" w:sz="0" w:space="0" w:color="auto"/>
        <w:left w:val="none" w:sz="0" w:space="0" w:color="auto"/>
        <w:bottom w:val="none" w:sz="0" w:space="0" w:color="auto"/>
        <w:right w:val="none" w:sz="0" w:space="0" w:color="auto"/>
      </w:divBdr>
    </w:div>
    <w:div w:id="1456289528">
      <w:bodyDiv w:val="1"/>
      <w:marLeft w:val="0"/>
      <w:marRight w:val="0"/>
      <w:marTop w:val="0"/>
      <w:marBottom w:val="0"/>
      <w:divBdr>
        <w:top w:val="none" w:sz="0" w:space="0" w:color="auto"/>
        <w:left w:val="none" w:sz="0" w:space="0" w:color="auto"/>
        <w:bottom w:val="none" w:sz="0" w:space="0" w:color="auto"/>
        <w:right w:val="none" w:sz="0" w:space="0" w:color="auto"/>
      </w:divBdr>
    </w:div>
    <w:div w:id="1456607436">
      <w:bodyDiv w:val="1"/>
      <w:marLeft w:val="0"/>
      <w:marRight w:val="0"/>
      <w:marTop w:val="0"/>
      <w:marBottom w:val="0"/>
      <w:divBdr>
        <w:top w:val="none" w:sz="0" w:space="0" w:color="auto"/>
        <w:left w:val="none" w:sz="0" w:space="0" w:color="auto"/>
        <w:bottom w:val="none" w:sz="0" w:space="0" w:color="auto"/>
        <w:right w:val="none" w:sz="0" w:space="0" w:color="auto"/>
      </w:divBdr>
    </w:div>
    <w:div w:id="1459294370">
      <w:bodyDiv w:val="1"/>
      <w:marLeft w:val="0"/>
      <w:marRight w:val="0"/>
      <w:marTop w:val="0"/>
      <w:marBottom w:val="0"/>
      <w:divBdr>
        <w:top w:val="none" w:sz="0" w:space="0" w:color="auto"/>
        <w:left w:val="none" w:sz="0" w:space="0" w:color="auto"/>
        <w:bottom w:val="none" w:sz="0" w:space="0" w:color="auto"/>
        <w:right w:val="none" w:sz="0" w:space="0" w:color="auto"/>
      </w:divBdr>
    </w:div>
    <w:div w:id="1461025438">
      <w:bodyDiv w:val="1"/>
      <w:marLeft w:val="0"/>
      <w:marRight w:val="0"/>
      <w:marTop w:val="0"/>
      <w:marBottom w:val="0"/>
      <w:divBdr>
        <w:top w:val="none" w:sz="0" w:space="0" w:color="auto"/>
        <w:left w:val="none" w:sz="0" w:space="0" w:color="auto"/>
        <w:bottom w:val="none" w:sz="0" w:space="0" w:color="auto"/>
        <w:right w:val="none" w:sz="0" w:space="0" w:color="auto"/>
      </w:divBdr>
    </w:div>
    <w:div w:id="1461147493">
      <w:bodyDiv w:val="1"/>
      <w:marLeft w:val="0"/>
      <w:marRight w:val="0"/>
      <w:marTop w:val="0"/>
      <w:marBottom w:val="0"/>
      <w:divBdr>
        <w:top w:val="none" w:sz="0" w:space="0" w:color="auto"/>
        <w:left w:val="none" w:sz="0" w:space="0" w:color="auto"/>
        <w:bottom w:val="none" w:sz="0" w:space="0" w:color="auto"/>
        <w:right w:val="none" w:sz="0" w:space="0" w:color="auto"/>
      </w:divBdr>
    </w:div>
    <w:div w:id="1462116564">
      <w:bodyDiv w:val="1"/>
      <w:marLeft w:val="0"/>
      <w:marRight w:val="0"/>
      <w:marTop w:val="0"/>
      <w:marBottom w:val="0"/>
      <w:divBdr>
        <w:top w:val="none" w:sz="0" w:space="0" w:color="auto"/>
        <w:left w:val="none" w:sz="0" w:space="0" w:color="auto"/>
        <w:bottom w:val="none" w:sz="0" w:space="0" w:color="auto"/>
        <w:right w:val="none" w:sz="0" w:space="0" w:color="auto"/>
      </w:divBdr>
    </w:div>
    <w:div w:id="1462843063">
      <w:bodyDiv w:val="1"/>
      <w:marLeft w:val="0"/>
      <w:marRight w:val="0"/>
      <w:marTop w:val="0"/>
      <w:marBottom w:val="0"/>
      <w:divBdr>
        <w:top w:val="none" w:sz="0" w:space="0" w:color="auto"/>
        <w:left w:val="none" w:sz="0" w:space="0" w:color="auto"/>
        <w:bottom w:val="none" w:sz="0" w:space="0" w:color="auto"/>
        <w:right w:val="none" w:sz="0" w:space="0" w:color="auto"/>
      </w:divBdr>
    </w:div>
    <w:div w:id="1462992867">
      <w:bodyDiv w:val="1"/>
      <w:marLeft w:val="0"/>
      <w:marRight w:val="0"/>
      <w:marTop w:val="0"/>
      <w:marBottom w:val="0"/>
      <w:divBdr>
        <w:top w:val="none" w:sz="0" w:space="0" w:color="auto"/>
        <w:left w:val="none" w:sz="0" w:space="0" w:color="auto"/>
        <w:bottom w:val="none" w:sz="0" w:space="0" w:color="auto"/>
        <w:right w:val="none" w:sz="0" w:space="0" w:color="auto"/>
      </w:divBdr>
    </w:div>
    <w:div w:id="1463188721">
      <w:bodyDiv w:val="1"/>
      <w:marLeft w:val="0"/>
      <w:marRight w:val="0"/>
      <w:marTop w:val="0"/>
      <w:marBottom w:val="0"/>
      <w:divBdr>
        <w:top w:val="none" w:sz="0" w:space="0" w:color="auto"/>
        <w:left w:val="none" w:sz="0" w:space="0" w:color="auto"/>
        <w:bottom w:val="none" w:sz="0" w:space="0" w:color="auto"/>
        <w:right w:val="none" w:sz="0" w:space="0" w:color="auto"/>
      </w:divBdr>
    </w:div>
    <w:div w:id="1463617915">
      <w:bodyDiv w:val="1"/>
      <w:marLeft w:val="0"/>
      <w:marRight w:val="0"/>
      <w:marTop w:val="0"/>
      <w:marBottom w:val="0"/>
      <w:divBdr>
        <w:top w:val="none" w:sz="0" w:space="0" w:color="auto"/>
        <w:left w:val="none" w:sz="0" w:space="0" w:color="auto"/>
        <w:bottom w:val="none" w:sz="0" w:space="0" w:color="auto"/>
        <w:right w:val="none" w:sz="0" w:space="0" w:color="auto"/>
      </w:divBdr>
    </w:div>
    <w:div w:id="1464302224">
      <w:bodyDiv w:val="1"/>
      <w:marLeft w:val="0"/>
      <w:marRight w:val="0"/>
      <w:marTop w:val="0"/>
      <w:marBottom w:val="0"/>
      <w:divBdr>
        <w:top w:val="none" w:sz="0" w:space="0" w:color="auto"/>
        <w:left w:val="none" w:sz="0" w:space="0" w:color="auto"/>
        <w:bottom w:val="none" w:sz="0" w:space="0" w:color="auto"/>
        <w:right w:val="none" w:sz="0" w:space="0" w:color="auto"/>
      </w:divBdr>
    </w:div>
    <w:div w:id="1465657304">
      <w:bodyDiv w:val="1"/>
      <w:marLeft w:val="0"/>
      <w:marRight w:val="0"/>
      <w:marTop w:val="0"/>
      <w:marBottom w:val="0"/>
      <w:divBdr>
        <w:top w:val="none" w:sz="0" w:space="0" w:color="auto"/>
        <w:left w:val="none" w:sz="0" w:space="0" w:color="auto"/>
        <w:bottom w:val="none" w:sz="0" w:space="0" w:color="auto"/>
        <w:right w:val="none" w:sz="0" w:space="0" w:color="auto"/>
      </w:divBdr>
    </w:div>
    <w:div w:id="1466048864">
      <w:bodyDiv w:val="1"/>
      <w:marLeft w:val="0"/>
      <w:marRight w:val="0"/>
      <w:marTop w:val="0"/>
      <w:marBottom w:val="0"/>
      <w:divBdr>
        <w:top w:val="none" w:sz="0" w:space="0" w:color="auto"/>
        <w:left w:val="none" w:sz="0" w:space="0" w:color="auto"/>
        <w:bottom w:val="none" w:sz="0" w:space="0" w:color="auto"/>
        <w:right w:val="none" w:sz="0" w:space="0" w:color="auto"/>
      </w:divBdr>
    </w:div>
    <w:div w:id="1466121743">
      <w:bodyDiv w:val="1"/>
      <w:marLeft w:val="0"/>
      <w:marRight w:val="0"/>
      <w:marTop w:val="0"/>
      <w:marBottom w:val="0"/>
      <w:divBdr>
        <w:top w:val="none" w:sz="0" w:space="0" w:color="auto"/>
        <w:left w:val="none" w:sz="0" w:space="0" w:color="auto"/>
        <w:bottom w:val="none" w:sz="0" w:space="0" w:color="auto"/>
        <w:right w:val="none" w:sz="0" w:space="0" w:color="auto"/>
      </w:divBdr>
    </w:div>
    <w:div w:id="1468008306">
      <w:bodyDiv w:val="1"/>
      <w:marLeft w:val="0"/>
      <w:marRight w:val="0"/>
      <w:marTop w:val="0"/>
      <w:marBottom w:val="0"/>
      <w:divBdr>
        <w:top w:val="none" w:sz="0" w:space="0" w:color="auto"/>
        <w:left w:val="none" w:sz="0" w:space="0" w:color="auto"/>
        <w:bottom w:val="none" w:sz="0" w:space="0" w:color="auto"/>
        <w:right w:val="none" w:sz="0" w:space="0" w:color="auto"/>
      </w:divBdr>
    </w:div>
    <w:div w:id="1468356889">
      <w:bodyDiv w:val="1"/>
      <w:marLeft w:val="0"/>
      <w:marRight w:val="0"/>
      <w:marTop w:val="0"/>
      <w:marBottom w:val="0"/>
      <w:divBdr>
        <w:top w:val="none" w:sz="0" w:space="0" w:color="auto"/>
        <w:left w:val="none" w:sz="0" w:space="0" w:color="auto"/>
        <w:bottom w:val="none" w:sz="0" w:space="0" w:color="auto"/>
        <w:right w:val="none" w:sz="0" w:space="0" w:color="auto"/>
      </w:divBdr>
    </w:div>
    <w:div w:id="1471052527">
      <w:bodyDiv w:val="1"/>
      <w:marLeft w:val="0"/>
      <w:marRight w:val="0"/>
      <w:marTop w:val="0"/>
      <w:marBottom w:val="0"/>
      <w:divBdr>
        <w:top w:val="none" w:sz="0" w:space="0" w:color="auto"/>
        <w:left w:val="none" w:sz="0" w:space="0" w:color="auto"/>
        <w:bottom w:val="none" w:sz="0" w:space="0" w:color="auto"/>
        <w:right w:val="none" w:sz="0" w:space="0" w:color="auto"/>
      </w:divBdr>
    </w:div>
    <w:div w:id="1471749431">
      <w:bodyDiv w:val="1"/>
      <w:marLeft w:val="0"/>
      <w:marRight w:val="0"/>
      <w:marTop w:val="0"/>
      <w:marBottom w:val="0"/>
      <w:divBdr>
        <w:top w:val="none" w:sz="0" w:space="0" w:color="auto"/>
        <w:left w:val="none" w:sz="0" w:space="0" w:color="auto"/>
        <w:bottom w:val="none" w:sz="0" w:space="0" w:color="auto"/>
        <w:right w:val="none" w:sz="0" w:space="0" w:color="auto"/>
      </w:divBdr>
    </w:div>
    <w:div w:id="1473644261">
      <w:bodyDiv w:val="1"/>
      <w:marLeft w:val="0"/>
      <w:marRight w:val="0"/>
      <w:marTop w:val="0"/>
      <w:marBottom w:val="0"/>
      <w:divBdr>
        <w:top w:val="none" w:sz="0" w:space="0" w:color="auto"/>
        <w:left w:val="none" w:sz="0" w:space="0" w:color="auto"/>
        <w:bottom w:val="none" w:sz="0" w:space="0" w:color="auto"/>
        <w:right w:val="none" w:sz="0" w:space="0" w:color="auto"/>
      </w:divBdr>
    </w:div>
    <w:div w:id="1474832040">
      <w:bodyDiv w:val="1"/>
      <w:marLeft w:val="0"/>
      <w:marRight w:val="0"/>
      <w:marTop w:val="0"/>
      <w:marBottom w:val="0"/>
      <w:divBdr>
        <w:top w:val="none" w:sz="0" w:space="0" w:color="auto"/>
        <w:left w:val="none" w:sz="0" w:space="0" w:color="auto"/>
        <w:bottom w:val="none" w:sz="0" w:space="0" w:color="auto"/>
        <w:right w:val="none" w:sz="0" w:space="0" w:color="auto"/>
      </w:divBdr>
    </w:div>
    <w:div w:id="1475105492">
      <w:bodyDiv w:val="1"/>
      <w:marLeft w:val="0"/>
      <w:marRight w:val="0"/>
      <w:marTop w:val="0"/>
      <w:marBottom w:val="0"/>
      <w:divBdr>
        <w:top w:val="none" w:sz="0" w:space="0" w:color="auto"/>
        <w:left w:val="none" w:sz="0" w:space="0" w:color="auto"/>
        <w:bottom w:val="none" w:sz="0" w:space="0" w:color="auto"/>
        <w:right w:val="none" w:sz="0" w:space="0" w:color="auto"/>
      </w:divBdr>
    </w:div>
    <w:div w:id="1477331525">
      <w:bodyDiv w:val="1"/>
      <w:marLeft w:val="0"/>
      <w:marRight w:val="0"/>
      <w:marTop w:val="0"/>
      <w:marBottom w:val="0"/>
      <w:divBdr>
        <w:top w:val="none" w:sz="0" w:space="0" w:color="auto"/>
        <w:left w:val="none" w:sz="0" w:space="0" w:color="auto"/>
        <w:bottom w:val="none" w:sz="0" w:space="0" w:color="auto"/>
        <w:right w:val="none" w:sz="0" w:space="0" w:color="auto"/>
      </w:divBdr>
    </w:div>
    <w:div w:id="1477335681">
      <w:bodyDiv w:val="1"/>
      <w:marLeft w:val="0"/>
      <w:marRight w:val="0"/>
      <w:marTop w:val="0"/>
      <w:marBottom w:val="0"/>
      <w:divBdr>
        <w:top w:val="none" w:sz="0" w:space="0" w:color="auto"/>
        <w:left w:val="none" w:sz="0" w:space="0" w:color="auto"/>
        <w:bottom w:val="none" w:sz="0" w:space="0" w:color="auto"/>
        <w:right w:val="none" w:sz="0" w:space="0" w:color="auto"/>
      </w:divBdr>
    </w:div>
    <w:div w:id="1477794892">
      <w:bodyDiv w:val="1"/>
      <w:marLeft w:val="0"/>
      <w:marRight w:val="0"/>
      <w:marTop w:val="0"/>
      <w:marBottom w:val="0"/>
      <w:divBdr>
        <w:top w:val="none" w:sz="0" w:space="0" w:color="auto"/>
        <w:left w:val="none" w:sz="0" w:space="0" w:color="auto"/>
        <w:bottom w:val="none" w:sz="0" w:space="0" w:color="auto"/>
        <w:right w:val="none" w:sz="0" w:space="0" w:color="auto"/>
      </w:divBdr>
    </w:div>
    <w:div w:id="1478036895">
      <w:bodyDiv w:val="1"/>
      <w:marLeft w:val="0"/>
      <w:marRight w:val="0"/>
      <w:marTop w:val="0"/>
      <w:marBottom w:val="0"/>
      <w:divBdr>
        <w:top w:val="none" w:sz="0" w:space="0" w:color="auto"/>
        <w:left w:val="none" w:sz="0" w:space="0" w:color="auto"/>
        <w:bottom w:val="none" w:sz="0" w:space="0" w:color="auto"/>
        <w:right w:val="none" w:sz="0" w:space="0" w:color="auto"/>
      </w:divBdr>
    </w:div>
    <w:div w:id="1478301749">
      <w:bodyDiv w:val="1"/>
      <w:marLeft w:val="0"/>
      <w:marRight w:val="0"/>
      <w:marTop w:val="0"/>
      <w:marBottom w:val="0"/>
      <w:divBdr>
        <w:top w:val="none" w:sz="0" w:space="0" w:color="auto"/>
        <w:left w:val="none" w:sz="0" w:space="0" w:color="auto"/>
        <w:bottom w:val="none" w:sz="0" w:space="0" w:color="auto"/>
        <w:right w:val="none" w:sz="0" w:space="0" w:color="auto"/>
      </w:divBdr>
    </w:div>
    <w:div w:id="1478304248">
      <w:bodyDiv w:val="1"/>
      <w:marLeft w:val="0"/>
      <w:marRight w:val="0"/>
      <w:marTop w:val="0"/>
      <w:marBottom w:val="0"/>
      <w:divBdr>
        <w:top w:val="none" w:sz="0" w:space="0" w:color="auto"/>
        <w:left w:val="none" w:sz="0" w:space="0" w:color="auto"/>
        <w:bottom w:val="none" w:sz="0" w:space="0" w:color="auto"/>
        <w:right w:val="none" w:sz="0" w:space="0" w:color="auto"/>
      </w:divBdr>
    </w:div>
    <w:div w:id="1479612406">
      <w:bodyDiv w:val="1"/>
      <w:marLeft w:val="0"/>
      <w:marRight w:val="0"/>
      <w:marTop w:val="0"/>
      <w:marBottom w:val="0"/>
      <w:divBdr>
        <w:top w:val="none" w:sz="0" w:space="0" w:color="auto"/>
        <w:left w:val="none" w:sz="0" w:space="0" w:color="auto"/>
        <w:bottom w:val="none" w:sz="0" w:space="0" w:color="auto"/>
        <w:right w:val="none" w:sz="0" w:space="0" w:color="auto"/>
      </w:divBdr>
    </w:div>
    <w:div w:id="1479616937">
      <w:bodyDiv w:val="1"/>
      <w:marLeft w:val="0"/>
      <w:marRight w:val="0"/>
      <w:marTop w:val="0"/>
      <w:marBottom w:val="0"/>
      <w:divBdr>
        <w:top w:val="none" w:sz="0" w:space="0" w:color="auto"/>
        <w:left w:val="none" w:sz="0" w:space="0" w:color="auto"/>
        <w:bottom w:val="none" w:sz="0" w:space="0" w:color="auto"/>
        <w:right w:val="none" w:sz="0" w:space="0" w:color="auto"/>
      </w:divBdr>
    </w:div>
    <w:div w:id="1479878413">
      <w:bodyDiv w:val="1"/>
      <w:marLeft w:val="0"/>
      <w:marRight w:val="0"/>
      <w:marTop w:val="0"/>
      <w:marBottom w:val="0"/>
      <w:divBdr>
        <w:top w:val="none" w:sz="0" w:space="0" w:color="auto"/>
        <w:left w:val="none" w:sz="0" w:space="0" w:color="auto"/>
        <w:bottom w:val="none" w:sz="0" w:space="0" w:color="auto"/>
        <w:right w:val="none" w:sz="0" w:space="0" w:color="auto"/>
      </w:divBdr>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
    <w:div w:id="1480152255">
      <w:bodyDiv w:val="1"/>
      <w:marLeft w:val="0"/>
      <w:marRight w:val="0"/>
      <w:marTop w:val="0"/>
      <w:marBottom w:val="0"/>
      <w:divBdr>
        <w:top w:val="none" w:sz="0" w:space="0" w:color="auto"/>
        <w:left w:val="none" w:sz="0" w:space="0" w:color="auto"/>
        <w:bottom w:val="none" w:sz="0" w:space="0" w:color="auto"/>
        <w:right w:val="none" w:sz="0" w:space="0" w:color="auto"/>
      </w:divBdr>
    </w:div>
    <w:div w:id="1480271206">
      <w:bodyDiv w:val="1"/>
      <w:marLeft w:val="0"/>
      <w:marRight w:val="0"/>
      <w:marTop w:val="0"/>
      <w:marBottom w:val="0"/>
      <w:divBdr>
        <w:top w:val="none" w:sz="0" w:space="0" w:color="auto"/>
        <w:left w:val="none" w:sz="0" w:space="0" w:color="auto"/>
        <w:bottom w:val="none" w:sz="0" w:space="0" w:color="auto"/>
        <w:right w:val="none" w:sz="0" w:space="0" w:color="auto"/>
      </w:divBdr>
    </w:div>
    <w:div w:id="1480338623">
      <w:bodyDiv w:val="1"/>
      <w:marLeft w:val="0"/>
      <w:marRight w:val="0"/>
      <w:marTop w:val="0"/>
      <w:marBottom w:val="0"/>
      <w:divBdr>
        <w:top w:val="none" w:sz="0" w:space="0" w:color="auto"/>
        <w:left w:val="none" w:sz="0" w:space="0" w:color="auto"/>
        <w:bottom w:val="none" w:sz="0" w:space="0" w:color="auto"/>
        <w:right w:val="none" w:sz="0" w:space="0" w:color="auto"/>
      </w:divBdr>
    </w:div>
    <w:div w:id="1480413620">
      <w:bodyDiv w:val="1"/>
      <w:marLeft w:val="0"/>
      <w:marRight w:val="0"/>
      <w:marTop w:val="0"/>
      <w:marBottom w:val="0"/>
      <w:divBdr>
        <w:top w:val="none" w:sz="0" w:space="0" w:color="auto"/>
        <w:left w:val="none" w:sz="0" w:space="0" w:color="auto"/>
        <w:bottom w:val="none" w:sz="0" w:space="0" w:color="auto"/>
        <w:right w:val="none" w:sz="0" w:space="0" w:color="auto"/>
      </w:divBdr>
    </w:div>
    <w:div w:id="1481456277">
      <w:bodyDiv w:val="1"/>
      <w:marLeft w:val="0"/>
      <w:marRight w:val="0"/>
      <w:marTop w:val="0"/>
      <w:marBottom w:val="0"/>
      <w:divBdr>
        <w:top w:val="none" w:sz="0" w:space="0" w:color="auto"/>
        <w:left w:val="none" w:sz="0" w:space="0" w:color="auto"/>
        <w:bottom w:val="none" w:sz="0" w:space="0" w:color="auto"/>
        <w:right w:val="none" w:sz="0" w:space="0" w:color="auto"/>
      </w:divBdr>
    </w:div>
    <w:div w:id="1482772943">
      <w:bodyDiv w:val="1"/>
      <w:marLeft w:val="0"/>
      <w:marRight w:val="0"/>
      <w:marTop w:val="0"/>
      <w:marBottom w:val="0"/>
      <w:divBdr>
        <w:top w:val="none" w:sz="0" w:space="0" w:color="auto"/>
        <w:left w:val="none" w:sz="0" w:space="0" w:color="auto"/>
        <w:bottom w:val="none" w:sz="0" w:space="0" w:color="auto"/>
        <w:right w:val="none" w:sz="0" w:space="0" w:color="auto"/>
      </w:divBdr>
    </w:div>
    <w:div w:id="1485387429">
      <w:bodyDiv w:val="1"/>
      <w:marLeft w:val="0"/>
      <w:marRight w:val="0"/>
      <w:marTop w:val="0"/>
      <w:marBottom w:val="0"/>
      <w:divBdr>
        <w:top w:val="none" w:sz="0" w:space="0" w:color="auto"/>
        <w:left w:val="none" w:sz="0" w:space="0" w:color="auto"/>
        <w:bottom w:val="none" w:sz="0" w:space="0" w:color="auto"/>
        <w:right w:val="none" w:sz="0" w:space="0" w:color="auto"/>
      </w:divBdr>
    </w:div>
    <w:div w:id="1486584670">
      <w:bodyDiv w:val="1"/>
      <w:marLeft w:val="0"/>
      <w:marRight w:val="0"/>
      <w:marTop w:val="0"/>
      <w:marBottom w:val="0"/>
      <w:divBdr>
        <w:top w:val="none" w:sz="0" w:space="0" w:color="auto"/>
        <w:left w:val="none" w:sz="0" w:space="0" w:color="auto"/>
        <w:bottom w:val="none" w:sz="0" w:space="0" w:color="auto"/>
        <w:right w:val="none" w:sz="0" w:space="0" w:color="auto"/>
      </w:divBdr>
    </w:div>
    <w:div w:id="1486895459">
      <w:bodyDiv w:val="1"/>
      <w:marLeft w:val="0"/>
      <w:marRight w:val="0"/>
      <w:marTop w:val="0"/>
      <w:marBottom w:val="0"/>
      <w:divBdr>
        <w:top w:val="none" w:sz="0" w:space="0" w:color="auto"/>
        <w:left w:val="none" w:sz="0" w:space="0" w:color="auto"/>
        <w:bottom w:val="none" w:sz="0" w:space="0" w:color="auto"/>
        <w:right w:val="none" w:sz="0" w:space="0" w:color="auto"/>
      </w:divBdr>
    </w:div>
    <w:div w:id="1487432013">
      <w:bodyDiv w:val="1"/>
      <w:marLeft w:val="0"/>
      <w:marRight w:val="0"/>
      <w:marTop w:val="0"/>
      <w:marBottom w:val="0"/>
      <w:divBdr>
        <w:top w:val="none" w:sz="0" w:space="0" w:color="auto"/>
        <w:left w:val="none" w:sz="0" w:space="0" w:color="auto"/>
        <w:bottom w:val="none" w:sz="0" w:space="0" w:color="auto"/>
        <w:right w:val="none" w:sz="0" w:space="0" w:color="auto"/>
      </w:divBdr>
    </w:div>
    <w:div w:id="1488086780">
      <w:bodyDiv w:val="1"/>
      <w:marLeft w:val="0"/>
      <w:marRight w:val="0"/>
      <w:marTop w:val="0"/>
      <w:marBottom w:val="0"/>
      <w:divBdr>
        <w:top w:val="none" w:sz="0" w:space="0" w:color="auto"/>
        <w:left w:val="none" w:sz="0" w:space="0" w:color="auto"/>
        <w:bottom w:val="none" w:sz="0" w:space="0" w:color="auto"/>
        <w:right w:val="none" w:sz="0" w:space="0" w:color="auto"/>
      </w:divBdr>
    </w:div>
    <w:div w:id="1488470781">
      <w:bodyDiv w:val="1"/>
      <w:marLeft w:val="0"/>
      <w:marRight w:val="0"/>
      <w:marTop w:val="0"/>
      <w:marBottom w:val="0"/>
      <w:divBdr>
        <w:top w:val="none" w:sz="0" w:space="0" w:color="auto"/>
        <w:left w:val="none" w:sz="0" w:space="0" w:color="auto"/>
        <w:bottom w:val="none" w:sz="0" w:space="0" w:color="auto"/>
        <w:right w:val="none" w:sz="0" w:space="0" w:color="auto"/>
      </w:divBdr>
    </w:div>
    <w:div w:id="1490904308">
      <w:bodyDiv w:val="1"/>
      <w:marLeft w:val="0"/>
      <w:marRight w:val="0"/>
      <w:marTop w:val="0"/>
      <w:marBottom w:val="0"/>
      <w:divBdr>
        <w:top w:val="none" w:sz="0" w:space="0" w:color="auto"/>
        <w:left w:val="none" w:sz="0" w:space="0" w:color="auto"/>
        <w:bottom w:val="none" w:sz="0" w:space="0" w:color="auto"/>
        <w:right w:val="none" w:sz="0" w:space="0" w:color="auto"/>
      </w:divBdr>
    </w:div>
    <w:div w:id="1491679371">
      <w:bodyDiv w:val="1"/>
      <w:marLeft w:val="0"/>
      <w:marRight w:val="0"/>
      <w:marTop w:val="0"/>
      <w:marBottom w:val="0"/>
      <w:divBdr>
        <w:top w:val="none" w:sz="0" w:space="0" w:color="auto"/>
        <w:left w:val="none" w:sz="0" w:space="0" w:color="auto"/>
        <w:bottom w:val="none" w:sz="0" w:space="0" w:color="auto"/>
        <w:right w:val="none" w:sz="0" w:space="0" w:color="auto"/>
      </w:divBdr>
    </w:div>
    <w:div w:id="1492722202">
      <w:bodyDiv w:val="1"/>
      <w:marLeft w:val="0"/>
      <w:marRight w:val="0"/>
      <w:marTop w:val="0"/>
      <w:marBottom w:val="0"/>
      <w:divBdr>
        <w:top w:val="none" w:sz="0" w:space="0" w:color="auto"/>
        <w:left w:val="none" w:sz="0" w:space="0" w:color="auto"/>
        <w:bottom w:val="none" w:sz="0" w:space="0" w:color="auto"/>
        <w:right w:val="none" w:sz="0" w:space="0" w:color="auto"/>
      </w:divBdr>
    </w:div>
    <w:div w:id="1492991430">
      <w:bodyDiv w:val="1"/>
      <w:marLeft w:val="0"/>
      <w:marRight w:val="0"/>
      <w:marTop w:val="0"/>
      <w:marBottom w:val="0"/>
      <w:divBdr>
        <w:top w:val="none" w:sz="0" w:space="0" w:color="auto"/>
        <w:left w:val="none" w:sz="0" w:space="0" w:color="auto"/>
        <w:bottom w:val="none" w:sz="0" w:space="0" w:color="auto"/>
        <w:right w:val="none" w:sz="0" w:space="0" w:color="auto"/>
      </w:divBdr>
    </w:div>
    <w:div w:id="1493788634">
      <w:bodyDiv w:val="1"/>
      <w:marLeft w:val="0"/>
      <w:marRight w:val="0"/>
      <w:marTop w:val="0"/>
      <w:marBottom w:val="0"/>
      <w:divBdr>
        <w:top w:val="none" w:sz="0" w:space="0" w:color="auto"/>
        <w:left w:val="none" w:sz="0" w:space="0" w:color="auto"/>
        <w:bottom w:val="none" w:sz="0" w:space="0" w:color="auto"/>
        <w:right w:val="none" w:sz="0" w:space="0" w:color="auto"/>
      </w:divBdr>
    </w:div>
    <w:div w:id="1494641696">
      <w:bodyDiv w:val="1"/>
      <w:marLeft w:val="0"/>
      <w:marRight w:val="0"/>
      <w:marTop w:val="0"/>
      <w:marBottom w:val="0"/>
      <w:divBdr>
        <w:top w:val="none" w:sz="0" w:space="0" w:color="auto"/>
        <w:left w:val="none" w:sz="0" w:space="0" w:color="auto"/>
        <w:bottom w:val="none" w:sz="0" w:space="0" w:color="auto"/>
        <w:right w:val="none" w:sz="0" w:space="0" w:color="auto"/>
      </w:divBdr>
    </w:div>
    <w:div w:id="1494762373">
      <w:bodyDiv w:val="1"/>
      <w:marLeft w:val="0"/>
      <w:marRight w:val="0"/>
      <w:marTop w:val="0"/>
      <w:marBottom w:val="0"/>
      <w:divBdr>
        <w:top w:val="none" w:sz="0" w:space="0" w:color="auto"/>
        <w:left w:val="none" w:sz="0" w:space="0" w:color="auto"/>
        <w:bottom w:val="none" w:sz="0" w:space="0" w:color="auto"/>
        <w:right w:val="none" w:sz="0" w:space="0" w:color="auto"/>
      </w:divBdr>
    </w:div>
    <w:div w:id="1495416341">
      <w:bodyDiv w:val="1"/>
      <w:marLeft w:val="0"/>
      <w:marRight w:val="0"/>
      <w:marTop w:val="0"/>
      <w:marBottom w:val="0"/>
      <w:divBdr>
        <w:top w:val="none" w:sz="0" w:space="0" w:color="auto"/>
        <w:left w:val="none" w:sz="0" w:space="0" w:color="auto"/>
        <w:bottom w:val="none" w:sz="0" w:space="0" w:color="auto"/>
        <w:right w:val="none" w:sz="0" w:space="0" w:color="auto"/>
      </w:divBdr>
    </w:div>
    <w:div w:id="1495948884">
      <w:bodyDiv w:val="1"/>
      <w:marLeft w:val="0"/>
      <w:marRight w:val="0"/>
      <w:marTop w:val="0"/>
      <w:marBottom w:val="0"/>
      <w:divBdr>
        <w:top w:val="none" w:sz="0" w:space="0" w:color="auto"/>
        <w:left w:val="none" w:sz="0" w:space="0" w:color="auto"/>
        <w:bottom w:val="none" w:sz="0" w:space="0" w:color="auto"/>
        <w:right w:val="none" w:sz="0" w:space="0" w:color="auto"/>
      </w:divBdr>
    </w:div>
    <w:div w:id="1496339630">
      <w:bodyDiv w:val="1"/>
      <w:marLeft w:val="0"/>
      <w:marRight w:val="0"/>
      <w:marTop w:val="0"/>
      <w:marBottom w:val="0"/>
      <w:divBdr>
        <w:top w:val="none" w:sz="0" w:space="0" w:color="auto"/>
        <w:left w:val="none" w:sz="0" w:space="0" w:color="auto"/>
        <w:bottom w:val="none" w:sz="0" w:space="0" w:color="auto"/>
        <w:right w:val="none" w:sz="0" w:space="0" w:color="auto"/>
      </w:divBdr>
    </w:div>
    <w:div w:id="1497064983">
      <w:bodyDiv w:val="1"/>
      <w:marLeft w:val="0"/>
      <w:marRight w:val="0"/>
      <w:marTop w:val="0"/>
      <w:marBottom w:val="0"/>
      <w:divBdr>
        <w:top w:val="none" w:sz="0" w:space="0" w:color="auto"/>
        <w:left w:val="none" w:sz="0" w:space="0" w:color="auto"/>
        <w:bottom w:val="none" w:sz="0" w:space="0" w:color="auto"/>
        <w:right w:val="none" w:sz="0" w:space="0" w:color="auto"/>
      </w:divBdr>
    </w:div>
    <w:div w:id="1497845297">
      <w:bodyDiv w:val="1"/>
      <w:marLeft w:val="0"/>
      <w:marRight w:val="0"/>
      <w:marTop w:val="0"/>
      <w:marBottom w:val="0"/>
      <w:divBdr>
        <w:top w:val="none" w:sz="0" w:space="0" w:color="auto"/>
        <w:left w:val="none" w:sz="0" w:space="0" w:color="auto"/>
        <w:bottom w:val="none" w:sz="0" w:space="0" w:color="auto"/>
        <w:right w:val="none" w:sz="0" w:space="0" w:color="auto"/>
      </w:divBdr>
    </w:div>
    <w:div w:id="1499271055">
      <w:bodyDiv w:val="1"/>
      <w:marLeft w:val="0"/>
      <w:marRight w:val="0"/>
      <w:marTop w:val="0"/>
      <w:marBottom w:val="0"/>
      <w:divBdr>
        <w:top w:val="none" w:sz="0" w:space="0" w:color="auto"/>
        <w:left w:val="none" w:sz="0" w:space="0" w:color="auto"/>
        <w:bottom w:val="none" w:sz="0" w:space="0" w:color="auto"/>
        <w:right w:val="none" w:sz="0" w:space="0" w:color="auto"/>
      </w:divBdr>
    </w:div>
    <w:div w:id="1501502468">
      <w:bodyDiv w:val="1"/>
      <w:marLeft w:val="0"/>
      <w:marRight w:val="0"/>
      <w:marTop w:val="0"/>
      <w:marBottom w:val="0"/>
      <w:divBdr>
        <w:top w:val="none" w:sz="0" w:space="0" w:color="auto"/>
        <w:left w:val="none" w:sz="0" w:space="0" w:color="auto"/>
        <w:bottom w:val="none" w:sz="0" w:space="0" w:color="auto"/>
        <w:right w:val="none" w:sz="0" w:space="0" w:color="auto"/>
      </w:divBdr>
    </w:div>
    <w:div w:id="1503624074">
      <w:bodyDiv w:val="1"/>
      <w:marLeft w:val="0"/>
      <w:marRight w:val="0"/>
      <w:marTop w:val="0"/>
      <w:marBottom w:val="0"/>
      <w:divBdr>
        <w:top w:val="none" w:sz="0" w:space="0" w:color="auto"/>
        <w:left w:val="none" w:sz="0" w:space="0" w:color="auto"/>
        <w:bottom w:val="none" w:sz="0" w:space="0" w:color="auto"/>
        <w:right w:val="none" w:sz="0" w:space="0" w:color="auto"/>
      </w:divBdr>
    </w:div>
    <w:div w:id="1505242983">
      <w:bodyDiv w:val="1"/>
      <w:marLeft w:val="0"/>
      <w:marRight w:val="0"/>
      <w:marTop w:val="0"/>
      <w:marBottom w:val="0"/>
      <w:divBdr>
        <w:top w:val="none" w:sz="0" w:space="0" w:color="auto"/>
        <w:left w:val="none" w:sz="0" w:space="0" w:color="auto"/>
        <w:bottom w:val="none" w:sz="0" w:space="0" w:color="auto"/>
        <w:right w:val="none" w:sz="0" w:space="0" w:color="auto"/>
      </w:divBdr>
    </w:div>
    <w:div w:id="1506214565">
      <w:bodyDiv w:val="1"/>
      <w:marLeft w:val="0"/>
      <w:marRight w:val="0"/>
      <w:marTop w:val="0"/>
      <w:marBottom w:val="0"/>
      <w:divBdr>
        <w:top w:val="none" w:sz="0" w:space="0" w:color="auto"/>
        <w:left w:val="none" w:sz="0" w:space="0" w:color="auto"/>
        <w:bottom w:val="none" w:sz="0" w:space="0" w:color="auto"/>
        <w:right w:val="none" w:sz="0" w:space="0" w:color="auto"/>
      </w:divBdr>
    </w:div>
    <w:div w:id="1507281236">
      <w:bodyDiv w:val="1"/>
      <w:marLeft w:val="0"/>
      <w:marRight w:val="0"/>
      <w:marTop w:val="0"/>
      <w:marBottom w:val="0"/>
      <w:divBdr>
        <w:top w:val="none" w:sz="0" w:space="0" w:color="auto"/>
        <w:left w:val="none" w:sz="0" w:space="0" w:color="auto"/>
        <w:bottom w:val="none" w:sz="0" w:space="0" w:color="auto"/>
        <w:right w:val="none" w:sz="0" w:space="0" w:color="auto"/>
      </w:divBdr>
    </w:div>
    <w:div w:id="1509098402">
      <w:bodyDiv w:val="1"/>
      <w:marLeft w:val="0"/>
      <w:marRight w:val="0"/>
      <w:marTop w:val="0"/>
      <w:marBottom w:val="0"/>
      <w:divBdr>
        <w:top w:val="none" w:sz="0" w:space="0" w:color="auto"/>
        <w:left w:val="none" w:sz="0" w:space="0" w:color="auto"/>
        <w:bottom w:val="none" w:sz="0" w:space="0" w:color="auto"/>
        <w:right w:val="none" w:sz="0" w:space="0" w:color="auto"/>
      </w:divBdr>
    </w:div>
    <w:div w:id="1509563172">
      <w:bodyDiv w:val="1"/>
      <w:marLeft w:val="0"/>
      <w:marRight w:val="0"/>
      <w:marTop w:val="0"/>
      <w:marBottom w:val="0"/>
      <w:divBdr>
        <w:top w:val="none" w:sz="0" w:space="0" w:color="auto"/>
        <w:left w:val="none" w:sz="0" w:space="0" w:color="auto"/>
        <w:bottom w:val="none" w:sz="0" w:space="0" w:color="auto"/>
        <w:right w:val="none" w:sz="0" w:space="0" w:color="auto"/>
      </w:divBdr>
    </w:div>
    <w:div w:id="1509754329">
      <w:bodyDiv w:val="1"/>
      <w:marLeft w:val="0"/>
      <w:marRight w:val="0"/>
      <w:marTop w:val="0"/>
      <w:marBottom w:val="0"/>
      <w:divBdr>
        <w:top w:val="none" w:sz="0" w:space="0" w:color="auto"/>
        <w:left w:val="none" w:sz="0" w:space="0" w:color="auto"/>
        <w:bottom w:val="none" w:sz="0" w:space="0" w:color="auto"/>
        <w:right w:val="none" w:sz="0" w:space="0" w:color="auto"/>
      </w:divBdr>
    </w:div>
    <w:div w:id="1509756661">
      <w:bodyDiv w:val="1"/>
      <w:marLeft w:val="0"/>
      <w:marRight w:val="0"/>
      <w:marTop w:val="0"/>
      <w:marBottom w:val="0"/>
      <w:divBdr>
        <w:top w:val="none" w:sz="0" w:space="0" w:color="auto"/>
        <w:left w:val="none" w:sz="0" w:space="0" w:color="auto"/>
        <w:bottom w:val="none" w:sz="0" w:space="0" w:color="auto"/>
        <w:right w:val="none" w:sz="0" w:space="0" w:color="auto"/>
      </w:divBdr>
    </w:div>
    <w:div w:id="1510026987">
      <w:bodyDiv w:val="1"/>
      <w:marLeft w:val="0"/>
      <w:marRight w:val="0"/>
      <w:marTop w:val="0"/>
      <w:marBottom w:val="0"/>
      <w:divBdr>
        <w:top w:val="none" w:sz="0" w:space="0" w:color="auto"/>
        <w:left w:val="none" w:sz="0" w:space="0" w:color="auto"/>
        <w:bottom w:val="none" w:sz="0" w:space="0" w:color="auto"/>
        <w:right w:val="none" w:sz="0" w:space="0" w:color="auto"/>
      </w:divBdr>
    </w:div>
    <w:div w:id="1510634785">
      <w:bodyDiv w:val="1"/>
      <w:marLeft w:val="0"/>
      <w:marRight w:val="0"/>
      <w:marTop w:val="0"/>
      <w:marBottom w:val="0"/>
      <w:divBdr>
        <w:top w:val="none" w:sz="0" w:space="0" w:color="auto"/>
        <w:left w:val="none" w:sz="0" w:space="0" w:color="auto"/>
        <w:bottom w:val="none" w:sz="0" w:space="0" w:color="auto"/>
        <w:right w:val="none" w:sz="0" w:space="0" w:color="auto"/>
      </w:divBdr>
    </w:div>
    <w:div w:id="1513912381">
      <w:bodyDiv w:val="1"/>
      <w:marLeft w:val="0"/>
      <w:marRight w:val="0"/>
      <w:marTop w:val="0"/>
      <w:marBottom w:val="0"/>
      <w:divBdr>
        <w:top w:val="none" w:sz="0" w:space="0" w:color="auto"/>
        <w:left w:val="none" w:sz="0" w:space="0" w:color="auto"/>
        <w:bottom w:val="none" w:sz="0" w:space="0" w:color="auto"/>
        <w:right w:val="none" w:sz="0" w:space="0" w:color="auto"/>
      </w:divBdr>
    </w:div>
    <w:div w:id="1514879093">
      <w:bodyDiv w:val="1"/>
      <w:marLeft w:val="0"/>
      <w:marRight w:val="0"/>
      <w:marTop w:val="0"/>
      <w:marBottom w:val="0"/>
      <w:divBdr>
        <w:top w:val="none" w:sz="0" w:space="0" w:color="auto"/>
        <w:left w:val="none" w:sz="0" w:space="0" w:color="auto"/>
        <w:bottom w:val="none" w:sz="0" w:space="0" w:color="auto"/>
        <w:right w:val="none" w:sz="0" w:space="0" w:color="auto"/>
      </w:divBdr>
    </w:div>
    <w:div w:id="1514952519">
      <w:bodyDiv w:val="1"/>
      <w:marLeft w:val="0"/>
      <w:marRight w:val="0"/>
      <w:marTop w:val="0"/>
      <w:marBottom w:val="0"/>
      <w:divBdr>
        <w:top w:val="none" w:sz="0" w:space="0" w:color="auto"/>
        <w:left w:val="none" w:sz="0" w:space="0" w:color="auto"/>
        <w:bottom w:val="none" w:sz="0" w:space="0" w:color="auto"/>
        <w:right w:val="none" w:sz="0" w:space="0" w:color="auto"/>
      </w:divBdr>
    </w:div>
    <w:div w:id="1515655589">
      <w:bodyDiv w:val="1"/>
      <w:marLeft w:val="0"/>
      <w:marRight w:val="0"/>
      <w:marTop w:val="0"/>
      <w:marBottom w:val="0"/>
      <w:divBdr>
        <w:top w:val="none" w:sz="0" w:space="0" w:color="auto"/>
        <w:left w:val="none" w:sz="0" w:space="0" w:color="auto"/>
        <w:bottom w:val="none" w:sz="0" w:space="0" w:color="auto"/>
        <w:right w:val="none" w:sz="0" w:space="0" w:color="auto"/>
      </w:divBdr>
    </w:div>
    <w:div w:id="1515994301">
      <w:bodyDiv w:val="1"/>
      <w:marLeft w:val="0"/>
      <w:marRight w:val="0"/>
      <w:marTop w:val="0"/>
      <w:marBottom w:val="0"/>
      <w:divBdr>
        <w:top w:val="none" w:sz="0" w:space="0" w:color="auto"/>
        <w:left w:val="none" w:sz="0" w:space="0" w:color="auto"/>
        <w:bottom w:val="none" w:sz="0" w:space="0" w:color="auto"/>
        <w:right w:val="none" w:sz="0" w:space="0" w:color="auto"/>
      </w:divBdr>
    </w:div>
    <w:div w:id="1517769889">
      <w:bodyDiv w:val="1"/>
      <w:marLeft w:val="0"/>
      <w:marRight w:val="0"/>
      <w:marTop w:val="0"/>
      <w:marBottom w:val="0"/>
      <w:divBdr>
        <w:top w:val="none" w:sz="0" w:space="0" w:color="auto"/>
        <w:left w:val="none" w:sz="0" w:space="0" w:color="auto"/>
        <w:bottom w:val="none" w:sz="0" w:space="0" w:color="auto"/>
        <w:right w:val="none" w:sz="0" w:space="0" w:color="auto"/>
      </w:divBdr>
    </w:div>
    <w:div w:id="1518813722">
      <w:bodyDiv w:val="1"/>
      <w:marLeft w:val="0"/>
      <w:marRight w:val="0"/>
      <w:marTop w:val="0"/>
      <w:marBottom w:val="0"/>
      <w:divBdr>
        <w:top w:val="none" w:sz="0" w:space="0" w:color="auto"/>
        <w:left w:val="none" w:sz="0" w:space="0" w:color="auto"/>
        <w:bottom w:val="none" w:sz="0" w:space="0" w:color="auto"/>
        <w:right w:val="none" w:sz="0" w:space="0" w:color="auto"/>
      </w:divBdr>
    </w:div>
    <w:div w:id="1519005454">
      <w:bodyDiv w:val="1"/>
      <w:marLeft w:val="0"/>
      <w:marRight w:val="0"/>
      <w:marTop w:val="0"/>
      <w:marBottom w:val="0"/>
      <w:divBdr>
        <w:top w:val="none" w:sz="0" w:space="0" w:color="auto"/>
        <w:left w:val="none" w:sz="0" w:space="0" w:color="auto"/>
        <w:bottom w:val="none" w:sz="0" w:space="0" w:color="auto"/>
        <w:right w:val="none" w:sz="0" w:space="0" w:color="auto"/>
      </w:divBdr>
    </w:div>
    <w:div w:id="1519586822">
      <w:bodyDiv w:val="1"/>
      <w:marLeft w:val="0"/>
      <w:marRight w:val="0"/>
      <w:marTop w:val="0"/>
      <w:marBottom w:val="0"/>
      <w:divBdr>
        <w:top w:val="none" w:sz="0" w:space="0" w:color="auto"/>
        <w:left w:val="none" w:sz="0" w:space="0" w:color="auto"/>
        <w:bottom w:val="none" w:sz="0" w:space="0" w:color="auto"/>
        <w:right w:val="none" w:sz="0" w:space="0" w:color="auto"/>
      </w:divBdr>
    </w:div>
    <w:div w:id="1520001554">
      <w:bodyDiv w:val="1"/>
      <w:marLeft w:val="0"/>
      <w:marRight w:val="0"/>
      <w:marTop w:val="0"/>
      <w:marBottom w:val="0"/>
      <w:divBdr>
        <w:top w:val="none" w:sz="0" w:space="0" w:color="auto"/>
        <w:left w:val="none" w:sz="0" w:space="0" w:color="auto"/>
        <w:bottom w:val="none" w:sz="0" w:space="0" w:color="auto"/>
        <w:right w:val="none" w:sz="0" w:space="0" w:color="auto"/>
      </w:divBdr>
    </w:div>
    <w:div w:id="1522012728">
      <w:bodyDiv w:val="1"/>
      <w:marLeft w:val="0"/>
      <w:marRight w:val="0"/>
      <w:marTop w:val="0"/>
      <w:marBottom w:val="0"/>
      <w:divBdr>
        <w:top w:val="none" w:sz="0" w:space="0" w:color="auto"/>
        <w:left w:val="none" w:sz="0" w:space="0" w:color="auto"/>
        <w:bottom w:val="none" w:sz="0" w:space="0" w:color="auto"/>
        <w:right w:val="none" w:sz="0" w:space="0" w:color="auto"/>
      </w:divBdr>
    </w:div>
    <w:div w:id="1522275575">
      <w:bodyDiv w:val="1"/>
      <w:marLeft w:val="0"/>
      <w:marRight w:val="0"/>
      <w:marTop w:val="0"/>
      <w:marBottom w:val="0"/>
      <w:divBdr>
        <w:top w:val="none" w:sz="0" w:space="0" w:color="auto"/>
        <w:left w:val="none" w:sz="0" w:space="0" w:color="auto"/>
        <w:bottom w:val="none" w:sz="0" w:space="0" w:color="auto"/>
        <w:right w:val="none" w:sz="0" w:space="0" w:color="auto"/>
      </w:divBdr>
    </w:div>
    <w:div w:id="1522357800">
      <w:bodyDiv w:val="1"/>
      <w:marLeft w:val="0"/>
      <w:marRight w:val="0"/>
      <w:marTop w:val="0"/>
      <w:marBottom w:val="0"/>
      <w:divBdr>
        <w:top w:val="none" w:sz="0" w:space="0" w:color="auto"/>
        <w:left w:val="none" w:sz="0" w:space="0" w:color="auto"/>
        <w:bottom w:val="none" w:sz="0" w:space="0" w:color="auto"/>
        <w:right w:val="none" w:sz="0" w:space="0" w:color="auto"/>
      </w:divBdr>
    </w:div>
    <w:div w:id="1523591992">
      <w:bodyDiv w:val="1"/>
      <w:marLeft w:val="0"/>
      <w:marRight w:val="0"/>
      <w:marTop w:val="0"/>
      <w:marBottom w:val="0"/>
      <w:divBdr>
        <w:top w:val="none" w:sz="0" w:space="0" w:color="auto"/>
        <w:left w:val="none" w:sz="0" w:space="0" w:color="auto"/>
        <w:bottom w:val="none" w:sz="0" w:space="0" w:color="auto"/>
        <w:right w:val="none" w:sz="0" w:space="0" w:color="auto"/>
      </w:divBdr>
    </w:div>
    <w:div w:id="1524707024">
      <w:bodyDiv w:val="1"/>
      <w:marLeft w:val="0"/>
      <w:marRight w:val="0"/>
      <w:marTop w:val="0"/>
      <w:marBottom w:val="0"/>
      <w:divBdr>
        <w:top w:val="none" w:sz="0" w:space="0" w:color="auto"/>
        <w:left w:val="none" w:sz="0" w:space="0" w:color="auto"/>
        <w:bottom w:val="none" w:sz="0" w:space="0" w:color="auto"/>
        <w:right w:val="none" w:sz="0" w:space="0" w:color="auto"/>
      </w:divBdr>
    </w:div>
    <w:div w:id="1525092790">
      <w:bodyDiv w:val="1"/>
      <w:marLeft w:val="0"/>
      <w:marRight w:val="0"/>
      <w:marTop w:val="0"/>
      <w:marBottom w:val="0"/>
      <w:divBdr>
        <w:top w:val="none" w:sz="0" w:space="0" w:color="auto"/>
        <w:left w:val="none" w:sz="0" w:space="0" w:color="auto"/>
        <w:bottom w:val="none" w:sz="0" w:space="0" w:color="auto"/>
        <w:right w:val="none" w:sz="0" w:space="0" w:color="auto"/>
      </w:divBdr>
    </w:div>
    <w:div w:id="1525709816">
      <w:bodyDiv w:val="1"/>
      <w:marLeft w:val="0"/>
      <w:marRight w:val="0"/>
      <w:marTop w:val="0"/>
      <w:marBottom w:val="0"/>
      <w:divBdr>
        <w:top w:val="none" w:sz="0" w:space="0" w:color="auto"/>
        <w:left w:val="none" w:sz="0" w:space="0" w:color="auto"/>
        <w:bottom w:val="none" w:sz="0" w:space="0" w:color="auto"/>
        <w:right w:val="none" w:sz="0" w:space="0" w:color="auto"/>
      </w:divBdr>
    </w:div>
    <w:div w:id="1525941376">
      <w:bodyDiv w:val="1"/>
      <w:marLeft w:val="0"/>
      <w:marRight w:val="0"/>
      <w:marTop w:val="0"/>
      <w:marBottom w:val="0"/>
      <w:divBdr>
        <w:top w:val="none" w:sz="0" w:space="0" w:color="auto"/>
        <w:left w:val="none" w:sz="0" w:space="0" w:color="auto"/>
        <w:bottom w:val="none" w:sz="0" w:space="0" w:color="auto"/>
        <w:right w:val="none" w:sz="0" w:space="0" w:color="auto"/>
      </w:divBdr>
    </w:div>
    <w:div w:id="1526601546">
      <w:bodyDiv w:val="1"/>
      <w:marLeft w:val="0"/>
      <w:marRight w:val="0"/>
      <w:marTop w:val="0"/>
      <w:marBottom w:val="0"/>
      <w:divBdr>
        <w:top w:val="none" w:sz="0" w:space="0" w:color="auto"/>
        <w:left w:val="none" w:sz="0" w:space="0" w:color="auto"/>
        <w:bottom w:val="none" w:sz="0" w:space="0" w:color="auto"/>
        <w:right w:val="none" w:sz="0" w:space="0" w:color="auto"/>
      </w:divBdr>
    </w:div>
    <w:div w:id="1529028231">
      <w:bodyDiv w:val="1"/>
      <w:marLeft w:val="0"/>
      <w:marRight w:val="0"/>
      <w:marTop w:val="0"/>
      <w:marBottom w:val="0"/>
      <w:divBdr>
        <w:top w:val="none" w:sz="0" w:space="0" w:color="auto"/>
        <w:left w:val="none" w:sz="0" w:space="0" w:color="auto"/>
        <w:bottom w:val="none" w:sz="0" w:space="0" w:color="auto"/>
        <w:right w:val="none" w:sz="0" w:space="0" w:color="auto"/>
      </w:divBdr>
    </w:div>
    <w:div w:id="1529249245">
      <w:bodyDiv w:val="1"/>
      <w:marLeft w:val="0"/>
      <w:marRight w:val="0"/>
      <w:marTop w:val="0"/>
      <w:marBottom w:val="0"/>
      <w:divBdr>
        <w:top w:val="none" w:sz="0" w:space="0" w:color="auto"/>
        <w:left w:val="none" w:sz="0" w:space="0" w:color="auto"/>
        <w:bottom w:val="none" w:sz="0" w:space="0" w:color="auto"/>
        <w:right w:val="none" w:sz="0" w:space="0" w:color="auto"/>
      </w:divBdr>
    </w:div>
    <w:div w:id="1529489979">
      <w:bodyDiv w:val="1"/>
      <w:marLeft w:val="0"/>
      <w:marRight w:val="0"/>
      <w:marTop w:val="0"/>
      <w:marBottom w:val="0"/>
      <w:divBdr>
        <w:top w:val="none" w:sz="0" w:space="0" w:color="auto"/>
        <w:left w:val="none" w:sz="0" w:space="0" w:color="auto"/>
        <w:bottom w:val="none" w:sz="0" w:space="0" w:color="auto"/>
        <w:right w:val="none" w:sz="0" w:space="0" w:color="auto"/>
      </w:divBdr>
    </w:div>
    <w:div w:id="1529827720">
      <w:bodyDiv w:val="1"/>
      <w:marLeft w:val="0"/>
      <w:marRight w:val="0"/>
      <w:marTop w:val="0"/>
      <w:marBottom w:val="0"/>
      <w:divBdr>
        <w:top w:val="none" w:sz="0" w:space="0" w:color="auto"/>
        <w:left w:val="none" w:sz="0" w:space="0" w:color="auto"/>
        <w:bottom w:val="none" w:sz="0" w:space="0" w:color="auto"/>
        <w:right w:val="none" w:sz="0" w:space="0" w:color="auto"/>
      </w:divBdr>
    </w:div>
    <w:div w:id="1530024474">
      <w:bodyDiv w:val="1"/>
      <w:marLeft w:val="0"/>
      <w:marRight w:val="0"/>
      <w:marTop w:val="0"/>
      <w:marBottom w:val="0"/>
      <w:divBdr>
        <w:top w:val="none" w:sz="0" w:space="0" w:color="auto"/>
        <w:left w:val="none" w:sz="0" w:space="0" w:color="auto"/>
        <w:bottom w:val="none" w:sz="0" w:space="0" w:color="auto"/>
        <w:right w:val="none" w:sz="0" w:space="0" w:color="auto"/>
      </w:divBdr>
    </w:div>
    <w:div w:id="1532651082">
      <w:bodyDiv w:val="1"/>
      <w:marLeft w:val="0"/>
      <w:marRight w:val="0"/>
      <w:marTop w:val="0"/>
      <w:marBottom w:val="0"/>
      <w:divBdr>
        <w:top w:val="none" w:sz="0" w:space="0" w:color="auto"/>
        <w:left w:val="none" w:sz="0" w:space="0" w:color="auto"/>
        <w:bottom w:val="none" w:sz="0" w:space="0" w:color="auto"/>
        <w:right w:val="none" w:sz="0" w:space="0" w:color="auto"/>
      </w:divBdr>
    </w:div>
    <w:div w:id="1534608685">
      <w:bodyDiv w:val="1"/>
      <w:marLeft w:val="0"/>
      <w:marRight w:val="0"/>
      <w:marTop w:val="0"/>
      <w:marBottom w:val="0"/>
      <w:divBdr>
        <w:top w:val="none" w:sz="0" w:space="0" w:color="auto"/>
        <w:left w:val="none" w:sz="0" w:space="0" w:color="auto"/>
        <w:bottom w:val="none" w:sz="0" w:space="0" w:color="auto"/>
        <w:right w:val="none" w:sz="0" w:space="0" w:color="auto"/>
      </w:divBdr>
    </w:div>
    <w:div w:id="1536849106">
      <w:bodyDiv w:val="1"/>
      <w:marLeft w:val="0"/>
      <w:marRight w:val="0"/>
      <w:marTop w:val="0"/>
      <w:marBottom w:val="0"/>
      <w:divBdr>
        <w:top w:val="none" w:sz="0" w:space="0" w:color="auto"/>
        <w:left w:val="none" w:sz="0" w:space="0" w:color="auto"/>
        <w:bottom w:val="none" w:sz="0" w:space="0" w:color="auto"/>
        <w:right w:val="none" w:sz="0" w:space="0" w:color="auto"/>
      </w:divBdr>
    </w:div>
    <w:div w:id="1538346426">
      <w:bodyDiv w:val="1"/>
      <w:marLeft w:val="0"/>
      <w:marRight w:val="0"/>
      <w:marTop w:val="0"/>
      <w:marBottom w:val="0"/>
      <w:divBdr>
        <w:top w:val="none" w:sz="0" w:space="0" w:color="auto"/>
        <w:left w:val="none" w:sz="0" w:space="0" w:color="auto"/>
        <w:bottom w:val="none" w:sz="0" w:space="0" w:color="auto"/>
        <w:right w:val="none" w:sz="0" w:space="0" w:color="auto"/>
      </w:divBdr>
    </w:div>
    <w:div w:id="1539393186">
      <w:bodyDiv w:val="1"/>
      <w:marLeft w:val="0"/>
      <w:marRight w:val="0"/>
      <w:marTop w:val="0"/>
      <w:marBottom w:val="0"/>
      <w:divBdr>
        <w:top w:val="none" w:sz="0" w:space="0" w:color="auto"/>
        <w:left w:val="none" w:sz="0" w:space="0" w:color="auto"/>
        <w:bottom w:val="none" w:sz="0" w:space="0" w:color="auto"/>
        <w:right w:val="none" w:sz="0" w:space="0" w:color="auto"/>
      </w:divBdr>
    </w:div>
    <w:div w:id="1539776794">
      <w:bodyDiv w:val="1"/>
      <w:marLeft w:val="0"/>
      <w:marRight w:val="0"/>
      <w:marTop w:val="0"/>
      <w:marBottom w:val="0"/>
      <w:divBdr>
        <w:top w:val="none" w:sz="0" w:space="0" w:color="auto"/>
        <w:left w:val="none" w:sz="0" w:space="0" w:color="auto"/>
        <w:bottom w:val="none" w:sz="0" w:space="0" w:color="auto"/>
        <w:right w:val="none" w:sz="0" w:space="0" w:color="auto"/>
      </w:divBdr>
    </w:div>
    <w:div w:id="1539776935">
      <w:bodyDiv w:val="1"/>
      <w:marLeft w:val="0"/>
      <w:marRight w:val="0"/>
      <w:marTop w:val="0"/>
      <w:marBottom w:val="0"/>
      <w:divBdr>
        <w:top w:val="none" w:sz="0" w:space="0" w:color="auto"/>
        <w:left w:val="none" w:sz="0" w:space="0" w:color="auto"/>
        <w:bottom w:val="none" w:sz="0" w:space="0" w:color="auto"/>
        <w:right w:val="none" w:sz="0" w:space="0" w:color="auto"/>
      </w:divBdr>
    </w:div>
    <w:div w:id="1539926208">
      <w:bodyDiv w:val="1"/>
      <w:marLeft w:val="0"/>
      <w:marRight w:val="0"/>
      <w:marTop w:val="0"/>
      <w:marBottom w:val="0"/>
      <w:divBdr>
        <w:top w:val="none" w:sz="0" w:space="0" w:color="auto"/>
        <w:left w:val="none" w:sz="0" w:space="0" w:color="auto"/>
        <w:bottom w:val="none" w:sz="0" w:space="0" w:color="auto"/>
        <w:right w:val="none" w:sz="0" w:space="0" w:color="auto"/>
      </w:divBdr>
    </w:div>
    <w:div w:id="1539970966">
      <w:bodyDiv w:val="1"/>
      <w:marLeft w:val="0"/>
      <w:marRight w:val="0"/>
      <w:marTop w:val="0"/>
      <w:marBottom w:val="0"/>
      <w:divBdr>
        <w:top w:val="none" w:sz="0" w:space="0" w:color="auto"/>
        <w:left w:val="none" w:sz="0" w:space="0" w:color="auto"/>
        <w:bottom w:val="none" w:sz="0" w:space="0" w:color="auto"/>
        <w:right w:val="none" w:sz="0" w:space="0" w:color="auto"/>
      </w:divBdr>
    </w:div>
    <w:div w:id="1540514611">
      <w:bodyDiv w:val="1"/>
      <w:marLeft w:val="0"/>
      <w:marRight w:val="0"/>
      <w:marTop w:val="0"/>
      <w:marBottom w:val="0"/>
      <w:divBdr>
        <w:top w:val="none" w:sz="0" w:space="0" w:color="auto"/>
        <w:left w:val="none" w:sz="0" w:space="0" w:color="auto"/>
        <w:bottom w:val="none" w:sz="0" w:space="0" w:color="auto"/>
        <w:right w:val="none" w:sz="0" w:space="0" w:color="auto"/>
      </w:divBdr>
    </w:div>
    <w:div w:id="1540817688">
      <w:bodyDiv w:val="1"/>
      <w:marLeft w:val="0"/>
      <w:marRight w:val="0"/>
      <w:marTop w:val="0"/>
      <w:marBottom w:val="0"/>
      <w:divBdr>
        <w:top w:val="none" w:sz="0" w:space="0" w:color="auto"/>
        <w:left w:val="none" w:sz="0" w:space="0" w:color="auto"/>
        <w:bottom w:val="none" w:sz="0" w:space="0" w:color="auto"/>
        <w:right w:val="none" w:sz="0" w:space="0" w:color="auto"/>
      </w:divBdr>
    </w:div>
    <w:div w:id="1541163575">
      <w:bodyDiv w:val="1"/>
      <w:marLeft w:val="0"/>
      <w:marRight w:val="0"/>
      <w:marTop w:val="0"/>
      <w:marBottom w:val="0"/>
      <w:divBdr>
        <w:top w:val="none" w:sz="0" w:space="0" w:color="auto"/>
        <w:left w:val="none" w:sz="0" w:space="0" w:color="auto"/>
        <w:bottom w:val="none" w:sz="0" w:space="0" w:color="auto"/>
        <w:right w:val="none" w:sz="0" w:space="0" w:color="auto"/>
      </w:divBdr>
    </w:div>
    <w:div w:id="1544829041">
      <w:bodyDiv w:val="1"/>
      <w:marLeft w:val="0"/>
      <w:marRight w:val="0"/>
      <w:marTop w:val="0"/>
      <w:marBottom w:val="0"/>
      <w:divBdr>
        <w:top w:val="none" w:sz="0" w:space="0" w:color="auto"/>
        <w:left w:val="none" w:sz="0" w:space="0" w:color="auto"/>
        <w:bottom w:val="none" w:sz="0" w:space="0" w:color="auto"/>
        <w:right w:val="none" w:sz="0" w:space="0" w:color="auto"/>
      </w:divBdr>
    </w:div>
    <w:div w:id="1545174492">
      <w:bodyDiv w:val="1"/>
      <w:marLeft w:val="0"/>
      <w:marRight w:val="0"/>
      <w:marTop w:val="0"/>
      <w:marBottom w:val="0"/>
      <w:divBdr>
        <w:top w:val="none" w:sz="0" w:space="0" w:color="auto"/>
        <w:left w:val="none" w:sz="0" w:space="0" w:color="auto"/>
        <w:bottom w:val="none" w:sz="0" w:space="0" w:color="auto"/>
        <w:right w:val="none" w:sz="0" w:space="0" w:color="auto"/>
      </w:divBdr>
    </w:div>
    <w:div w:id="1545362275">
      <w:bodyDiv w:val="1"/>
      <w:marLeft w:val="0"/>
      <w:marRight w:val="0"/>
      <w:marTop w:val="0"/>
      <w:marBottom w:val="0"/>
      <w:divBdr>
        <w:top w:val="none" w:sz="0" w:space="0" w:color="auto"/>
        <w:left w:val="none" w:sz="0" w:space="0" w:color="auto"/>
        <w:bottom w:val="none" w:sz="0" w:space="0" w:color="auto"/>
        <w:right w:val="none" w:sz="0" w:space="0" w:color="auto"/>
      </w:divBdr>
    </w:div>
    <w:div w:id="1547335416">
      <w:bodyDiv w:val="1"/>
      <w:marLeft w:val="0"/>
      <w:marRight w:val="0"/>
      <w:marTop w:val="0"/>
      <w:marBottom w:val="0"/>
      <w:divBdr>
        <w:top w:val="none" w:sz="0" w:space="0" w:color="auto"/>
        <w:left w:val="none" w:sz="0" w:space="0" w:color="auto"/>
        <w:bottom w:val="none" w:sz="0" w:space="0" w:color="auto"/>
        <w:right w:val="none" w:sz="0" w:space="0" w:color="auto"/>
      </w:divBdr>
    </w:div>
    <w:div w:id="1550415971">
      <w:bodyDiv w:val="1"/>
      <w:marLeft w:val="0"/>
      <w:marRight w:val="0"/>
      <w:marTop w:val="0"/>
      <w:marBottom w:val="0"/>
      <w:divBdr>
        <w:top w:val="none" w:sz="0" w:space="0" w:color="auto"/>
        <w:left w:val="none" w:sz="0" w:space="0" w:color="auto"/>
        <w:bottom w:val="none" w:sz="0" w:space="0" w:color="auto"/>
        <w:right w:val="none" w:sz="0" w:space="0" w:color="auto"/>
      </w:divBdr>
    </w:div>
    <w:div w:id="1552615481">
      <w:bodyDiv w:val="1"/>
      <w:marLeft w:val="0"/>
      <w:marRight w:val="0"/>
      <w:marTop w:val="0"/>
      <w:marBottom w:val="0"/>
      <w:divBdr>
        <w:top w:val="none" w:sz="0" w:space="0" w:color="auto"/>
        <w:left w:val="none" w:sz="0" w:space="0" w:color="auto"/>
        <w:bottom w:val="none" w:sz="0" w:space="0" w:color="auto"/>
        <w:right w:val="none" w:sz="0" w:space="0" w:color="auto"/>
      </w:divBdr>
    </w:div>
    <w:div w:id="1554001493">
      <w:bodyDiv w:val="1"/>
      <w:marLeft w:val="0"/>
      <w:marRight w:val="0"/>
      <w:marTop w:val="0"/>
      <w:marBottom w:val="0"/>
      <w:divBdr>
        <w:top w:val="none" w:sz="0" w:space="0" w:color="auto"/>
        <w:left w:val="none" w:sz="0" w:space="0" w:color="auto"/>
        <w:bottom w:val="none" w:sz="0" w:space="0" w:color="auto"/>
        <w:right w:val="none" w:sz="0" w:space="0" w:color="auto"/>
      </w:divBdr>
    </w:div>
    <w:div w:id="1554345175">
      <w:bodyDiv w:val="1"/>
      <w:marLeft w:val="0"/>
      <w:marRight w:val="0"/>
      <w:marTop w:val="0"/>
      <w:marBottom w:val="0"/>
      <w:divBdr>
        <w:top w:val="none" w:sz="0" w:space="0" w:color="auto"/>
        <w:left w:val="none" w:sz="0" w:space="0" w:color="auto"/>
        <w:bottom w:val="none" w:sz="0" w:space="0" w:color="auto"/>
        <w:right w:val="none" w:sz="0" w:space="0" w:color="auto"/>
      </w:divBdr>
    </w:div>
    <w:div w:id="1554733072">
      <w:bodyDiv w:val="1"/>
      <w:marLeft w:val="0"/>
      <w:marRight w:val="0"/>
      <w:marTop w:val="0"/>
      <w:marBottom w:val="0"/>
      <w:divBdr>
        <w:top w:val="none" w:sz="0" w:space="0" w:color="auto"/>
        <w:left w:val="none" w:sz="0" w:space="0" w:color="auto"/>
        <w:bottom w:val="none" w:sz="0" w:space="0" w:color="auto"/>
        <w:right w:val="none" w:sz="0" w:space="0" w:color="auto"/>
      </w:divBdr>
    </w:div>
    <w:div w:id="1557859210">
      <w:bodyDiv w:val="1"/>
      <w:marLeft w:val="0"/>
      <w:marRight w:val="0"/>
      <w:marTop w:val="0"/>
      <w:marBottom w:val="0"/>
      <w:divBdr>
        <w:top w:val="none" w:sz="0" w:space="0" w:color="auto"/>
        <w:left w:val="none" w:sz="0" w:space="0" w:color="auto"/>
        <w:bottom w:val="none" w:sz="0" w:space="0" w:color="auto"/>
        <w:right w:val="none" w:sz="0" w:space="0" w:color="auto"/>
      </w:divBdr>
    </w:div>
    <w:div w:id="1561481613">
      <w:bodyDiv w:val="1"/>
      <w:marLeft w:val="0"/>
      <w:marRight w:val="0"/>
      <w:marTop w:val="0"/>
      <w:marBottom w:val="0"/>
      <w:divBdr>
        <w:top w:val="none" w:sz="0" w:space="0" w:color="auto"/>
        <w:left w:val="none" w:sz="0" w:space="0" w:color="auto"/>
        <w:bottom w:val="none" w:sz="0" w:space="0" w:color="auto"/>
        <w:right w:val="none" w:sz="0" w:space="0" w:color="auto"/>
      </w:divBdr>
    </w:div>
    <w:div w:id="1561600178">
      <w:bodyDiv w:val="1"/>
      <w:marLeft w:val="0"/>
      <w:marRight w:val="0"/>
      <w:marTop w:val="0"/>
      <w:marBottom w:val="0"/>
      <w:divBdr>
        <w:top w:val="none" w:sz="0" w:space="0" w:color="auto"/>
        <w:left w:val="none" w:sz="0" w:space="0" w:color="auto"/>
        <w:bottom w:val="none" w:sz="0" w:space="0" w:color="auto"/>
        <w:right w:val="none" w:sz="0" w:space="0" w:color="auto"/>
      </w:divBdr>
    </w:div>
    <w:div w:id="1562279680">
      <w:bodyDiv w:val="1"/>
      <w:marLeft w:val="0"/>
      <w:marRight w:val="0"/>
      <w:marTop w:val="0"/>
      <w:marBottom w:val="0"/>
      <w:divBdr>
        <w:top w:val="none" w:sz="0" w:space="0" w:color="auto"/>
        <w:left w:val="none" w:sz="0" w:space="0" w:color="auto"/>
        <w:bottom w:val="none" w:sz="0" w:space="0" w:color="auto"/>
        <w:right w:val="none" w:sz="0" w:space="0" w:color="auto"/>
      </w:divBdr>
    </w:div>
    <w:div w:id="1563786217">
      <w:bodyDiv w:val="1"/>
      <w:marLeft w:val="0"/>
      <w:marRight w:val="0"/>
      <w:marTop w:val="0"/>
      <w:marBottom w:val="0"/>
      <w:divBdr>
        <w:top w:val="none" w:sz="0" w:space="0" w:color="auto"/>
        <w:left w:val="none" w:sz="0" w:space="0" w:color="auto"/>
        <w:bottom w:val="none" w:sz="0" w:space="0" w:color="auto"/>
        <w:right w:val="none" w:sz="0" w:space="0" w:color="auto"/>
      </w:divBdr>
    </w:div>
    <w:div w:id="1563978001">
      <w:bodyDiv w:val="1"/>
      <w:marLeft w:val="0"/>
      <w:marRight w:val="0"/>
      <w:marTop w:val="0"/>
      <w:marBottom w:val="0"/>
      <w:divBdr>
        <w:top w:val="none" w:sz="0" w:space="0" w:color="auto"/>
        <w:left w:val="none" w:sz="0" w:space="0" w:color="auto"/>
        <w:bottom w:val="none" w:sz="0" w:space="0" w:color="auto"/>
        <w:right w:val="none" w:sz="0" w:space="0" w:color="auto"/>
      </w:divBdr>
    </w:div>
    <w:div w:id="1564297688">
      <w:bodyDiv w:val="1"/>
      <w:marLeft w:val="0"/>
      <w:marRight w:val="0"/>
      <w:marTop w:val="0"/>
      <w:marBottom w:val="0"/>
      <w:divBdr>
        <w:top w:val="none" w:sz="0" w:space="0" w:color="auto"/>
        <w:left w:val="none" w:sz="0" w:space="0" w:color="auto"/>
        <w:bottom w:val="none" w:sz="0" w:space="0" w:color="auto"/>
        <w:right w:val="none" w:sz="0" w:space="0" w:color="auto"/>
      </w:divBdr>
    </w:div>
    <w:div w:id="1564608024">
      <w:bodyDiv w:val="1"/>
      <w:marLeft w:val="0"/>
      <w:marRight w:val="0"/>
      <w:marTop w:val="0"/>
      <w:marBottom w:val="0"/>
      <w:divBdr>
        <w:top w:val="none" w:sz="0" w:space="0" w:color="auto"/>
        <w:left w:val="none" w:sz="0" w:space="0" w:color="auto"/>
        <w:bottom w:val="none" w:sz="0" w:space="0" w:color="auto"/>
        <w:right w:val="none" w:sz="0" w:space="0" w:color="auto"/>
      </w:divBdr>
    </w:div>
    <w:div w:id="1566184831">
      <w:bodyDiv w:val="1"/>
      <w:marLeft w:val="0"/>
      <w:marRight w:val="0"/>
      <w:marTop w:val="0"/>
      <w:marBottom w:val="0"/>
      <w:divBdr>
        <w:top w:val="none" w:sz="0" w:space="0" w:color="auto"/>
        <w:left w:val="none" w:sz="0" w:space="0" w:color="auto"/>
        <w:bottom w:val="none" w:sz="0" w:space="0" w:color="auto"/>
        <w:right w:val="none" w:sz="0" w:space="0" w:color="auto"/>
      </w:divBdr>
    </w:div>
    <w:div w:id="1568220103">
      <w:bodyDiv w:val="1"/>
      <w:marLeft w:val="0"/>
      <w:marRight w:val="0"/>
      <w:marTop w:val="0"/>
      <w:marBottom w:val="0"/>
      <w:divBdr>
        <w:top w:val="none" w:sz="0" w:space="0" w:color="auto"/>
        <w:left w:val="none" w:sz="0" w:space="0" w:color="auto"/>
        <w:bottom w:val="none" w:sz="0" w:space="0" w:color="auto"/>
        <w:right w:val="none" w:sz="0" w:space="0" w:color="auto"/>
      </w:divBdr>
    </w:div>
    <w:div w:id="1568497697">
      <w:bodyDiv w:val="1"/>
      <w:marLeft w:val="0"/>
      <w:marRight w:val="0"/>
      <w:marTop w:val="0"/>
      <w:marBottom w:val="0"/>
      <w:divBdr>
        <w:top w:val="none" w:sz="0" w:space="0" w:color="auto"/>
        <w:left w:val="none" w:sz="0" w:space="0" w:color="auto"/>
        <w:bottom w:val="none" w:sz="0" w:space="0" w:color="auto"/>
        <w:right w:val="none" w:sz="0" w:space="0" w:color="auto"/>
      </w:divBdr>
    </w:div>
    <w:div w:id="1568615022">
      <w:bodyDiv w:val="1"/>
      <w:marLeft w:val="0"/>
      <w:marRight w:val="0"/>
      <w:marTop w:val="0"/>
      <w:marBottom w:val="0"/>
      <w:divBdr>
        <w:top w:val="none" w:sz="0" w:space="0" w:color="auto"/>
        <w:left w:val="none" w:sz="0" w:space="0" w:color="auto"/>
        <w:bottom w:val="none" w:sz="0" w:space="0" w:color="auto"/>
        <w:right w:val="none" w:sz="0" w:space="0" w:color="auto"/>
      </w:divBdr>
    </w:div>
    <w:div w:id="1569728908">
      <w:bodyDiv w:val="1"/>
      <w:marLeft w:val="0"/>
      <w:marRight w:val="0"/>
      <w:marTop w:val="0"/>
      <w:marBottom w:val="0"/>
      <w:divBdr>
        <w:top w:val="none" w:sz="0" w:space="0" w:color="auto"/>
        <w:left w:val="none" w:sz="0" w:space="0" w:color="auto"/>
        <w:bottom w:val="none" w:sz="0" w:space="0" w:color="auto"/>
        <w:right w:val="none" w:sz="0" w:space="0" w:color="auto"/>
      </w:divBdr>
    </w:div>
    <w:div w:id="1570113159">
      <w:bodyDiv w:val="1"/>
      <w:marLeft w:val="0"/>
      <w:marRight w:val="0"/>
      <w:marTop w:val="0"/>
      <w:marBottom w:val="0"/>
      <w:divBdr>
        <w:top w:val="none" w:sz="0" w:space="0" w:color="auto"/>
        <w:left w:val="none" w:sz="0" w:space="0" w:color="auto"/>
        <w:bottom w:val="none" w:sz="0" w:space="0" w:color="auto"/>
        <w:right w:val="none" w:sz="0" w:space="0" w:color="auto"/>
      </w:divBdr>
    </w:div>
    <w:div w:id="1571427456">
      <w:bodyDiv w:val="1"/>
      <w:marLeft w:val="0"/>
      <w:marRight w:val="0"/>
      <w:marTop w:val="0"/>
      <w:marBottom w:val="0"/>
      <w:divBdr>
        <w:top w:val="none" w:sz="0" w:space="0" w:color="auto"/>
        <w:left w:val="none" w:sz="0" w:space="0" w:color="auto"/>
        <w:bottom w:val="none" w:sz="0" w:space="0" w:color="auto"/>
        <w:right w:val="none" w:sz="0" w:space="0" w:color="auto"/>
      </w:divBdr>
    </w:div>
    <w:div w:id="1573009462">
      <w:bodyDiv w:val="1"/>
      <w:marLeft w:val="0"/>
      <w:marRight w:val="0"/>
      <w:marTop w:val="0"/>
      <w:marBottom w:val="0"/>
      <w:divBdr>
        <w:top w:val="none" w:sz="0" w:space="0" w:color="auto"/>
        <w:left w:val="none" w:sz="0" w:space="0" w:color="auto"/>
        <w:bottom w:val="none" w:sz="0" w:space="0" w:color="auto"/>
        <w:right w:val="none" w:sz="0" w:space="0" w:color="auto"/>
      </w:divBdr>
    </w:div>
    <w:div w:id="1575626005">
      <w:bodyDiv w:val="1"/>
      <w:marLeft w:val="0"/>
      <w:marRight w:val="0"/>
      <w:marTop w:val="0"/>
      <w:marBottom w:val="0"/>
      <w:divBdr>
        <w:top w:val="none" w:sz="0" w:space="0" w:color="auto"/>
        <w:left w:val="none" w:sz="0" w:space="0" w:color="auto"/>
        <w:bottom w:val="none" w:sz="0" w:space="0" w:color="auto"/>
        <w:right w:val="none" w:sz="0" w:space="0" w:color="auto"/>
      </w:divBdr>
    </w:div>
    <w:div w:id="1575972398">
      <w:bodyDiv w:val="1"/>
      <w:marLeft w:val="0"/>
      <w:marRight w:val="0"/>
      <w:marTop w:val="0"/>
      <w:marBottom w:val="0"/>
      <w:divBdr>
        <w:top w:val="none" w:sz="0" w:space="0" w:color="auto"/>
        <w:left w:val="none" w:sz="0" w:space="0" w:color="auto"/>
        <w:bottom w:val="none" w:sz="0" w:space="0" w:color="auto"/>
        <w:right w:val="none" w:sz="0" w:space="0" w:color="auto"/>
      </w:divBdr>
    </w:div>
    <w:div w:id="1576167958">
      <w:bodyDiv w:val="1"/>
      <w:marLeft w:val="0"/>
      <w:marRight w:val="0"/>
      <w:marTop w:val="0"/>
      <w:marBottom w:val="0"/>
      <w:divBdr>
        <w:top w:val="none" w:sz="0" w:space="0" w:color="auto"/>
        <w:left w:val="none" w:sz="0" w:space="0" w:color="auto"/>
        <w:bottom w:val="none" w:sz="0" w:space="0" w:color="auto"/>
        <w:right w:val="none" w:sz="0" w:space="0" w:color="auto"/>
      </w:divBdr>
    </w:div>
    <w:div w:id="1576238370">
      <w:bodyDiv w:val="1"/>
      <w:marLeft w:val="0"/>
      <w:marRight w:val="0"/>
      <w:marTop w:val="0"/>
      <w:marBottom w:val="0"/>
      <w:divBdr>
        <w:top w:val="none" w:sz="0" w:space="0" w:color="auto"/>
        <w:left w:val="none" w:sz="0" w:space="0" w:color="auto"/>
        <w:bottom w:val="none" w:sz="0" w:space="0" w:color="auto"/>
        <w:right w:val="none" w:sz="0" w:space="0" w:color="auto"/>
      </w:divBdr>
    </w:div>
    <w:div w:id="1576427933">
      <w:bodyDiv w:val="1"/>
      <w:marLeft w:val="0"/>
      <w:marRight w:val="0"/>
      <w:marTop w:val="0"/>
      <w:marBottom w:val="0"/>
      <w:divBdr>
        <w:top w:val="none" w:sz="0" w:space="0" w:color="auto"/>
        <w:left w:val="none" w:sz="0" w:space="0" w:color="auto"/>
        <w:bottom w:val="none" w:sz="0" w:space="0" w:color="auto"/>
        <w:right w:val="none" w:sz="0" w:space="0" w:color="auto"/>
      </w:divBdr>
    </w:div>
    <w:div w:id="1577862841">
      <w:bodyDiv w:val="1"/>
      <w:marLeft w:val="0"/>
      <w:marRight w:val="0"/>
      <w:marTop w:val="0"/>
      <w:marBottom w:val="0"/>
      <w:divBdr>
        <w:top w:val="none" w:sz="0" w:space="0" w:color="auto"/>
        <w:left w:val="none" w:sz="0" w:space="0" w:color="auto"/>
        <w:bottom w:val="none" w:sz="0" w:space="0" w:color="auto"/>
        <w:right w:val="none" w:sz="0" w:space="0" w:color="auto"/>
      </w:divBdr>
    </w:div>
    <w:div w:id="1578518812">
      <w:bodyDiv w:val="1"/>
      <w:marLeft w:val="0"/>
      <w:marRight w:val="0"/>
      <w:marTop w:val="0"/>
      <w:marBottom w:val="0"/>
      <w:divBdr>
        <w:top w:val="none" w:sz="0" w:space="0" w:color="auto"/>
        <w:left w:val="none" w:sz="0" w:space="0" w:color="auto"/>
        <w:bottom w:val="none" w:sz="0" w:space="0" w:color="auto"/>
        <w:right w:val="none" w:sz="0" w:space="0" w:color="auto"/>
      </w:divBdr>
    </w:div>
    <w:div w:id="1579167543">
      <w:bodyDiv w:val="1"/>
      <w:marLeft w:val="0"/>
      <w:marRight w:val="0"/>
      <w:marTop w:val="0"/>
      <w:marBottom w:val="0"/>
      <w:divBdr>
        <w:top w:val="none" w:sz="0" w:space="0" w:color="auto"/>
        <w:left w:val="none" w:sz="0" w:space="0" w:color="auto"/>
        <w:bottom w:val="none" w:sz="0" w:space="0" w:color="auto"/>
        <w:right w:val="none" w:sz="0" w:space="0" w:color="auto"/>
      </w:divBdr>
    </w:div>
    <w:div w:id="1580360193">
      <w:bodyDiv w:val="1"/>
      <w:marLeft w:val="0"/>
      <w:marRight w:val="0"/>
      <w:marTop w:val="0"/>
      <w:marBottom w:val="0"/>
      <w:divBdr>
        <w:top w:val="none" w:sz="0" w:space="0" w:color="auto"/>
        <w:left w:val="none" w:sz="0" w:space="0" w:color="auto"/>
        <w:bottom w:val="none" w:sz="0" w:space="0" w:color="auto"/>
        <w:right w:val="none" w:sz="0" w:space="0" w:color="auto"/>
      </w:divBdr>
    </w:div>
    <w:div w:id="1580485747">
      <w:bodyDiv w:val="1"/>
      <w:marLeft w:val="0"/>
      <w:marRight w:val="0"/>
      <w:marTop w:val="0"/>
      <w:marBottom w:val="0"/>
      <w:divBdr>
        <w:top w:val="none" w:sz="0" w:space="0" w:color="auto"/>
        <w:left w:val="none" w:sz="0" w:space="0" w:color="auto"/>
        <w:bottom w:val="none" w:sz="0" w:space="0" w:color="auto"/>
        <w:right w:val="none" w:sz="0" w:space="0" w:color="auto"/>
      </w:divBdr>
    </w:div>
    <w:div w:id="1581023166">
      <w:bodyDiv w:val="1"/>
      <w:marLeft w:val="0"/>
      <w:marRight w:val="0"/>
      <w:marTop w:val="0"/>
      <w:marBottom w:val="0"/>
      <w:divBdr>
        <w:top w:val="none" w:sz="0" w:space="0" w:color="auto"/>
        <w:left w:val="none" w:sz="0" w:space="0" w:color="auto"/>
        <w:bottom w:val="none" w:sz="0" w:space="0" w:color="auto"/>
        <w:right w:val="none" w:sz="0" w:space="0" w:color="auto"/>
      </w:divBdr>
    </w:div>
    <w:div w:id="1581792385">
      <w:bodyDiv w:val="1"/>
      <w:marLeft w:val="0"/>
      <w:marRight w:val="0"/>
      <w:marTop w:val="0"/>
      <w:marBottom w:val="0"/>
      <w:divBdr>
        <w:top w:val="none" w:sz="0" w:space="0" w:color="auto"/>
        <w:left w:val="none" w:sz="0" w:space="0" w:color="auto"/>
        <w:bottom w:val="none" w:sz="0" w:space="0" w:color="auto"/>
        <w:right w:val="none" w:sz="0" w:space="0" w:color="auto"/>
      </w:divBdr>
    </w:div>
    <w:div w:id="1581912338">
      <w:bodyDiv w:val="1"/>
      <w:marLeft w:val="0"/>
      <w:marRight w:val="0"/>
      <w:marTop w:val="0"/>
      <w:marBottom w:val="0"/>
      <w:divBdr>
        <w:top w:val="none" w:sz="0" w:space="0" w:color="auto"/>
        <w:left w:val="none" w:sz="0" w:space="0" w:color="auto"/>
        <w:bottom w:val="none" w:sz="0" w:space="0" w:color="auto"/>
        <w:right w:val="none" w:sz="0" w:space="0" w:color="auto"/>
      </w:divBdr>
    </w:div>
    <w:div w:id="1582567410">
      <w:bodyDiv w:val="1"/>
      <w:marLeft w:val="0"/>
      <w:marRight w:val="0"/>
      <w:marTop w:val="0"/>
      <w:marBottom w:val="0"/>
      <w:divBdr>
        <w:top w:val="none" w:sz="0" w:space="0" w:color="auto"/>
        <w:left w:val="none" w:sz="0" w:space="0" w:color="auto"/>
        <w:bottom w:val="none" w:sz="0" w:space="0" w:color="auto"/>
        <w:right w:val="none" w:sz="0" w:space="0" w:color="auto"/>
      </w:divBdr>
    </w:div>
    <w:div w:id="1582829745">
      <w:bodyDiv w:val="1"/>
      <w:marLeft w:val="0"/>
      <w:marRight w:val="0"/>
      <w:marTop w:val="0"/>
      <w:marBottom w:val="0"/>
      <w:divBdr>
        <w:top w:val="none" w:sz="0" w:space="0" w:color="auto"/>
        <w:left w:val="none" w:sz="0" w:space="0" w:color="auto"/>
        <w:bottom w:val="none" w:sz="0" w:space="0" w:color="auto"/>
        <w:right w:val="none" w:sz="0" w:space="0" w:color="auto"/>
      </w:divBdr>
    </w:div>
    <w:div w:id="1585843627">
      <w:bodyDiv w:val="1"/>
      <w:marLeft w:val="0"/>
      <w:marRight w:val="0"/>
      <w:marTop w:val="0"/>
      <w:marBottom w:val="0"/>
      <w:divBdr>
        <w:top w:val="none" w:sz="0" w:space="0" w:color="auto"/>
        <w:left w:val="none" w:sz="0" w:space="0" w:color="auto"/>
        <w:bottom w:val="none" w:sz="0" w:space="0" w:color="auto"/>
        <w:right w:val="none" w:sz="0" w:space="0" w:color="auto"/>
      </w:divBdr>
    </w:div>
    <w:div w:id="1586499255">
      <w:bodyDiv w:val="1"/>
      <w:marLeft w:val="0"/>
      <w:marRight w:val="0"/>
      <w:marTop w:val="0"/>
      <w:marBottom w:val="0"/>
      <w:divBdr>
        <w:top w:val="none" w:sz="0" w:space="0" w:color="auto"/>
        <w:left w:val="none" w:sz="0" w:space="0" w:color="auto"/>
        <w:bottom w:val="none" w:sz="0" w:space="0" w:color="auto"/>
        <w:right w:val="none" w:sz="0" w:space="0" w:color="auto"/>
      </w:divBdr>
    </w:div>
    <w:div w:id="1587151071">
      <w:bodyDiv w:val="1"/>
      <w:marLeft w:val="0"/>
      <w:marRight w:val="0"/>
      <w:marTop w:val="0"/>
      <w:marBottom w:val="0"/>
      <w:divBdr>
        <w:top w:val="none" w:sz="0" w:space="0" w:color="auto"/>
        <w:left w:val="none" w:sz="0" w:space="0" w:color="auto"/>
        <w:bottom w:val="none" w:sz="0" w:space="0" w:color="auto"/>
        <w:right w:val="none" w:sz="0" w:space="0" w:color="auto"/>
      </w:divBdr>
    </w:div>
    <w:div w:id="1589191636">
      <w:bodyDiv w:val="1"/>
      <w:marLeft w:val="0"/>
      <w:marRight w:val="0"/>
      <w:marTop w:val="0"/>
      <w:marBottom w:val="0"/>
      <w:divBdr>
        <w:top w:val="none" w:sz="0" w:space="0" w:color="auto"/>
        <w:left w:val="none" w:sz="0" w:space="0" w:color="auto"/>
        <w:bottom w:val="none" w:sz="0" w:space="0" w:color="auto"/>
        <w:right w:val="none" w:sz="0" w:space="0" w:color="auto"/>
      </w:divBdr>
    </w:div>
    <w:div w:id="1589577581">
      <w:bodyDiv w:val="1"/>
      <w:marLeft w:val="0"/>
      <w:marRight w:val="0"/>
      <w:marTop w:val="0"/>
      <w:marBottom w:val="0"/>
      <w:divBdr>
        <w:top w:val="none" w:sz="0" w:space="0" w:color="auto"/>
        <w:left w:val="none" w:sz="0" w:space="0" w:color="auto"/>
        <w:bottom w:val="none" w:sz="0" w:space="0" w:color="auto"/>
        <w:right w:val="none" w:sz="0" w:space="0" w:color="auto"/>
      </w:divBdr>
    </w:div>
    <w:div w:id="1589921728">
      <w:bodyDiv w:val="1"/>
      <w:marLeft w:val="0"/>
      <w:marRight w:val="0"/>
      <w:marTop w:val="0"/>
      <w:marBottom w:val="0"/>
      <w:divBdr>
        <w:top w:val="none" w:sz="0" w:space="0" w:color="auto"/>
        <w:left w:val="none" w:sz="0" w:space="0" w:color="auto"/>
        <w:bottom w:val="none" w:sz="0" w:space="0" w:color="auto"/>
        <w:right w:val="none" w:sz="0" w:space="0" w:color="auto"/>
      </w:divBdr>
    </w:div>
    <w:div w:id="1591696489">
      <w:bodyDiv w:val="1"/>
      <w:marLeft w:val="0"/>
      <w:marRight w:val="0"/>
      <w:marTop w:val="0"/>
      <w:marBottom w:val="0"/>
      <w:divBdr>
        <w:top w:val="none" w:sz="0" w:space="0" w:color="auto"/>
        <w:left w:val="none" w:sz="0" w:space="0" w:color="auto"/>
        <w:bottom w:val="none" w:sz="0" w:space="0" w:color="auto"/>
        <w:right w:val="none" w:sz="0" w:space="0" w:color="auto"/>
      </w:divBdr>
    </w:div>
    <w:div w:id="1593121553">
      <w:bodyDiv w:val="1"/>
      <w:marLeft w:val="0"/>
      <w:marRight w:val="0"/>
      <w:marTop w:val="0"/>
      <w:marBottom w:val="0"/>
      <w:divBdr>
        <w:top w:val="none" w:sz="0" w:space="0" w:color="auto"/>
        <w:left w:val="none" w:sz="0" w:space="0" w:color="auto"/>
        <w:bottom w:val="none" w:sz="0" w:space="0" w:color="auto"/>
        <w:right w:val="none" w:sz="0" w:space="0" w:color="auto"/>
      </w:divBdr>
    </w:div>
    <w:div w:id="1593389259">
      <w:bodyDiv w:val="1"/>
      <w:marLeft w:val="0"/>
      <w:marRight w:val="0"/>
      <w:marTop w:val="0"/>
      <w:marBottom w:val="0"/>
      <w:divBdr>
        <w:top w:val="none" w:sz="0" w:space="0" w:color="auto"/>
        <w:left w:val="none" w:sz="0" w:space="0" w:color="auto"/>
        <w:bottom w:val="none" w:sz="0" w:space="0" w:color="auto"/>
        <w:right w:val="none" w:sz="0" w:space="0" w:color="auto"/>
      </w:divBdr>
    </w:div>
    <w:div w:id="1596746604">
      <w:bodyDiv w:val="1"/>
      <w:marLeft w:val="0"/>
      <w:marRight w:val="0"/>
      <w:marTop w:val="0"/>
      <w:marBottom w:val="0"/>
      <w:divBdr>
        <w:top w:val="none" w:sz="0" w:space="0" w:color="auto"/>
        <w:left w:val="none" w:sz="0" w:space="0" w:color="auto"/>
        <w:bottom w:val="none" w:sz="0" w:space="0" w:color="auto"/>
        <w:right w:val="none" w:sz="0" w:space="0" w:color="auto"/>
      </w:divBdr>
    </w:div>
    <w:div w:id="1597322048">
      <w:bodyDiv w:val="1"/>
      <w:marLeft w:val="0"/>
      <w:marRight w:val="0"/>
      <w:marTop w:val="0"/>
      <w:marBottom w:val="0"/>
      <w:divBdr>
        <w:top w:val="none" w:sz="0" w:space="0" w:color="auto"/>
        <w:left w:val="none" w:sz="0" w:space="0" w:color="auto"/>
        <w:bottom w:val="none" w:sz="0" w:space="0" w:color="auto"/>
        <w:right w:val="none" w:sz="0" w:space="0" w:color="auto"/>
      </w:divBdr>
    </w:div>
    <w:div w:id="1599176290">
      <w:bodyDiv w:val="1"/>
      <w:marLeft w:val="0"/>
      <w:marRight w:val="0"/>
      <w:marTop w:val="0"/>
      <w:marBottom w:val="0"/>
      <w:divBdr>
        <w:top w:val="none" w:sz="0" w:space="0" w:color="auto"/>
        <w:left w:val="none" w:sz="0" w:space="0" w:color="auto"/>
        <w:bottom w:val="none" w:sz="0" w:space="0" w:color="auto"/>
        <w:right w:val="none" w:sz="0" w:space="0" w:color="auto"/>
      </w:divBdr>
    </w:div>
    <w:div w:id="1599366976">
      <w:bodyDiv w:val="1"/>
      <w:marLeft w:val="0"/>
      <w:marRight w:val="0"/>
      <w:marTop w:val="0"/>
      <w:marBottom w:val="0"/>
      <w:divBdr>
        <w:top w:val="none" w:sz="0" w:space="0" w:color="auto"/>
        <w:left w:val="none" w:sz="0" w:space="0" w:color="auto"/>
        <w:bottom w:val="none" w:sz="0" w:space="0" w:color="auto"/>
        <w:right w:val="none" w:sz="0" w:space="0" w:color="auto"/>
      </w:divBdr>
    </w:div>
    <w:div w:id="1599631237">
      <w:bodyDiv w:val="1"/>
      <w:marLeft w:val="0"/>
      <w:marRight w:val="0"/>
      <w:marTop w:val="0"/>
      <w:marBottom w:val="0"/>
      <w:divBdr>
        <w:top w:val="none" w:sz="0" w:space="0" w:color="auto"/>
        <w:left w:val="none" w:sz="0" w:space="0" w:color="auto"/>
        <w:bottom w:val="none" w:sz="0" w:space="0" w:color="auto"/>
        <w:right w:val="none" w:sz="0" w:space="0" w:color="auto"/>
      </w:divBdr>
    </w:div>
    <w:div w:id="1599634496">
      <w:bodyDiv w:val="1"/>
      <w:marLeft w:val="0"/>
      <w:marRight w:val="0"/>
      <w:marTop w:val="0"/>
      <w:marBottom w:val="0"/>
      <w:divBdr>
        <w:top w:val="none" w:sz="0" w:space="0" w:color="auto"/>
        <w:left w:val="none" w:sz="0" w:space="0" w:color="auto"/>
        <w:bottom w:val="none" w:sz="0" w:space="0" w:color="auto"/>
        <w:right w:val="none" w:sz="0" w:space="0" w:color="auto"/>
      </w:divBdr>
    </w:div>
    <w:div w:id="1600329739">
      <w:bodyDiv w:val="1"/>
      <w:marLeft w:val="0"/>
      <w:marRight w:val="0"/>
      <w:marTop w:val="0"/>
      <w:marBottom w:val="0"/>
      <w:divBdr>
        <w:top w:val="none" w:sz="0" w:space="0" w:color="auto"/>
        <w:left w:val="none" w:sz="0" w:space="0" w:color="auto"/>
        <w:bottom w:val="none" w:sz="0" w:space="0" w:color="auto"/>
        <w:right w:val="none" w:sz="0" w:space="0" w:color="auto"/>
      </w:divBdr>
    </w:div>
    <w:div w:id="1601449677">
      <w:bodyDiv w:val="1"/>
      <w:marLeft w:val="0"/>
      <w:marRight w:val="0"/>
      <w:marTop w:val="0"/>
      <w:marBottom w:val="0"/>
      <w:divBdr>
        <w:top w:val="none" w:sz="0" w:space="0" w:color="auto"/>
        <w:left w:val="none" w:sz="0" w:space="0" w:color="auto"/>
        <w:bottom w:val="none" w:sz="0" w:space="0" w:color="auto"/>
        <w:right w:val="none" w:sz="0" w:space="0" w:color="auto"/>
      </w:divBdr>
    </w:div>
    <w:div w:id="1601647879">
      <w:bodyDiv w:val="1"/>
      <w:marLeft w:val="0"/>
      <w:marRight w:val="0"/>
      <w:marTop w:val="0"/>
      <w:marBottom w:val="0"/>
      <w:divBdr>
        <w:top w:val="none" w:sz="0" w:space="0" w:color="auto"/>
        <w:left w:val="none" w:sz="0" w:space="0" w:color="auto"/>
        <w:bottom w:val="none" w:sz="0" w:space="0" w:color="auto"/>
        <w:right w:val="none" w:sz="0" w:space="0" w:color="auto"/>
      </w:divBdr>
    </w:div>
    <w:div w:id="1602373677">
      <w:bodyDiv w:val="1"/>
      <w:marLeft w:val="0"/>
      <w:marRight w:val="0"/>
      <w:marTop w:val="0"/>
      <w:marBottom w:val="0"/>
      <w:divBdr>
        <w:top w:val="none" w:sz="0" w:space="0" w:color="auto"/>
        <w:left w:val="none" w:sz="0" w:space="0" w:color="auto"/>
        <w:bottom w:val="none" w:sz="0" w:space="0" w:color="auto"/>
        <w:right w:val="none" w:sz="0" w:space="0" w:color="auto"/>
      </w:divBdr>
    </w:div>
    <w:div w:id="1604149412">
      <w:bodyDiv w:val="1"/>
      <w:marLeft w:val="0"/>
      <w:marRight w:val="0"/>
      <w:marTop w:val="0"/>
      <w:marBottom w:val="0"/>
      <w:divBdr>
        <w:top w:val="none" w:sz="0" w:space="0" w:color="auto"/>
        <w:left w:val="none" w:sz="0" w:space="0" w:color="auto"/>
        <w:bottom w:val="none" w:sz="0" w:space="0" w:color="auto"/>
        <w:right w:val="none" w:sz="0" w:space="0" w:color="auto"/>
      </w:divBdr>
    </w:div>
    <w:div w:id="1604453713">
      <w:bodyDiv w:val="1"/>
      <w:marLeft w:val="0"/>
      <w:marRight w:val="0"/>
      <w:marTop w:val="0"/>
      <w:marBottom w:val="0"/>
      <w:divBdr>
        <w:top w:val="none" w:sz="0" w:space="0" w:color="auto"/>
        <w:left w:val="none" w:sz="0" w:space="0" w:color="auto"/>
        <w:bottom w:val="none" w:sz="0" w:space="0" w:color="auto"/>
        <w:right w:val="none" w:sz="0" w:space="0" w:color="auto"/>
      </w:divBdr>
    </w:div>
    <w:div w:id="1606310151">
      <w:bodyDiv w:val="1"/>
      <w:marLeft w:val="0"/>
      <w:marRight w:val="0"/>
      <w:marTop w:val="0"/>
      <w:marBottom w:val="0"/>
      <w:divBdr>
        <w:top w:val="none" w:sz="0" w:space="0" w:color="auto"/>
        <w:left w:val="none" w:sz="0" w:space="0" w:color="auto"/>
        <w:bottom w:val="none" w:sz="0" w:space="0" w:color="auto"/>
        <w:right w:val="none" w:sz="0" w:space="0" w:color="auto"/>
      </w:divBdr>
    </w:div>
    <w:div w:id="1607690841">
      <w:bodyDiv w:val="1"/>
      <w:marLeft w:val="0"/>
      <w:marRight w:val="0"/>
      <w:marTop w:val="0"/>
      <w:marBottom w:val="0"/>
      <w:divBdr>
        <w:top w:val="none" w:sz="0" w:space="0" w:color="auto"/>
        <w:left w:val="none" w:sz="0" w:space="0" w:color="auto"/>
        <w:bottom w:val="none" w:sz="0" w:space="0" w:color="auto"/>
        <w:right w:val="none" w:sz="0" w:space="0" w:color="auto"/>
      </w:divBdr>
    </w:div>
    <w:div w:id="1608849335">
      <w:bodyDiv w:val="1"/>
      <w:marLeft w:val="0"/>
      <w:marRight w:val="0"/>
      <w:marTop w:val="0"/>
      <w:marBottom w:val="0"/>
      <w:divBdr>
        <w:top w:val="none" w:sz="0" w:space="0" w:color="auto"/>
        <w:left w:val="none" w:sz="0" w:space="0" w:color="auto"/>
        <w:bottom w:val="none" w:sz="0" w:space="0" w:color="auto"/>
        <w:right w:val="none" w:sz="0" w:space="0" w:color="auto"/>
      </w:divBdr>
    </w:div>
    <w:div w:id="1609116904">
      <w:bodyDiv w:val="1"/>
      <w:marLeft w:val="0"/>
      <w:marRight w:val="0"/>
      <w:marTop w:val="0"/>
      <w:marBottom w:val="0"/>
      <w:divBdr>
        <w:top w:val="none" w:sz="0" w:space="0" w:color="auto"/>
        <w:left w:val="none" w:sz="0" w:space="0" w:color="auto"/>
        <w:bottom w:val="none" w:sz="0" w:space="0" w:color="auto"/>
        <w:right w:val="none" w:sz="0" w:space="0" w:color="auto"/>
      </w:divBdr>
    </w:div>
    <w:div w:id="1609242311">
      <w:bodyDiv w:val="1"/>
      <w:marLeft w:val="0"/>
      <w:marRight w:val="0"/>
      <w:marTop w:val="0"/>
      <w:marBottom w:val="0"/>
      <w:divBdr>
        <w:top w:val="none" w:sz="0" w:space="0" w:color="auto"/>
        <w:left w:val="none" w:sz="0" w:space="0" w:color="auto"/>
        <w:bottom w:val="none" w:sz="0" w:space="0" w:color="auto"/>
        <w:right w:val="none" w:sz="0" w:space="0" w:color="auto"/>
      </w:divBdr>
    </w:div>
    <w:div w:id="1609697592">
      <w:bodyDiv w:val="1"/>
      <w:marLeft w:val="0"/>
      <w:marRight w:val="0"/>
      <w:marTop w:val="0"/>
      <w:marBottom w:val="0"/>
      <w:divBdr>
        <w:top w:val="none" w:sz="0" w:space="0" w:color="auto"/>
        <w:left w:val="none" w:sz="0" w:space="0" w:color="auto"/>
        <w:bottom w:val="none" w:sz="0" w:space="0" w:color="auto"/>
        <w:right w:val="none" w:sz="0" w:space="0" w:color="auto"/>
      </w:divBdr>
    </w:div>
    <w:div w:id="1612317346">
      <w:bodyDiv w:val="1"/>
      <w:marLeft w:val="0"/>
      <w:marRight w:val="0"/>
      <w:marTop w:val="0"/>
      <w:marBottom w:val="0"/>
      <w:divBdr>
        <w:top w:val="none" w:sz="0" w:space="0" w:color="auto"/>
        <w:left w:val="none" w:sz="0" w:space="0" w:color="auto"/>
        <w:bottom w:val="none" w:sz="0" w:space="0" w:color="auto"/>
        <w:right w:val="none" w:sz="0" w:space="0" w:color="auto"/>
      </w:divBdr>
    </w:div>
    <w:div w:id="1612737317">
      <w:bodyDiv w:val="1"/>
      <w:marLeft w:val="0"/>
      <w:marRight w:val="0"/>
      <w:marTop w:val="0"/>
      <w:marBottom w:val="0"/>
      <w:divBdr>
        <w:top w:val="none" w:sz="0" w:space="0" w:color="auto"/>
        <w:left w:val="none" w:sz="0" w:space="0" w:color="auto"/>
        <w:bottom w:val="none" w:sz="0" w:space="0" w:color="auto"/>
        <w:right w:val="none" w:sz="0" w:space="0" w:color="auto"/>
      </w:divBdr>
    </w:div>
    <w:div w:id="1613249687">
      <w:bodyDiv w:val="1"/>
      <w:marLeft w:val="0"/>
      <w:marRight w:val="0"/>
      <w:marTop w:val="0"/>
      <w:marBottom w:val="0"/>
      <w:divBdr>
        <w:top w:val="none" w:sz="0" w:space="0" w:color="auto"/>
        <w:left w:val="none" w:sz="0" w:space="0" w:color="auto"/>
        <w:bottom w:val="none" w:sz="0" w:space="0" w:color="auto"/>
        <w:right w:val="none" w:sz="0" w:space="0" w:color="auto"/>
      </w:divBdr>
    </w:div>
    <w:div w:id="1615212630">
      <w:bodyDiv w:val="1"/>
      <w:marLeft w:val="0"/>
      <w:marRight w:val="0"/>
      <w:marTop w:val="0"/>
      <w:marBottom w:val="0"/>
      <w:divBdr>
        <w:top w:val="none" w:sz="0" w:space="0" w:color="auto"/>
        <w:left w:val="none" w:sz="0" w:space="0" w:color="auto"/>
        <w:bottom w:val="none" w:sz="0" w:space="0" w:color="auto"/>
        <w:right w:val="none" w:sz="0" w:space="0" w:color="auto"/>
      </w:divBdr>
    </w:div>
    <w:div w:id="1617709902">
      <w:bodyDiv w:val="1"/>
      <w:marLeft w:val="0"/>
      <w:marRight w:val="0"/>
      <w:marTop w:val="0"/>
      <w:marBottom w:val="0"/>
      <w:divBdr>
        <w:top w:val="none" w:sz="0" w:space="0" w:color="auto"/>
        <w:left w:val="none" w:sz="0" w:space="0" w:color="auto"/>
        <w:bottom w:val="none" w:sz="0" w:space="0" w:color="auto"/>
        <w:right w:val="none" w:sz="0" w:space="0" w:color="auto"/>
      </w:divBdr>
    </w:div>
    <w:div w:id="1617785795">
      <w:bodyDiv w:val="1"/>
      <w:marLeft w:val="0"/>
      <w:marRight w:val="0"/>
      <w:marTop w:val="0"/>
      <w:marBottom w:val="0"/>
      <w:divBdr>
        <w:top w:val="none" w:sz="0" w:space="0" w:color="auto"/>
        <w:left w:val="none" w:sz="0" w:space="0" w:color="auto"/>
        <w:bottom w:val="none" w:sz="0" w:space="0" w:color="auto"/>
        <w:right w:val="none" w:sz="0" w:space="0" w:color="auto"/>
      </w:divBdr>
    </w:div>
    <w:div w:id="1618560969">
      <w:bodyDiv w:val="1"/>
      <w:marLeft w:val="0"/>
      <w:marRight w:val="0"/>
      <w:marTop w:val="0"/>
      <w:marBottom w:val="0"/>
      <w:divBdr>
        <w:top w:val="none" w:sz="0" w:space="0" w:color="auto"/>
        <w:left w:val="none" w:sz="0" w:space="0" w:color="auto"/>
        <w:bottom w:val="none" w:sz="0" w:space="0" w:color="auto"/>
        <w:right w:val="none" w:sz="0" w:space="0" w:color="auto"/>
      </w:divBdr>
    </w:div>
    <w:div w:id="1621454866">
      <w:bodyDiv w:val="1"/>
      <w:marLeft w:val="0"/>
      <w:marRight w:val="0"/>
      <w:marTop w:val="0"/>
      <w:marBottom w:val="0"/>
      <w:divBdr>
        <w:top w:val="none" w:sz="0" w:space="0" w:color="auto"/>
        <w:left w:val="none" w:sz="0" w:space="0" w:color="auto"/>
        <w:bottom w:val="none" w:sz="0" w:space="0" w:color="auto"/>
        <w:right w:val="none" w:sz="0" w:space="0" w:color="auto"/>
      </w:divBdr>
    </w:div>
    <w:div w:id="1622569521">
      <w:bodyDiv w:val="1"/>
      <w:marLeft w:val="0"/>
      <w:marRight w:val="0"/>
      <w:marTop w:val="0"/>
      <w:marBottom w:val="0"/>
      <w:divBdr>
        <w:top w:val="none" w:sz="0" w:space="0" w:color="auto"/>
        <w:left w:val="none" w:sz="0" w:space="0" w:color="auto"/>
        <w:bottom w:val="none" w:sz="0" w:space="0" w:color="auto"/>
        <w:right w:val="none" w:sz="0" w:space="0" w:color="auto"/>
      </w:divBdr>
    </w:div>
    <w:div w:id="1623460737">
      <w:bodyDiv w:val="1"/>
      <w:marLeft w:val="0"/>
      <w:marRight w:val="0"/>
      <w:marTop w:val="0"/>
      <w:marBottom w:val="0"/>
      <w:divBdr>
        <w:top w:val="none" w:sz="0" w:space="0" w:color="auto"/>
        <w:left w:val="none" w:sz="0" w:space="0" w:color="auto"/>
        <w:bottom w:val="none" w:sz="0" w:space="0" w:color="auto"/>
        <w:right w:val="none" w:sz="0" w:space="0" w:color="auto"/>
      </w:divBdr>
    </w:div>
    <w:div w:id="1623684457">
      <w:bodyDiv w:val="1"/>
      <w:marLeft w:val="0"/>
      <w:marRight w:val="0"/>
      <w:marTop w:val="0"/>
      <w:marBottom w:val="0"/>
      <w:divBdr>
        <w:top w:val="none" w:sz="0" w:space="0" w:color="auto"/>
        <w:left w:val="none" w:sz="0" w:space="0" w:color="auto"/>
        <w:bottom w:val="none" w:sz="0" w:space="0" w:color="auto"/>
        <w:right w:val="none" w:sz="0" w:space="0" w:color="auto"/>
      </w:divBdr>
    </w:div>
    <w:div w:id="1624120106">
      <w:bodyDiv w:val="1"/>
      <w:marLeft w:val="0"/>
      <w:marRight w:val="0"/>
      <w:marTop w:val="0"/>
      <w:marBottom w:val="0"/>
      <w:divBdr>
        <w:top w:val="none" w:sz="0" w:space="0" w:color="auto"/>
        <w:left w:val="none" w:sz="0" w:space="0" w:color="auto"/>
        <w:bottom w:val="none" w:sz="0" w:space="0" w:color="auto"/>
        <w:right w:val="none" w:sz="0" w:space="0" w:color="auto"/>
      </w:divBdr>
    </w:div>
    <w:div w:id="1626424609">
      <w:bodyDiv w:val="1"/>
      <w:marLeft w:val="0"/>
      <w:marRight w:val="0"/>
      <w:marTop w:val="0"/>
      <w:marBottom w:val="0"/>
      <w:divBdr>
        <w:top w:val="none" w:sz="0" w:space="0" w:color="auto"/>
        <w:left w:val="none" w:sz="0" w:space="0" w:color="auto"/>
        <w:bottom w:val="none" w:sz="0" w:space="0" w:color="auto"/>
        <w:right w:val="none" w:sz="0" w:space="0" w:color="auto"/>
      </w:divBdr>
    </w:div>
    <w:div w:id="1626496815">
      <w:bodyDiv w:val="1"/>
      <w:marLeft w:val="0"/>
      <w:marRight w:val="0"/>
      <w:marTop w:val="0"/>
      <w:marBottom w:val="0"/>
      <w:divBdr>
        <w:top w:val="none" w:sz="0" w:space="0" w:color="auto"/>
        <w:left w:val="none" w:sz="0" w:space="0" w:color="auto"/>
        <w:bottom w:val="none" w:sz="0" w:space="0" w:color="auto"/>
        <w:right w:val="none" w:sz="0" w:space="0" w:color="auto"/>
      </w:divBdr>
    </w:div>
    <w:div w:id="1627810429">
      <w:bodyDiv w:val="1"/>
      <w:marLeft w:val="0"/>
      <w:marRight w:val="0"/>
      <w:marTop w:val="0"/>
      <w:marBottom w:val="0"/>
      <w:divBdr>
        <w:top w:val="none" w:sz="0" w:space="0" w:color="auto"/>
        <w:left w:val="none" w:sz="0" w:space="0" w:color="auto"/>
        <w:bottom w:val="none" w:sz="0" w:space="0" w:color="auto"/>
        <w:right w:val="none" w:sz="0" w:space="0" w:color="auto"/>
      </w:divBdr>
    </w:div>
    <w:div w:id="1627812327">
      <w:bodyDiv w:val="1"/>
      <w:marLeft w:val="0"/>
      <w:marRight w:val="0"/>
      <w:marTop w:val="0"/>
      <w:marBottom w:val="0"/>
      <w:divBdr>
        <w:top w:val="none" w:sz="0" w:space="0" w:color="auto"/>
        <w:left w:val="none" w:sz="0" w:space="0" w:color="auto"/>
        <w:bottom w:val="none" w:sz="0" w:space="0" w:color="auto"/>
        <w:right w:val="none" w:sz="0" w:space="0" w:color="auto"/>
      </w:divBdr>
    </w:div>
    <w:div w:id="1627999916">
      <w:bodyDiv w:val="1"/>
      <w:marLeft w:val="0"/>
      <w:marRight w:val="0"/>
      <w:marTop w:val="0"/>
      <w:marBottom w:val="0"/>
      <w:divBdr>
        <w:top w:val="none" w:sz="0" w:space="0" w:color="auto"/>
        <w:left w:val="none" w:sz="0" w:space="0" w:color="auto"/>
        <w:bottom w:val="none" w:sz="0" w:space="0" w:color="auto"/>
        <w:right w:val="none" w:sz="0" w:space="0" w:color="auto"/>
      </w:divBdr>
    </w:div>
    <w:div w:id="1629896617">
      <w:bodyDiv w:val="1"/>
      <w:marLeft w:val="0"/>
      <w:marRight w:val="0"/>
      <w:marTop w:val="0"/>
      <w:marBottom w:val="0"/>
      <w:divBdr>
        <w:top w:val="none" w:sz="0" w:space="0" w:color="auto"/>
        <w:left w:val="none" w:sz="0" w:space="0" w:color="auto"/>
        <w:bottom w:val="none" w:sz="0" w:space="0" w:color="auto"/>
        <w:right w:val="none" w:sz="0" w:space="0" w:color="auto"/>
      </w:divBdr>
    </w:div>
    <w:div w:id="1630159616">
      <w:bodyDiv w:val="1"/>
      <w:marLeft w:val="0"/>
      <w:marRight w:val="0"/>
      <w:marTop w:val="0"/>
      <w:marBottom w:val="0"/>
      <w:divBdr>
        <w:top w:val="none" w:sz="0" w:space="0" w:color="auto"/>
        <w:left w:val="none" w:sz="0" w:space="0" w:color="auto"/>
        <w:bottom w:val="none" w:sz="0" w:space="0" w:color="auto"/>
        <w:right w:val="none" w:sz="0" w:space="0" w:color="auto"/>
      </w:divBdr>
    </w:div>
    <w:div w:id="1630473764">
      <w:bodyDiv w:val="1"/>
      <w:marLeft w:val="0"/>
      <w:marRight w:val="0"/>
      <w:marTop w:val="0"/>
      <w:marBottom w:val="0"/>
      <w:divBdr>
        <w:top w:val="none" w:sz="0" w:space="0" w:color="auto"/>
        <w:left w:val="none" w:sz="0" w:space="0" w:color="auto"/>
        <w:bottom w:val="none" w:sz="0" w:space="0" w:color="auto"/>
        <w:right w:val="none" w:sz="0" w:space="0" w:color="auto"/>
      </w:divBdr>
    </w:div>
    <w:div w:id="1630814353">
      <w:bodyDiv w:val="1"/>
      <w:marLeft w:val="0"/>
      <w:marRight w:val="0"/>
      <w:marTop w:val="0"/>
      <w:marBottom w:val="0"/>
      <w:divBdr>
        <w:top w:val="none" w:sz="0" w:space="0" w:color="auto"/>
        <w:left w:val="none" w:sz="0" w:space="0" w:color="auto"/>
        <w:bottom w:val="none" w:sz="0" w:space="0" w:color="auto"/>
        <w:right w:val="none" w:sz="0" w:space="0" w:color="auto"/>
      </w:divBdr>
    </w:div>
    <w:div w:id="1631015703">
      <w:bodyDiv w:val="1"/>
      <w:marLeft w:val="0"/>
      <w:marRight w:val="0"/>
      <w:marTop w:val="0"/>
      <w:marBottom w:val="0"/>
      <w:divBdr>
        <w:top w:val="none" w:sz="0" w:space="0" w:color="auto"/>
        <w:left w:val="none" w:sz="0" w:space="0" w:color="auto"/>
        <w:bottom w:val="none" w:sz="0" w:space="0" w:color="auto"/>
        <w:right w:val="none" w:sz="0" w:space="0" w:color="auto"/>
      </w:divBdr>
    </w:div>
    <w:div w:id="1632247400">
      <w:bodyDiv w:val="1"/>
      <w:marLeft w:val="0"/>
      <w:marRight w:val="0"/>
      <w:marTop w:val="0"/>
      <w:marBottom w:val="0"/>
      <w:divBdr>
        <w:top w:val="none" w:sz="0" w:space="0" w:color="auto"/>
        <w:left w:val="none" w:sz="0" w:space="0" w:color="auto"/>
        <w:bottom w:val="none" w:sz="0" w:space="0" w:color="auto"/>
        <w:right w:val="none" w:sz="0" w:space="0" w:color="auto"/>
      </w:divBdr>
    </w:div>
    <w:div w:id="1632395514">
      <w:bodyDiv w:val="1"/>
      <w:marLeft w:val="0"/>
      <w:marRight w:val="0"/>
      <w:marTop w:val="0"/>
      <w:marBottom w:val="0"/>
      <w:divBdr>
        <w:top w:val="none" w:sz="0" w:space="0" w:color="auto"/>
        <w:left w:val="none" w:sz="0" w:space="0" w:color="auto"/>
        <w:bottom w:val="none" w:sz="0" w:space="0" w:color="auto"/>
        <w:right w:val="none" w:sz="0" w:space="0" w:color="auto"/>
      </w:divBdr>
    </w:div>
    <w:div w:id="1632401911">
      <w:bodyDiv w:val="1"/>
      <w:marLeft w:val="0"/>
      <w:marRight w:val="0"/>
      <w:marTop w:val="0"/>
      <w:marBottom w:val="0"/>
      <w:divBdr>
        <w:top w:val="none" w:sz="0" w:space="0" w:color="auto"/>
        <w:left w:val="none" w:sz="0" w:space="0" w:color="auto"/>
        <w:bottom w:val="none" w:sz="0" w:space="0" w:color="auto"/>
        <w:right w:val="none" w:sz="0" w:space="0" w:color="auto"/>
      </w:divBdr>
    </w:div>
    <w:div w:id="1633057763">
      <w:bodyDiv w:val="1"/>
      <w:marLeft w:val="0"/>
      <w:marRight w:val="0"/>
      <w:marTop w:val="0"/>
      <w:marBottom w:val="0"/>
      <w:divBdr>
        <w:top w:val="none" w:sz="0" w:space="0" w:color="auto"/>
        <w:left w:val="none" w:sz="0" w:space="0" w:color="auto"/>
        <w:bottom w:val="none" w:sz="0" w:space="0" w:color="auto"/>
        <w:right w:val="none" w:sz="0" w:space="0" w:color="auto"/>
      </w:divBdr>
    </w:div>
    <w:div w:id="1633553251">
      <w:bodyDiv w:val="1"/>
      <w:marLeft w:val="0"/>
      <w:marRight w:val="0"/>
      <w:marTop w:val="0"/>
      <w:marBottom w:val="0"/>
      <w:divBdr>
        <w:top w:val="none" w:sz="0" w:space="0" w:color="auto"/>
        <w:left w:val="none" w:sz="0" w:space="0" w:color="auto"/>
        <w:bottom w:val="none" w:sz="0" w:space="0" w:color="auto"/>
        <w:right w:val="none" w:sz="0" w:space="0" w:color="auto"/>
      </w:divBdr>
    </w:div>
    <w:div w:id="1634670785">
      <w:bodyDiv w:val="1"/>
      <w:marLeft w:val="0"/>
      <w:marRight w:val="0"/>
      <w:marTop w:val="0"/>
      <w:marBottom w:val="0"/>
      <w:divBdr>
        <w:top w:val="none" w:sz="0" w:space="0" w:color="auto"/>
        <w:left w:val="none" w:sz="0" w:space="0" w:color="auto"/>
        <w:bottom w:val="none" w:sz="0" w:space="0" w:color="auto"/>
        <w:right w:val="none" w:sz="0" w:space="0" w:color="auto"/>
      </w:divBdr>
    </w:div>
    <w:div w:id="1635597536">
      <w:bodyDiv w:val="1"/>
      <w:marLeft w:val="0"/>
      <w:marRight w:val="0"/>
      <w:marTop w:val="0"/>
      <w:marBottom w:val="0"/>
      <w:divBdr>
        <w:top w:val="none" w:sz="0" w:space="0" w:color="auto"/>
        <w:left w:val="none" w:sz="0" w:space="0" w:color="auto"/>
        <w:bottom w:val="none" w:sz="0" w:space="0" w:color="auto"/>
        <w:right w:val="none" w:sz="0" w:space="0" w:color="auto"/>
      </w:divBdr>
    </w:div>
    <w:div w:id="1635790846">
      <w:bodyDiv w:val="1"/>
      <w:marLeft w:val="0"/>
      <w:marRight w:val="0"/>
      <w:marTop w:val="0"/>
      <w:marBottom w:val="0"/>
      <w:divBdr>
        <w:top w:val="none" w:sz="0" w:space="0" w:color="auto"/>
        <w:left w:val="none" w:sz="0" w:space="0" w:color="auto"/>
        <w:bottom w:val="none" w:sz="0" w:space="0" w:color="auto"/>
        <w:right w:val="none" w:sz="0" w:space="0" w:color="auto"/>
      </w:divBdr>
    </w:div>
    <w:div w:id="1636060430">
      <w:bodyDiv w:val="1"/>
      <w:marLeft w:val="0"/>
      <w:marRight w:val="0"/>
      <w:marTop w:val="0"/>
      <w:marBottom w:val="0"/>
      <w:divBdr>
        <w:top w:val="none" w:sz="0" w:space="0" w:color="auto"/>
        <w:left w:val="none" w:sz="0" w:space="0" w:color="auto"/>
        <w:bottom w:val="none" w:sz="0" w:space="0" w:color="auto"/>
        <w:right w:val="none" w:sz="0" w:space="0" w:color="auto"/>
      </w:divBdr>
    </w:div>
    <w:div w:id="1637371925">
      <w:bodyDiv w:val="1"/>
      <w:marLeft w:val="0"/>
      <w:marRight w:val="0"/>
      <w:marTop w:val="0"/>
      <w:marBottom w:val="0"/>
      <w:divBdr>
        <w:top w:val="none" w:sz="0" w:space="0" w:color="auto"/>
        <w:left w:val="none" w:sz="0" w:space="0" w:color="auto"/>
        <w:bottom w:val="none" w:sz="0" w:space="0" w:color="auto"/>
        <w:right w:val="none" w:sz="0" w:space="0" w:color="auto"/>
      </w:divBdr>
    </w:div>
    <w:div w:id="1639065198">
      <w:bodyDiv w:val="1"/>
      <w:marLeft w:val="0"/>
      <w:marRight w:val="0"/>
      <w:marTop w:val="0"/>
      <w:marBottom w:val="0"/>
      <w:divBdr>
        <w:top w:val="none" w:sz="0" w:space="0" w:color="auto"/>
        <w:left w:val="none" w:sz="0" w:space="0" w:color="auto"/>
        <w:bottom w:val="none" w:sz="0" w:space="0" w:color="auto"/>
        <w:right w:val="none" w:sz="0" w:space="0" w:color="auto"/>
      </w:divBdr>
    </w:div>
    <w:div w:id="1639457397">
      <w:bodyDiv w:val="1"/>
      <w:marLeft w:val="0"/>
      <w:marRight w:val="0"/>
      <w:marTop w:val="0"/>
      <w:marBottom w:val="0"/>
      <w:divBdr>
        <w:top w:val="none" w:sz="0" w:space="0" w:color="auto"/>
        <w:left w:val="none" w:sz="0" w:space="0" w:color="auto"/>
        <w:bottom w:val="none" w:sz="0" w:space="0" w:color="auto"/>
        <w:right w:val="none" w:sz="0" w:space="0" w:color="auto"/>
      </w:divBdr>
    </w:div>
    <w:div w:id="1639989269">
      <w:bodyDiv w:val="1"/>
      <w:marLeft w:val="0"/>
      <w:marRight w:val="0"/>
      <w:marTop w:val="0"/>
      <w:marBottom w:val="0"/>
      <w:divBdr>
        <w:top w:val="none" w:sz="0" w:space="0" w:color="auto"/>
        <w:left w:val="none" w:sz="0" w:space="0" w:color="auto"/>
        <w:bottom w:val="none" w:sz="0" w:space="0" w:color="auto"/>
        <w:right w:val="none" w:sz="0" w:space="0" w:color="auto"/>
      </w:divBdr>
    </w:div>
    <w:div w:id="1640069782">
      <w:bodyDiv w:val="1"/>
      <w:marLeft w:val="0"/>
      <w:marRight w:val="0"/>
      <w:marTop w:val="0"/>
      <w:marBottom w:val="0"/>
      <w:divBdr>
        <w:top w:val="none" w:sz="0" w:space="0" w:color="auto"/>
        <w:left w:val="none" w:sz="0" w:space="0" w:color="auto"/>
        <w:bottom w:val="none" w:sz="0" w:space="0" w:color="auto"/>
        <w:right w:val="none" w:sz="0" w:space="0" w:color="auto"/>
      </w:divBdr>
    </w:div>
    <w:div w:id="1640961743">
      <w:bodyDiv w:val="1"/>
      <w:marLeft w:val="0"/>
      <w:marRight w:val="0"/>
      <w:marTop w:val="0"/>
      <w:marBottom w:val="0"/>
      <w:divBdr>
        <w:top w:val="none" w:sz="0" w:space="0" w:color="auto"/>
        <w:left w:val="none" w:sz="0" w:space="0" w:color="auto"/>
        <w:bottom w:val="none" w:sz="0" w:space="0" w:color="auto"/>
        <w:right w:val="none" w:sz="0" w:space="0" w:color="auto"/>
      </w:divBdr>
    </w:div>
    <w:div w:id="1641034710">
      <w:bodyDiv w:val="1"/>
      <w:marLeft w:val="0"/>
      <w:marRight w:val="0"/>
      <w:marTop w:val="0"/>
      <w:marBottom w:val="0"/>
      <w:divBdr>
        <w:top w:val="none" w:sz="0" w:space="0" w:color="auto"/>
        <w:left w:val="none" w:sz="0" w:space="0" w:color="auto"/>
        <w:bottom w:val="none" w:sz="0" w:space="0" w:color="auto"/>
        <w:right w:val="none" w:sz="0" w:space="0" w:color="auto"/>
      </w:divBdr>
    </w:div>
    <w:div w:id="1642343783">
      <w:bodyDiv w:val="1"/>
      <w:marLeft w:val="0"/>
      <w:marRight w:val="0"/>
      <w:marTop w:val="0"/>
      <w:marBottom w:val="0"/>
      <w:divBdr>
        <w:top w:val="none" w:sz="0" w:space="0" w:color="auto"/>
        <w:left w:val="none" w:sz="0" w:space="0" w:color="auto"/>
        <w:bottom w:val="none" w:sz="0" w:space="0" w:color="auto"/>
        <w:right w:val="none" w:sz="0" w:space="0" w:color="auto"/>
      </w:divBdr>
    </w:div>
    <w:div w:id="1642350035">
      <w:bodyDiv w:val="1"/>
      <w:marLeft w:val="0"/>
      <w:marRight w:val="0"/>
      <w:marTop w:val="0"/>
      <w:marBottom w:val="0"/>
      <w:divBdr>
        <w:top w:val="none" w:sz="0" w:space="0" w:color="auto"/>
        <w:left w:val="none" w:sz="0" w:space="0" w:color="auto"/>
        <w:bottom w:val="none" w:sz="0" w:space="0" w:color="auto"/>
        <w:right w:val="none" w:sz="0" w:space="0" w:color="auto"/>
      </w:divBdr>
    </w:div>
    <w:div w:id="1643000299">
      <w:bodyDiv w:val="1"/>
      <w:marLeft w:val="0"/>
      <w:marRight w:val="0"/>
      <w:marTop w:val="0"/>
      <w:marBottom w:val="0"/>
      <w:divBdr>
        <w:top w:val="none" w:sz="0" w:space="0" w:color="auto"/>
        <w:left w:val="none" w:sz="0" w:space="0" w:color="auto"/>
        <w:bottom w:val="none" w:sz="0" w:space="0" w:color="auto"/>
        <w:right w:val="none" w:sz="0" w:space="0" w:color="auto"/>
      </w:divBdr>
    </w:div>
    <w:div w:id="1643926322">
      <w:bodyDiv w:val="1"/>
      <w:marLeft w:val="0"/>
      <w:marRight w:val="0"/>
      <w:marTop w:val="0"/>
      <w:marBottom w:val="0"/>
      <w:divBdr>
        <w:top w:val="none" w:sz="0" w:space="0" w:color="auto"/>
        <w:left w:val="none" w:sz="0" w:space="0" w:color="auto"/>
        <w:bottom w:val="none" w:sz="0" w:space="0" w:color="auto"/>
        <w:right w:val="none" w:sz="0" w:space="0" w:color="auto"/>
      </w:divBdr>
    </w:div>
    <w:div w:id="1644701182">
      <w:bodyDiv w:val="1"/>
      <w:marLeft w:val="0"/>
      <w:marRight w:val="0"/>
      <w:marTop w:val="0"/>
      <w:marBottom w:val="0"/>
      <w:divBdr>
        <w:top w:val="none" w:sz="0" w:space="0" w:color="auto"/>
        <w:left w:val="none" w:sz="0" w:space="0" w:color="auto"/>
        <w:bottom w:val="none" w:sz="0" w:space="0" w:color="auto"/>
        <w:right w:val="none" w:sz="0" w:space="0" w:color="auto"/>
      </w:divBdr>
    </w:div>
    <w:div w:id="1644968962">
      <w:bodyDiv w:val="1"/>
      <w:marLeft w:val="0"/>
      <w:marRight w:val="0"/>
      <w:marTop w:val="0"/>
      <w:marBottom w:val="0"/>
      <w:divBdr>
        <w:top w:val="none" w:sz="0" w:space="0" w:color="auto"/>
        <w:left w:val="none" w:sz="0" w:space="0" w:color="auto"/>
        <w:bottom w:val="none" w:sz="0" w:space="0" w:color="auto"/>
        <w:right w:val="none" w:sz="0" w:space="0" w:color="auto"/>
      </w:divBdr>
    </w:div>
    <w:div w:id="1645547111">
      <w:bodyDiv w:val="1"/>
      <w:marLeft w:val="0"/>
      <w:marRight w:val="0"/>
      <w:marTop w:val="0"/>
      <w:marBottom w:val="0"/>
      <w:divBdr>
        <w:top w:val="none" w:sz="0" w:space="0" w:color="auto"/>
        <w:left w:val="none" w:sz="0" w:space="0" w:color="auto"/>
        <w:bottom w:val="none" w:sz="0" w:space="0" w:color="auto"/>
        <w:right w:val="none" w:sz="0" w:space="0" w:color="auto"/>
      </w:divBdr>
    </w:div>
    <w:div w:id="1646230469">
      <w:bodyDiv w:val="1"/>
      <w:marLeft w:val="0"/>
      <w:marRight w:val="0"/>
      <w:marTop w:val="0"/>
      <w:marBottom w:val="0"/>
      <w:divBdr>
        <w:top w:val="none" w:sz="0" w:space="0" w:color="auto"/>
        <w:left w:val="none" w:sz="0" w:space="0" w:color="auto"/>
        <w:bottom w:val="none" w:sz="0" w:space="0" w:color="auto"/>
        <w:right w:val="none" w:sz="0" w:space="0" w:color="auto"/>
      </w:divBdr>
    </w:div>
    <w:div w:id="1646278245">
      <w:bodyDiv w:val="1"/>
      <w:marLeft w:val="0"/>
      <w:marRight w:val="0"/>
      <w:marTop w:val="0"/>
      <w:marBottom w:val="0"/>
      <w:divBdr>
        <w:top w:val="none" w:sz="0" w:space="0" w:color="auto"/>
        <w:left w:val="none" w:sz="0" w:space="0" w:color="auto"/>
        <w:bottom w:val="none" w:sz="0" w:space="0" w:color="auto"/>
        <w:right w:val="none" w:sz="0" w:space="0" w:color="auto"/>
      </w:divBdr>
    </w:div>
    <w:div w:id="1646660948">
      <w:bodyDiv w:val="1"/>
      <w:marLeft w:val="0"/>
      <w:marRight w:val="0"/>
      <w:marTop w:val="0"/>
      <w:marBottom w:val="0"/>
      <w:divBdr>
        <w:top w:val="none" w:sz="0" w:space="0" w:color="auto"/>
        <w:left w:val="none" w:sz="0" w:space="0" w:color="auto"/>
        <w:bottom w:val="none" w:sz="0" w:space="0" w:color="auto"/>
        <w:right w:val="none" w:sz="0" w:space="0" w:color="auto"/>
      </w:divBdr>
    </w:div>
    <w:div w:id="1646861177">
      <w:bodyDiv w:val="1"/>
      <w:marLeft w:val="0"/>
      <w:marRight w:val="0"/>
      <w:marTop w:val="0"/>
      <w:marBottom w:val="0"/>
      <w:divBdr>
        <w:top w:val="none" w:sz="0" w:space="0" w:color="auto"/>
        <w:left w:val="none" w:sz="0" w:space="0" w:color="auto"/>
        <w:bottom w:val="none" w:sz="0" w:space="0" w:color="auto"/>
        <w:right w:val="none" w:sz="0" w:space="0" w:color="auto"/>
      </w:divBdr>
    </w:div>
    <w:div w:id="1647003641">
      <w:bodyDiv w:val="1"/>
      <w:marLeft w:val="0"/>
      <w:marRight w:val="0"/>
      <w:marTop w:val="0"/>
      <w:marBottom w:val="0"/>
      <w:divBdr>
        <w:top w:val="none" w:sz="0" w:space="0" w:color="auto"/>
        <w:left w:val="none" w:sz="0" w:space="0" w:color="auto"/>
        <w:bottom w:val="none" w:sz="0" w:space="0" w:color="auto"/>
        <w:right w:val="none" w:sz="0" w:space="0" w:color="auto"/>
      </w:divBdr>
    </w:div>
    <w:div w:id="1647275332">
      <w:bodyDiv w:val="1"/>
      <w:marLeft w:val="0"/>
      <w:marRight w:val="0"/>
      <w:marTop w:val="0"/>
      <w:marBottom w:val="0"/>
      <w:divBdr>
        <w:top w:val="none" w:sz="0" w:space="0" w:color="auto"/>
        <w:left w:val="none" w:sz="0" w:space="0" w:color="auto"/>
        <w:bottom w:val="none" w:sz="0" w:space="0" w:color="auto"/>
        <w:right w:val="none" w:sz="0" w:space="0" w:color="auto"/>
      </w:divBdr>
    </w:div>
    <w:div w:id="1647588566">
      <w:bodyDiv w:val="1"/>
      <w:marLeft w:val="0"/>
      <w:marRight w:val="0"/>
      <w:marTop w:val="0"/>
      <w:marBottom w:val="0"/>
      <w:divBdr>
        <w:top w:val="none" w:sz="0" w:space="0" w:color="auto"/>
        <w:left w:val="none" w:sz="0" w:space="0" w:color="auto"/>
        <w:bottom w:val="none" w:sz="0" w:space="0" w:color="auto"/>
        <w:right w:val="none" w:sz="0" w:space="0" w:color="auto"/>
      </w:divBdr>
    </w:div>
    <w:div w:id="1647932314">
      <w:bodyDiv w:val="1"/>
      <w:marLeft w:val="0"/>
      <w:marRight w:val="0"/>
      <w:marTop w:val="0"/>
      <w:marBottom w:val="0"/>
      <w:divBdr>
        <w:top w:val="none" w:sz="0" w:space="0" w:color="auto"/>
        <w:left w:val="none" w:sz="0" w:space="0" w:color="auto"/>
        <w:bottom w:val="none" w:sz="0" w:space="0" w:color="auto"/>
        <w:right w:val="none" w:sz="0" w:space="0" w:color="auto"/>
      </w:divBdr>
    </w:div>
    <w:div w:id="1648120450">
      <w:bodyDiv w:val="1"/>
      <w:marLeft w:val="0"/>
      <w:marRight w:val="0"/>
      <w:marTop w:val="0"/>
      <w:marBottom w:val="0"/>
      <w:divBdr>
        <w:top w:val="none" w:sz="0" w:space="0" w:color="auto"/>
        <w:left w:val="none" w:sz="0" w:space="0" w:color="auto"/>
        <w:bottom w:val="none" w:sz="0" w:space="0" w:color="auto"/>
        <w:right w:val="none" w:sz="0" w:space="0" w:color="auto"/>
      </w:divBdr>
    </w:div>
    <w:div w:id="1648362002">
      <w:bodyDiv w:val="1"/>
      <w:marLeft w:val="0"/>
      <w:marRight w:val="0"/>
      <w:marTop w:val="0"/>
      <w:marBottom w:val="0"/>
      <w:divBdr>
        <w:top w:val="none" w:sz="0" w:space="0" w:color="auto"/>
        <w:left w:val="none" w:sz="0" w:space="0" w:color="auto"/>
        <w:bottom w:val="none" w:sz="0" w:space="0" w:color="auto"/>
        <w:right w:val="none" w:sz="0" w:space="0" w:color="auto"/>
      </w:divBdr>
    </w:div>
    <w:div w:id="1648779730">
      <w:bodyDiv w:val="1"/>
      <w:marLeft w:val="0"/>
      <w:marRight w:val="0"/>
      <w:marTop w:val="0"/>
      <w:marBottom w:val="0"/>
      <w:divBdr>
        <w:top w:val="none" w:sz="0" w:space="0" w:color="auto"/>
        <w:left w:val="none" w:sz="0" w:space="0" w:color="auto"/>
        <w:bottom w:val="none" w:sz="0" w:space="0" w:color="auto"/>
        <w:right w:val="none" w:sz="0" w:space="0" w:color="auto"/>
      </w:divBdr>
    </w:div>
    <w:div w:id="1649361768">
      <w:bodyDiv w:val="1"/>
      <w:marLeft w:val="0"/>
      <w:marRight w:val="0"/>
      <w:marTop w:val="0"/>
      <w:marBottom w:val="0"/>
      <w:divBdr>
        <w:top w:val="none" w:sz="0" w:space="0" w:color="auto"/>
        <w:left w:val="none" w:sz="0" w:space="0" w:color="auto"/>
        <w:bottom w:val="none" w:sz="0" w:space="0" w:color="auto"/>
        <w:right w:val="none" w:sz="0" w:space="0" w:color="auto"/>
      </w:divBdr>
    </w:div>
    <w:div w:id="1649748154">
      <w:bodyDiv w:val="1"/>
      <w:marLeft w:val="0"/>
      <w:marRight w:val="0"/>
      <w:marTop w:val="0"/>
      <w:marBottom w:val="0"/>
      <w:divBdr>
        <w:top w:val="none" w:sz="0" w:space="0" w:color="auto"/>
        <w:left w:val="none" w:sz="0" w:space="0" w:color="auto"/>
        <w:bottom w:val="none" w:sz="0" w:space="0" w:color="auto"/>
        <w:right w:val="none" w:sz="0" w:space="0" w:color="auto"/>
      </w:divBdr>
    </w:div>
    <w:div w:id="1651593675">
      <w:bodyDiv w:val="1"/>
      <w:marLeft w:val="0"/>
      <w:marRight w:val="0"/>
      <w:marTop w:val="0"/>
      <w:marBottom w:val="0"/>
      <w:divBdr>
        <w:top w:val="none" w:sz="0" w:space="0" w:color="auto"/>
        <w:left w:val="none" w:sz="0" w:space="0" w:color="auto"/>
        <w:bottom w:val="none" w:sz="0" w:space="0" w:color="auto"/>
        <w:right w:val="none" w:sz="0" w:space="0" w:color="auto"/>
      </w:divBdr>
    </w:div>
    <w:div w:id="1652636875">
      <w:bodyDiv w:val="1"/>
      <w:marLeft w:val="0"/>
      <w:marRight w:val="0"/>
      <w:marTop w:val="0"/>
      <w:marBottom w:val="0"/>
      <w:divBdr>
        <w:top w:val="none" w:sz="0" w:space="0" w:color="auto"/>
        <w:left w:val="none" w:sz="0" w:space="0" w:color="auto"/>
        <w:bottom w:val="none" w:sz="0" w:space="0" w:color="auto"/>
        <w:right w:val="none" w:sz="0" w:space="0" w:color="auto"/>
      </w:divBdr>
    </w:div>
    <w:div w:id="1653287383">
      <w:bodyDiv w:val="1"/>
      <w:marLeft w:val="0"/>
      <w:marRight w:val="0"/>
      <w:marTop w:val="0"/>
      <w:marBottom w:val="0"/>
      <w:divBdr>
        <w:top w:val="none" w:sz="0" w:space="0" w:color="auto"/>
        <w:left w:val="none" w:sz="0" w:space="0" w:color="auto"/>
        <w:bottom w:val="none" w:sz="0" w:space="0" w:color="auto"/>
        <w:right w:val="none" w:sz="0" w:space="0" w:color="auto"/>
      </w:divBdr>
    </w:div>
    <w:div w:id="1654723359">
      <w:bodyDiv w:val="1"/>
      <w:marLeft w:val="0"/>
      <w:marRight w:val="0"/>
      <w:marTop w:val="0"/>
      <w:marBottom w:val="0"/>
      <w:divBdr>
        <w:top w:val="none" w:sz="0" w:space="0" w:color="auto"/>
        <w:left w:val="none" w:sz="0" w:space="0" w:color="auto"/>
        <w:bottom w:val="none" w:sz="0" w:space="0" w:color="auto"/>
        <w:right w:val="none" w:sz="0" w:space="0" w:color="auto"/>
      </w:divBdr>
    </w:div>
    <w:div w:id="1655450182">
      <w:bodyDiv w:val="1"/>
      <w:marLeft w:val="0"/>
      <w:marRight w:val="0"/>
      <w:marTop w:val="0"/>
      <w:marBottom w:val="0"/>
      <w:divBdr>
        <w:top w:val="none" w:sz="0" w:space="0" w:color="auto"/>
        <w:left w:val="none" w:sz="0" w:space="0" w:color="auto"/>
        <w:bottom w:val="none" w:sz="0" w:space="0" w:color="auto"/>
        <w:right w:val="none" w:sz="0" w:space="0" w:color="auto"/>
      </w:divBdr>
    </w:div>
    <w:div w:id="1655601725">
      <w:bodyDiv w:val="1"/>
      <w:marLeft w:val="0"/>
      <w:marRight w:val="0"/>
      <w:marTop w:val="0"/>
      <w:marBottom w:val="0"/>
      <w:divBdr>
        <w:top w:val="none" w:sz="0" w:space="0" w:color="auto"/>
        <w:left w:val="none" w:sz="0" w:space="0" w:color="auto"/>
        <w:bottom w:val="none" w:sz="0" w:space="0" w:color="auto"/>
        <w:right w:val="none" w:sz="0" w:space="0" w:color="auto"/>
      </w:divBdr>
    </w:div>
    <w:div w:id="1655833567">
      <w:bodyDiv w:val="1"/>
      <w:marLeft w:val="0"/>
      <w:marRight w:val="0"/>
      <w:marTop w:val="0"/>
      <w:marBottom w:val="0"/>
      <w:divBdr>
        <w:top w:val="none" w:sz="0" w:space="0" w:color="auto"/>
        <w:left w:val="none" w:sz="0" w:space="0" w:color="auto"/>
        <w:bottom w:val="none" w:sz="0" w:space="0" w:color="auto"/>
        <w:right w:val="none" w:sz="0" w:space="0" w:color="auto"/>
      </w:divBdr>
    </w:div>
    <w:div w:id="1655992796">
      <w:bodyDiv w:val="1"/>
      <w:marLeft w:val="0"/>
      <w:marRight w:val="0"/>
      <w:marTop w:val="0"/>
      <w:marBottom w:val="0"/>
      <w:divBdr>
        <w:top w:val="none" w:sz="0" w:space="0" w:color="auto"/>
        <w:left w:val="none" w:sz="0" w:space="0" w:color="auto"/>
        <w:bottom w:val="none" w:sz="0" w:space="0" w:color="auto"/>
        <w:right w:val="none" w:sz="0" w:space="0" w:color="auto"/>
      </w:divBdr>
    </w:div>
    <w:div w:id="1656255731">
      <w:bodyDiv w:val="1"/>
      <w:marLeft w:val="0"/>
      <w:marRight w:val="0"/>
      <w:marTop w:val="0"/>
      <w:marBottom w:val="0"/>
      <w:divBdr>
        <w:top w:val="none" w:sz="0" w:space="0" w:color="auto"/>
        <w:left w:val="none" w:sz="0" w:space="0" w:color="auto"/>
        <w:bottom w:val="none" w:sz="0" w:space="0" w:color="auto"/>
        <w:right w:val="none" w:sz="0" w:space="0" w:color="auto"/>
      </w:divBdr>
    </w:div>
    <w:div w:id="1657489121">
      <w:bodyDiv w:val="1"/>
      <w:marLeft w:val="0"/>
      <w:marRight w:val="0"/>
      <w:marTop w:val="0"/>
      <w:marBottom w:val="0"/>
      <w:divBdr>
        <w:top w:val="none" w:sz="0" w:space="0" w:color="auto"/>
        <w:left w:val="none" w:sz="0" w:space="0" w:color="auto"/>
        <w:bottom w:val="none" w:sz="0" w:space="0" w:color="auto"/>
        <w:right w:val="none" w:sz="0" w:space="0" w:color="auto"/>
      </w:divBdr>
    </w:div>
    <w:div w:id="1657996978">
      <w:bodyDiv w:val="1"/>
      <w:marLeft w:val="0"/>
      <w:marRight w:val="0"/>
      <w:marTop w:val="0"/>
      <w:marBottom w:val="0"/>
      <w:divBdr>
        <w:top w:val="none" w:sz="0" w:space="0" w:color="auto"/>
        <w:left w:val="none" w:sz="0" w:space="0" w:color="auto"/>
        <w:bottom w:val="none" w:sz="0" w:space="0" w:color="auto"/>
        <w:right w:val="none" w:sz="0" w:space="0" w:color="auto"/>
      </w:divBdr>
    </w:div>
    <w:div w:id="1658262674">
      <w:bodyDiv w:val="1"/>
      <w:marLeft w:val="0"/>
      <w:marRight w:val="0"/>
      <w:marTop w:val="0"/>
      <w:marBottom w:val="0"/>
      <w:divBdr>
        <w:top w:val="none" w:sz="0" w:space="0" w:color="auto"/>
        <w:left w:val="none" w:sz="0" w:space="0" w:color="auto"/>
        <w:bottom w:val="none" w:sz="0" w:space="0" w:color="auto"/>
        <w:right w:val="none" w:sz="0" w:space="0" w:color="auto"/>
      </w:divBdr>
    </w:div>
    <w:div w:id="1658419760">
      <w:bodyDiv w:val="1"/>
      <w:marLeft w:val="0"/>
      <w:marRight w:val="0"/>
      <w:marTop w:val="0"/>
      <w:marBottom w:val="0"/>
      <w:divBdr>
        <w:top w:val="none" w:sz="0" w:space="0" w:color="auto"/>
        <w:left w:val="none" w:sz="0" w:space="0" w:color="auto"/>
        <w:bottom w:val="none" w:sz="0" w:space="0" w:color="auto"/>
        <w:right w:val="none" w:sz="0" w:space="0" w:color="auto"/>
      </w:divBdr>
    </w:div>
    <w:div w:id="1658848158">
      <w:bodyDiv w:val="1"/>
      <w:marLeft w:val="0"/>
      <w:marRight w:val="0"/>
      <w:marTop w:val="0"/>
      <w:marBottom w:val="0"/>
      <w:divBdr>
        <w:top w:val="none" w:sz="0" w:space="0" w:color="auto"/>
        <w:left w:val="none" w:sz="0" w:space="0" w:color="auto"/>
        <w:bottom w:val="none" w:sz="0" w:space="0" w:color="auto"/>
        <w:right w:val="none" w:sz="0" w:space="0" w:color="auto"/>
      </w:divBdr>
    </w:div>
    <w:div w:id="1659457587">
      <w:bodyDiv w:val="1"/>
      <w:marLeft w:val="0"/>
      <w:marRight w:val="0"/>
      <w:marTop w:val="0"/>
      <w:marBottom w:val="0"/>
      <w:divBdr>
        <w:top w:val="none" w:sz="0" w:space="0" w:color="auto"/>
        <w:left w:val="none" w:sz="0" w:space="0" w:color="auto"/>
        <w:bottom w:val="none" w:sz="0" w:space="0" w:color="auto"/>
        <w:right w:val="none" w:sz="0" w:space="0" w:color="auto"/>
      </w:divBdr>
    </w:div>
    <w:div w:id="1659916769">
      <w:bodyDiv w:val="1"/>
      <w:marLeft w:val="0"/>
      <w:marRight w:val="0"/>
      <w:marTop w:val="0"/>
      <w:marBottom w:val="0"/>
      <w:divBdr>
        <w:top w:val="none" w:sz="0" w:space="0" w:color="auto"/>
        <w:left w:val="none" w:sz="0" w:space="0" w:color="auto"/>
        <w:bottom w:val="none" w:sz="0" w:space="0" w:color="auto"/>
        <w:right w:val="none" w:sz="0" w:space="0" w:color="auto"/>
      </w:divBdr>
    </w:div>
    <w:div w:id="1660579633">
      <w:bodyDiv w:val="1"/>
      <w:marLeft w:val="0"/>
      <w:marRight w:val="0"/>
      <w:marTop w:val="0"/>
      <w:marBottom w:val="0"/>
      <w:divBdr>
        <w:top w:val="none" w:sz="0" w:space="0" w:color="auto"/>
        <w:left w:val="none" w:sz="0" w:space="0" w:color="auto"/>
        <w:bottom w:val="none" w:sz="0" w:space="0" w:color="auto"/>
        <w:right w:val="none" w:sz="0" w:space="0" w:color="auto"/>
      </w:divBdr>
    </w:div>
    <w:div w:id="1661428371">
      <w:bodyDiv w:val="1"/>
      <w:marLeft w:val="0"/>
      <w:marRight w:val="0"/>
      <w:marTop w:val="0"/>
      <w:marBottom w:val="0"/>
      <w:divBdr>
        <w:top w:val="none" w:sz="0" w:space="0" w:color="auto"/>
        <w:left w:val="none" w:sz="0" w:space="0" w:color="auto"/>
        <w:bottom w:val="none" w:sz="0" w:space="0" w:color="auto"/>
        <w:right w:val="none" w:sz="0" w:space="0" w:color="auto"/>
      </w:divBdr>
    </w:div>
    <w:div w:id="1662197549">
      <w:bodyDiv w:val="1"/>
      <w:marLeft w:val="0"/>
      <w:marRight w:val="0"/>
      <w:marTop w:val="0"/>
      <w:marBottom w:val="0"/>
      <w:divBdr>
        <w:top w:val="none" w:sz="0" w:space="0" w:color="auto"/>
        <w:left w:val="none" w:sz="0" w:space="0" w:color="auto"/>
        <w:bottom w:val="none" w:sz="0" w:space="0" w:color="auto"/>
        <w:right w:val="none" w:sz="0" w:space="0" w:color="auto"/>
      </w:divBdr>
    </w:div>
    <w:div w:id="1664426545">
      <w:bodyDiv w:val="1"/>
      <w:marLeft w:val="0"/>
      <w:marRight w:val="0"/>
      <w:marTop w:val="0"/>
      <w:marBottom w:val="0"/>
      <w:divBdr>
        <w:top w:val="none" w:sz="0" w:space="0" w:color="auto"/>
        <w:left w:val="none" w:sz="0" w:space="0" w:color="auto"/>
        <w:bottom w:val="none" w:sz="0" w:space="0" w:color="auto"/>
        <w:right w:val="none" w:sz="0" w:space="0" w:color="auto"/>
      </w:divBdr>
    </w:div>
    <w:div w:id="1664695050">
      <w:bodyDiv w:val="1"/>
      <w:marLeft w:val="0"/>
      <w:marRight w:val="0"/>
      <w:marTop w:val="0"/>
      <w:marBottom w:val="0"/>
      <w:divBdr>
        <w:top w:val="none" w:sz="0" w:space="0" w:color="auto"/>
        <w:left w:val="none" w:sz="0" w:space="0" w:color="auto"/>
        <w:bottom w:val="none" w:sz="0" w:space="0" w:color="auto"/>
        <w:right w:val="none" w:sz="0" w:space="0" w:color="auto"/>
      </w:divBdr>
    </w:div>
    <w:div w:id="1664969030">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67396904">
      <w:bodyDiv w:val="1"/>
      <w:marLeft w:val="0"/>
      <w:marRight w:val="0"/>
      <w:marTop w:val="0"/>
      <w:marBottom w:val="0"/>
      <w:divBdr>
        <w:top w:val="none" w:sz="0" w:space="0" w:color="auto"/>
        <w:left w:val="none" w:sz="0" w:space="0" w:color="auto"/>
        <w:bottom w:val="none" w:sz="0" w:space="0" w:color="auto"/>
        <w:right w:val="none" w:sz="0" w:space="0" w:color="auto"/>
      </w:divBdr>
    </w:div>
    <w:div w:id="1667703786">
      <w:bodyDiv w:val="1"/>
      <w:marLeft w:val="0"/>
      <w:marRight w:val="0"/>
      <w:marTop w:val="0"/>
      <w:marBottom w:val="0"/>
      <w:divBdr>
        <w:top w:val="none" w:sz="0" w:space="0" w:color="auto"/>
        <w:left w:val="none" w:sz="0" w:space="0" w:color="auto"/>
        <w:bottom w:val="none" w:sz="0" w:space="0" w:color="auto"/>
        <w:right w:val="none" w:sz="0" w:space="0" w:color="auto"/>
      </w:divBdr>
    </w:div>
    <w:div w:id="1667709191">
      <w:bodyDiv w:val="1"/>
      <w:marLeft w:val="0"/>
      <w:marRight w:val="0"/>
      <w:marTop w:val="0"/>
      <w:marBottom w:val="0"/>
      <w:divBdr>
        <w:top w:val="none" w:sz="0" w:space="0" w:color="auto"/>
        <w:left w:val="none" w:sz="0" w:space="0" w:color="auto"/>
        <w:bottom w:val="none" w:sz="0" w:space="0" w:color="auto"/>
        <w:right w:val="none" w:sz="0" w:space="0" w:color="auto"/>
      </w:divBdr>
    </w:div>
    <w:div w:id="1670524139">
      <w:bodyDiv w:val="1"/>
      <w:marLeft w:val="0"/>
      <w:marRight w:val="0"/>
      <w:marTop w:val="0"/>
      <w:marBottom w:val="0"/>
      <w:divBdr>
        <w:top w:val="none" w:sz="0" w:space="0" w:color="auto"/>
        <w:left w:val="none" w:sz="0" w:space="0" w:color="auto"/>
        <w:bottom w:val="none" w:sz="0" w:space="0" w:color="auto"/>
        <w:right w:val="none" w:sz="0" w:space="0" w:color="auto"/>
      </w:divBdr>
    </w:div>
    <w:div w:id="1672679704">
      <w:bodyDiv w:val="1"/>
      <w:marLeft w:val="0"/>
      <w:marRight w:val="0"/>
      <w:marTop w:val="0"/>
      <w:marBottom w:val="0"/>
      <w:divBdr>
        <w:top w:val="none" w:sz="0" w:space="0" w:color="auto"/>
        <w:left w:val="none" w:sz="0" w:space="0" w:color="auto"/>
        <w:bottom w:val="none" w:sz="0" w:space="0" w:color="auto"/>
        <w:right w:val="none" w:sz="0" w:space="0" w:color="auto"/>
      </w:divBdr>
    </w:div>
    <w:div w:id="1672760603">
      <w:bodyDiv w:val="1"/>
      <w:marLeft w:val="0"/>
      <w:marRight w:val="0"/>
      <w:marTop w:val="0"/>
      <w:marBottom w:val="0"/>
      <w:divBdr>
        <w:top w:val="none" w:sz="0" w:space="0" w:color="auto"/>
        <w:left w:val="none" w:sz="0" w:space="0" w:color="auto"/>
        <w:bottom w:val="none" w:sz="0" w:space="0" w:color="auto"/>
        <w:right w:val="none" w:sz="0" w:space="0" w:color="auto"/>
      </w:divBdr>
    </w:div>
    <w:div w:id="1672873584">
      <w:bodyDiv w:val="1"/>
      <w:marLeft w:val="0"/>
      <w:marRight w:val="0"/>
      <w:marTop w:val="0"/>
      <w:marBottom w:val="0"/>
      <w:divBdr>
        <w:top w:val="none" w:sz="0" w:space="0" w:color="auto"/>
        <w:left w:val="none" w:sz="0" w:space="0" w:color="auto"/>
        <w:bottom w:val="none" w:sz="0" w:space="0" w:color="auto"/>
        <w:right w:val="none" w:sz="0" w:space="0" w:color="auto"/>
      </w:divBdr>
    </w:div>
    <w:div w:id="1673995643">
      <w:bodyDiv w:val="1"/>
      <w:marLeft w:val="0"/>
      <w:marRight w:val="0"/>
      <w:marTop w:val="0"/>
      <w:marBottom w:val="0"/>
      <w:divBdr>
        <w:top w:val="none" w:sz="0" w:space="0" w:color="auto"/>
        <w:left w:val="none" w:sz="0" w:space="0" w:color="auto"/>
        <w:bottom w:val="none" w:sz="0" w:space="0" w:color="auto"/>
        <w:right w:val="none" w:sz="0" w:space="0" w:color="auto"/>
      </w:divBdr>
    </w:div>
    <w:div w:id="1674720831">
      <w:bodyDiv w:val="1"/>
      <w:marLeft w:val="0"/>
      <w:marRight w:val="0"/>
      <w:marTop w:val="0"/>
      <w:marBottom w:val="0"/>
      <w:divBdr>
        <w:top w:val="none" w:sz="0" w:space="0" w:color="auto"/>
        <w:left w:val="none" w:sz="0" w:space="0" w:color="auto"/>
        <w:bottom w:val="none" w:sz="0" w:space="0" w:color="auto"/>
        <w:right w:val="none" w:sz="0" w:space="0" w:color="auto"/>
      </w:divBdr>
    </w:div>
    <w:div w:id="1674995068">
      <w:bodyDiv w:val="1"/>
      <w:marLeft w:val="0"/>
      <w:marRight w:val="0"/>
      <w:marTop w:val="0"/>
      <w:marBottom w:val="0"/>
      <w:divBdr>
        <w:top w:val="none" w:sz="0" w:space="0" w:color="auto"/>
        <w:left w:val="none" w:sz="0" w:space="0" w:color="auto"/>
        <w:bottom w:val="none" w:sz="0" w:space="0" w:color="auto"/>
        <w:right w:val="none" w:sz="0" w:space="0" w:color="auto"/>
      </w:divBdr>
    </w:div>
    <w:div w:id="1675108318">
      <w:bodyDiv w:val="1"/>
      <w:marLeft w:val="0"/>
      <w:marRight w:val="0"/>
      <w:marTop w:val="0"/>
      <w:marBottom w:val="0"/>
      <w:divBdr>
        <w:top w:val="none" w:sz="0" w:space="0" w:color="auto"/>
        <w:left w:val="none" w:sz="0" w:space="0" w:color="auto"/>
        <w:bottom w:val="none" w:sz="0" w:space="0" w:color="auto"/>
        <w:right w:val="none" w:sz="0" w:space="0" w:color="auto"/>
      </w:divBdr>
    </w:div>
    <w:div w:id="1676036037">
      <w:bodyDiv w:val="1"/>
      <w:marLeft w:val="0"/>
      <w:marRight w:val="0"/>
      <w:marTop w:val="0"/>
      <w:marBottom w:val="0"/>
      <w:divBdr>
        <w:top w:val="none" w:sz="0" w:space="0" w:color="auto"/>
        <w:left w:val="none" w:sz="0" w:space="0" w:color="auto"/>
        <w:bottom w:val="none" w:sz="0" w:space="0" w:color="auto"/>
        <w:right w:val="none" w:sz="0" w:space="0" w:color="auto"/>
      </w:divBdr>
    </w:div>
    <w:div w:id="1676226550">
      <w:bodyDiv w:val="1"/>
      <w:marLeft w:val="0"/>
      <w:marRight w:val="0"/>
      <w:marTop w:val="0"/>
      <w:marBottom w:val="0"/>
      <w:divBdr>
        <w:top w:val="none" w:sz="0" w:space="0" w:color="auto"/>
        <w:left w:val="none" w:sz="0" w:space="0" w:color="auto"/>
        <w:bottom w:val="none" w:sz="0" w:space="0" w:color="auto"/>
        <w:right w:val="none" w:sz="0" w:space="0" w:color="auto"/>
      </w:divBdr>
    </w:div>
    <w:div w:id="1676304815">
      <w:bodyDiv w:val="1"/>
      <w:marLeft w:val="0"/>
      <w:marRight w:val="0"/>
      <w:marTop w:val="0"/>
      <w:marBottom w:val="0"/>
      <w:divBdr>
        <w:top w:val="none" w:sz="0" w:space="0" w:color="auto"/>
        <w:left w:val="none" w:sz="0" w:space="0" w:color="auto"/>
        <w:bottom w:val="none" w:sz="0" w:space="0" w:color="auto"/>
        <w:right w:val="none" w:sz="0" w:space="0" w:color="auto"/>
      </w:divBdr>
    </w:div>
    <w:div w:id="1676572507">
      <w:bodyDiv w:val="1"/>
      <w:marLeft w:val="0"/>
      <w:marRight w:val="0"/>
      <w:marTop w:val="0"/>
      <w:marBottom w:val="0"/>
      <w:divBdr>
        <w:top w:val="none" w:sz="0" w:space="0" w:color="auto"/>
        <w:left w:val="none" w:sz="0" w:space="0" w:color="auto"/>
        <w:bottom w:val="none" w:sz="0" w:space="0" w:color="auto"/>
        <w:right w:val="none" w:sz="0" w:space="0" w:color="auto"/>
      </w:divBdr>
    </w:div>
    <w:div w:id="1677077273">
      <w:bodyDiv w:val="1"/>
      <w:marLeft w:val="0"/>
      <w:marRight w:val="0"/>
      <w:marTop w:val="0"/>
      <w:marBottom w:val="0"/>
      <w:divBdr>
        <w:top w:val="none" w:sz="0" w:space="0" w:color="auto"/>
        <w:left w:val="none" w:sz="0" w:space="0" w:color="auto"/>
        <w:bottom w:val="none" w:sz="0" w:space="0" w:color="auto"/>
        <w:right w:val="none" w:sz="0" w:space="0" w:color="auto"/>
      </w:divBdr>
    </w:div>
    <w:div w:id="1680309709">
      <w:bodyDiv w:val="1"/>
      <w:marLeft w:val="0"/>
      <w:marRight w:val="0"/>
      <w:marTop w:val="0"/>
      <w:marBottom w:val="0"/>
      <w:divBdr>
        <w:top w:val="none" w:sz="0" w:space="0" w:color="auto"/>
        <w:left w:val="none" w:sz="0" w:space="0" w:color="auto"/>
        <w:bottom w:val="none" w:sz="0" w:space="0" w:color="auto"/>
        <w:right w:val="none" w:sz="0" w:space="0" w:color="auto"/>
      </w:divBdr>
    </w:div>
    <w:div w:id="1680965601">
      <w:bodyDiv w:val="1"/>
      <w:marLeft w:val="0"/>
      <w:marRight w:val="0"/>
      <w:marTop w:val="0"/>
      <w:marBottom w:val="0"/>
      <w:divBdr>
        <w:top w:val="none" w:sz="0" w:space="0" w:color="auto"/>
        <w:left w:val="none" w:sz="0" w:space="0" w:color="auto"/>
        <w:bottom w:val="none" w:sz="0" w:space="0" w:color="auto"/>
        <w:right w:val="none" w:sz="0" w:space="0" w:color="auto"/>
      </w:divBdr>
    </w:div>
    <w:div w:id="1681620708">
      <w:bodyDiv w:val="1"/>
      <w:marLeft w:val="0"/>
      <w:marRight w:val="0"/>
      <w:marTop w:val="0"/>
      <w:marBottom w:val="0"/>
      <w:divBdr>
        <w:top w:val="none" w:sz="0" w:space="0" w:color="auto"/>
        <w:left w:val="none" w:sz="0" w:space="0" w:color="auto"/>
        <w:bottom w:val="none" w:sz="0" w:space="0" w:color="auto"/>
        <w:right w:val="none" w:sz="0" w:space="0" w:color="auto"/>
      </w:divBdr>
    </w:div>
    <w:div w:id="1681663191">
      <w:bodyDiv w:val="1"/>
      <w:marLeft w:val="0"/>
      <w:marRight w:val="0"/>
      <w:marTop w:val="0"/>
      <w:marBottom w:val="0"/>
      <w:divBdr>
        <w:top w:val="none" w:sz="0" w:space="0" w:color="auto"/>
        <w:left w:val="none" w:sz="0" w:space="0" w:color="auto"/>
        <w:bottom w:val="none" w:sz="0" w:space="0" w:color="auto"/>
        <w:right w:val="none" w:sz="0" w:space="0" w:color="auto"/>
      </w:divBdr>
    </w:div>
    <w:div w:id="1682589001">
      <w:bodyDiv w:val="1"/>
      <w:marLeft w:val="0"/>
      <w:marRight w:val="0"/>
      <w:marTop w:val="0"/>
      <w:marBottom w:val="0"/>
      <w:divBdr>
        <w:top w:val="none" w:sz="0" w:space="0" w:color="auto"/>
        <w:left w:val="none" w:sz="0" w:space="0" w:color="auto"/>
        <w:bottom w:val="none" w:sz="0" w:space="0" w:color="auto"/>
        <w:right w:val="none" w:sz="0" w:space="0" w:color="auto"/>
      </w:divBdr>
    </w:div>
    <w:div w:id="1683048621">
      <w:bodyDiv w:val="1"/>
      <w:marLeft w:val="0"/>
      <w:marRight w:val="0"/>
      <w:marTop w:val="0"/>
      <w:marBottom w:val="0"/>
      <w:divBdr>
        <w:top w:val="none" w:sz="0" w:space="0" w:color="auto"/>
        <w:left w:val="none" w:sz="0" w:space="0" w:color="auto"/>
        <w:bottom w:val="none" w:sz="0" w:space="0" w:color="auto"/>
        <w:right w:val="none" w:sz="0" w:space="0" w:color="auto"/>
      </w:divBdr>
    </w:div>
    <w:div w:id="1683243371">
      <w:bodyDiv w:val="1"/>
      <w:marLeft w:val="0"/>
      <w:marRight w:val="0"/>
      <w:marTop w:val="0"/>
      <w:marBottom w:val="0"/>
      <w:divBdr>
        <w:top w:val="none" w:sz="0" w:space="0" w:color="auto"/>
        <w:left w:val="none" w:sz="0" w:space="0" w:color="auto"/>
        <w:bottom w:val="none" w:sz="0" w:space="0" w:color="auto"/>
        <w:right w:val="none" w:sz="0" w:space="0" w:color="auto"/>
      </w:divBdr>
    </w:div>
    <w:div w:id="1683320763">
      <w:bodyDiv w:val="1"/>
      <w:marLeft w:val="0"/>
      <w:marRight w:val="0"/>
      <w:marTop w:val="0"/>
      <w:marBottom w:val="0"/>
      <w:divBdr>
        <w:top w:val="none" w:sz="0" w:space="0" w:color="auto"/>
        <w:left w:val="none" w:sz="0" w:space="0" w:color="auto"/>
        <w:bottom w:val="none" w:sz="0" w:space="0" w:color="auto"/>
        <w:right w:val="none" w:sz="0" w:space="0" w:color="auto"/>
      </w:divBdr>
    </w:div>
    <w:div w:id="1683360799">
      <w:bodyDiv w:val="1"/>
      <w:marLeft w:val="0"/>
      <w:marRight w:val="0"/>
      <w:marTop w:val="0"/>
      <w:marBottom w:val="0"/>
      <w:divBdr>
        <w:top w:val="none" w:sz="0" w:space="0" w:color="auto"/>
        <w:left w:val="none" w:sz="0" w:space="0" w:color="auto"/>
        <w:bottom w:val="none" w:sz="0" w:space="0" w:color="auto"/>
        <w:right w:val="none" w:sz="0" w:space="0" w:color="auto"/>
      </w:divBdr>
    </w:div>
    <w:div w:id="1683433383">
      <w:bodyDiv w:val="1"/>
      <w:marLeft w:val="0"/>
      <w:marRight w:val="0"/>
      <w:marTop w:val="0"/>
      <w:marBottom w:val="0"/>
      <w:divBdr>
        <w:top w:val="none" w:sz="0" w:space="0" w:color="auto"/>
        <w:left w:val="none" w:sz="0" w:space="0" w:color="auto"/>
        <w:bottom w:val="none" w:sz="0" w:space="0" w:color="auto"/>
        <w:right w:val="none" w:sz="0" w:space="0" w:color="auto"/>
      </w:divBdr>
    </w:div>
    <w:div w:id="1685814886">
      <w:bodyDiv w:val="1"/>
      <w:marLeft w:val="0"/>
      <w:marRight w:val="0"/>
      <w:marTop w:val="0"/>
      <w:marBottom w:val="0"/>
      <w:divBdr>
        <w:top w:val="none" w:sz="0" w:space="0" w:color="auto"/>
        <w:left w:val="none" w:sz="0" w:space="0" w:color="auto"/>
        <w:bottom w:val="none" w:sz="0" w:space="0" w:color="auto"/>
        <w:right w:val="none" w:sz="0" w:space="0" w:color="auto"/>
      </w:divBdr>
    </w:div>
    <w:div w:id="1687713213">
      <w:bodyDiv w:val="1"/>
      <w:marLeft w:val="0"/>
      <w:marRight w:val="0"/>
      <w:marTop w:val="0"/>
      <w:marBottom w:val="0"/>
      <w:divBdr>
        <w:top w:val="none" w:sz="0" w:space="0" w:color="auto"/>
        <w:left w:val="none" w:sz="0" w:space="0" w:color="auto"/>
        <w:bottom w:val="none" w:sz="0" w:space="0" w:color="auto"/>
        <w:right w:val="none" w:sz="0" w:space="0" w:color="auto"/>
      </w:divBdr>
    </w:div>
    <w:div w:id="1687825597">
      <w:bodyDiv w:val="1"/>
      <w:marLeft w:val="0"/>
      <w:marRight w:val="0"/>
      <w:marTop w:val="0"/>
      <w:marBottom w:val="0"/>
      <w:divBdr>
        <w:top w:val="none" w:sz="0" w:space="0" w:color="auto"/>
        <w:left w:val="none" w:sz="0" w:space="0" w:color="auto"/>
        <w:bottom w:val="none" w:sz="0" w:space="0" w:color="auto"/>
        <w:right w:val="none" w:sz="0" w:space="0" w:color="auto"/>
      </w:divBdr>
    </w:div>
    <w:div w:id="1688484650">
      <w:bodyDiv w:val="1"/>
      <w:marLeft w:val="0"/>
      <w:marRight w:val="0"/>
      <w:marTop w:val="0"/>
      <w:marBottom w:val="0"/>
      <w:divBdr>
        <w:top w:val="none" w:sz="0" w:space="0" w:color="auto"/>
        <w:left w:val="none" w:sz="0" w:space="0" w:color="auto"/>
        <w:bottom w:val="none" w:sz="0" w:space="0" w:color="auto"/>
        <w:right w:val="none" w:sz="0" w:space="0" w:color="auto"/>
      </w:divBdr>
    </w:div>
    <w:div w:id="1688673788">
      <w:bodyDiv w:val="1"/>
      <w:marLeft w:val="0"/>
      <w:marRight w:val="0"/>
      <w:marTop w:val="0"/>
      <w:marBottom w:val="0"/>
      <w:divBdr>
        <w:top w:val="none" w:sz="0" w:space="0" w:color="auto"/>
        <w:left w:val="none" w:sz="0" w:space="0" w:color="auto"/>
        <w:bottom w:val="none" w:sz="0" w:space="0" w:color="auto"/>
        <w:right w:val="none" w:sz="0" w:space="0" w:color="auto"/>
      </w:divBdr>
    </w:div>
    <w:div w:id="1688824075">
      <w:bodyDiv w:val="1"/>
      <w:marLeft w:val="0"/>
      <w:marRight w:val="0"/>
      <w:marTop w:val="0"/>
      <w:marBottom w:val="0"/>
      <w:divBdr>
        <w:top w:val="none" w:sz="0" w:space="0" w:color="auto"/>
        <w:left w:val="none" w:sz="0" w:space="0" w:color="auto"/>
        <w:bottom w:val="none" w:sz="0" w:space="0" w:color="auto"/>
        <w:right w:val="none" w:sz="0" w:space="0" w:color="auto"/>
      </w:divBdr>
    </w:div>
    <w:div w:id="1689528644">
      <w:bodyDiv w:val="1"/>
      <w:marLeft w:val="0"/>
      <w:marRight w:val="0"/>
      <w:marTop w:val="0"/>
      <w:marBottom w:val="0"/>
      <w:divBdr>
        <w:top w:val="none" w:sz="0" w:space="0" w:color="auto"/>
        <w:left w:val="none" w:sz="0" w:space="0" w:color="auto"/>
        <w:bottom w:val="none" w:sz="0" w:space="0" w:color="auto"/>
        <w:right w:val="none" w:sz="0" w:space="0" w:color="auto"/>
      </w:divBdr>
    </w:div>
    <w:div w:id="1690788140">
      <w:bodyDiv w:val="1"/>
      <w:marLeft w:val="0"/>
      <w:marRight w:val="0"/>
      <w:marTop w:val="0"/>
      <w:marBottom w:val="0"/>
      <w:divBdr>
        <w:top w:val="none" w:sz="0" w:space="0" w:color="auto"/>
        <w:left w:val="none" w:sz="0" w:space="0" w:color="auto"/>
        <w:bottom w:val="none" w:sz="0" w:space="0" w:color="auto"/>
        <w:right w:val="none" w:sz="0" w:space="0" w:color="auto"/>
      </w:divBdr>
    </w:div>
    <w:div w:id="1691486027">
      <w:bodyDiv w:val="1"/>
      <w:marLeft w:val="0"/>
      <w:marRight w:val="0"/>
      <w:marTop w:val="0"/>
      <w:marBottom w:val="0"/>
      <w:divBdr>
        <w:top w:val="none" w:sz="0" w:space="0" w:color="auto"/>
        <w:left w:val="none" w:sz="0" w:space="0" w:color="auto"/>
        <w:bottom w:val="none" w:sz="0" w:space="0" w:color="auto"/>
        <w:right w:val="none" w:sz="0" w:space="0" w:color="auto"/>
      </w:divBdr>
    </w:div>
    <w:div w:id="1691488666">
      <w:bodyDiv w:val="1"/>
      <w:marLeft w:val="0"/>
      <w:marRight w:val="0"/>
      <w:marTop w:val="0"/>
      <w:marBottom w:val="0"/>
      <w:divBdr>
        <w:top w:val="none" w:sz="0" w:space="0" w:color="auto"/>
        <w:left w:val="none" w:sz="0" w:space="0" w:color="auto"/>
        <w:bottom w:val="none" w:sz="0" w:space="0" w:color="auto"/>
        <w:right w:val="none" w:sz="0" w:space="0" w:color="auto"/>
      </w:divBdr>
    </w:div>
    <w:div w:id="1692299150">
      <w:bodyDiv w:val="1"/>
      <w:marLeft w:val="0"/>
      <w:marRight w:val="0"/>
      <w:marTop w:val="0"/>
      <w:marBottom w:val="0"/>
      <w:divBdr>
        <w:top w:val="none" w:sz="0" w:space="0" w:color="auto"/>
        <w:left w:val="none" w:sz="0" w:space="0" w:color="auto"/>
        <w:bottom w:val="none" w:sz="0" w:space="0" w:color="auto"/>
        <w:right w:val="none" w:sz="0" w:space="0" w:color="auto"/>
      </w:divBdr>
    </w:div>
    <w:div w:id="1693844513">
      <w:bodyDiv w:val="1"/>
      <w:marLeft w:val="0"/>
      <w:marRight w:val="0"/>
      <w:marTop w:val="0"/>
      <w:marBottom w:val="0"/>
      <w:divBdr>
        <w:top w:val="none" w:sz="0" w:space="0" w:color="auto"/>
        <w:left w:val="none" w:sz="0" w:space="0" w:color="auto"/>
        <w:bottom w:val="none" w:sz="0" w:space="0" w:color="auto"/>
        <w:right w:val="none" w:sz="0" w:space="0" w:color="auto"/>
      </w:divBdr>
    </w:div>
    <w:div w:id="1694958464">
      <w:bodyDiv w:val="1"/>
      <w:marLeft w:val="0"/>
      <w:marRight w:val="0"/>
      <w:marTop w:val="0"/>
      <w:marBottom w:val="0"/>
      <w:divBdr>
        <w:top w:val="none" w:sz="0" w:space="0" w:color="auto"/>
        <w:left w:val="none" w:sz="0" w:space="0" w:color="auto"/>
        <w:bottom w:val="none" w:sz="0" w:space="0" w:color="auto"/>
        <w:right w:val="none" w:sz="0" w:space="0" w:color="auto"/>
      </w:divBdr>
    </w:div>
    <w:div w:id="1695812025">
      <w:bodyDiv w:val="1"/>
      <w:marLeft w:val="0"/>
      <w:marRight w:val="0"/>
      <w:marTop w:val="0"/>
      <w:marBottom w:val="0"/>
      <w:divBdr>
        <w:top w:val="none" w:sz="0" w:space="0" w:color="auto"/>
        <w:left w:val="none" w:sz="0" w:space="0" w:color="auto"/>
        <w:bottom w:val="none" w:sz="0" w:space="0" w:color="auto"/>
        <w:right w:val="none" w:sz="0" w:space="0" w:color="auto"/>
      </w:divBdr>
    </w:div>
    <w:div w:id="1698848725">
      <w:bodyDiv w:val="1"/>
      <w:marLeft w:val="0"/>
      <w:marRight w:val="0"/>
      <w:marTop w:val="0"/>
      <w:marBottom w:val="0"/>
      <w:divBdr>
        <w:top w:val="none" w:sz="0" w:space="0" w:color="auto"/>
        <w:left w:val="none" w:sz="0" w:space="0" w:color="auto"/>
        <w:bottom w:val="none" w:sz="0" w:space="0" w:color="auto"/>
        <w:right w:val="none" w:sz="0" w:space="0" w:color="auto"/>
      </w:divBdr>
    </w:div>
    <w:div w:id="1699238451">
      <w:bodyDiv w:val="1"/>
      <w:marLeft w:val="0"/>
      <w:marRight w:val="0"/>
      <w:marTop w:val="0"/>
      <w:marBottom w:val="0"/>
      <w:divBdr>
        <w:top w:val="none" w:sz="0" w:space="0" w:color="auto"/>
        <w:left w:val="none" w:sz="0" w:space="0" w:color="auto"/>
        <w:bottom w:val="none" w:sz="0" w:space="0" w:color="auto"/>
        <w:right w:val="none" w:sz="0" w:space="0" w:color="auto"/>
      </w:divBdr>
    </w:div>
    <w:div w:id="1699576967">
      <w:bodyDiv w:val="1"/>
      <w:marLeft w:val="0"/>
      <w:marRight w:val="0"/>
      <w:marTop w:val="0"/>
      <w:marBottom w:val="0"/>
      <w:divBdr>
        <w:top w:val="none" w:sz="0" w:space="0" w:color="auto"/>
        <w:left w:val="none" w:sz="0" w:space="0" w:color="auto"/>
        <w:bottom w:val="none" w:sz="0" w:space="0" w:color="auto"/>
        <w:right w:val="none" w:sz="0" w:space="0" w:color="auto"/>
      </w:divBdr>
    </w:div>
    <w:div w:id="1699769363">
      <w:bodyDiv w:val="1"/>
      <w:marLeft w:val="0"/>
      <w:marRight w:val="0"/>
      <w:marTop w:val="0"/>
      <w:marBottom w:val="0"/>
      <w:divBdr>
        <w:top w:val="none" w:sz="0" w:space="0" w:color="auto"/>
        <w:left w:val="none" w:sz="0" w:space="0" w:color="auto"/>
        <w:bottom w:val="none" w:sz="0" w:space="0" w:color="auto"/>
        <w:right w:val="none" w:sz="0" w:space="0" w:color="auto"/>
      </w:divBdr>
    </w:div>
    <w:div w:id="1701053249">
      <w:bodyDiv w:val="1"/>
      <w:marLeft w:val="0"/>
      <w:marRight w:val="0"/>
      <w:marTop w:val="0"/>
      <w:marBottom w:val="0"/>
      <w:divBdr>
        <w:top w:val="none" w:sz="0" w:space="0" w:color="auto"/>
        <w:left w:val="none" w:sz="0" w:space="0" w:color="auto"/>
        <w:bottom w:val="none" w:sz="0" w:space="0" w:color="auto"/>
        <w:right w:val="none" w:sz="0" w:space="0" w:color="auto"/>
      </w:divBdr>
    </w:div>
    <w:div w:id="1701659803">
      <w:bodyDiv w:val="1"/>
      <w:marLeft w:val="0"/>
      <w:marRight w:val="0"/>
      <w:marTop w:val="0"/>
      <w:marBottom w:val="0"/>
      <w:divBdr>
        <w:top w:val="none" w:sz="0" w:space="0" w:color="auto"/>
        <w:left w:val="none" w:sz="0" w:space="0" w:color="auto"/>
        <w:bottom w:val="none" w:sz="0" w:space="0" w:color="auto"/>
        <w:right w:val="none" w:sz="0" w:space="0" w:color="auto"/>
      </w:divBdr>
    </w:div>
    <w:div w:id="1701776820">
      <w:bodyDiv w:val="1"/>
      <w:marLeft w:val="0"/>
      <w:marRight w:val="0"/>
      <w:marTop w:val="0"/>
      <w:marBottom w:val="0"/>
      <w:divBdr>
        <w:top w:val="none" w:sz="0" w:space="0" w:color="auto"/>
        <w:left w:val="none" w:sz="0" w:space="0" w:color="auto"/>
        <w:bottom w:val="none" w:sz="0" w:space="0" w:color="auto"/>
        <w:right w:val="none" w:sz="0" w:space="0" w:color="auto"/>
      </w:divBdr>
    </w:div>
    <w:div w:id="1702316133">
      <w:bodyDiv w:val="1"/>
      <w:marLeft w:val="0"/>
      <w:marRight w:val="0"/>
      <w:marTop w:val="0"/>
      <w:marBottom w:val="0"/>
      <w:divBdr>
        <w:top w:val="none" w:sz="0" w:space="0" w:color="auto"/>
        <w:left w:val="none" w:sz="0" w:space="0" w:color="auto"/>
        <w:bottom w:val="none" w:sz="0" w:space="0" w:color="auto"/>
        <w:right w:val="none" w:sz="0" w:space="0" w:color="auto"/>
      </w:divBdr>
    </w:div>
    <w:div w:id="1702588017">
      <w:bodyDiv w:val="1"/>
      <w:marLeft w:val="0"/>
      <w:marRight w:val="0"/>
      <w:marTop w:val="0"/>
      <w:marBottom w:val="0"/>
      <w:divBdr>
        <w:top w:val="none" w:sz="0" w:space="0" w:color="auto"/>
        <w:left w:val="none" w:sz="0" w:space="0" w:color="auto"/>
        <w:bottom w:val="none" w:sz="0" w:space="0" w:color="auto"/>
        <w:right w:val="none" w:sz="0" w:space="0" w:color="auto"/>
      </w:divBdr>
    </w:div>
    <w:div w:id="1703478159">
      <w:bodyDiv w:val="1"/>
      <w:marLeft w:val="0"/>
      <w:marRight w:val="0"/>
      <w:marTop w:val="0"/>
      <w:marBottom w:val="0"/>
      <w:divBdr>
        <w:top w:val="none" w:sz="0" w:space="0" w:color="auto"/>
        <w:left w:val="none" w:sz="0" w:space="0" w:color="auto"/>
        <w:bottom w:val="none" w:sz="0" w:space="0" w:color="auto"/>
        <w:right w:val="none" w:sz="0" w:space="0" w:color="auto"/>
      </w:divBdr>
    </w:div>
    <w:div w:id="1705250344">
      <w:bodyDiv w:val="1"/>
      <w:marLeft w:val="0"/>
      <w:marRight w:val="0"/>
      <w:marTop w:val="0"/>
      <w:marBottom w:val="0"/>
      <w:divBdr>
        <w:top w:val="none" w:sz="0" w:space="0" w:color="auto"/>
        <w:left w:val="none" w:sz="0" w:space="0" w:color="auto"/>
        <w:bottom w:val="none" w:sz="0" w:space="0" w:color="auto"/>
        <w:right w:val="none" w:sz="0" w:space="0" w:color="auto"/>
      </w:divBdr>
    </w:div>
    <w:div w:id="1708796220">
      <w:bodyDiv w:val="1"/>
      <w:marLeft w:val="0"/>
      <w:marRight w:val="0"/>
      <w:marTop w:val="0"/>
      <w:marBottom w:val="0"/>
      <w:divBdr>
        <w:top w:val="none" w:sz="0" w:space="0" w:color="auto"/>
        <w:left w:val="none" w:sz="0" w:space="0" w:color="auto"/>
        <w:bottom w:val="none" w:sz="0" w:space="0" w:color="auto"/>
        <w:right w:val="none" w:sz="0" w:space="0" w:color="auto"/>
      </w:divBdr>
    </w:div>
    <w:div w:id="1711951701">
      <w:bodyDiv w:val="1"/>
      <w:marLeft w:val="0"/>
      <w:marRight w:val="0"/>
      <w:marTop w:val="0"/>
      <w:marBottom w:val="0"/>
      <w:divBdr>
        <w:top w:val="none" w:sz="0" w:space="0" w:color="auto"/>
        <w:left w:val="none" w:sz="0" w:space="0" w:color="auto"/>
        <w:bottom w:val="none" w:sz="0" w:space="0" w:color="auto"/>
        <w:right w:val="none" w:sz="0" w:space="0" w:color="auto"/>
      </w:divBdr>
    </w:div>
    <w:div w:id="1712148898">
      <w:bodyDiv w:val="1"/>
      <w:marLeft w:val="0"/>
      <w:marRight w:val="0"/>
      <w:marTop w:val="0"/>
      <w:marBottom w:val="0"/>
      <w:divBdr>
        <w:top w:val="none" w:sz="0" w:space="0" w:color="auto"/>
        <w:left w:val="none" w:sz="0" w:space="0" w:color="auto"/>
        <w:bottom w:val="none" w:sz="0" w:space="0" w:color="auto"/>
        <w:right w:val="none" w:sz="0" w:space="0" w:color="auto"/>
      </w:divBdr>
    </w:div>
    <w:div w:id="1712607443">
      <w:bodyDiv w:val="1"/>
      <w:marLeft w:val="0"/>
      <w:marRight w:val="0"/>
      <w:marTop w:val="0"/>
      <w:marBottom w:val="0"/>
      <w:divBdr>
        <w:top w:val="none" w:sz="0" w:space="0" w:color="auto"/>
        <w:left w:val="none" w:sz="0" w:space="0" w:color="auto"/>
        <w:bottom w:val="none" w:sz="0" w:space="0" w:color="auto"/>
        <w:right w:val="none" w:sz="0" w:space="0" w:color="auto"/>
      </w:divBdr>
    </w:div>
    <w:div w:id="1713261148">
      <w:bodyDiv w:val="1"/>
      <w:marLeft w:val="0"/>
      <w:marRight w:val="0"/>
      <w:marTop w:val="0"/>
      <w:marBottom w:val="0"/>
      <w:divBdr>
        <w:top w:val="none" w:sz="0" w:space="0" w:color="auto"/>
        <w:left w:val="none" w:sz="0" w:space="0" w:color="auto"/>
        <w:bottom w:val="none" w:sz="0" w:space="0" w:color="auto"/>
        <w:right w:val="none" w:sz="0" w:space="0" w:color="auto"/>
      </w:divBdr>
    </w:div>
    <w:div w:id="1713731571">
      <w:bodyDiv w:val="1"/>
      <w:marLeft w:val="0"/>
      <w:marRight w:val="0"/>
      <w:marTop w:val="0"/>
      <w:marBottom w:val="0"/>
      <w:divBdr>
        <w:top w:val="none" w:sz="0" w:space="0" w:color="auto"/>
        <w:left w:val="none" w:sz="0" w:space="0" w:color="auto"/>
        <w:bottom w:val="none" w:sz="0" w:space="0" w:color="auto"/>
        <w:right w:val="none" w:sz="0" w:space="0" w:color="auto"/>
      </w:divBdr>
    </w:div>
    <w:div w:id="1714230373">
      <w:bodyDiv w:val="1"/>
      <w:marLeft w:val="0"/>
      <w:marRight w:val="0"/>
      <w:marTop w:val="0"/>
      <w:marBottom w:val="0"/>
      <w:divBdr>
        <w:top w:val="none" w:sz="0" w:space="0" w:color="auto"/>
        <w:left w:val="none" w:sz="0" w:space="0" w:color="auto"/>
        <w:bottom w:val="none" w:sz="0" w:space="0" w:color="auto"/>
        <w:right w:val="none" w:sz="0" w:space="0" w:color="auto"/>
      </w:divBdr>
    </w:div>
    <w:div w:id="1715034799">
      <w:bodyDiv w:val="1"/>
      <w:marLeft w:val="0"/>
      <w:marRight w:val="0"/>
      <w:marTop w:val="0"/>
      <w:marBottom w:val="0"/>
      <w:divBdr>
        <w:top w:val="none" w:sz="0" w:space="0" w:color="auto"/>
        <w:left w:val="none" w:sz="0" w:space="0" w:color="auto"/>
        <w:bottom w:val="none" w:sz="0" w:space="0" w:color="auto"/>
        <w:right w:val="none" w:sz="0" w:space="0" w:color="auto"/>
      </w:divBdr>
    </w:div>
    <w:div w:id="1715691811">
      <w:bodyDiv w:val="1"/>
      <w:marLeft w:val="0"/>
      <w:marRight w:val="0"/>
      <w:marTop w:val="0"/>
      <w:marBottom w:val="0"/>
      <w:divBdr>
        <w:top w:val="none" w:sz="0" w:space="0" w:color="auto"/>
        <w:left w:val="none" w:sz="0" w:space="0" w:color="auto"/>
        <w:bottom w:val="none" w:sz="0" w:space="0" w:color="auto"/>
        <w:right w:val="none" w:sz="0" w:space="0" w:color="auto"/>
      </w:divBdr>
    </w:div>
    <w:div w:id="1716729837">
      <w:bodyDiv w:val="1"/>
      <w:marLeft w:val="0"/>
      <w:marRight w:val="0"/>
      <w:marTop w:val="0"/>
      <w:marBottom w:val="0"/>
      <w:divBdr>
        <w:top w:val="none" w:sz="0" w:space="0" w:color="auto"/>
        <w:left w:val="none" w:sz="0" w:space="0" w:color="auto"/>
        <w:bottom w:val="none" w:sz="0" w:space="0" w:color="auto"/>
        <w:right w:val="none" w:sz="0" w:space="0" w:color="auto"/>
      </w:divBdr>
    </w:div>
    <w:div w:id="1717587450">
      <w:bodyDiv w:val="1"/>
      <w:marLeft w:val="0"/>
      <w:marRight w:val="0"/>
      <w:marTop w:val="0"/>
      <w:marBottom w:val="0"/>
      <w:divBdr>
        <w:top w:val="none" w:sz="0" w:space="0" w:color="auto"/>
        <w:left w:val="none" w:sz="0" w:space="0" w:color="auto"/>
        <w:bottom w:val="none" w:sz="0" w:space="0" w:color="auto"/>
        <w:right w:val="none" w:sz="0" w:space="0" w:color="auto"/>
      </w:divBdr>
    </w:div>
    <w:div w:id="1718163211">
      <w:bodyDiv w:val="1"/>
      <w:marLeft w:val="0"/>
      <w:marRight w:val="0"/>
      <w:marTop w:val="0"/>
      <w:marBottom w:val="0"/>
      <w:divBdr>
        <w:top w:val="none" w:sz="0" w:space="0" w:color="auto"/>
        <w:left w:val="none" w:sz="0" w:space="0" w:color="auto"/>
        <w:bottom w:val="none" w:sz="0" w:space="0" w:color="auto"/>
        <w:right w:val="none" w:sz="0" w:space="0" w:color="auto"/>
      </w:divBdr>
    </w:div>
    <w:div w:id="1718163680">
      <w:bodyDiv w:val="1"/>
      <w:marLeft w:val="0"/>
      <w:marRight w:val="0"/>
      <w:marTop w:val="0"/>
      <w:marBottom w:val="0"/>
      <w:divBdr>
        <w:top w:val="none" w:sz="0" w:space="0" w:color="auto"/>
        <w:left w:val="none" w:sz="0" w:space="0" w:color="auto"/>
        <w:bottom w:val="none" w:sz="0" w:space="0" w:color="auto"/>
        <w:right w:val="none" w:sz="0" w:space="0" w:color="auto"/>
      </w:divBdr>
    </w:div>
    <w:div w:id="1719010855">
      <w:bodyDiv w:val="1"/>
      <w:marLeft w:val="0"/>
      <w:marRight w:val="0"/>
      <w:marTop w:val="0"/>
      <w:marBottom w:val="0"/>
      <w:divBdr>
        <w:top w:val="none" w:sz="0" w:space="0" w:color="auto"/>
        <w:left w:val="none" w:sz="0" w:space="0" w:color="auto"/>
        <w:bottom w:val="none" w:sz="0" w:space="0" w:color="auto"/>
        <w:right w:val="none" w:sz="0" w:space="0" w:color="auto"/>
      </w:divBdr>
    </w:div>
    <w:div w:id="1719815066">
      <w:bodyDiv w:val="1"/>
      <w:marLeft w:val="0"/>
      <w:marRight w:val="0"/>
      <w:marTop w:val="0"/>
      <w:marBottom w:val="0"/>
      <w:divBdr>
        <w:top w:val="none" w:sz="0" w:space="0" w:color="auto"/>
        <w:left w:val="none" w:sz="0" w:space="0" w:color="auto"/>
        <w:bottom w:val="none" w:sz="0" w:space="0" w:color="auto"/>
        <w:right w:val="none" w:sz="0" w:space="0" w:color="auto"/>
      </w:divBdr>
    </w:div>
    <w:div w:id="1720322430">
      <w:bodyDiv w:val="1"/>
      <w:marLeft w:val="0"/>
      <w:marRight w:val="0"/>
      <w:marTop w:val="0"/>
      <w:marBottom w:val="0"/>
      <w:divBdr>
        <w:top w:val="none" w:sz="0" w:space="0" w:color="auto"/>
        <w:left w:val="none" w:sz="0" w:space="0" w:color="auto"/>
        <w:bottom w:val="none" w:sz="0" w:space="0" w:color="auto"/>
        <w:right w:val="none" w:sz="0" w:space="0" w:color="auto"/>
      </w:divBdr>
    </w:div>
    <w:div w:id="1722510147">
      <w:bodyDiv w:val="1"/>
      <w:marLeft w:val="0"/>
      <w:marRight w:val="0"/>
      <w:marTop w:val="0"/>
      <w:marBottom w:val="0"/>
      <w:divBdr>
        <w:top w:val="none" w:sz="0" w:space="0" w:color="auto"/>
        <w:left w:val="none" w:sz="0" w:space="0" w:color="auto"/>
        <w:bottom w:val="none" w:sz="0" w:space="0" w:color="auto"/>
        <w:right w:val="none" w:sz="0" w:space="0" w:color="auto"/>
      </w:divBdr>
    </w:div>
    <w:div w:id="1724055970">
      <w:bodyDiv w:val="1"/>
      <w:marLeft w:val="0"/>
      <w:marRight w:val="0"/>
      <w:marTop w:val="0"/>
      <w:marBottom w:val="0"/>
      <w:divBdr>
        <w:top w:val="none" w:sz="0" w:space="0" w:color="auto"/>
        <w:left w:val="none" w:sz="0" w:space="0" w:color="auto"/>
        <w:bottom w:val="none" w:sz="0" w:space="0" w:color="auto"/>
        <w:right w:val="none" w:sz="0" w:space="0" w:color="auto"/>
      </w:divBdr>
    </w:div>
    <w:div w:id="1724793152">
      <w:bodyDiv w:val="1"/>
      <w:marLeft w:val="0"/>
      <w:marRight w:val="0"/>
      <w:marTop w:val="0"/>
      <w:marBottom w:val="0"/>
      <w:divBdr>
        <w:top w:val="none" w:sz="0" w:space="0" w:color="auto"/>
        <w:left w:val="none" w:sz="0" w:space="0" w:color="auto"/>
        <w:bottom w:val="none" w:sz="0" w:space="0" w:color="auto"/>
        <w:right w:val="none" w:sz="0" w:space="0" w:color="auto"/>
      </w:divBdr>
    </w:div>
    <w:div w:id="1725788018">
      <w:bodyDiv w:val="1"/>
      <w:marLeft w:val="0"/>
      <w:marRight w:val="0"/>
      <w:marTop w:val="0"/>
      <w:marBottom w:val="0"/>
      <w:divBdr>
        <w:top w:val="none" w:sz="0" w:space="0" w:color="auto"/>
        <w:left w:val="none" w:sz="0" w:space="0" w:color="auto"/>
        <w:bottom w:val="none" w:sz="0" w:space="0" w:color="auto"/>
        <w:right w:val="none" w:sz="0" w:space="0" w:color="auto"/>
      </w:divBdr>
    </w:div>
    <w:div w:id="1726176623">
      <w:bodyDiv w:val="1"/>
      <w:marLeft w:val="0"/>
      <w:marRight w:val="0"/>
      <w:marTop w:val="0"/>
      <w:marBottom w:val="0"/>
      <w:divBdr>
        <w:top w:val="none" w:sz="0" w:space="0" w:color="auto"/>
        <w:left w:val="none" w:sz="0" w:space="0" w:color="auto"/>
        <w:bottom w:val="none" w:sz="0" w:space="0" w:color="auto"/>
        <w:right w:val="none" w:sz="0" w:space="0" w:color="auto"/>
      </w:divBdr>
    </w:div>
    <w:div w:id="1726683330">
      <w:bodyDiv w:val="1"/>
      <w:marLeft w:val="0"/>
      <w:marRight w:val="0"/>
      <w:marTop w:val="0"/>
      <w:marBottom w:val="0"/>
      <w:divBdr>
        <w:top w:val="none" w:sz="0" w:space="0" w:color="auto"/>
        <w:left w:val="none" w:sz="0" w:space="0" w:color="auto"/>
        <w:bottom w:val="none" w:sz="0" w:space="0" w:color="auto"/>
        <w:right w:val="none" w:sz="0" w:space="0" w:color="auto"/>
      </w:divBdr>
    </w:div>
    <w:div w:id="1727531755">
      <w:bodyDiv w:val="1"/>
      <w:marLeft w:val="0"/>
      <w:marRight w:val="0"/>
      <w:marTop w:val="0"/>
      <w:marBottom w:val="0"/>
      <w:divBdr>
        <w:top w:val="none" w:sz="0" w:space="0" w:color="auto"/>
        <w:left w:val="none" w:sz="0" w:space="0" w:color="auto"/>
        <w:bottom w:val="none" w:sz="0" w:space="0" w:color="auto"/>
        <w:right w:val="none" w:sz="0" w:space="0" w:color="auto"/>
      </w:divBdr>
    </w:div>
    <w:div w:id="1727794773">
      <w:bodyDiv w:val="1"/>
      <w:marLeft w:val="0"/>
      <w:marRight w:val="0"/>
      <w:marTop w:val="0"/>
      <w:marBottom w:val="0"/>
      <w:divBdr>
        <w:top w:val="none" w:sz="0" w:space="0" w:color="auto"/>
        <w:left w:val="none" w:sz="0" w:space="0" w:color="auto"/>
        <w:bottom w:val="none" w:sz="0" w:space="0" w:color="auto"/>
        <w:right w:val="none" w:sz="0" w:space="0" w:color="auto"/>
      </w:divBdr>
    </w:div>
    <w:div w:id="1727877110">
      <w:bodyDiv w:val="1"/>
      <w:marLeft w:val="0"/>
      <w:marRight w:val="0"/>
      <w:marTop w:val="0"/>
      <w:marBottom w:val="0"/>
      <w:divBdr>
        <w:top w:val="none" w:sz="0" w:space="0" w:color="auto"/>
        <w:left w:val="none" w:sz="0" w:space="0" w:color="auto"/>
        <w:bottom w:val="none" w:sz="0" w:space="0" w:color="auto"/>
        <w:right w:val="none" w:sz="0" w:space="0" w:color="auto"/>
      </w:divBdr>
    </w:div>
    <w:div w:id="1730104921">
      <w:bodyDiv w:val="1"/>
      <w:marLeft w:val="0"/>
      <w:marRight w:val="0"/>
      <w:marTop w:val="0"/>
      <w:marBottom w:val="0"/>
      <w:divBdr>
        <w:top w:val="none" w:sz="0" w:space="0" w:color="auto"/>
        <w:left w:val="none" w:sz="0" w:space="0" w:color="auto"/>
        <w:bottom w:val="none" w:sz="0" w:space="0" w:color="auto"/>
        <w:right w:val="none" w:sz="0" w:space="0" w:color="auto"/>
      </w:divBdr>
    </w:div>
    <w:div w:id="1730806235">
      <w:bodyDiv w:val="1"/>
      <w:marLeft w:val="0"/>
      <w:marRight w:val="0"/>
      <w:marTop w:val="0"/>
      <w:marBottom w:val="0"/>
      <w:divBdr>
        <w:top w:val="none" w:sz="0" w:space="0" w:color="auto"/>
        <w:left w:val="none" w:sz="0" w:space="0" w:color="auto"/>
        <w:bottom w:val="none" w:sz="0" w:space="0" w:color="auto"/>
        <w:right w:val="none" w:sz="0" w:space="0" w:color="auto"/>
      </w:divBdr>
    </w:div>
    <w:div w:id="1731348792">
      <w:bodyDiv w:val="1"/>
      <w:marLeft w:val="0"/>
      <w:marRight w:val="0"/>
      <w:marTop w:val="0"/>
      <w:marBottom w:val="0"/>
      <w:divBdr>
        <w:top w:val="none" w:sz="0" w:space="0" w:color="auto"/>
        <w:left w:val="none" w:sz="0" w:space="0" w:color="auto"/>
        <w:bottom w:val="none" w:sz="0" w:space="0" w:color="auto"/>
        <w:right w:val="none" w:sz="0" w:space="0" w:color="auto"/>
      </w:divBdr>
    </w:div>
    <w:div w:id="1732148649">
      <w:bodyDiv w:val="1"/>
      <w:marLeft w:val="0"/>
      <w:marRight w:val="0"/>
      <w:marTop w:val="0"/>
      <w:marBottom w:val="0"/>
      <w:divBdr>
        <w:top w:val="none" w:sz="0" w:space="0" w:color="auto"/>
        <w:left w:val="none" w:sz="0" w:space="0" w:color="auto"/>
        <w:bottom w:val="none" w:sz="0" w:space="0" w:color="auto"/>
        <w:right w:val="none" w:sz="0" w:space="0" w:color="auto"/>
      </w:divBdr>
    </w:div>
    <w:div w:id="1732341787">
      <w:bodyDiv w:val="1"/>
      <w:marLeft w:val="0"/>
      <w:marRight w:val="0"/>
      <w:marTop w:val="0"/>
      <w:marBottom w:val="0"/>
      <w:divBdr>
        <w:top w:val="none" w:sz="0" w:space="0" w:color="auto"/>
        <w:left w:val="none" w:sz="0" w:space="0" w:color="auto"/>
        <w:bottom w:val="none" w:sz="0" w:space="0" w:color="auto"/>
        <w:right w:val="none" w:sz="0" w:space="0" w:color="auto"/>
      </w:divBdr>
    </w:div>
    <w:div w:id="1733232770">
      <w:bodyDiv w:val="1"/>
      <w:marLeft w:val="0"/>
      <w:marRight w:val="0"/>
      <w:marTop w:val="0"/>
      <w:marBottom w:val="0"/>
      <w:divBdr>
        <w:top w:val="none" w:sz="0" w:space="0" w:color="auto"/>
        <w:left w:val="none" w:sz="0" w:space="0" w:color="auto"/>
        <w:bottom w:val="none" w:sz="0" w:space="0" w:color="auto"/>
        <w:right w:val="none" w:sz="0" w:space="0" w:color="auto"/>
      </w:divBdr>
    </w:div>
    <w:div w:id="1734158702">
      <w:bodyDiv w:val="1"/>
      <w:marLeft w:val="0"/>
      <w:marRight w:val="0"/>
      <w:marTop w:val="0"/>
      <w:marBottom w:val="0"/>
      <w:divBdr>
        <w:top w:val="none" w:sz="0" w:space="0" w:color="auto"/>
        <w:left w:val="none" w:sz="0" w:space="0" w:color="auto"/>
        <w:bottom w:val="none" w:sz="0" w:space="0" w:color="auto"/>
        <w:right w:val="none" w:sz="0" w:space="0" w:color="auto"/>
      </w:divBdr>
    </w:div>
    <w:div w:id="1734347413">
      <w:bodyDiv w:val="1"/>
      <w:marLeft w:val="0"/>
      <w:marRight w:val="0"/>
      <w:marTop w:val="0"/>
      <w:marBottom w:val="0"/>
      <w:divBdr>
        <w:top w:val="none" w:sz="0" w:space="0" w:color="auto"/>
        <w:left w:val="none" w:sz="0" w:space="0" w:color="auto"/>
        <w:bottom w:val="none" w:sz="0" w:space="0" w:color="auto"/>
        <w:right w:val="none" w:sz="0" w:space="0" w:color="auto"/>
      </w:divBdr>
    </w:div>
    <w:div w:id="1734427436">
      <w:bodyDiv w:val="1"/>
      <w:marLeft w:val="0"/>
      <w:marRight w:val="0"/>
      <w:marTop w:val="0"/>
      <w:marBottom w:val="0"/>
      <w:divBdr>
        <w:top w:val="none" w:sz="0" w:space="0" w:color="auto"/>
        <w:left w:val="none" w:sz="0" w:space="0" w:color="auto"/>
        <w:bottom w:val="none" w:sz="0" w:space="0" w:color="auto"/>
        <w:right w:val="none" w:sz="0" w:space="0" w:color="auto"/>
      </w:divBdr>
    </w:div>
    <w:div w:id="1736902122">
      <w:bodyDiv w:val="1"/>
      <w:marLeft w:val="0"/>
      <w:marRight w:val="0"/>
      <w:marTop w:val="0"/>
      <w:marBottom w:val="0"/>
      <w:divBdr>
        <w:top w:val="none" w:sz="0" w:space="0" w:color="auto"/>
        <w:left w:val="none" w:sz="0" w:space="0" w:color="auto"/>
        <w:bottom w:val="none" w:sz="0" w:space="0" w:color="auto"/>
        <w:right w:val="none" w:sz="0" w:space="0" w:color="auto"/>
      </w:divBdr>
    </w:div>
    <w:div w:id="1737581261">
      <w:bodyDiv w:val="1"/>
      <w:marLeft w:val="0"/>
      <w:marRight w:val="0"/>
      <w:marTop w:val="0"/>
      <w:marBottom w:val="0"/>
      <w:divBdr>
        <w:top w:val="none" w:sz="0" w:space="0" w:color="auto"/>
        <w:left w:val="none" w:sz="0" w:space="0" w:color="auto"/>
        <w:bottom w:val="none" w:sz="0" w:space="0" w:color="auto"/>
        <w:right w:val="none" w:sz="0" w:space="0" w:color="auto"/>
      </w:divBdr>
    </w:div>
    <w:div w:id="1737781787">
      <w:bodyDiv w:val="1"/>
      <w:marLeft w:val="0"/>
      <w:marRight w:val="0"/>
      <w:marTop w:val="0"/>
      <w:marBottom w:val="0"/>
      <w:divBdr>
        <w:top w:val="none" w:sz="0" w:space="0" w:color="auto"/>
        <w:left w:val="none" w:sz="0" w:space="0" w:color="auto"/>
        <w:bottom w:val="none" w:sz="0" w:space="0" w:color="auto"/>
        <w:right w:val="none" w:sz="0" w:space="0" w:color="auto"/>
      </w:divBdr>
    </w:div>
    <w:div w:id="1739594797">
      <w:bodyDiv w:val="1"/>
      <w:marLeft w:val="0"/>
      <w:marRight w:val="0"/>
      <w:marTop w:val="0"/>
      <w:marBottom w:val="0"/>
      <w:divBdr>
        <w:top w:val="none" w:sz="0" w:space="0" w:color="auto"/>
        <w:left w:val="none" w:sz="0" w:space="0" w:color="auto"/>
        <w:bottom w:val="none" w:sz="0" w:space="0" w:color="auto"/>
        <w:right w:val="none" w:sz="0" w:space="0" w:color="auto"/>
      </w:divBdr>
    </w:div>
    <w:div w:id="1740246033">
      <w:bodyDiv w:val="1"/>
      <w:marLeft w:val="0"/>
      <w:marRight w:val="0"/>
      <w:marTop w:val="0"/>
      <w:marBottom w:val="0"/>
      <w:divBdr>
        <w:top w:val="none" w:sz="0" w:space="0" w:color="auto"/>
        <w:left w:val="none" w:sz="0" w:space="0" w:color="auto"/>
        <w:bottom w:val="none" w:sz="0" w:space="0" w:color="auto"/>
        <w:right w:val="none" w:sz="0" w:space="0" w:color="auto"/>
      </w:divBdr>
    </w:div>
    <w:div w:id="1744333324">
      <w:bodyDiv w:val="1"/>
      <w:marLeft w:val="0"/>
      <w:marRight w:val="0"/>
      <w:marTop w:val="0"/>
      <w:marBottom w:val="0"/>
      <w:divBdr>
        <w:top w:val="none" w:sz="0" w:space="0" w:color="auto"/>
        <w:left w:val="none" w:sz="0" w:space="0" w:color="auto"/>
        <w:bottom w:val="none" w:sz="0" w:space="0" w:color="auto"/>
        <w:right w:val="none" w:sz="0" w:space="0" w:color="auto"/>
      </w:divBdr>
    </w:div>
    <w:div w:id="1744984076">
      <w:bodyDiv w:val="1"/>
      <w:marLeft w:val="0"/>
      <w:marRight w:val="0"/>
      <w:marTop w:val="0"/>
      <w:marBottom w:val="0"/>
      <w:divBdr>
        <w:top w:val="none" w:sz="0" w:space="0" w:color="auto"/>
        <w:left w:val="none" w:sz="0" w:space="0" w:color="auto"/>
        <w:bottom w:val="none" w:sz="0" w:space="0" w:color="auto"/>
        <w:right w:val="none" w:sz="0" w:space="0" w:color="auto"/>
      </w:divBdr>
    </w:div>
    <w:div w:id="1745443737">
      <w:bodyDiv w:val="1"/>
      <w:marLeft w:val="0"/>
      <w:marRight w:val="0"/>
      <w:marTop w:val="0"/>
      <w:marBottom w:val="0"/>
      <w:divBdr>
        <w:top w:val="none" w:sz="0" w:space="0" w:color="auto"/>
        <w:left w:val="none" w:sz="0" w:space="0" w:color="auto"/>
        <w:bottom w:val="none" w:sz="0" w:space="0" w:color="auto"/>
        <w:right w:val="none" w:sz="0" w:space="0" w:color="auto"/>
      </w:divBdr>
    </w:div>
    <w:div w:id="1745496095">
      <w:bodyDiv w:val="1"/>
      <w:marLeft w:val="0"/>
      <w:marRight w:val="0"/>
      <w:marTop w:val="0"/>
      <w:marBottom w:val="0"/>
      <w:divBdr>
        <w:top w:val="none" w:sz="0" w:space="0" w:color="auto"/>
        <w:left w:val="none" w:sz="0" w:space="0" w:color="auto"/>
        <w:bottom w:val="none" w:sz="0" w:space="0" w:color="auto"/>
        <w:right w:val="none" w:sz="0" w:space="0" w:color="auto"/>
      </w:divBdr>
    </w:div>
    <w:div w:id="1745954824">
      <w:bodyDiv w:val="1"/>
      <w:marLeft w:val="0"/>
      <w:marRight w:val="0"/>
      <w:marTop w:val="0"/>
      <w:marBottom w:val="0"/>
      <w:divBdr>
        <w:top w:val="none" w:sz="0" w:space="0" w:color="auto"/>
        <w:left w:val="none" w:sz="0" w:space="0" w:color="auto"/>
        <w:bottom w:val="none" w:sz="0" w:space="0" w:color="auto"/>
        <w:right w:val="none" w:sz="0" w:space="0" w:color="auto"/>
      </w:divBdr>
    </w:div>
    <w:div w:id="1746798772">
      <w:bodyDiv w:val="1"/>
      <w:marLeft w:val="0"/>
      <w:marRight w:val="0"/>
      <w:marTop w:val="0"/>
      <w:marBottom w:val="0"/>
      <w:divBdr>
        <w:top w:val="none" w:sz="0" w:space="0" w:color="auto"/>
        <w:left w:val="none" w:sz="0" w:space="0" w:color="auto"/>
        <w:bottom w:val="none" w:sz="0" w:space="0" w:color="auto"/>
        <w:right w:val="none" w:sz="0" w:space="0" w:color="auto"/>
      </w:divBdr>
    </w:div>
    <w:div w:id="1747531467">
      <w:bodyDiv w:val="1"/>
      <w:marLeft w:val="0"/>
      <w:marRight w:val="0"/>
      <w:marTop w:val="0"/>
      <w:marBottom w:val="0"/>
      <w:divBdr>
        <w:top w:val="none" w:sz="0" w:space="0" w:color="auto"/>
        <w:left w:val="none" w:sz="0" w:space="0" w:color="auto"/>
        <w:bottom w:val="none" w:sz="0" w:space="0" w:color="auto"/>
        <w:right w:val="none" w:sz="0" w:space="0" w:color="auto"/>
      </w:divBdr>
    </w:div>
    <w:div w:id="1749688401">
      <w:bodyDiv w:val="1"/>
      <w:marLeft w:val="0"/>
      <w:marRight w:val="0"/>
      <w:marTop w:val="0"/>
      <w:marBottom w:val="0"/>
      <w:divBdr>
        <w:top w:val="none" w:sz="0" w:space="0" w:color="auto"/>
        <w:left w:val="none" w:sz="0" w:space="0" w:color="auto"/>
        <w:bottom w:val="none" w:sz="0" w:space="0" w:color="auto"/>
        <w:right w:val="none" w:sz="0" w:space="0" w:color="auto"/>
      </w:divBdr>
    </w:div>
    <w:div w:id="1749842298">
      <w:bodyDiv w:val="1"/>
      <w:marLeft w:val="0"/>
      <w:marRight w:val="0"/>
      <w:marTop w:val="0"/>
      <w:marBottom w:val="0"/>
      <w:divBdr>
        <w:top w:val="none" w:sz="0" w:space="0" w:color="auto"/>
        <w:left w:val="none" w:sz="0" w:space="0" w:color="auto"/>
        <w:bottom w:val="none" w:sz="0" w:space="0" w:color="auto"/>
        <w:right w:val="none" w:sz="0" w:space="0" w:color="auto"/>
      </w:divBdr>
    </w:div>
    <w:div w:id="1750230823">
      <w:bodyDiv w:val="1"/>
      <w:marLeft w:val="0"/>
      <w:marRight w:val="0"/>
      <w:marTop w:val="0"/>
      <w:marBottom w:val="0"/>
      <w:divBdr>
        <w:top w:val="none" w:sz="0" w:space="0" w:color="auto"/>
        <w:left w:val="none" w:sz="0" w:space="0" w:color="auto"/>
        <w:bottom w:val="none" w:sz="0" w:space="0" w:color="auto"/>
        <w:right w:val="none" w:sz="0" w:space="0" w:color="auto"/>
      </w:divBdr>
    </w:div>
    <w:div w:id="1750493151">
      <w:bodyDiv w:val="1"/>
      <w:marLeft w:val="0"/>
      <w:marRight w:val="0"/>
      <w:marTop w:val="0"/>
      <w:marBottom w:val="0"/>
      <w:divBdr>
        <w:top w:val="none" w:sz="0" w:space="0" w:color="auto"/>
        <w:left w:val="none" w:sz="0" w:space="0" w:color="auto"/>
        <w:bottom w:val="none" w:sz="0" w:space="0" w:color="auto"/>
        <w:right w:val="none" w:sz="0" w:space="0" w:color="auto"/>
      </w:divBdr>
    </w:div>
    <w:div w:id="1750535218">
      <w:bodyDiv w:val="1"/>
      <w:marLeft w:val="0"/>
      <w:marRight w:val="0"/>
      <w:marTop w:val="0"/>
      <w:marBottom w:val="0"/>
      <w:divBdr>
        <w:top w:val="none" w:sz="0" w:space="0" w:color="auto"/>
        <w:left w:val="none" w:sz="0" w:space="0" w:color="auto"/>
        <w:bottom w:val="none" w:sz="0" w:space="0" w:color="auto"/>
        <w:right w:val="none" w:sz="0" w:space="0" w:color="auto"/>
      </w:divBdr>
    </w:div>
    <w:div w:id="1752510513">
      <w:bodyDiv w:val="1"/>
      <w:marLeft w:val="0"/>
      <w:marRight w:val="0"/>
      <w:marTop w:val="0"/>
      <w:marBottom w:val="0"/>
      <w:divBdr>
        <w:top w:val="none" w:sz="0" w:space="0" w:color="auto"/>
        <w:left w:val="none" w:sz="0" w:space="0" w:color="auto"/>
        <w:bottom w:val="none" w:sz="0" w:space="0" w:color="auto"/>
        <w:right w:val="none" w:sz="0" w:space="0" w:color="auto"/>
      </w:divBdr>
    </w:div>
    <w:div w:id="1754160429">
      <w:bodyDiv w:val="1"/>
      <w:marLeft w:val="0"/>
      <w:marRight w:val="0"/>
      <w:marTop w:val="0"/>
      <w:marBottom w:val="0"/>
      <w:divBdr>
        <w:top w:val="none" w:sz="0" w:space="0" w:color="auto"/>
        <w:left w:val="none" w:sz="0" w:space="0" w:color="auto"/>
        <w:bottom w:val="none" w:sz="0" w:space="0" w:color="auto"/>
        <w:right w:val="none" w:sz="0" w:space="0" w:color="auto"/>
      </w:divBdr>
    </w:div>
    <w:div w:id="1754617932">
      <w:bodyDiv w:val="1"/>
      <w:marLeft w:val="0"/>
      <w:marRight w:val="0"/>
      <w:marTop w:val="0"/>
      <w:marBottom w:val="0"/>
      <w:divBdr>
        <w:top w:val="none" w:sz="0" w:space="0" w:color="auto"/>
        <w:left w:val="none" w:sz="0" w:space="0" w:color="auto"/>
        <w:bottom w:val="none" w:sz="0" w:space="0" w:color="auto"/>
        <w:right w:val="none" w:sz="0" w:space="0" w:color="auto"/>
      </w:divBdr>
    </w:div>
    <w:div w:id="1754622190">
      <w:bodyDiv w:val="1"/>
      <w:marLeft w:val="0"/>
      <w:marRight w:val="0"/>
      <w:marTop w:val="0"/>
      <w:marBottom w:val="0"/>
      <w:divBdr>
        <w:top w:val="none" w:sz="0" w:space="0" w:color="auto"/>
        <w:left w:val="none" w:sz="0" w:space="0" w:color="auto"/>
        <w:bottom w:val="none" w:sz="0" w:space="0" w:color="auto"/>
        <w:right w:val="none" w:sz="0" w:space="0" w:color="auto"/>
      </w:divBdr>
    </w:div>
    <w:div w:id="1755006161">
      <w:bodyDiv w:val="1"/>
      <w:marLeft w:val="0"/>
      <w:marRight w:val="0"/>
      <w:marTop w:val="0"/>
      <w:marBottom w:val="0"/>
      <w:divBdr>
        <w:top w:val="none" w:sz="0" w:space="0" w:color="auto"/>
        <w:left w:val="none" w:sz="0" w:space="0" w:color="auto"/>
        <w:bottom w:val="none" w:sz="0" w:space="0" w:color="auto"/>
        <w:right w:val="none" w:sz="0" w:space="0" w:color="auto"/>
      </w:divBdr>
    </w:div>
    <w:div w:id="1755274134">
      <w:bodyDiv w:val="1"/>
      <w:marLeft w:val="0"/>
      <w:marRight w:val="0"/>
      <w:marTop w:val="0"/>
      <w:marBottom w:val="0"/>
      <w:divBdr>
        <w:top w:val="none" w:sz="0" w:space="0" w:color="auto"/>
        <w:left w:val="none" w:sz="0" w:space="0" w:color="auto"/>
        <w:bottom w:val="none" w:sz="0" w:space="0" w:color="auto"/>
        <w:right w:val="none" w:sz="0" w:space="0" w:color="auto"/>
      </w:divBdr>
    </w:div>
    <w:div w:id="1755584956">
      <w:bodyDiv w:val="1"/>
      <w:marLeft w:val="0"/>
      <w:marRight w:val="0"/>
      <w:marTop w:val="0"/>
      <w:marBottom w:val="0"/>
      <w:divBdr>
        <w:top w:val="none" w:sz="0" w:space="0" w:color="auto"/>
        <w:left w:val="none" w:sz="0" w:space="0" w:color="auto"/>
        <w:bottom w:val="none" w:sz="0" w:space="0" w:color="auto"/>
        <w:right w:val="none" w:sz="0" w:space="0" w:color="auto"/>
      </w:divBdr>
    </w:div>
    <w:div w:id="1758163877">
      <w:bodyDiv w:val="1"/>
      <w:marLeft w:val="0"/>
      <w:marRight w:val="0"/>
      <w:marTop w:val="0"/>
      <w:marBottom w:val="0"/>
      <w:divBdr>
        <w:top w:val="none" w:sz="0" w:space="0" w:color="auto"/>
        <w:left w:val="none" w:sz="0" w:space="0" w:color="auto"/>
        <w:bottom w:val="none" w:sz="0" w:space="0" w:color="auto"/>
        <w:right w:val="none" w:sz="0" w:space="0" w:color="auto"/>
      </w:divBdr>
    </w:div>
    <w:div w:id="1759518631">
      <w:bodyDiv w:val="1"/>
      <w:marLeft w:val="0"/>
      <w:marRight w:val="0"/>
      <w:marTop w:val="0"/>
      <w:marBottom w:val="0"/>
      <w:divBdr>
        <w:top w:val="none" w:sz="0" w:space="0" w:color="auto"/>
        <w:left w:val="none" w:sz="0" w:space="0" w:color="auto"/>
        <w:bottom w:val="none" w:sz="0" w:space="0" w:color="auto"/>
        <w:right w:val="none" w:sz="0" w:space="0" w:color="auto"/>
      </w:divBdr>
    </w:div>
    <w:div w:id="1761872654">
      <w:bodyDiv w:val="1"/>
      <w:marLeft w:val="0"/>
      <w:marRight w:val="0"/>
      <w:marTop w:val="0"/>
      <w:marBottom w:val="0"/>
      <w:divBdr>
        <w:top w:val="none" w:sz="0" w:space="0" w:color="auto"/>
        <w:left w:val="none" w:sz="0" w:space="0" w:color="auto"/>
        <w:bottom w:val="none" w:sz="0" w:space="0" w:color="auto"/>
        <w:right w:val="none" w:sz="0" w:space="0" w:color="auto"/>
      </w:divBdr>
    </w:div>
    <w:div w:id="1762142897">
      <w:bodyDiv w:val="1"/>
      <w:marLeft w:val="0"/>
      <w:marRight w:val="0"/>
      <w:marTop w:val="0"/>
      <w:marBottom w:val="0"/>
      <w:divBdr>
        <w:top w:val="none" w:sz="0" w:space="0" w:color="auto"/>
        <w:left w:val="none" w:sz="0" w:space="0" w:color="auto"/>
        <w:bottom w:val="none" w:sz="0" w:space="0" w:color="auto"/>
        <w:right w:val="none" w:sz="0" w:space="0" w:color="auto"/>
      </w:divBdr>
    </w:div>
    <w:div w:id="1762676052">
      <w:bodyDiv w:val="1"/>
      <w:marLeft w:val="0"/>
      <w:marRight w:val="0"/>
      <w:marTop w:val="0"/>
      <w:marBottom w:val="0"/>
      <w:divBdr>
        <w:top w:val="none" w:sz="0" w:space="0" w:color="auto"/>
        <w:left w:val="none" w:sz="0" w:space="0" w:color="auto"/>
        <w:bottom w:val="none" w:sz="0" w:space="0" w:color="auto"/>
        <w:right w:val="none" w:sz="0" w:space="0" w:color="auto"/>
      </w:divBdr>
    </w:div>
    <w:div w:id="1763799478">
      <w:bodyDiv w:val="1"/>
      <w:marLeft w:val="0"/>
      <w:marRight w:val="0"/>
      <w:marTop w:val="0"/>
      <w:marBottom w:val="0"/>
      <w:divBdr>
        <w:top w:val="none" w:sz="0" w:space="0" w:color="auto"/>
        <w:left w:val="none" w:sz="0" w:space="0" w:color="auto"/>
        <w:bottom w:val="none" w:sz="0" w:space="0" w:color="auto"/>
        <w:right w:val="none" w:sz="0" w:space="0" w:color="auto"/>
      </w:divBdr>
    </w:div>
    <w:div w:id="1764646349">
      <w:bodyDiv w:val="1"/>
      <w:marLeft w:val="0"/>
      <w:marRight w:val="0"/>
      <w:marTop w:val="0"/>
      <w:marBottom w:val="0"/>
      <w:divBdr>
        <w:top w:val="none" w:sz="0" w:space="0" w:color="auto"/>
        <w:left w:val="none" w:sz="0" w:space="0" w:color="auto"/>
        <w:bottom w:val="none" w:sz="0" w:space="0" w:color="auto"/>
        <w:right w:val="none" w:sz="0" w:space="0" w:color="auto"/>
      </w:divBdr>
    </w:div>
    <w:div w:id="1764715638">
      <w:bodyDiv w:val="1"/>
      <w:marLeft w:val="0"/>
      <w:marRight w:val="0"/>
      <w:marTop w:val="0"/>
      <w:marBottom w:val="0"/>
      <w:divBdr>
        <w:top w:val="none" w:sz="0" w:space="0" w:color="auto"/>
        <w:left w:val="none" w:sz="0" w:space="0" w:color="auto"/>
        <w:bottom w:val="none" w:sz="0" w:space="0" w:color="auto"/>
        <w:right w:val="none" w:sz="0" w:space="0" w:color="auto"/>
      </w:divBdr>
    </w:div>
    <w:div w:id="1771312249">
      <w:bodyDiv w:val="1"/>
      <w:marLeft w:val="0"/>
      <w:marRight w:val="0"/>
      <w:marTop w:val="0"/>
      <w:marBottom w:val="0"/>
      <w:divBdr>
        <w:top w:val="none" w:sz="0" w:space="0" w:color="auto"/>
        <w:left w:val="none" w:sz="0" w:space="0" w:color="auto"/>
        <w:bottom w:val="none" w:sz="0" w:space="0" w:color="auto"/>
        <w:right w:val="none" w:sz="0" w:space="0" w:color="auto"/>
      </w:divBdr>
    </w:div>
    <w:div w:id="1772896049">
      <w:bodyDiv w:val="1"/>
      <w:marLeft w:val="0"/>
      <w:marRight w:val="0"/>
      <w:marTop w:val="0"/>
      <w:marBottom w:val="0"/>
      <w:divBdr>
        <w:top w:val="none" w:sz="0" w:space="0" w:color="auto"/>
        <w:left w:val="none" w:sz="0" w:space="0" w:color="auto"/>
        <w:bottom w:val="none" w:sz="0" w:space="0" w:color="auto"/>
        <w:right w:val="none" w:sz="0" w:space="0" w:color="auto"/>
      </w:divBdr>
    </w:div>
    <w:div w:id="1772971186">
      <w:bodyDiv w:val="1"/>
      <w:marLeft w:val="0"/>
      <w:marRight w:val="0"/>
      <w:marTop w:val="0"/>
      <w:marBottom w:val="0"/>
      <w:divBdr>
        <w:top w:val="none" w:sz="0" w:space="0" w:color="auto"/>
        <w:left w:val="none" w:sz="0" w:space="0" w:color="auto"/>
        <w:bottom w:val="none" w:sz="0" w:space="0" w:color="auto"/>
        <w:right w:val="none" w:sz="0" w:space="0" w:color="auto"/>
      </w:divBdr>
    </w:div>
    <w:div w:id="1773552830">
      <w:bodyDiv w:val="1"/>
      <w:marLeft w:val="0"/>
      <w:marRight w:val="0"/>
      <w:marTop w:val="0"/>
      <w:marBottom w:val="0"/>
      <w:divBdr>
        <w:top w:val="none" w:sz="0" w:space="0" w:color="auto"/>
        <w:left w:val="none" w:sz="0" w:space="0" w:color="auto"/>
        <w:bottom w:val="none" w:sz="0" w:space="0" w:color="auto"/>
        <w:right w:val="none" w:sz="0" w:space="0" w:color="auto"/>
      </w:divBdr>
    </w:div>
    <w:div w:id="1773670011">
      <w:bodyDiv w:val="1"/>
      <w:marLeft w:val="0"/>
      <w:marRight w:val="0"/>
      <w:marTop w:val="0"/>
      <w:marBottom w:val="0"/>
      <w:divBdr>
        <w:top w:val="none" w:sz="0" w:space="0" w:color="auto"/>
        <w:left w:val="none" w:sz="0" w:space="0" w:color="auto"/>
        <w:bottom w:val="none" w:sz="0" w:space="0" w:color="auto"/>
        <w:right w:val="none" w:sz="0" w:space="0" w:color="auto"/>
      </w:divBdr>
    </w:div>
    <w:div w:id="1774519439">
      <w:bodyDiv w:val="1"/>
      <w:marLeft w:val="0"/>
      <w:marRight w:val="0"/>
      <w:marTop w:val="0"/>
      <w:marBottom w:val="0"/>
      <w:divBdr>
        <w:top w:val="none" w:sz="0" w:space="0" w:color="auto"/>
        <w:left w:val="none" w:sz="0" w:space="0" w:color="auto"/>
        <w:bottom w:val="none" w:sz="0" w:space="0" w:color="auto"/>
        <w:right w:val="none" w:sz="0" w:space="0" w:color="auto"/>
      </w:divBdr>
    </w:div>
    <w:div w:id="1774861140">
      <w:bodyDiv w:val="1"/>
      <w:marLeft w:val="0"/>
      <w:marRight w:val="0"/>
      <w:marTop w:val="0"/>
      <w:marBottom w:val="0"/>
      <w:divBdr>
        <w:top w:val="none" w:sz="0" w:space="0" w:color="auto"/>
        <w:left w:val="none" w:sz="0" w:space="0" w:color="auto"/>
        <w:bottom w:val="none" w:sz="0" w:space="0" w:color="auto"/>
        <w:right w:val="none" w:sz="0" w:space="0" w:color="auto"/>
      </w:divBdr>
    </w:div>
    <w:div w:id="1775709247">
      <w:bodyDiv w:val="1"/>
      <w:marLeft w:val="0"/>
      <w:marRight w:val="0"/>
      <w:marTop w:val="0"/>
      <w:marBottom w:val="0"/>
      <w:divBdr>
        <w:top w:val="none" w:sz="0" w:space="0" w:color="auto"/>
        <w:left w:val="none" w:sz="0" w:space="0" w:color="auto"/>
        <w:bottom w:val="none" w:sz="0" w:space="0" w:color="auto"/>
        <w:right w:val="none" w:sz="0" w:space="0" w:color="auto"/>
      </w:divBdr>
    </w:div>
    <w:div w:id="1777097472">
      <w:bodyDiv w:val="1"/>
      <w:marLeft w:val="0"/>
      <w:marRight w:val="0"/>
      <w:marTop w:val="0"/>
      <w:marBottom w:val="0"/>
      <w:divBdr>
        <w:top w:val="none" w:sz="0" w:space="0" w:color="auto"/>
        <w:left w:val="none" w:sz="0" w:space="0" w:color="auto"/>
        <w:bottom w:val="none" w:sz="0" w:space="0" w:color="auto"/>
        <w:right w:val="none" w:sz="0" w:space="0" w:color="auto"/>
      </w:divBdr>
    </w:div>
    <w:div w:id="1777210518">
      <w:bodyDiv w:val="1"/>
      <w:marLeft w:val="0"/>
      <w:marRight w:val="0"/>
      <w:marTop w:val="0"/>
      <w:marBottom w:val="0"/>
      <w:divBdr>
        <w:top w:val="none" w:sz="0" w:space="0" w:color="auto"/>
        <w:left w:val="none" w:sz="0" w:space="0" w:color="auto"/>
        <w:bottom w:val="none" w:sz="0" w:space="0" w:color="auto"/>
        <w:right w:val="none" w:sz="0" w:space="0" w:color="auto"/>
      </w:divBdr>
    </w:div>
    <w:div w:id="1777291030">
      <w:bodyDiv w:val="1"/>
      <w:marLeft w:val="0"/>
      <w:marRight w:val="0"/>
      <w:marTop w:val="0"/>
      <w:marBottom w:val="0"/>
      <w:divBdr>
        <w:top w:val="none" w:sz="0" w:space="0" w:color="auto"/>
        <w:left w:val="none" w:sz="0" w:space="0" w:color="auto"/>
        <w:bottom w:val="none" w:sz="0" w:space="0" w:color="auto"/>
        <w:right w:val="none" w:sz="0" w:space="0" w:color="auto"/>
      </w:divBdr>
    </w:div>
    <w:div w:id="1777745985">
      <w:bodyDiv w:val="1"/>
      <w:marLeft w:val="0"/>
      <w:marRight w:val="0"/>
      <w:marTop w:val="0"/>
      <w:marBottom w:val="0"/>
      <w:divBdr>
        <w:top w:val="none" w:sz="0" w:space="0" w:color="auto"/>
        <w:left w:val="none" w:sz="0" w:space="0" w:color="auto"/>
        <w:bottom w:val="none" w:sz="0" w:space="0" w:color="auto"/>
        <w:right w:val="none" w:sz="0" w:space="0" w:color="auto"/>
      </w:divBdr>
    </w:div>
    <w:div w:id="1777752183">
      <w:bodyDiv w:val="1"/>
      <w:marLeft w:val="0"/>
      <w:marRight w:val="0"/>
      <w:marTop w:val="0"/>
      <w:marBottom w:val="0"/>
      <w:divBdr>
        <w:top w:val="none" w:sz="0" w:space="0" w:color="auto"/>
        <w:left w:val="none" w:sz="0" w:space="0" w:color="auto"/>
        <w:bottom w:val="none" w:sz="0" w:space="0" w:color="auto"/>
        <w:right w:val="none" w:sz="0" w:space="0" w:color="auto"/>
      </w:divBdr>
    </w:div>
    <w:div w:id="1777822443">
      <w:bodyDiv w:val="1"/>
      <w:marLeft w:val="0"/>
      <w:marRight w:val="0"/>
      <w:marTop w:val="0"/>
      <w:marBottom w:val="0"/>
      <w:divBdr>
        <w:top w:val="none" w:sz="0" w:space="0" w:color="auto"/>
        <w:left w:val="none" w:sz="0" w:space="0" w:color="auto"/>
        <w:bottom w:val="none" w:sz="0" w:space="0" w:color="auto"/>
        <w:right w:val="none" w:sz="0" w:space="0" w:color="auto"/>
      </w:divBdr>
    </w:div>
    <w:div w:id="1778402133">
      <w:bodyDiv w:val="1"/>
      <w:marLeft w:val="0"/>
      <w:marRight w:val="0"/>
      <w:marTop w:val="0"/>
      <w:marBottom w:val="0"/>
      <w:divBdr>
        <w:top w:val="none" w:sz="0" w:space="0" w:color="auto"/>
        <w:left w:val="none" w:sz="0" w:space="0" w:color="auto"/>
        <w:bottom w:val="none" w:sz="0" w:space="0" w:color="auto"/>
        <w:right w:val="none" w:sz="0" w:space="0" w:color="auto"/>
      </w:divBdr>
    </w:div>
    <w:div w:id="1779832790">
      <w:bodyDiv w:val="1"/>
      <w:marLeft w:val="0"/>
      <w:marRight w:val="0"/>
      <w:marTop w:val="0"/>
      <w:marBottom w:val="0"/>
      <w:divBdr>
        <w:top w:val="none" w:sz="0" w:space="0" w:color="auto"/>
        <w:left w:val="none" w:sz="0" w:space="0" w:color="auto"/>
        <w:bottom w:val="none" w:sz="0" w:space="0" w:color="auto"/>
        <w:right w:val="none" w:sz="0" w:space="0" w:color="auto"/>
      </w:divBdr>
    </w:div>
    <w:div w:id="1779910687">
      <w:bodyDiv w:val="1"/>
      <w:marLeft w:val="0"/>
      <w:marRight w:val="0"/>
      <w:marTop w:val="0"/>
      <w:marBottom w:val="0"/>
      <w:divBdr>
        <w:top w:val="none" w:sz="0" w:space="0" w:color="auto"/>
        <w:left w:val="none" w:sz="0" w:space="0" w:color="auto"/>
        <w:bottom w:val="none" w:sz="0" w:space="0" w:color="auto"/>
        <w:right w:val="none" w:sz="0" w:space="0" w:color="auto"/>
      </w:divBdr>
    </w:div>
    <w:div w:id="1781147855">
      <w:bodyDiv w:val="1"/>
      <w:marLeft w:val="0"/>
      <w:marRight w:val="0"/>
      <w:marTop w:val="0"/>
      <w:marBottom w:val="0"/>
      <w:divBdr>
        <w:top w:val="none" w:sz="0" w:space="0" w:color="auto"/>
        <w:left w:val="none" w:sz="0" w:space="0" w:color="auto"/>
        <w:bottom w:val="none" w:sz="0" w:space="0" w:color="auto"/>
        <w:right w:val="none" w:sz="0" w:space="0" w:color="auto"/>
      </w:divBdr>
    </w:div>
    <w:div w:id="1782530280">
      <w:bodyDiv w:val="1"/>
      <w:marLeft w:val="0"/>
      <w:marRight w:val="0"/>
      <w:marTop w:val="0"/>
      <w:marBottom w:val="0"/>
      <w:divBdr>
        <w:top w:val="none" w:sz="0" w:space="0" w:color="auto"/>
        <w:left w:val="none" w:sz="0" w:space="0" w:color="auto"/>
        <w:bottom w:val="none" w:sz="0" w:space="0" w:color="auto"/>
        <w:right w:val="none" w:sz="0" w:space="0" w:color="auto"/>
      </w:divBdr>
    </w:div>
    <w:div w:id="1784567204">
      <w:bodyDiv w:val="1"/>
      <w:marLeft w:val="0"/>
      <w:marRight w:val="0"/>
      <w:marTop w:val="0"/>
      <w:marBottom w:val="0"/>
      <w:divBdr>
        <w:top w:val="none" w:sz="0" w:space="0" w:color="auto"/>
        <w:left w:val="none" w:sz="0" w:space="0" w:color="auto"/>
        <w:bottom w:val="none" w:sz="0" w:space="0" w:color="auto"/>
        <w:right w:val="none" w:sz="0" w:space="0" w:color="auto"/>
      </w:divBdr>
    </w:div>
    <w:div w:id="1784764189">
      <w:bodyDiv w:val="1"/>
      <w:marLeft w:val="0"/>
      <w:marRight w:val="0"/>
      <w:marTop w:val="0"/>
      <w:marBottom w:val="0"/>
      <w:divBdr>
        <w:top w:val="none" w:sz="0" w:space="0" w:color="auto"/>
        <w:left w:val="none" w:sz="0" w:space="0" w:color="auto"/>
        <w:bottom w:val="none" w:sz="0" w:space="0" w:color="auto"/>
        <w:right w:val="none" w:sz="0" w:space="0" w:color="auto"/>
      </w:divBdr>
    </w:div>
    <w:div w:id="1785534179">
      <w:bodyDiv w:val="1"/>
      <w:marLeft w:val="0"/>
      <w:marRight w:val="0"/>
      <w:marTop w:val="0"/>
      <w:marBottom w:val="0"/>
      <w:divBdr>
        <w:top w:val="none" w:sz="0" w:space="0" w:color="auto"/>
        <w:left w:val="none" w:sz="0" w:space="0" w:color="auto"/>
        <w:bottom w:val="none" w:sz="0" w:space="0" w:color="auto"/>
        <w:right w:val="none" w:sz="0" w:space="0" w:color="auto"/>
      </w:divBdr>
    </w:div>
    <w:div w:id="1787190024">
      <w:bodyDiv w:val="1"/>
      <w:marLeft w:val="0"/>
      <w:marRight w:val="0"/>
      <w:marTop w:val="0"/>
      <w:marBottom w:val="0"/>
      <w:divBdr>
        <w:top w:val="none" w:sz="0" w:space="0" w:color="auto"/>
        <w:left w:val="none" w:sz="0" w:space="0" w:color="auto"/>
        <w:bottom w:val="none" w:sz="0" w:space="0" w:color="auto"/>
        <w:right w:val="none" w:sz="0" w:space="0" w:color="auto"/>
      </w:divBdr>
    </w:div>
    <w:div w:id="1787306784">
      <w:bodyDiv w:val="1"/>
      <w:marLeft w:val="0"/>
      <w:marRight w:val="0"/>
      <w:marTop w:val="0"/>
      <w:marBottom w:val="0"/>
      <w:divBdr>
        <w:top w:val="none" w:sz="0" w:space="0" w:color="auto"/>
        <w:left w:val="none" w:sz="0" w:space="0" w:color="auto"/>
        <w:bottom w:val="none" w:sz="0" w:space="0" w:color="auto"/>
        <w:right w:val="none" w:sz="0" w:space="0" w:color="auto"/>
      </w:divBdr>
    </w:div>
    <w:div w:id="1787429305">
      <w:bodyDiv w:val="1"/>
      <w:marLeft w:val="0"/>
      <w:marRight w:val="0"/>
      <w:marTop w:val="0"/>
      <w:marBottom w:val="0"/>
      <w:divBdr>
        <w:top w:val="none" w:sz="0" w:space="0" w:color="auto"/>
        <w:left w:val="none" w:sz="0" w:space="0" w:color="auto"/>
        <w:bottom w:val="none" w:sz="0" w:space="0" w:color="auto"/>
        <w:right w:val="none" w:sz="0" w:space="0" w:color="auto"/>
      </w:divBdr>
    </w:div>
    <w:div w:id="1788810608">
      <w:bodyDiv w:val="1"/>
      <w:marLeft w:val="0"/>
      <w:marRight w:val="0"/>
      <w:marTop w:val="0"/>
      <w:marBottom w:val="0"/>
      <w:divBdr>
        <w:top w:val="none" w:sz="0" w:space="0" w:color="auto"/>
        <w:left w:val="none" w:sz="0" w:space="0" w:color="auto"/>
        <w:bottom w:val="none" w:sz="0" w:space="0" w:color="auto"/>
        <w:right w:val="none" w:sz="0" w:space="0" w:color="auto"/>
      </w:divBdr>
    </w:div>
    <w:div w:id="1789230170">
      <w:bodyDiv w:val="1"/>
      <w:marLeft w:val="0"/>
      <w:marRight w:val="0"/>
      <w:marTop w:val="0"/>
      <w:marBottom w:val="0"/>
      <w:divBdr>
        <w:top w:val="none" w:sz="0" w:space="0" w:color="auto"/>
        <w:left w:val="none" w:sz="0" w:space="0" w:color="auto"/>
        <w:bottom w:val="none" w:sz="0" w:space="0" w:color="auto"/>
        <w:right w:val="none" w:sz="0" w:space="0" w:color="auto"/>
      </w:divBdr>
    </w:div>
    <w:div w:id="1790539660">
      <w:bodyDiv w:val="1"/>
      <w:marLeft w:val="0"/>
      <w:marRight w:val="0"/>
      <w:marTop w:val="0"/>
      <w:marBottom w:val="0"/>
      <w:divBdr>
        <w:top w:val="none" w:sz="0" w:space="0" w:color="auto"/>
        <w:left w:val="none" w:sz="0" w:space="0" w:color="auto"/>
        <w:bottom w:val="none" w:sz="0" w:space="0" w:color="auto"/>
        <w:right w:val="none" w:sz="0" w:space="0" w:color="auto"/>
      </w:divBdr>
    </w:div>
    <w:div w:id="1790539827">
      <w:bodyDiv w:val="1"/>
      <w:marLeft w:val="0"/>
      <w:marRight w:val="0"/>
      <w:marTop w:val="0"/>
      <w:marBottom w:val="0"/>
      <w:divBdr>
        <w:top w:val="none" w:sz="0" w:space="0" w:color="auto"/>
        <w:left w:val="none" w:sz="0" w:space="0" w:color="auto"/>
        <w:bottom w:val="none" w:sz="0" w:space="0" w:color="auto"/>
        <w:right w:val="none" w:sz="0" w:space="0" w:color="auto"/>
      </w:divBdr>
    </w:div>
    <w:div w:id="1791391696">
      <w:bodyDiv w:val="1"/>
      <w:marLeft w:val="0"/>
      <w:marRight w:val="0"/>
      <w:marTop w:val="0"/>
      <w:marBottom w:val="0"/>
      <w:divBdr>
        <w:top w:val="none" w:sz="0" w:space="0" w:color="auto"/>
        <w:left w:val="none" w:sz="0" w:space="0" w:color="auto"/>
        <w:bottom w:val="none" w:sz="0" w:space="0" w:color="auto"/>
        <w:right w:val="none" w:sz="0" w:space="0" w:color="auto"/>
      </w:divBdr>
    </w:div>
    <w:div w:id="1791822311">
      <w:bodyDiv w:val="1"/>
      <w:marLeft w:val="0"/>
      <w:marRight w:val="0"/>
      <w:marTop w:val="0"/>
      <w:marBottom w:val="0"/>
      <w:divBdr>
        <w:top w:val="none" w:sz="0" w:space="0" w:color="auto"/>
        <w:left w:val="none" w:sz="0" w:space="0" w:color="auto"/>
        <w:bottom w:val="none" w:sz="0" w:space="0" w:color="auto"/>
        <w:right w:val="none" w:sz="0" w:space="0" w:color="auto"/>
      </w:divBdr>
    </w:div>
    <w:div w:id="1792088925">
      <w:bodyDiv w:val="1"/>
      <w:marLeft w:val="0"/>
      <w:marRight w:val="0"/>
      <w:marTop w:val="0"/>
      <w:marBottom w:val="0"/>
      <w:divBdr>
        <w:top w:val="none" w:sz="0" w:space="0" w:color="auto"/>
        <w:left w:val="none" w:sz="0" w:space="0" w:color="auto"/>
        <w:bottom w:val="none" w:sz="0" w:space="0" w:color="auto"/>
        <w:right w:val="none" w:sz="0" w:space="0" w:color="auto"/>
      </w:divBdr>
    </w:div>
    <w:div w:id="1794861722">
      <w:bodyDiv w:val="1"/>
      <w:marLeft w:val="0"/>
      <w:marRight w:val="0"/>
      <w:marTop w:val="0"/>
      <w:marBottom w:val="0"/>
      <w:divBdr>
        <w:top w:val="none" w:sz="0" w:space="0" w:color="auto"/>
        <w:left w:val="none" w:sz="0" w:space="0" w:color="auto"/>
        <w:bottom w:val="none" w:sz="0" w:space="0" w:color="auto"/>
        <w:right w:val="none" w:sz="0" w:space="0" w:color="auto"/>
      </w:divBdr>
    </w:div>
    <w:div w:id="1794909686">
      <w:bodyDiv w:val="1"/>
      <w:marLeft w:val="0"/>
      <w:marRight w:val="0"/>
      <w:marTop w:val="0"/>
      <w:marBottom w:val="0"/>
      <w:divBdr>
        <w:top w:val="none" w:sz="0" w:space="0" w:color="auto"/>
        <w:left w:val="none" w:sz="0" w:space="0" w:color="auto"/>
        <w:bottom w:val="none" w:sz="0" w:space="0" w:color="auto"/>
        <w:right w:val="none" w:sz="0" w:space="0" w:color="auto"/>
      </w:divBdr>
    </w:div>
    <w:div w:id="1794982988">
      <w:bodyDiv w:val="1"/>
      <w:marLeft w:val="0"/>
      <w:marRight w:val="0"/>
      <w:marTop w:val="0"/>
      <w:marBottom w:val="0"/>
      <w:divBdr>
        <w:top w:val="none" w:sz="0" w:space="0" w:color="auto"/>
        <w:left w:val="none" w:sz="0" w:space="0" w:color="auto"/>
        <w:bottom w:val="none" w:sz="0" w:space="0" w:color="auto"/>
        <w:right w:val="none" w:sz="0" w:space="0" w:color="auto"/>
      </w:divBdr>
    </w:div>
    <w:div w:id="1795712040">
      <w:bodyDiv w:val="1"/>
      <w:marLeft w:val="0"/>
      <w:marRight w:val="0"/>
      <w:marTop w:val="0"/>
      <w:marBottom w:val="0"/>
      <w:divBdr>
        <w:top w:val="none" w:sz="0" w:space="0" w:color="auto"/>
        <w:left w:val="none" w:sz="0" w:space="0" w:color="auto"/>
        <w:bottom w:val="none" w:sz="0" w:space="0" w:color="auto"/>
        <w:right w:val="none" w:sz="0" w:space="0" w:color="auto"/>
      </w:divBdr>
    </w:div>
    <w:div w:id="1796215842">
      <w:bodyDiv w:val="1"/>
      <w:marLeft w:val="0"/>
      <w:marRight w:val="0"/>
      <w:marTop w:val="0"/>
      <w:marBottom w:val="0"/>
      <w:divBdr>
        <w:top w:val="none" w:sz="0" w:space="0" w:color="auto"/>
        <w:left w:val="none" w:sz="0" w:space="0" w:color="auto"/>
        <w:bottom w:val="none" w:sz="0" w:space="0" w:color="auto"/>
        <w:right w:val="none" w:sz="0" w:space="0" w:color="auto"/>
      </w:divBdr>
    </w:div>
    <w:div w:id="1796678761">
      <w:bodyDiv w:val="1"/>
      <w:marLeft w:val="0"/>
      <w:marRight w:val="0"/>
      <w:marTop w:val="0"/>
      <w:marBottom w:val="0"/>
      <w:divBdr>
        <w:top w:val="none" w:sz="0" w:space="0" w:color="auto"/>
        <w:left w:val="none" w:sz="0" w:space="0" w:color="auto"/>
        <w:bottom w:val="none" w:sz="0" w:space="0" w:color="auto"/>
        <w:right w:val="none" w:sz="0" w:space="0" w:color="auto"/>
      </w:divBdr>
    </w:div>
    <w:div w:id="1798259164">
      <w:bodyDiv w:val="1"/>
      <w:marLeft w:val="0"/>
      <w:marRight w:val="0"/>
      <w:marTop w:val="0"/>
      <w:marBottom w:val="0"/>
      <w:divBdr>
        <w:top w:val="none" w:sz="0" w:space="0" w:color="auto"/>
        <w:left w:val="none" w:sz="0" w:space="0" w:color="auto"/>
        <w:bottom w:val="none" w:sz="0" w:space="0" w:color="auto"/>
        <w:right w:val="none" w:sz="0" w:space="0" w:color="auto"/>
      </w:divBdr>
    </w:div>
    <w:div w:id="1798913011">
      <w:bodyDiv w:val="1"/>
      <w:marLeft w:val="0"/>
      <w:marRight w:val="0"/>
      <w:marTop w:val="0"/>
      <w:marBottom w:val="0"/>
      <w:divBdr>
        <w:top w:val="none" w:sz="0" w:space="0" w:color="auto"/>
        <w:left w:val="none" w:sz="0" w:space="0" w:color="auto"/>
        <w:bottom w:val="none" w:sz="0" w:space="0" w:color="auto"/>
        <w:right w:val="none" w:sz="0" w:space="0" w:color="auto"/>
      </w:divBdr>
    </w:div>
    <w:div w:id="1799104176">
      <w:bodyDiv w:val="1"/>
      <w:marLeft w:val="0"/>
      <w:marRight w:val="0"/>
      <w:marTop w:val="0"/>
      <w:marBottom w:val="0"/>
      <w:divBdr>
        <w:top w:val="none" w:sz="0" w:space="0" w:color="auto"/>
        <w:left w:val="none" w:sz="0" w:space="0" w:color="auto"/>
        <w:bottom w:val="none" w:sz="0" w:space="0" w:color="auto"/>
        <w:right w:val="none" w:sz="0" w:space="0" w:color="auto"/>
      </w:divBdr>
    </w:div>
    <w:div w:id="1799569368">
      <w:bodyDiv w:val="1"/>
      <w:marLeft w:val="0"/>
      <w:marRight w:val="0"/>
      <w:marTop w:val="0"/>
      <w:marBottom w:val="0"/>
      <w:divBdr>
        <w:top w:val="none" w:sz="0" w:space="0" w:color="auto"/>
        <w:left w:val="none" w:sz="0" w:space="0" w:color="auto"/>
        <w:bottom w:val="none" w:sz="0" w:space="0" w:color="auto"/>
        <w:right w:val="none" w:sz="0" w:space="0" w:color="auto"/>
      </w:divBdr>
    </w:div>
    <w:div w:id="1800340881">
      <w:bodyDiv w:val="1"/>
      <w:marLeft w:val="0"/>
      <w:marRight w:val="0"/>
      <w:marTop w:val="0"/>
      <w:marBottom w:val="0"/>
      <w:divBdr>
        <w:top w:val="none" w:sz="0" w:space="0" w:color="auto"/>
        <w:left w:val="none" w:sz="0" w:space="0" w:color="auto"/>
        <w:bottom w:val="none" w:sz="0" w:space="0" w:color="auto"/>
        <w:right w:val="none" w:sz="0" w:space="0" w:color="auto"/>
      </w:divBdr>
    </w:div>
    <w:div w:id="1803113866">
      <w:bodyDiv w:val="1"/>
      <w:marLeft w:val="0"/>
      <w:marRight w:val="0"/>
      <w:marTop w:val="0"/>
      <w:marBottom w:val="0"/>
      <w:divBdr>
        <w:top w:val="none" w:sz="0" w:space="0" w:color="auto"/>
        <w:left w:val="none" w:sz="0" w:space="0" w:color="auto"/>
        <w:bottom w:val="none" w:sz="0" w:space="0" w:color="auto"/>
        <w:right w:val="none" w:sz="0" w:space="0" w:color="auto"/>
      </w:divBdr>
    </w:div>
    <w:div w:id="1804618483">
      <w:bodyDiv w:val="1"/>
      <w:marLeft w:val="0"/>
      <w:marRight w:val="0"/>
      <w:marTop w:val="0"/>
      <w:marBottom w:val="0"/>
      <w:divBdr>
        <w:top w:val="none" w:sz="0" w:space="0" w:color="auto"/>
        <w:left w:val="none" w:sz="0" w:space="0" w:color="auto"/>
        <w:bottom w:val="none" w:sz="0" w:space="0" w:color="auto"/>
        <w:right w:val="none" w:sz="0" w:space="0" w:color="auto"/>
      </w:divBdr>
    </w:div>
    <w:div w:id="1804957775">
      <w:bodyDiv w:val="1"/>
      <w:marLeft w:val="0"/>
      <w:marRight w:val="0"/>
      <w:marTop w:val="0"/>
      <w:marBottom w:val="0"/>
      <w:divBdr>
        <w:top w:val="none" w:sz="0" w:space="0" w:color="auto"/>
        <w:left w:val="none" w:sz="0" w:space="0" w:color="auto"/>
        <w:bottom w:val="none" w:sz="0" w:space="0" w:color="auto"/>
        <w:right w:val="none" w:sz="0" w:space="0" w:color="auto"/>
      </w:divBdr>
    </w:div>
    <w:div w:id="1806579629">
      <w:bodyDiv w:val="1"/>
      <w:marLeft w:val="0"/>
      <w:marRight w:val="0"/>
      <w:marTop w:val="0"/>
      <w:marBottom w:val="0"/>
      <w:divBdr>
        <w:top w:val="none" w:sz="0" w:space="0" w:color="auto"/>
        <w:left w:val="none" w:sz="0" w:space="0" w:color="auto"/>
        <w:bottom w:val="none" w:sz="0" w:space="0" w:color="auto"/>
        <w:right w:val="none" w:sz="0" w:space="0" w:color="auto"/>
      </w:divBdr>
    </w:div>
    <w:div w:id="1808820638">
      <w:bodyDiv w:val="1"/>
      <w:marLeft w:val="0"/>
      <w:marRight w:val="0"/>
      <w:marTop w:val="0"/>
      <w:marBottom w:val="0"/>
      <w:divBdr>
        <w:top w:val="none" w:sz="0" w:space="0" w:color="auto"/>
        <w:left w:val="none" w:sz="0" w:space="0" w:color="auto"/>
        <w:bottom w:val="none" w:sz="0" w:space="0" w:color="auto"/>
        <w:right w:val="none" w:sz="0" w:space="0" w:color="auto"/>
      </w:divBdr>
    </w:div>
    <w:div w:id="1809542318">
      <w:bodyDiv w:val="1"/>
      <w:marLeft w:val="0"/>
      <w:marRight w:val="0"/>
      <w:marTop w:val="0"/>
      <w:marBottom w:val="0"/>
      <w:divBdr>
        <w:top w:val="none" w:sz="0" w:space="0" w:color="auto"/>
        <w:left w:val="none" w:sz="0" w:space="0" w:color="auto"/>
        <w:bottom w:val="none" w:sz="0" w:space="0" w:color="auto"/>
        <w:right w:val="none" w:sz="0" w:space="0" w:color="auto"/>
      </w:divBdr>
    </w:div>
    <w:div w:id="1809661165">
      <w:bodyDiv w:val="1"/>
      <w:marLeft w:val="0"/>
      <w:marRight w:val="0"/>
      <w:marTop w:val="0"/>
      <w:marBottom w:val="0"/>
      <w:divBdr>
        <w:top w:val="none" w:sz="0" w:space="0" w:color="auto"/>
        <w:left w:val="none" w:sz="0" w:space="0" w:color="auto"/>
        <w:bottom w:val="none" w:sz="0" w:space="0" w:color="auto"/>
        <w:right w:val="none" w:sz="0" w:space="0" w:color="auto"/>
      </w:divBdr>
    </w:div>
    <w:div w:id="1809664127">
      <w:bodyDiv w:val="1"/>
      <w:marLeft w:val="0"/>
      <w:marRight w:val="0"/>
      <w:marTop w:val="0"/>
      <w:marBottom w:val="0"/>
      <w:divBdr>
        <w:top w:val="none" w:sz="0" w:space="0" w:color="auto"/>
        <w:left w:val="none" w:sz="0" w:space="0" w:color="auto"/>
        <w:bottom w:val="none" w:sz="0" w:space="0" w:color="auto"/>
        <w:right w:val="none" w:sz="0" w:space="0" w:color="auto"/>
      </w:divBdr>
    </w:div>
    <w:div w:id="1809787110">
      <w:bodyDiv w:val="1"/>
      <w:marLeft w:val="0"/>
      <w:marRight w:val="0"/>
      <w:marTop w:val="0"/>
      <w:marBottom w:val="0"/>
      <w:divBdr>
        <w:top w:val="none" w:sz="0" w:space="0" w:color="auto"/>
        <w:left w:val="none" w:sz="0" w:space="0" w:color="auto"/>
        <w:bottom w:val="none" w:sz="0" w:space="0" w:color="auto"/>
        <w:right w:val="none" w:sz="0" w:space="0" w:color="auto"/>
      </w:divBdr>
    </w:div>
    <w:div w:id="1810050622">
      <w:bodyDiv w:val="1"/>
      <w:marLeft w:val="0"/>
      <w:marRight w:val="0"/>
      <w:marTop w:val="0"/>
      <w:marBottom w:val="0"/>
      <w:divBdr>
        <w:top w:val="none" w:sz="0" w:space="0" w:color="auto"/>
        <w:left w:val="none" w:sz="0" w:space="0" w:color="auto"/>
        <w:bottom w:val="none" w:sz="0" w:space="0" w:color="auto"/>
        <w:right w:val="none" w:sz="0" w:space="0" w:color="auto"/>
      </w:divBdr>
    </w:div>
    <w:div w:id="1810169993">
      <w:bodyDiv w:val="1"/>
      <w:marLeft w:val="0"/>
      <w:marRight w:val="0"/>
      <w:marTop w:val="0"/>
      <w:marBottom w:val="0"/>
      <w:divBdr>
        <w:top w:val="none" w:sz="0" w:space="0" w:color="auto"/>
        <w:left w:val="none" w:sz="0" w:space="0" w:color="auto"/>
        <w:bottom w:val="none" w:sz="0" w:space="0" w:color="auto"/>
        <w:right w:val="none" w:sz="0" w:space="0" w:color="auto"/>
      </w:divBdr>
    </w:div>
    <w:div w:id="1811096088">
      <w:bodyDiv w:val="1"/>
      <w:marLeft w:val="0"/>
      <w:marRight w:val="0"/>
      <w:marTop w:val="0"/>
      <w:marBottom w:val="0"/>
      <w:divBdr>
        <w:top w:val="none" w:sz="0" w:space="0" w:color="auto"/>
        <w:left w:val="none" w:sz="0" w:space="0" w:color="auto"/>
        <w:bottom w:val="none" w:sz="0" w:space="0" w:color="auto"/>
        <w:right w:val="none" w:sz="0" w:space="0" w:color="auto"/>
      </w:divBdr>
    </w:div>
    <w:div w:id="1812945812">
      <w:bodyDiv w:val="1"/>
      <w:marLeft w:val="0"/>
      <w:marRight w:val="0"/>
      <w:marTop w:val="0"/>
      <w:marBottom w:val="0"/>
      <w:divBdr>
        <w:top w:val="none" w:sz="0" w:space="0" w:color="auto"/>
        <w:left w:val="none" w:sz="0" w:space="0" w:color="auto"/>
        <w:bottom w:val="none" w:sz="0" w:space="0" w:color="auto"/>
        <w:right w:val="none" w:sz="0" w:space="0" w:color="auto"/>
      </w:divBdr>
    </w:div>
    <w:div w:id="1813328906">
      <w:bodyDiv w:val="1"/>
      <w:marLeft w:val="0"/>
      <w:marRight w:val="0"/>
      <w:marTop w:val="0"/>
      <w:marBottom w:val="0"/>
      <w:divBdr>
        <w:top w:val="none" w:sz="0" w:space="0" w:color="auto"/>
        <w:left w:val="none" w:sz="0" w:space="0" w:color="auto"/>
        <w:bottom w:val="none" w:sz="0" w:space="0" w:color="auto"/>
        <w:right w:val="none" w:sz="0" w:space="0" w:color="auto"/>
      </w:divBdr>
    </w:div>
    <w:div w:id="1813672458">
      <w:bodyDiv w:val="1"/>
      <w:marLeft w:val="0"/>
      <w:marRight w:val="0"/>
      <w:marTop w:val="0"/>
      <w:marBottom w:val="0"/>
      <w:divBdr>
        <w:top w:val="none" w:sz="0" w:space="0" w:color="auto"/>
        <w:left w:val="none" w:sz="0" w:space="0" w:color="auto"/>
        <w:bottom w:val="none" w:sz="0" w:space="0" w:color="auto"/>
        <w:right w:val="none" w:sz="0" w:space="0" w:color="auto"/>
      </w:divBdr>
    </w:div>
    <w:div w:id="1814103259">
      <w:bodyDiv w:val="1"/>
      <w:marLeft w:val="0"/>
      <w:marRight w:val="0"/>
      <w:marTop w:val="0"/>
      <w:marBottom w:val="0"/>
      <w:divBdr>
        <w:top w:val="none" w:sz="0" w:space="0" w:color="auto"/>
        <w:left w:val="none" w:sz="0" w:space="0" w:color="auto"/>
        <w:bottom w:val="none" w:sz="0" w:space="0" w:color="auto"/>
        <w:right w:val="none" w:sz="0" w:space="0" w:color="auto"/>
      </w:divBdr>
    </w:div>
    <w:div w:id="1814131073">
      <w:bodyDiv w:val="1"/>
      <w:marLeft w:val="0"/>
      <w:marRight w:val="0"/>
      <w:marTop w:val="0"/>
      <w:marBottom w:val="0"/>
      <w:divBdr>
        <w:top w:val="none" w:sz="0" w:space="0" w:color="auto"/>
        <w:left w:val="none" w:sz="0" w:space="0" w:color="auto"/>
        <w:bottom w:val="none" w:sz="0" w:space="0" w:color="auto"/>
        <w:right w:val="none" w:sz="0" w:space="0" w:color="auto"/>
      </w:divBdr>
    </w:div>
    <w:div w:id="1815098228">
      <w:bodyDiv w:val="1"/>
      <w:marLeft w:val="0"/>
      <w:marRight w:val="0"/>
      <w:marTop w:val="0"/>
      <w:marBottom w:val="0"/>
      <w:divBdr>
        <w:top w:val="none" w:sz="0" w:space="0" w:color="auto"/>
        <w:left w:val="none" w:sz="0" w:space="0" w:color="auto"/>
        <w:bottom w:val="none" w:sz="0" w:space="0" w:color="auto"/>
        <w:right w:val="none" w:sz="0" w:space="0" w:color="auto"/>
      </w:divBdr>
    </w:div>
    <w:div w:id="1815491319">
      <w:bodyDiv w:val="1"/>
      <w:marLeft w:val="0"/>
      <w:marRight w:val="0"/>
      <w:marTop w:val="0"/>
      <w:marBottom w:val="0"/>
      <w:divBdr>
        <w:top w:val="none" w:sz="0" w:space="0" w:color="auto"/>
        <w:left w:val="none" w:sz="0" w:space="0" w:color="auto"/>
        <w:bottom w:val="none" w:sz="0" w:space="0" w:color="auto"/>
        <w:right w:val="none" w:sz="0" w:space="0" w:color="auto"/>
      </w:divBdr>
    </w:div>
    <w:div w:id="1820465303">
      <w:bodyDiv w:val="1"/>
      <w:marLeft w:val="0"/>
      <w:marRight w:val="0"/>
      <w:marTop w:val="0"/>
      <w:marBottom w:val="0"/>
      <w:divBdr>
        <w:top w:val="none" w:sz="0" w:space="0" w:color="auto"/>
        <w:left w:val="none" w:sz="0" w:space="0" w:color="auto"/>
        <w:bottom w:val="none" w:sz="0" w:space="0" w:color="auto"/>
        <w:right w:val="none" w:sz="0" w:space="0" w:color="auto"/>
      </w:divBdr>
    </w:div>
    <w:div w:id="1821995774">
      <w:bodyDiv w:val="1"/>
      <w:marLeft w:val="0"/>
      <w:marRight w:val="0"/>
      <w:marTop w:val="0"/>
      <w:marBottom w:val="0"/>
      <w:divBdr>
        <w:top w:val="none" w:sz="0" w:space="0" w:color="auto"/>
        <w:left w:val="none" w:sz="0" w:space="0" w:color="auto"/>
        <w:bottom w:val="none" w:sz="0" w:space="0" w:color="auto"/>
        <w:right w:val="none" w:sz="0" w:space="0" w:color="auto"/>
      </w:divBdr>
    </w:div>
    <w:div w:id="1823500045">
      <w:bodyDiv w:val="1"/>
      <w:marLeft w:val="0"/>
      <w:marRight w:val="0"/>
      <w:marTop w:val="0"/>
      <w:marBottom w:val="0"/>
      <w:divBdr>
        <w:top w:val="none" w:sz="0" w:space="0" w:color="auto"/>
        <w:left w:val="none" w:sz="0" w:space="0" w:color="auto"/>
        <w:bottom w:val="none" w:sz="0" w:space="0" w:color="auto"/>
        <w:right w:val="none" w:sz="0" w:space="0" w:color="auto"/>
      </w:divBdr>
    </w:div>
    <w:div w:id="1823887966">
      <w:bodyDiv w:val="1"/>
      <w:marLeft w:val="0"/>
      <w:marRight w:val="0"/>
      <w:marTop w:val="0"/>
      <w:marBottom w:val="0"/>
      <w:divBdr>
        <w:top w:val="none" w:sz="0" w:space="0" w:color="auto"/>
        <w:left w:val="none" w:sz="0" w:space="0" w:color="auto"/>
        <w:bottom w:val="none" w:sz="0" w:space="0" w:color="auto"/>
        <w:right w:val="none" w:sz="0" w:space="0" w:color="auto"/>
      </w:divBdr>
    </w:div>
    <w:div w:id="1824198443">
      <w:bodyDiv w:val="1"/>
      <w:marLeft w:val="0"/>
      <w:marRight w:val="0"/>
      <w:marTop w:val="0"/>
      <w:marBottom w:val="0"/>
      <w:divBdr>
        <w:top w:val="none" w:sz="0" w:space="0" w:color="auto"/>
        <w:left w:val="none" w:sz="0" w:space="0" w:color="auto"/>
        <w:bottom w:val="none" w:sz="0" w:space="0" w:color="auto"/>
        <w:right w:val="none" w:sz="0" w:space="0" w:color="auto"/>
      </w:divBdr>
    </w:div>
    <w:div w:id="1824274236">
      <w:bodyDiv w:val="1"/>
      <w:marLeft w:val="0"/>
      <w:marRight w:val="0"/>
      <w:marTop w:val="0"/>
      <w:marBottom w:val="0"/>
      <w:divBdr>
        <w:top w:val="none" w:sz="0" w:space="0" w:color="auto"/>
        <w:left w:val="none" w:sz="0" w:space="0" w:color="auto"/>
        <w:bottom w:val="none" w:sz="0" w:space="0" w:color="auto"/>
        <w:right w:val="none" w:sz="0" w:space="0" w:color="auto"/>
      </w:divBdr>
    </w:div>
    <w:div w:id="1825320499">
      <w:bodyDiv w:val="1"/>
      <w:marLeft w:val="0"/>
      <w:marRight w:val="0"/>
      <w:marTop w:val="0"/>
      <w:marBottom w:val="0"/>
      <w:divBdr>
        <w:top w:val="none" w:sz="0" w:space="0" w:color="auto"/>
        <w:left w:val="none" w:sz="0" w:space="0" w:color="auto"/>
        <w:bottom w:val="none" w:sz="0" w:space="0" w:color="auto"/>
        <w:right w:val="none" w:sz="0" w:space="0" w:color="auto"/>
      </w:divBdr>
    </w:div>
    <w:div w:id="1825778220">
      <w:bodyDiv w:val="1"/>
      <w:marLeft w:val="0"/>
      <w:marRight w:val="0"/>
      <w:marTop w:val="0"/>
      <w:marBottom w:val="0"/>
      <w:divBdr>
        <w:top w:val="none" w:sz="0" w:space="0" w:color="auto"/>
        <w:left w:val="none" w:sz="0" w:space="0" w:color="auto"/>
        <w:bottom w:val="none" w:sz="0" w:space="0" w:color="auto"/>
        <w:right w:val="none" w:sz="0" w:space="0" w:color="auto"/>
      </w:divBdr>
    </w:div>
    <w:div w:id="1826823149">
      <w:bodyDiv w:val="1"/>
      <w:marLeft w:val="0"/>
      <w:marRight w:val="0"/>
      <w:marTop w:val="0"/>
      <w:marBottom w:val="0"/>
      <w:divBdr>
        <w:top w:val="none" w:sz="0" w:space="0" w:color="auto"/>
        <w:left w:val="none" w:sz="0" w:space="0" w:color="auto"/>
        <w:bottom w:val="none" w:sz="0" w:space="0" w:color="auto"/>
        <w:right w:val="none" w:sz="0" w:space="0" w:color="auto"/>
      </w:divBdr>
    </w:div>
    <w:div w:id="1827354212">
      <w:bodyDiv w:val="1"/>
      <w:marLeft w:val="0"/>
      <w:marRight w:val="0"/>
      <w:marTop w:val="0"/>
      <w:marBottom w:val="0"/>
      <w:divBdr>
        <w:top w:val="none" w:sz="0" w:space="0" w:color="auto"/>
        <w:left w:val="none" w:sz="0" w:space="0" w:color="auto"/>
        <w:bottom w:val="none" w:sz="0" w:space="0" w:color="auto"/>
        <w:right w:val="none" w:sz="0" w:space="0" w:color="auto"/>
      </w:divBdr>
    </w:div>
    <w:div w:id="1827429657">
      <w:bodyDiv w:val="1"/>
      <w:marLeft w:val="0"/>
      <w:marRight w:val="0"/>
      <w:marTop w:val="0"/>
      <w:marBottom w:val="0"/>
      <w:divBdr>
        <w:top w:val="none" w:sz="0" w:space="0" w:color="auto"/>
        <w:left w:val="none" w:sz="0" w:space="0" w:color="auto"/>
        <w:bottom w:val="none" w:sz="0" w:space="0" w:color="auto"/>
        <w:right w:val="none" w:sz="0" w:space="0" w:color="auto"/>
      </w:divBdr>
    </w:div>
    <w:div w:id="1828207522">
      <w:bodyDiv w:val="1"/>
      <w:marLeft w:val="0"/>
      <w:marRight w:val="0"/>
      <w:marTop w:val="0"/>
      <w:marBottom w:val="0"/>
      <w:divBdr>
        <w:top w:val="none" w:sz="0" w:space="0" w:color="auto"/>
        <w:left w:val="none" w:sz="0" w:space="0" w:color="auto"/>
        <w:bottom w:val="none" w:sz="0" w:space="0" w:color="auto"/>
        <w:right w:val="none" w:sz="0" w:space="0" w:color="auto"/>
      </w:divBdr>
    </w:div>
    <w:div w:id="1828666362">
      <w:bodyDiv w:val="1"/>
      <w:marLeft w:val="0"/>
      <w:marRight w:val="0"/>
      <w:marTop w:val="0"/>
      <w:marBottom w:val="0"/>
      <w:divBdr>
        <w:top w:val="none" w:sz="0" w:space="0" w:color="auto"/>
        <w:left w:val="none" w:sz="0" w:space="0" w:color="auto"/>
        <w:bottom w:val="none" w:sz="0" w:space="0" w:color="auto"/>
        <w:right w:val="none" w:sz="0" w:space="0" w:color="auto"/>
      </w:divBdr>
    </w:div>
    <w:div w:id="1829399571">
      <w:bodyDiv w:val="1"/>
      <w:marLeft w:val="0"/>
      <w:marRight w:val="0"/>
      <w:marTop w:val="0"/>
      <w:marBottom w:val="0"/>
      <w:divBdr>
        <w:top w:val="none" w:sz="0" w:space="0" w:color="auto"/>
        <w:left w:val="none" w:sz="0" w:space="0" w:color="auto"/>
        <w:bottom w:val="none" w:sz="0" w:space="0" w:color="auto"/>
        <w:right w:val="none" w:sz="0" w:space="0" w:color="auto"/>
      </w:divBdr>
    </w:div>
    <w:div w:id="1829638091">
      <w:bodyDiv w:val="1"/>
      <w:marLeft w:val="0"/>
      <w:marRight w:val="0"/>
      <w:marTop w:val="0"/>
      <w:marBottom w:val="0"/>
      <w:divBdr>
        <w:top w:val="none" w:sz="0" w:space="0" w:color="auto"/>
        <w:left w:val="none" w:sz="0" w:space="0" w:color="auto"/>
        <w:bottom w:val="none" w:sz="0" w:space="0" w:color="auto"/>
        <w:right w:val="none" w:sz="0" w:space="0" w:color="auto"/>
      </w:divBdr>
    </w:div>
    <w:div w:id="1832021213">
      <w:bodyDiv w:val="1"/>
      <w:marLeft w:val="0"/>
      <w:marRight w:val="0"/>
      <w:marTop w:val="0"/>
      <w:marBottom w:val="0"/>
      <w:divBdr>
        <w:top w:val="none" w:sz="0" w:space="0" w:color="auto"/>
        <w:left w:val="none" w:sz="0" w:space="0" w:color="auto"/>
        <w:bottom w:val="none" w:sz="0" w:space="0" w:color="auto"/>
        <w:right w:val="none" w:sz="0" w:space="0" w:color="auto"/>
      </w:divBdr>
    </w:div>
    <w:div w:id="1832211693">
      <w:bodyDiv w:val="1"/>
      <w:marLeft w:val="0"/>
      <w:marRight w:val="0"/>
      <w:marTop w:val="0"/>
      <w:marBottom w:val="0"/>
      <w:divBdr>
        <w:top w:val="none" w:sz="0" w:space="0" w:color="auto"/>
        <w:left w:val="none" w:sz="0" w:space="0" w:color="auto"/>
        <w:bottom w:val="none" w:sz="0" w:space="0" w:color="auto"/>
        <w:right w:val="none" w:sz="0" w:space="0" w:color="auto"/>
      </w:divBdr>
    </w:div>
    <w:div w:id="1833912508">
      <w:bodyDiv w:val="1"/>
      <w:marLeft w:val="0"/>
      <w:marRight w:val="0"/>
      <w:marTop w:val="0"/>
      <w:marBottom w:val="0"/>
      <w:divBdr>
        <w:top w:val="none" w:sz="0" w:space="0" w:color="auto"/>
        <w:left w:val="none" w:sz="0" w:space="0" w:color="auto"/>
        <w:bottom w:val="none" w:sz="0" w:space="0" w:color="auto"/>
        <w:right w:val="none" w:sz="0" w:space="0" w:color="auto"/>
      </w:divBdr>
    </w:div>
    <w:div w:id="1835800374">
      <w:bodyDiv w:val="1"/>
      <w:marLeft w:val="0"/>
      <w:marRight w:val="0"/>
      <w:marTop w:val="0"/>
      <w:marBottom w:val="0"/>
      <w:divBdr>
        <w:top w:val="none" w:sz="0" w:space="0" w:color="auto"/>
        <w:left w:val="none" w:sz="0" w:space="0" w:color="auto"/>
        <w:bottom w:val="none" w:sz="0" w:space="0" w:color="auto"/>
        <w:right w:val="none" w:sz="0" w:space="0" w:color="auto"/>
      </w:divBdr>
    </w:div>
    <w:div w:id="1835878426">
      <w:bodyDiv w:val="1"/>
      <w:marLeft w:val="0"/>
      <w:marRight w:val="0"/>
      <w:marTop w:val="0"/>
      <w:marBottom w:val="0"/>
      <w:divBdr>
        <w:top w:val="none" w:sz="0" w:space="0" w:color="auto"/>
        <w:left w:val="none" w:sz="0" w:space="0" w:color="auto"/>
        <w:bottom w:val="none" w:sz="0" w:space="0" w:color="auto"/>
        <w:right w:val="none" w:sz="0" w:space="0" w:color="auto"/>
      </w:divBdr>
    </w:div>
    <w:div w:id="1836409936">
      <w:bodyDiv w:val="1"/>
      <w:marLeft w:val="0"/>
      <w:marRight w:val="0"/>
      <w:marTop w:val="0"/>
      <w:marBottom w:val="0"/>
      <w:divBdr>
        <w:top w:val="none" w:sz="0" w:space="0" w:color="auto"/>
        <w:left w:val="none" w:sz="0" w:space="0" w:color="auto"/>
        <w:bottom w:val="none" w:sz="0" w:space="0" w:color="auto"/>
        <w:right w:val="none" w:sz="0" w:space="0" w:color="auto"/>
      </w:divBdr>
    </w:div>
    <w:div w:id="1836530501">
      <w:bodyDiv w:val="1"/>
      <w:marLeft w:val="0"/>
      <w:marRight w:val="0"/>
      <w:marTop w:val="0"/>
      <w:marBottom w:val="0"/>
      <w:divBdr>
        <w:top w:val="none" w:sz="0" w:space="0" w:color="auto"/>
        <w:left w:val="none" w:sz="0" w:space="0" w:color="auto"/>
        <w:bottom w:val="none" w:sz="0" w:space="0" w:color="auto"/>
        <w:right w:val="none" w:sz="0" w:space="0" w:color="auto"/>
      </w:divBdr>
    </w:div>
    <w:div w:id="1836724011">
      <w:bodyDiv w:val="1"/>
      <w:marLeft w:val="0"/>
      <w:marRight w:val="0"/>
      <w:marTop w:val="0"/>
      <w:marBottom w:val="0"/>
      <w:divBdr>
        <w:top w:val="none" w:sz="0" w:space="0" w:color="auto"/>
        <w:left w:val="none" w:sz="0" w:space="0" w:color="auto"/>
        <w:bottom w:val="none" w:sz="0" w:space="0" w:color="auto"/>
        <w:right w:val="none" w:sz="0" w:space="0" w:color="auto"/>
      </w:divBdr>
    </w:div>
    <w:div w:id="1839273565">
      <w:bodyDiv w:val="1"/>
      <w:marLeft w:val="0"/>
      <w:marRight w:val="0"/>
      <w:marTop w:val="0"/>
      <w:marBottom w:val="0"/>
      <w:divBdr>
        <w:top w:val="none" w:sz="0" w:space="0" w:color="auto"/>
        <w:left w:val="none" w:sz="0" w:space="0" w:color="auto"/>
        <w:bottom w:val="none" w:sz="0" w:space="0" w:color="auto"/>
        <w:right w:val="none" w:sz="0" w:space="0" w:color="auto"/>
      </w:divBdr>
    </w:div>
    <w:div w:id="1839729881">
      <w:bodyDiv w:val="1"/>
      <w:marLeft w:val="0"/>
      <w:marRight w:val="0"/>
      <w:marTop w:val="0"/>
      <w:marBottom w:val="0"/>
      <w:divBdr>
        <w:top w:val="none" w:sz="0" w:space="0" w:color="auto"/>
        <w:left w:val="none" w:sz="0" w:space="0" w:color="auto"/>
        <w:bottom w:val="none" w:sz="0" w:space="0" w:color="auto"/>
        <w:right w:val="none" w:sz="0" w:space="0" w:color="auto"/>
      </w:divBdr>
    </w:div>
    <w:div w:id="1840609709">
      <w:bodyDiv w:val="1"/>
      <w:marLeft w:val="0"/>
      <w:marRight w:val="0"/>
      <w:marTop w:val="0"/>
      <w:marBottom w:val="0"/>
      <w:divBdr>
        <w:top w:val="none" w:sz="0" w:space="0" w:color="auto"/>
        <w:left w:val="none" w:sz="0" w:space="0" w:color="auto"/>
        <w:bottom w:val="none" w:sz="0" w:space="0" w:color="auto"/>
        <w:right w:val="none" w:sz="0" w:space="0" w:color="auto"/>
      </w:divBdr>
    </w:div>
    <w:div w:id="1840653733">
      <w:bodyDiv w:val="1"/>
      <w:marLeft w:val="0"/>
      <w:marRight w:val="0"/>
      <w:marTop w:val="0"/>
      <w:marBottom w:val="0"/>
      <w:divBdr>
        <w:top w:val="none" w:sz="0" w:space="0" w:color="auto"/>
        <w:left w:val="none" w:sz="0" w:space="0" w:color="auto"/>
        <w:bottom w:val="none" w:sz="0" w:space="0" w:color="auto"/>
        <w:right w:val="none" w:sz="0" w:space="0" w:color="auto"/>
      </w:divBdr>
    </w:div>
    <w:div w:id="1840732077">
      <w:bodyDiv w:val="1"/>
      <w:marLeft w:val="0"/>
      <w:marRight w:val="0"/>
      <w:marTop w:val="0"/>
      <w:marBottom w:val="0"/>
      <w:divBdr>
        <w:top w:val="none" w:sz="0" w:space="0" w:color="auto"/>
        <w:left w:val="none" w:sz="0" w:space="0" w:color="auto"/>
        <w:bottom w:val="none" w:sz="0" w:space="0" w:color="auto"/>
        <w:right w:val="none" w:sz="0" w:space="0" w:color="auto"/>
      </w:divBdr>
    </w:div>
    <w:div w:id="1841310871">
      <w:bodyDiv w:val="1"/>
      <w:marLeft w:val="0"/>
      <w:marRight w:val="0"/>
      <w:marTop w:val="0"/>
      <w:marBottom w:val="0"/>
      <w:divBdr>
        <w:top w:val="none" w:sz="0" w:space="0" w:color="auto"/>
        <w:left w:val="none" w:sz="0" w:space="0" w:color="auto"/>
        <w:bottom w:val="none" w:sz="0" w:space="0" w:color="auto"/>
        <w:right w:val="none" w:sz="0" w:space="0" w:color="auto"/>
      </w:divBdr>
    </w:div>
    <w:div w:id="1843818185">
      <w:bodyDiv w:val="1"/>
      <w:marLeft w:val="0"/>
      <w:marRight w:val="0"/>
      <w:marTop w:val="0"/>
      <w:marBottom w:val="0"/>
      <w:divBdr>
        <w:top w:val="none" w:sz="0" w:space="0" w:color="auto"/>
        <w:left w:val="none" w:sz="0" w:space="0" w:color="auto"/>
        <w:bottom w:val="none" w:sz="0" w:space="0" w:color="auto"/>
        <w:right w:val="none" w:sz="0" w:space="0" w:color="auto"/>
      </w:divBdr>
    </w:div>
    <w:div w:id="1844471110">
      <w:bodyDiv w:val="1"/>
      <w:marLeft w:val="0"/>
      <w:marRight w:val="0"/>
      <w:marTop w:val="0"/>
      <w:marBottom w:val="0"/>
      <w:divBdr>
        <w:top w:val="none" w:sz="0" w:space="0" w:color="auto"/>
        <w:left w:val="none" w:sz="0" w:space="0" w:color="auto"/>
        <w:bottom w:val="none" w:sz="0" w:space="0" w:color="auto"/>
        <w:right w:val="none" w:sz="0" w:space="0" w:color="auto"/>
      </w:divBdr>
    </w:div>
    <w:div w:id="1844779587">
      <w:bodyDiv w:val="1"/>
      <w:marLeft w:val="0"/>
      <w:marRight w:val="0"/>
      <w:marTop w:val="0"/>
      <w:marBottom w:val="0"/>
      <w:divBdr>
        <w:top w:val="none" w:sz="0" w:space="0" w:color="auto"/>
        <w:left w:val="none" w:sz="0" w:space="0" w:color="auto"/>
        <w:bottom w:val="none" w:sz="0" w:space="0" w:color="auto"/>
        <w:right w:val="none" w:sz="0" w:space="0" w:color="auto"/>
      </w:divBdr>
    </w:div>
    <w:div w:id="1848707625">
      <w:bodyDiv w:val="1"/>
      <w:marLeft w:val="0"/>
      <w:marRight w:val="0"/>
      <w:marTop w:val="0"/>
      <w:marBottom w:val="0"/>
      <w:divBdr>
        <w:top w:val="none" w:sz="0" w:space="0" w:color="auto"/>
        <w:left w:val="none" w:sz="0" w:space="0" w:color="auto"/>
        <w:bottom w:val="none" w:sz="0" w:space="0" w:color="auto"/>
        <w:right w:val="none" w:sz="0" w:space="0" w:color="auto"/>
      </w:divBdr>
    </w:div>
    <w:div w:id="1848859689">
      <w:bodyDiv w:val="1"/>
      <w:marLeft w:val="0"/>
      <w:marRight w:val="0"/>
      <w:marTop w:val="0"/>
      <w:marBottom w:val="0"/>
      <w:divBdr>
        <w:top w:val="none" w:sz="0" w:space="0" w:color="auto"/>
        <w:left w:val="none" w:sz="0" w:space="0" w:color="auto"/>
        <w:bottom w:val="none" w:sz="0" w:space="0" w:color="auto"/>
        <w:right w:val="none" w:sz="0" w:space="0" w:color="auto"/>
      </w:divBdr>
    </w:div>
    <w:div w:id="1849323853">
      <w:bodyDiv w:val="1"/>
      <w:marLeft w:val="0"/>
      <w:marRight w:val="0"/>
      <w:marTop w:val="0"/>
      <w:marBottom w:val="0"/>
      <w:divBdr>
        <w:top w:val="none" w:sz="0" w:space="0" w:color="auto"/>
        <w:left w:val="none" w:sz="0" w:space="0" w:color="auto"/>
        <w:bottom w:val="none" w:sz="0" w:space="0" w:color="auto"/>
        <w:right w:val="none" w:sz="0" w:space="0" w:color="auto"/>
      </w:divBdr>
    </w:div>
    <w:div w:id="1850018875">
      <w:bodyDiv w:val="1"/>
      <w:marLeft w:val="0"/>
      <w:marRight w:val="0"/>
      <w:marTop w:val="0"/>
      <w:marBottom w:val="0"/>
      <w:divBdr>
        <w:top w:val="none" w:sz="0" w:space="0" w:color="auto"/>
        <w:left w:val="none" w:sz="0" w:space="0" w:color="auto"/>
        <w:bottom w:val="none" w:sz="0" w:space="0" w:color="auto"/>
        <w:right w:val="none" w:sz="0" w:space="0" w:color="auto"/>
      </w:divBdr>
    </w:div>
    <w:div w:id="1851143368">
      <w:bodyDiv w:val="1"/>
      <w:marLeft w:val="0"/>
      <w:marRight w:val="0"/>
      <w:marTop w:val="0"/>
      <w:marBottom w:val="0"/>
      <w:divBdr>
        <w:top w:val="none" w:sz="0" w:space="0" w:color="auto"/>
        <w:left w:val="none" w:sz="0" w:space="0" w:color="auto"/>
        <w:bottom w:val="none" w:sz="0" w:space="0" w:color="auto"/>
        <w:right w:val="none" w:sz="0" w:space="0" w:color="auto"/>
      </w:divBdr>
    </w:div>
    <w:div w:id="1853179405">
      <w:bodyDiv w:val="1"/>
      <w:marLeft w:val="0"/>
      <w:marRight w:val="0"/>
      <w:marTop w:val="0"/>
      <w:marBottom w:val="0"/>
      <w:divBdr>
        <w:top w:val="none" w:sz="0" w:space="0" w:color="auto"/>
        <w:left w:val="none" w:sz="0" w:space="0" w:color="auto"/>
        <w:bottom w:val="none" w:sz="0" w:space="0" w:color="auto"/>
        <w:right w:val="none" w:sz="0" w:space="0" w:color="auto"/>
      </w:divBdr>
    </w:div>
    <w:div w:id="1853494421">
      <w:bodyDiv w:val="1"/>
      <w:marLeft w:val="0"/>
      <w:marRight w:val="0"/>
      <w:marTop w:val="0"/>
      <w:marBottom w:val="0"/>
      <w:divBdr>
        <w:top w:val="none" w:sz="0" w:space="0" w:color="auto"/>
        <w:left w:val="none" w:sz="0" w:space="0" w:color="auto"/>
        <w:bottom w:val="none" w:sz="0" w:space="0" w:color="auto"/>
        <w:right w:val="none" w:sz="0" w:space="0" w:color="auto"/>
      </w:divBdr>
    </w:div>
    <w:div w:id="1853688677">
      <w:bodyDiv w:val="1"/>
      <w:marLeft w:val="0"/>
      <w:marRight w:val="0"/>
      <w:marTop w:val="0"/>
      <w:marBottom w:val="0"/>
      <w:divBdr>
        <w:top w:val="none" w:sz="0" w:space="0" w:color="auto"/>
        <w:left w:val="none" w:sz="0" w:space="0" w:color="auto"/>
        <w:bottom w:val="none" w:sz="0" w:space="0" w:color="auto"/>
        <w:right w:val="none" w:sz="0" w:space="0" w:color="auto"/>
      </w:divBdr>
    </w:div>
    <w:div w:id="1854033781">
      <w:bodyDiv w:val="1"/>
      <w:marLeft w:val="0"/>
      <w:marRight w:val="0"/>
      <w:marTop w:val="0"/>
      <w:marBottom w:val="0"/>
      <w:divBdr>
        <w:top w:val="none" w:sz="0" w:space="0" w:color="auto"/>
        <w:left w:val="none" w:sz="0" w:space="0" w:color="auto"/>
        <w:bottom w:val="none" w:sz="0" w:space="0" w:color="auto"/>
        <w:right w:val="none" w:sz="0" w:space="0" w:color="auto"/>
      </w:divBdr>
    </w:div>
    <w:div w:id="1855000038">
      <w:bodyDiv w:val="1"/>
      <w:marLeft w:val="0"/>
      <w:marRight w:val="0"/>
      <w:marTop w:val="0"/>
      <w:marBottom w:val="0"/>
      <w:divBdr>
        <w:top w:val="none" w:sz="0" w:space="0" w:color="auto"/>
        <w:left w:val="none" w:sz="0" w:space="0" w:color="auto"/>
        <w:bottom w:val="none" w:sz="0" w:space="0" w:color="auto"/>
        <w:right w:val="none" w:sz="0" w:space="0" w:color="auto"/>
      </w:divBdr>
    </w:div>
    <w:div w:id="1856068396">
      <w:bodyDiv w:val="1"/>
      <w:marLeft w:val="0"/>
      <w:marRight w:val="0"/>
      <w:marTop w:val="0"/>
      <w:marBottom w:val="0"/>
      <w:divBdr>
        <w:top w:val="none" w:sz="0" w:space="0" w:color="auto"/>
        <w:left w:val="none" w:sz="0" w:space="0" w:color="auto"/>
        <w:bottom w:val="none" w:sz="0" w:space="0" w:color="auto"/>
        <w:right w:val="none" w:sz="0" w:space="0" w:color="auto"/>
      </w:divBdr>
    </w:div>
    <w:div w:id="1856530720">
      <w:bodyDiv w:val="1"/>
      <w:marLeft w:val="0"/>
      <w:marRight w:val="0"/>
      <w:marTop w:val="0"/>
      <w:marBottom w:val="0"/>
      <w:divBdr>
        <w:top w:val="none" w:sz="0" w:space="0" w:color="auto"/>
        <w:left w:val="none" w:sz="0" w:space="0" w:color="auto"/>
        <w:bottom w:val="none" w:sz="0" w:space="0" w:color="auto"/>
        <w:right w:val="none" w:sz="0" w:space="0" w:color="auto"/>
      </w:divBdr>
    </w:div>
    <w:div w:id="1856767046">
      <w:bodyDiv w:val="1"/>
      <w:marLeft w:val="0"/>
      <w:marRight w:val="0"/>
      <w:marTop w:val="0"/>
      <w:marBottom w:val="0"/>
      <w:divBdr>
        <w:top w:val="none" w:sz="0" w:space="0" w:color="auto"/>
        <w:left w:val="none" w:sz="0" w:space="0" w:color="auto"/>
        <w:bottom w:val="none" w:sz="0" w:space="0" w:color="auto"/>
        <w:right w:val="none" w:sz="0" w:space="0" w:color="auto"/>
      </w:divBdr>
    </w:div>
    <w:div w:id="1858537616">
      <w:bodyDiv w:val="1"/>
      <w:marLeft w:val="0"/>
      <w:marRight w:val="0"/>
      <w:marTop w:val="0"/>
      <w:marBottom w:val="0"/>
      <w:divBdr>
        <w:top w:val="none" w:sz="0" w:space="0" w:color="auto"/>
        <w:left w:val="none" w:sz="0" w:space="0" w:color="auto"/>
        <w:bottom w:val="none" w:sz="0" w:space="0" w:color="auto"/>
        <w:right w:val="none" w:sz="0" w:space="0" w:color="auto"/>
      </w:divBdr>
    </w:div>
    <w:div w:id="1858885702">
      <w:bodyDiv w:val="1"/>
      <w:marLeft w:val="0"/>
      <w:marRight w:val="0"/>
      <w:marTop w:val="0"/>
      <w:marBottom w:val="0"/>
      <w:divBdr>
        <w:top w:val="none" w:sz="0" w:space="0" w:color="auto"/>
        <w:left w:val="none" w:sz="0" w:space="0" w:color="auto"/>
        <w:bottom w:val="none" w:sz="0" w:space="0" w:color="auto"/>
        <w:right w:val="none" w:sz="0" w:space="0" w:color="auto"/>
      </w:divBdr>
    </w:div>
    <w:div w:id="1859467749">
      <w:bodyDiv w:val="1"/>
      <w:marLeft w:val="0"/>
      <w:marRight w:val="0"/>
      <w:marTop w:val="0"/>
      <w:marBottom w:val="0"/>
      <w:divBdr>
        <w:top w:val="none" w:sz="0" w:space="0" w:color="auto"/>
        <w:left w:val="none" w:sz="0" w:space="0" w:color="auto"/>
        <w:bottom w:val="none" w:sz="0" w:space="0" w:color="auto"/>
        <w:right w:val="none" w:sz="0" w:space="0" w:color="auto"/>
      </w:divBdr>
    </w:div>
    <w:div w:id="1859805860">
      <w:bodyDiv w:val="1"/>
      <w:marLeft w:val="0"/>
      <w:marRight w:val="0"/>
      <w:marTop w:val="0"/>
      <w:marBottom w:val="0"/>
      <w:divBdr>
        <w:top w:val="none" w:sz="0" w:space="0" w:color="auto"/>
        <w:left w:val="none" w:sz="0" w:space="0" w:color="auto"/>
        <w:bottom w:val="none" w:sz="0" w:space="0" w:color="auto"/>
        <w:right w:val="none" w:sz="0" w:space="0" w:color="auto"/>
      </w:divBdr>
    </w:div>
    <w:div w:id="1861162466">
      <w:bodyDiv w:val="1"/>
      <w:marLeft w:val="0"/>
      <w:marRight w:val="0"/>
      <w:marTop w:val="0"/>
      <w:marBottom w:val="0"/>
      <w:divBdr>
        <w:top w:val="none" w:sz="0" w:space="0" w:color="auto"/>
        <w:left w:val="none" w:sz="0" w:space="0" w:color="auto"/>
        <w:bottom w:val="none" w:sz="0" w:space="0" w:color="auto"/>
        <w:right w:val="none" w:sz="0" w:space="0" w:color="auto"/>
      </w:divBdr>
    </w:div>
    <w:div w:id="1861817160">
      <w:bodyDiv w:val="1"/>
      <w:marLeft w:val="0"/>
      <w:marRight w:val="0"/>
      <w:marTop w:val="0"/>
      <w:marBottom w:val="0"/>
      <w:divBdr>
        <w:top w:val="none" w:sz="0" w:space="0" w:color="auto"/>
        <w:left w:val="none" w:sz="0" w:space="0" w:color="auto"/>
        <w:bottom w:val="none" w:sz="0" w:space="0" w:color="auto"/>
        <w:right w:val="none" w:sz="0" w:space="0" w:color="auto"/>
      </w:divBdr>
    </w:div>
    <w:div w:id="1862696487">
      <w:bodyDiv w:val="1"/>
      <w:marLeft w:val="0"/>
      <w:marRight w:val="0"/>
      <w:marTop w:val="0"/>
      <w:marBottom w:val="0"/>
      <w:divBdr>
        <w:top w:val="none" w:sz="0" w:space="0" w:color="auto"/>
        <w:left w:val="none" w:sz="0" w:space="0" w:color="auto"/>
        <w:bottom w:val="none" w:sz="0" w:space="0" w:color="auto"/>
        <w:right w:val="none" w:sz="0" w:space="0" w:color="auto"/>
      </w:divBdr>
    </w:div>
    <w:div w:id="1863743504">
      <w:bodyDiv w:val="1"/>
      <w:marLeft w:val="0"/>
      <w:marRight w:val="0"/>
      <w:marTop w:val="0"/>
      <w:marBottom w:val="0"/>
      <w:divBdr>
        <w:top w:val="none" w:sz="0" w:space="0" w:color="auto"/>
        <w:left w:val="none" w:sz="0" w:space="0" w:color="auto"/>
        <w:bottom w:val="none" w:sz="0" w:space="0" w:color="auto"/>
        <w:right w:val="none" w:sz="0" w:space="0" w:color="auto"/>
      </w:divBdr>
    </w:div>
    <w:div w:id="1866668891">
      <w:bodyDiv w:val="1"/>
      <w:marLeft w:val="0"/>
      <w:marRight w:val="0"/>
      <w:marTop w:val="0"/>
      <w:marBottom w:val="0"/>
      <w:divBdr>
        <w:top w:val="none" w:sz="0" w:space="0" w:color="auto"/>
        <w:left w:val="none" w:sz="0" w:space="0" w:color="auto"/>
        <w:bottom w:val="none" w:sz="0" w:space="0" w:color="auto"/>
        <w:right w:val="none" w:sz="0" w:space="0" w:color="auto"/>
      </w:divBdr>
    </w:div>
    <w:div w:id="1866674905">
      <w:bodyDiv w:val="1"/>
      <w:marLeft w:val="0"/>
      <w:marRight w:val="0"/>
      <w:marTop w:val="0"/>
      <w:marBottom w:val="0"/>
      <w:divBdr>
        <w:top w:val="none" w:sz="0" w:space="0" w:color="auto"/>
        <w:left w:val="none" w:sz="0" w:space="0" w:color="auto"/>
        <w:bottom w:val="none" w:sz="0" w:space="0" w:color="auto"/>
        <w:right w:val="none" w:sz="0" w:space="0" w:color="auto"/>
      </w:divBdr>
    </w:div>
    <w:div w:id="1868761428">
      <w:bodyDiv w:val="1"/>
      <w:marLeft w:val="0"/>
      <w:marRight w:val="0"/>
      <w:marTop w:val="0"/>
      <w:marBottom w:val="0"/>
      <w:divBdr>
        <w:top w:val="none" w:sz="0" w:space="0" w:color="auto"/>
        <w:left w:val="none" w:sz="0" w:space="0" w:color="auto"/>
        <w:bottom w:val="none" w:sz="0" w:space="0" w:color="auto"/>
        <w:right w:val="none" w:sz="0" w:space="0" w:color="auto"/>
      </w:divBdr>
    </w:div>
    <w:div w:id="1869223479">
      <w:bodyDiv w:val="1"/>
      <w:marLeft w:val="0"/>
      <w:marRight w:val="0"/>
      <w:marTop w:val="0"/>
      <w:marBottom w:val="0"/>
      <w:divBdr>
        <w:top w:val="none" w:sz="0" w:space="0" w:color="auto"/>
        <w:left w:val="none" w:sz="0" w:space="0" w:color="auto"/>
        <w:bottom w:val="none" w:sz="0" w:space="0" w:color="auto"/>
        <w:right w:val="none" w:sz="0" w:space="0" w:color="auto"/>
      </w:divBdr>
    </w:div>
    <w:div w:id="1870410086">
      <w:bodyDiv w:val="1"/>
      <w:marLeft w:val="0"/>
      <w:marRight w:val="0"/>
      <w:marTop w:val="0"/>
      <w:marBottom w:val="0"/>
      <w:divBdr>
        <w:top w:val="none" w:sz="0" w:space="0" w:color="auto"/>
        <w:left w:val="none" w:sz="0" w:space="0" w:color="auto"/>
        <w:bottom w:val="none" w:sz="0" w:space="0" w:color="auto"/>
        <w:right w:val="none" w:sz="0" w:space="0" w:color="auto"/>
      </w:divBdr>
    </w:div>
    <w:div w:id="1870953809">
      <w:bodyDiv w:val="1"/>
      <w:marLeft w:val="0"/>
      <w:marRight w:val="0"/>
      <w:marTop w:val="0"/>
      <w:marBottom w:val="0"/>
      <w:divBdr>
        <w:top w:val="none" w:sz="0" w:space="0" w:color="auto"/>
        <w:left w:val="none" w:sz="0" w:space="0" w:color="auto"/>
        <w:bottom w:val="none" w:sz="0" w:space="0" w:color="auto"/>
        <w:right w:val="none" w:sz="0" w:space="0" w:color="auto"/>
      </w:divBdr>
    </w:div>
    <w:div w:id="1871257775">
      <w:bodyDiv w:val="1"/>
      <w:marLeft w:val="0"/>
      <w:marRight w:val="0"/>
      <w:marTop w:val="0"/>
      <w:marBottom w:val="0"/>
      <w:divBdr>
        <w:top w:val="none" w:sz="0" w:space="0" w:color="auto"/>
        <w:left w:val="none" w:sz="0" w:space="0" w:color="auto"/>
        <w:bottom w:val="none" w:sz="0" w:space="0" w:color="auto"/>
        <w:right w:val="none" w:sz="0" w:space="0" w:color="auto"/>
      </w:divBdr>
    </w:div>
    <w:div w:id="1872063065">
      <w:bodyDiv w:val="1"/>
      <w:marLeft w:val="0"/>
      <w:marRight w:val="0"/>
      <w:marTop w:val="0"/>
      <w:marBottom w:val="0"/>
      <w:divBdr>
        <w:top w:val="none" w:sz="0" w:space="0" w:color="auto"/>
        <w:left w:val="none" w:sz="0" w:space="0" w:color="auto"/>
        <w:bottom w:val="none" w:sz="0" w:space="0" w:color="auto"/>
        <w:right w:val="none" w:sz="0" w:space="0" w:color="auto"/>
      </w:divBdr>
    </w:div>
    <w:div w:id="1872955813">
      <w:bodyDiv w:val="1"/>
      <w:marLeft w:val="0"/>
      <w:marRight w:val="0"/>
      <w:marTop w:val="0"/>
      <w:marBottom w:val="0"/>
      <w:divBdr>
        <w:top w:val="none" w:sz="0" w:space="0" w:color="auto"/>
        <w:left w:val="none" w:sz="0" w:space="0" w:color="auto"/>
        <w:bottom w:val="none" w:sz="0" w:space="0" w:color="auto"/>
        <w:right w:val="none" w:sz="0" w:space="0" w:color="auto"/>
      </w:divBdr>
    </w:div>
    <w:div w:id="1873032145">
      <w:bodyDiv w:val="1"/>
      <w:marLeft w:val="0"/>
      <w:marRight w:val="0"/>
      <w:marTop w:val="0"/>
      <w:marBottom w:val="0"/>
      <w:divBdr>
        <w:top w:val="none" w:sz="0" w:space="0" w:color="auto"/>
        <w:left w:val="none" w:sz="0" w:space="0" w:color="auto"/>
        <w:bottom w:val="none" w:sz="0" w:space="0" w:color="auto"/>
        <w:right w:val="none" w:sz="0" w:space="0" w:color="auto"/>
      </w:divBdr>
    </w:div>
    <w:div w:id="1873152256">
      <w:bodyDiv w:val="1"/>
      <w:marLeft w:val="0"/>
      <w:marRight w:val="0"/>
      <w:marTop w:val="0"/>
      <w:marBottom w:val="0"/>
      <w:divBdr>
        <w:top w:val="none" w:sz="0" w:space="0" w:color="auto"/>
        <w:left w:val="none" w:sz="0" w:space="0" w:color="auto"/>
        <w:bottom w:val="none" w:sz="0" w:space="0" w:color="auto"/>
        <w:right w:val="none" w:sz="0" w:space="0" w:color="auto"/>
      </w:divBdr>
    </w:div>
    <w:div w:id="1873414800">
      <w:bodyDiv w:val="1"/>
      <w:marLeft w:val="0"/>
      <w:marRight w:val="0"/>
      <w:marTop w:val="0"/>
      <w:marBottom w:val="0"/>
      <w:divBdr>
        <w:top w:val="none" w:sz="0" w:space="0" w:color="auto"/>
        <w:left w:val="none" w:sz="0" w:space="0" w:color="auto"/>
        <w:bottom w:val="none" w:sz="0" w:space="0" w:color="auto"/>
        <w:right w:val="none" w:sz="0" w:space="0" w:color="auto"/>
      </w:divBdr>
    </w:div>
    <w:div w:id="1873496867">
      <w:bodyDiv w:val="1"/>
      <w:marLeft w:val="0"/>
      <w:marRight w:val="0"/>
      <w:marTop w:val="0"/>
      <w:marBottom w:val="0"/>
      <w:divBdr>
        <w:top w:val="none" w:sz="0" w:space="0" w:color="auto"/>
        <w:left w:val="none" w:sz="0" w:space="0" w:color="auto"/>
        <w:bottom w:val="none" w:sz="0" w:space="0" w:color="auto"/>
        <w:right w:val="none" w:sz="0" w:space="0" w:color="auto"/>
      </w:divBdr>
    </w:div>
    <w:div w:id="1873609793">
      <w:bodyDiv w:val="1"/>
      <w:marLeft w:val="0"/>
      <w:marRight w:val="0"/>
      <w:marTop w:val="0"/>
      <w:marBottom w:val="0"/>
      <w:divBdr>
        <w:top w:val="none" w:sz="0" w:space="0" w:color="auto"/>
        <w:left w:val="none" w:sz="0" w:space="0" w:color="auto"/>
        <w:bottom w:val="none" w:sz="0" w:space="0" w:color="auto"/>
        <w:right w:val="none" w:sz="0" w:space="0" w:color="auto"/>
      </w:divBdr>
    </w:div>
    <w:div w:id="1874657731">
      <w:bodyDiv w:val="1"/>
      <w:marLeft w:val="0"/>
      <w:marRight w:val="0"/>
      <w:marTop w:val="0"/>
      <w:marBottom w:val="0"/>
      <w:divBdr>
        <w:top w:val="none" w:sz="0" w:space="0" w:color="auto"/>
        <w:left w:val="none" w:sz="0" w:space="0" w:color="auto"/>
        <w:bottom w:val="none" w:sz="0" w:space="0" w:color="auto"/>
        <w:right w:val="none" w:sz="0" w:space="0" w:color="auto"/>
      </w:divBdr>
    </w:div>
    <w:div w:id="1875118814">
      <w:bodyDiv w:val="1"/>
      <w:marLeft w:val="0"/>
      <w:marRight w:val="0"/>
      <w:marTop w:val="0"/>
      <w:marBottom w:val="0"/>
      <w:divBdr>
        <w:top w:val="none" w:sz="0" w:space="0" w:color="auto"/>
        <w:left w:val="none" w:sz="0" w:space="0" w:color="auto"/>
        <w:bottom w:val="none" w:sz="0" w:space="0" w:color="auto"/>
        <w:right w:val="none" w:sz="0" w:space="0" w:color="auto"/>
      </w:divBdr>
    </w:div>
    <w:div w:id="1875271219">
      <w:bodyDiv w:val="1"/>
      <w:marLeft w:val="0"/>
      <w:marRight w:val="0"/>
      <w:marTop w:val="0"/>
      <w:marBottom w:val="0"/>
      <w:divBdr>
        <w:top w:val="none" w:sz="0" w:space="0" w:color="auto"/>
        <w:left w:val="none" w:sz="0" w:space="0" w:color="auto"/>
        <w:bottom w:val="none" w:sz="0" w:space="0" w:color="auto"/>
        <w:right w:val="none" w:sz="0" w:space="0" w:color="auto"/>
      </w:divBdr>
    </w:div>
    <w:div w:id="1877422519">
      <w:bodyDiv w:val="1"/>
      <w:marLeft w:val="0"/>
      <w:marRight w:val="0"/>
      <w:marTop w:val="0"/>
      <w:marBottom w:val="0"/>
      <w:divBdr>
        <w:top w:val="none" w:sz="0" w:space="0" w:color="auto"/>
        <w:left w:val="none" w:sz="0" w:space="0" w:color="auto"/>
        <w:bottom w:val="none" w:sz="0" w:space="0" w:color="auto"/>
        <w:right w:val="none" w:sz="0" w:space="0" w:color="auto"/>
      </w:divBdr>
    </w:div>
    <w:div w:id="1879276857">
      <w:bodyDiv w:val="1"/>
      <w:marLeft w:val="0"/>
      <w:marRight w:val="0"/>
      <w:marTop w:val="0"/>
      <w:marBottom w:val="0"/>
      <w:divBdr>
        <w:top w:val="none" w:sz="0" w:space="0" w:color="auto"/>
        <w:left w:val="none" w:sz="0" w:space="0" w:color="auto"/>
        <w:bottom w:val="none" w:sz="0" w:space="0" w:color="auto"/>
        <w:right w:val="none" w:sz="0" w:space="0" w:color="auto"/>
      </w:divBdr>
    </w:div>
    <w:div w:id="1879930661">
      <w:bodyDiv w:val="1"/>
      <w:marLeft w:val="0"/>
      <w:marRight w:val="0"/>
      <w:marTop w:val="0"/>
      <w:marBottom w:val="0"/>
      <w:divBdr>
        <w:top w:val="none" w:sz="0" w:space="0" w:color="auto"/>
        <w:left w:val="none" w:sz="0" w:space="0" w:color="auto"/>
        <w:bottom w:val="none" w:sz="0" w:space="0" w:color="auto"/>
        <w:right w:val="none" w:sz="0" w:space="0" w:color="auto"/>
      </w:divBdr>
    </w:div>
    <w:div w:id="1880244344">
      <w:bodyDiv w:val="1"/>
      <w:marLeft w:val="0"/>
      <w:marRight w:val="0"/>
      <w:marTop w:val="0"/>
      <w:marBottom w:val="0"/>
      <w:divBdr>
        <w:top w:val="none" w:sz="0" w:space="0" w:color="auto"/>
        <w:left w:val="none" w:sz="0" w:space="0" w:color="auto"/>
        <w:bottom w:val="none" w:sz="0" w:space="0" w:color="auto"/>
        <w:right w:val="none" w:sz="0" w:space="0" w:color="auto"/>
      </w:divBdr>
    </w:div>
    <w:div w:id="1880820780">
      <w:bodyDiv w:val="1"/>
      <w:marLeft w:val="0"/>
      <w:marRight w:val="0"/>
      <w:marTop w:val="0"/>
      <w:marBottom w:val="0"/>
      <w:divBdr>
        <w:top w:val="none" w:sz="0" w:space="0" w:color="auto"/>
        <w:left w:val="none" w:sz="0" w:space="0" w:color="auto"/>
        <w:bottom w:val="none" w:sz="0" w:space="0" w:color="auto"/>
        <w:right w:val="none" w:sz="0" w:space="0" w:color="auto"/>
      </w:divBdr>
    </w:div>
    <w:div w:id="1880822199">
      <w:bodyDiv w:val="1"/>
      <w:marLeft w:val="0"/>
      <w:marRight w:val="0"/>
      <w:marTop w:val="0"/>
      <w:marBottom w:val="0"/>
      <w:divBdr>
        <w:top w:val="none" w:sz="0" w:space="0" w:color="auto"/>
        <w:left w:val="none" w:sz="0" w:space="0" w:color="auto"/>
        <w:bottom w:val="none" w:sz="0" w:space="0" w:color="auto"/>
        <w:right w:val="none" w:sz="0" w:space="0" w:color="auto"/>
      </w:divBdr>
    </w:div>
    <w:div w:id="1881086935">
      <w:bodyDiv w:val="1"/>
      <w:marLeft w:val="0"/>
      <w:marRight w:val="0"/>
      <w:marTop w:val="0"/>
      <w:marBottom w:val="0"/>
      <w:divBdr>
        <w:top w:val="none" w:sz="0" w:space="0" w:color="auto"/>
        <w:left w:val="none" w:sz="0" w:space="0" w:color="auto"/>
        <w:bottom w:val="none" w:sz="0" w:space="0" w:color="auto"/>
        <w:right w:val="none" w:sz="0" w:space="0" w:color="auto"/>
      </w:divBdr>
    </w:div>
    <w:div w:id="1881359386">
      <w:bodyDiv w:val="1"/>
      <w:marLeft w:val="0"/>
      <w:marRight w:val="0"/>
      <w:marTop w:val="0"/>
      <w:marBottom w:val="0"/>
      <w:divBdr>
        <w:top w:val="none" w:sz="0" w:space="0" w:color="auto"/>
        <w:left w:val="none" w:sz="0" w:space="0" w:color="auto"/>
        <w:bottom w:val="none" w:sz="0" w:space="0" w:color="auto"/>
        <w:right w:val="none" w:sz="0" w:space="0" w:color="auto"/>
      </w:divBdr>
    </w:div>
    <w:div w:id="1881434831">
      <w:bodyDiv w:val="1"/>
      <w:marLeft w:val="0"/>
      <w:marRight w:val="0"/>
      <w:marTop w:val="0"/>
      <w:marBottom w:val="0"/>
      <w:divBdr>
        <w:top w:val="none" w:sz="0" w:space="0" w:color="auto"/>
        <w:left w:val="none" w:sz="0" w:space="0" w:color="auto"/>
        <w:bottom w:val="none" w:sz="0" w:space="0" w:color="auto"/>
        <w:right w:val="none" w:sz="0" w:space="0" w:color="auto"/>
      </w:divBdr>
    </w:div>
    <w:div w:id="1883010500">
      <w:bodyDiv w:val="1"/>
      <w:marLeft w:val="0"/>
      <w:marRight w:val="0"/>
      <w:marTop w:val="0"/>
      <w:marBottom w:val="0"/>
      <w:divBdr>
        <w:top w:val="none" w:sz="0" w:space="0" w:color="auto"/>
        <w:left w:val="none" w:sz="0" w:space="0" w:color="auto"/>
        <w:bottom w:val="none" w:sz="0" w:space="0" w:color="auto"/>
        <w:right w:val="none" w:sz="0" w:space="0" w:color="auto"/>
      </w:divBdr>
    </w:div>
    <w:div w:id="1884555781">
      <w:bodyDiv w:val="1"/>
      <w:marLeft w:val="0"/>
      <w:marRight w:val="0"/>
      <w:marTop w:val="0"/>
      <w:marBottom w:val="0"/>
      <w:divBdr>
        <w:top w:val="none" w:sz="0" w:space="0" w:color="auto"/>
        <w:left w:val="none" w:sz="0" w:space="0" w:color="auto"/>
        <w:bottom w:val="none" w:sz="0" w:space="0" w:color="auto"/>
        <w:right w:val="none" w:sz="0" w:space="0" w:color="auto"/>
      </w:divBdr>
    </w:div>
    <w:div w:id="1885678357">
      <w:bodyDiv w:val="1"/>
      <w:marLeft w:val="0"/>
      <w:marRight w:val="0"/>
      <w:marTop w:val="0"/>
      <w:marBottom w:val="0"/>
      <w:divBdr>
        <w:top w:val="none" w:sz="0" w:space="0" w:color="auto"/>
        <w:left w:val="none" w:sz="0" w:space="0" w:color="auto"/>
        <w:bottom w:val="none" w:sz="0" w:space="0" w:color="auto"/>
        <w:right w:val="none" w:sz="0" w:space="0" w:color="auto"/>
      </w:divBdr>
    </w:div>
    <w:div w:id="1886217405">
      <w:bodyDiv w:val="1"/>
      <w:marLeft w:val="0"/>
      <w:marRight w:val="0"/>
      <w:marTop w:val="0"/>
      <w:marBottom w:val="0"/>
      <w:divBdr>
        <w:top w:val="none" w:sz="0" w:space="0" w:color="auto"/>
        <w:left w:val="none" w:sz="0" w:space="0" w:color="auto"/>
        <w:bottom w:val="none" w:sz="0" w:space="0" w:color="auto"/>
        <w:right w:val="none" w:sz="0" w:space="0" w:color="auto"/>
      </w:divBdr>
    </w:div>
    <w:div w:id="1886864056">
      <w:bodyDiv w:val="1"/>
      <w:marLeft w:val="0"/>
      <w:marRight w:val="0"/>
      <w:marTop w:val="0"/>
      <w:marBottom w:val="0"/>
      <w:divBdr>
        <w:top w:val="none" w:sz="0" w:space="0" w:color="auto"/>
        <w:left w:val="none" w:sz="0" w:space="0" w:color="auto"/>
        <w:bottom w:val="none" w:sz="0" w:space="0" w:color="auto"/>
        <w:right w:val="none" w:sz="0" w:space="0" w:color="auto"/>
      </w:divBdr>
    </w:div>
    <w:div w:id="1887133264">
      <w:bodyDiv w:val="1"/>
      <w:marLeft w:val="0"/>
      <w:marRight w:val="0"/>
      <w:marTop w:val="0"/>
      <w:marBottom w:val="0"/>
      <w:divBdr>
        <w:top w:val="none" w:sz="0" w:space="0" w:color="auto"/>
        <w:left w:val="none" w:sz="0" w:space="0" w:color="auto"/>
        <w:bottom w:val="none" w:sz="0" w:space="0" w:color="auto"/>
        <w:right w:val="none" w:sz="0" w:space="0" w:color="auto"/>
      </w:divBdr>
    </w:div>
    <w:div w:id="1887519583">
      <w:bodyDiv w:val="1"/>
      <w:marLeft w:val="0"/>
      <w:marRight w:val="0"/>
      <w:marTop w:val="0"/>
      <w:marBottom w:val="0"/>
      <w:divBdr>
        <w:top w:val="none" w:sz="0" w:space="0" w:color="auto"/>
        <w:left w:val="none" w:sz="0" w:space="0" w:color="auto"/>
        <w:bottom w:val="none" w:sz="0" w:space="0" w:color="auto"/>
        <w:right w:val="none" w:sz="0" w:space="0" w:color="auto"/>
      </w:divBdr>
    </w:div>
    <w:div w:id="1888226641">
      <w:bodyDiv w:val="1"/>
      <w:marLeft w:val="0"/>
      <w:marRight w:val="0"/>
      <w:marTop w:val="0"/>
      <w:marBottom w:val="0"/>
      <w:divBdr>
        <w:top w:val="none" w:sz="0" w:space="0" w:color="auto"/>
        <w:left w:val="none" w:sz="0" w:space="0" w:color="auto"/>
        <w:bottom w:val="none" w:sz="0" w:space="0" w:color="auto"/>
        <w:right w:val="none" w:sz="0" w:space="0" w:color="auto"/>
      </w:divBdr>
    </w:div>
    <w:div w:id="1889687793">
      <w:bodyDiv w:val="1"/>
      <w:marLeft w:val="0"/>
      <w:marRight w:val="0"/>
      <w:marTop w:val="0"/>
      <w:marBottom w:val="0"/>
      <w:divBdr>
        <w:top w:val="none" w:sz="0" w:space="0" w:color="auto"/>
        <w:left w:val="none" w:sz="0" w:space="0" w:color="auto"/>
        <w:bottom w:val="none" w:sz="0" w:space="0" w:color="auto"/>
        <w:right w:val="none" w:sz="0" w:space="0" w:color="auto"/>
      </w:divBdr>
    </w:div>
    <w:div w:id="1891259403">
      <w:bodyDiv w:val="1"/>
      <w:marLeft w:val="0"/>
      <w:marRight w:val="0"/>
      <w:marTop w:val="0"/>
      <w:marBottom w:val="0"/>
      <w:divBdr>
        <w:top w:val="none" w:sz="0" w:space="0" w:color="auto"/>
        <w:left w:val="none" w:sz="0" w:space="0" w:color="auto"/>
        <w:bottom w:val="none" w:sz="0" w:space="0" w:color="auto"/>
        <w:right w:val="none" w:sz="0" w:space="0" w:color="auto"/>
      </w:divBdr>
    </w:div>
    <w:div w:id="1892426447">
      <w:bodyDiv w:val="1"/>
      <w:marLeft w:val="0"/>
      <w:marRight w:val="0"/>
      <w:marTop w:val="0"/>
      <w:marBottom w:val="0"/>
      <w:divBdr>
        <w:top w:val="none" w:sz="0" w:space="0" w:color="auto"/>
        <w:left w:val="none" w:sz="0" w:space="0" w:color="auto"/>
        <w:bottom w:val="none" w:sz="0" w:space="0" w:color="auto"/>
        <w:right w:val="none" w:sz="0" w:space="0" w:color="auto"/>
      </w:divBdr>
    </w:div>
    <w:div w:id="1893155986">
      <w:bodyDiv w:val="1"/>
      <w:marLeft w:val="0"/>
      <w:marRight w:val="0"/>
      <w:marTop w:val="0"/>
      <w:marBottom w:val="0"/>
      <w:divBdr>
        <w:top w:val="none" w:sz="0" w:space="0" w:color="auto"/>
        <w:left w:val="none" w:sz="0" w:space="0" w:color="auto"/>
        <w:bottom w:val="none" w:sz="0" w:space="0" w:color="auto"/>
        <w:right w:val="none" w:sz="0" w:space="0" w:color="auto"/>
      </w:divBdr>
    </w:div>
    <w:div w:id="1894198025">
      <w:bodyDiv w:val="1"/>
      <w:marLeft w:val="0"/>
      <w:marRight w:val="0"/>
      <w:marTop w:val="0"/>
      <w:marBottom w:val="0"/>
      <w:divBdr>
        <w:top w:val="none" w:sz="0" w:space="0" w:color="auto"/>
        <w:left w:val="none" w:sz="0" w:space="0" w:color="auto"/>
        <w:bottom w:val="none" w:sz="0" w:space="0" w:color="auto"/>
        <w:right w:val="none" w:sz="0" w:space="0" w:color="auto"/>
      </w:divBdr>
    </w:div>
    <w:div w:id="1897273258">
      <w:bodyDiv w:val="1"/>
      <w:marLeft w:val="0"/>
      <w:marRight w:val="0"/>
      <w:marTop w:val="0"/>
      <w:marBottom w:val="0"/>
      <w:divBdr>
        <w:top w:val="none" w:sz="0" w:space="0" w:color="auto"/>
        <w:left w:val="none" w:sz="0" w:space="0" w:color="auto"/>
        <w:bottom w:val="none" w:sz="0" w:space="0" w:color="auto"/>
        <w:right w:val="none" w:sz="0" w:space="0" w:color="auto"/>
      </w:divBdr>
    </w:div>
    <w:div w:id="1899053638">
      <w:bodyDiv w:val="1"/>
      <w:marLeft w:val="0"/>
      <w:marRight w:val="0"/>
      <w:marTop w:val="0"/>
      <w:marBottom w:val="0"/>
      <w:divBdr>
        <w:top w:val="none" w:sz="0" w:space="0" w:color="auto"/>
        <w:left w:val="none" w:sz="0" w:space="0" w:color="auto"/>
        <w:bottom w:val="none" w:sz="0" w:space="0" w:color="auto"/>
        <w:right w:val="none" w:sz="0" w:space="0" w:color="auto"/>
      </w:divBdr>
    </w:div>
    <w:div w:id="1899437005">
      <w:bodyDiv w:val="1"/>
      <w:marLeft w:val="0"/>
      <w:marRight w:val="0"/>
      <w:marTop w:val="0"/>
      <w:marBottom w:val="0"/>
      <w:divBdr>
        <w:top w:val="none" w:sz="0" w:space="0" w:color="auto"/>
        <w:left w:val="none" w:sz="0" w:space="0" w:color="auto"/>
        <w:bottom w:val="none" w:sz="0" w:space="0" w:color="auto"/>
        <w:right w:val="none" w:sz="0" w:space="0" w:color="auto"/>
      </w:divBdr>
    </w:div>
    <w:div w:id="1899509361">
      <w:bodyDiv w:val="1"/>
      <w:marLeft w:val="0"/>
      <w:marRight w:val="0"/>
      <w:marTop w:val="0"/>
      <w:marBottom w:val="0"/>
      <w:divBdr>
        <w:top w:val="none" w:sz="0" w:space="0" w:color="auto"/>
        <w:left w:val="none" w:sz="0" w:space="0" w:color="auto"/>
        <w:bottom w:val="none" w:sz="0" w:space="0" w:color="auto"/>
        <w:right w:val="none" w:sz="0" w:space="0" w:color="auto"/>
      </w:divBdr>
    </w:div>
    <w:div w:id="1899977229">
      <w:bodyDiv w:val="1"/>
      <w:marLeft w:val="0"/>
      <w:marRight w:val="0"/>
      <w:marTop w:val="0"/>
      <w:marBottom w:val="0"/>
      <w:divBdr>
        <w:top w:val="none" w:sz="0" w:space="0" w:color="auto"/>
        <w:left w:val="none" w:sz="0" w:space="0" w:color="auto"/>
        <w:bottom w:val="none" w:sz="0" w:space="0" w:color="auto"/>
        <w:right w:val="none" w:sz="0" w:space="0" w:color="auto"/>
      </w:divBdr>
    </w:div>
    <w:div w:id="1902597568">
      <w:bodyDiv w:val="1"/>
      <w:marLeft w:val="0"/>
      <w:marRight w:val="0"/>
      <w:marTop w:val="0"/>
      <w:marBottom w:val="0"/>
      <w:divBdr>
        <w:top w:val="none" w:sz="0" w:space="0" w:color="auto"/>
        <w:left w:val="none" w:sz="0" w:space="0" w:color="auto"/>
        <w:bottom w:val="none" w:sz="0" w:space="0" w:color="auto"/>
        <w:right w:val="none" w:sz="0" w:space="0" w:color="auto"/>
      </w:divBdr>
    </w:div>
    <w:div w:id="1902906273">
      <w:bodyDiv w:val="1"/>
      <w:marLeft w:val="0"/>
      <w:marRight w:val="0"/>
      <w:marTop w:val="0"/>
      <w:marBottom w:val="0"/>
      <w:divBdr>
        <w:top w:val="none" w:sz="0" w:space="0" w:color="auto"/>
        <w:left w:val="none" w:sz="0" w:space="0" w:color="auto"/>
        <w:bottom w:val="none" w:sz="0" w:space="0" w:color="auto"/>
        <w:right w:val="none" w:sz="0" w:space="0" w:color="auto"/>
      </w:divBdr>
    </w:div>
    <w:div w:id="1903709552">
      <w:bodyDiv w:val="1"/>
      <w:marLeft w:val="0"/>
      <w:marRight w:val="0"/>
      <w:marTop w:val="0"/>
      <w:marBottom w:val="0"/>
      <w:divBdr>
        <w:top w:val="none" w:sz="0" w:space="0" w:color="auto"/>
        <w:left w:val="none" w:sz="0" w:space="0" w:color="auto"/>
        <w:bottom w:val="none" w:sz="0" w:space="0" w:color="auto"/>
        <w:right w:val="none" w:sz="0" w:space="0" w:color="auto"/>
      </w:divBdr>
    </w:div>
    <w:div w:id="1905752225">
      <w:bodyDiv w:val="1"/>
      <w:marLeft w:val="0"/>
      <w:marRight w:val="0"/>
      <w:marTop w:val="0"/>
      <w:marBottom w:val="0"/>
      <w:divBdr>
        <w:top w:val="none" w:sz="0" w:space="0" w:color="auto"/>
        <w:left w:val="none" w:sz="0" w:space="0" w:color="auto"/>
        <w:bottom w:val="none" w:sz="0" w:space="0" w:color="auto"/>
        <w:right w:val="none" w:sz="0" w:space="0" w:color="auto"/>
      </w:divBdr>
    </w:div>
    <w:div w:id="1905948506">
      <w:bodyDiv w:val="1"/>
      <w:marLeft w:val="0"/>
      <w:marRight w:val="0"/>
      <w:marTop w:val="0"/>
      <w:marBottom w:val="0"/>
      <w:divBdr>
        <w:top w:val="none" w:sz="0" w:space="0" w:color="auto"/>
        <w:left w:val="none" w:sz="0" w:space="0" w:color="auto"/>
        <w:bottom w:val="none" w:sz="0" w:space="0" w:color="auto"/>
        <w:right w:val="none" w:sz="0" w:space="0" w:color="auto"/>
      </w:divBdr>
    </w:div>
    <w:div w:id="1907302510">
      <w:bodyDiv w:val="1"/>
      <w:marLeft w:val="0"/>
      <w:marRight w:val="0"/>
      <w:marTop w:val="0"/>
      <w:marBottom w:val="0"/>
      <w:divBdr>
        <w:top w:val="none" w:sz="0" w:space="0" w:color="auto"/>
        <w:left w:val="none" w:sz="0" w:space="0" w:color="auto"/>
        <w:bottom w:val="none" w:sz="0" w:space="0" w:color="auto"/>
        <w:right w:val="none" w:sz="0" w:space="0" w:color="auto"/>
      </w:divBdr>
    </w:div>
    <w:div w:id="1908030331">
      <w:bodyDiv w:val="1"/>
      <w:marLeft w:val="0"/>
      <w:marRight w:val="0"/>
      <w:marTop w:val="0"/>
      <w:marBottom w:val="0"/>
      <w:divBdr>
        <w:top w:val="none" w:sz="0" w:space="0" w:color="auto"/>
        <w:left w:val="none" w:sz="0" w:space="0" w:color="auto"/>
        <w:bottom w:val="none" w:sz="0" w:space="0" w:color="auto"/>
        <w:right w:val="none" w:sz="0" w:space="0" w:color="auto"/>
      </w:divBdr>
    </w:div>
    <w:div w:id="1908418980">
      <w:bodyDiv w:val="1"/>
      <w:marLeft w:val="0"/>
      <w:marRight w:val="0"/>
      <w:marTop w:val="0"/>
      <w:marBottom w:val="0"/>
      <w:divBdr>
        <w:top w:val="none" w:sz="0" w:space="0" w:color="auto"/>
        <w:left w:val="none" w:sz="0" w:space="0" w:color="auto"/>
        <w:bottom w:val="none" w:sz="0" w:space="0" w:color="auto"/>
        <w:right w:val="none" w:sz="0" w:space="0" w:color="auto"/>
      </w:divBdr>
    </w:div>
    <w:div w:id="1910652134">
      <w:bodyDiv w:val="1"/>
      <w:marLeft w:val="0"/>
      <w:marRight w:val="0"/>
      <w:marTop w:val="0"/>
      <w:marBottom w:val="0"/>
      <w:divBdr>
        <w:top w:val="none" w:sz="0" w:space="0" w:color="auto"/>
        <w:left w:val="none" w:sz="0" w:space="0" w:color="auto"/>
        <w:bottom w:val="none" w:sz="0" w:space="0" w:color="auto"/>
        <w:right w:val="none" w:sz="0" w:space="0" w:color="auto"/>
      </w:divBdr>
    </w:div>
    <w:div w:id="1911110555">
      <w:bodyDiv w:val="1"/>
      <w:marLeft w:val="0"/>
      <w:marRight w:val="0"/>
      <w:marTop w:val="0"/>
      <w:marBottom w:val="0"/>
      <w:divBdr>
        <w:top w:val="none" w:sz="0" w:space="0" w:color="auto"/>
        <w:left w:val="none" w:sz="0" w:space="0" w:color="auto"/>
        <w:bottom w:val="none" w:sz="0" w:space="0" w:color="auto"/>
        <w:right w:val="none" w:sz="0" w:space="0" w:color="auto"/>
      </w:divBdr>
    </w:div>
    <w:div w:id="1913198978">
      <w:bodyDiv w:val="1"/>
      <w:marLeft w:val="0"/>
      <w:marRight w:val="0"/>
      <w:marTop w:val="0"/>
      <w:marBottom w:val="0"/>
      <w:divBdr>
        <w:top w:val="none" w:sz="0" w:space="0" w:color="auto"/>
        <w:left w:val="none" w:sz="0" w:space="0" w:color="auto"/>
        <w:bottom w:val="none" w:sz="0" w:space="0" w:color="auto"/>
        <w:right w:val="none" w:sz="0" w:space="0" w:color="auto"/>
      </w:divBdr>
    </w:div>
    <w:div w:id="1917084056">
      <w:bodyDiv w:val="1"/>
      <w:marLeft w:val="0"/>
      <w:marRight w:val="0"/>
      <w:marTop w:val="0"/>
      <w:marBottom w:val="0"/>
      <w:divBdr>
        <w:top w:val="none" w:sz="0" w:space="0" w:color="auto"/>
        <w:left w:val="none" w:sz="0" w:space="0" w:color="auto"/>
        <w:bottom w:val="none" w:sz="0" w:space="0" w:color="auto"/>
        <w:right w:val="none" w:sz="0" w:space="0" w:color="auto"/>
      </w:divBdr>
    </w:div>
    <w:div w:id="1920600410">
      <w:bodyDiv w:val="1"/>
      <w:marLeft w:val="0"/>
      <w:marRight w:val="0"/>
      <w:marTop w:val="0"/>
      <w:marBottom w:val="0"/>
      <w:divBdr>
        <w:top w:val="none" w:sz="0" w:space="0" w:color="auto"/>
        <w:left w:val="none" w:sz="0" w:space="0" w:color="auto"/>
        <w:bottom w:val="none" w:sz="0" w:space="0" w:color="auto"/>
        <w:right w:val="none" w:sz="0" w:space="0" w:color="auto"/>
      </w:divBdr>
    </w:div>
    <w:div w:id="1922062974">
      <w:bodyDiv w:val="1"/>
      <w:marLeft w:val="0"/>
      <w:marRight w:val="0"/>
      <w:marTop w:val="0"/>
      <w:marBottom w:val="0"/>
      <w:divBdr>
        <w:top w:val="none" w:sz="0" w:space="0" w:color="auto"/>
        <w:left w:val="none" w:sz="0" w:space="0" w:color="auto"/>
        <w:bottom w:val="none" w:sz="0" w:space="0" w:color="auto"/>
        <w:right w:val="none" w:sz="0" w:space="0" w:color="auto"/>
      </w:divBdr>
    </w:div>
    <w:div w:id="1922180151">
      <w:bodyDiv w:val="1"/>
      <w:marLeft w:val="0"/>
      <w:marRight w:val="0"/>
      <w:marTop w:val="0"/>
      <w:marBottom w:val="0"/>
      <w:divBdr>
        <w:top w:val="none" w:sz="0" w:space="0" w:color="auto"/>
        <w:left w:val="none" w:sz="0" w:space="0" w:color="auto"/>
        <w:bottom w:val="none" w:sz="0" w:space="0" w:color="auto"/>
        <w:right w:val="none" w:sz="0" w:space="0" w:color="auto"/>
      </w:divBdr>
    </w:div>
    <w:div w:id="1923487948">
      <w:bodyDiv w:val="1"/>
      <w:marLeft w:val="0"/>
      <w:marRight w:val="0"/>
      <w:marTop w:val="0"/>
      <w:marBottom w:val="0"/>
      <w:divBdr>
        <w:top w:val="none" w:sz="0" w:space="0" w:color="auto"/>
        <w:left w:val="none" w:sz="0" w:space="0" w:color="auto"/>
        <w:bottom w:val="none" w:sz="0" w:space="0" w:color="auto"/>
        <w:right w:val="none" w:sz="0" w:space="0" w:color="auto"/>
      </w:divBdr>
    </w:div>
    <w:div w:id="1923686432">
      <w:bodyDiv w:val="1"/>
      <w:marLeft w:val="0"/>
      <w:marRight w:val="0"/>
      <w:marTop w:val="0"/>
      <w:marBottom w:val="0"/>
      <w:divBdr>
        <w:top w:val="none" w:sz="0" w:space="0" w:color="auto"/>
        <w:left w:val="none" w:sz="0" w:space="0" w:color="auto"/>
        <w:bottom w:val="none" w:sz="0" w:space="0" w:color="auto"/>
        <w:right w:val="none" w:sz="0" w:space="0" w:color="auto"/>
      </w:divBdr>
    </w:div>
    <w:div w:id="1924870307">
      <w:bodyDiv w:val="1"/>
      <w:marLeft w:val="0"/>
      <w:marRight w:val="0"/>
      <w:marTop w:val="0"/>
      <w:marBottom w:val="0"/>
      <w:divBdr>
        <w:top w:val="none" w:sz="0" w:space="0" w:color="auto"/>
        <w:left w:val="none" w:sz="0" w:space="0" w:color="auto"/>
        <w:bottom w:val="none" w:sz="0" w:space="0" w:color="auto"/>
        <w:right w:val="none" w:sz="0" w:space="0" w:color="auto"/>
      </w:divBdr>
    </w:div>
    <w:div w:id="1928272155">
      <w:bodyDiv w:val="1"/>
      <w:marLeft w:val="0"/>
      <w:marRight w:val="0"/>
      <w:marTop w:val="0"/>
      <w:marBottom w:val="0"/>
      <w:divBdr>
        <w:top w:val="none" w:sz="0" w:space="0" w:color="auto"/>
        <w:left w:val="none" w:sz="0" w:space="0" w:color="auto"/>
        <w:bottom w:val="none" w:sz="0" w:space="0" w:color="auto"/>
        <w:right w:val="none" w:sz="0" w:space="0" w:color="auto"/>
      </w:divBdr>
    </w:div>
    <w:div w:id="1928491333">
      <w:bodyDiv w:val="1"/>
      <w:marLeft w:val="0"/>
      <w:marRight w:val="0"/>
      <w:marTop w:val="0"/>
      <w:marBottom w:val="0"/>
      <w:divBdr>
        <w:top w:val="none" w:sz="0" w:space="0" w:color="auto"/>
        <w:left w:val="none" w:sz="0" w:space="0" w:color="auto"/>
        <w:bottom w:val="none" w:sz="0" w:space="0" w:color="auto"/>
        <w:right w:val="none" w:sz="0" w:space="0" w:color="auto"/>
      </w:divBdr>
    </w:div>
    <w:div w:id="1930692510">
      <w:bodyDiv w:val="1"/>
      <w:marLeft w:val="0"/>
      <w:marRight w:val="0"/>
      <w:marTop w:val="0"/>
      <w:marBottom w:val="0"/>
      <w:divBdr>
        <w:top w:val="none" w:sz="0" w:space="0" w:color="auto"/>
        <w:left w:val="none" w:sz="0" w:space="0" w:color="auto"/>
        <w:bottom w:val="none" w:sz="0" w:space="0" w:color="auto"/>
        <w:right w:val="none" w:sz="0" w:space="0" w:color="auto"/>
      </w:divBdr>
    </w:div>
    <w:div w:id="1930888755">
      <w:bodyDiv w:val="1"/>
      <w:marLeft w:val="0"/>
      <w:marRight w:val="0"/>
      <w:marTop w:val="0"/>
      <w:marBottom w:val="0"/>
      <w:divBdr>
        <w:top w:val="none" w:sz="0" w:space="0" w:color="auto"/>
        <w:left w:val="none" w:sz="0" w:space="0" w:color="auto"/>
        <w:bottom w:val="none" w:sz="0" w:space="0" w:color="auto"/>
        <w:right w:val="none" w:sz="0" w:space="0" w:color="auto"/>
      </w:divBdr>
    </w:div>
    <w:div w:id="1931040397">
      <w:bodyDiv w:val="1"/>
      <w:marLeft w:val="0"/>
      <w:marRight w:val="0"/>
      <w:marTop w:val="0"/>
      <w:marBottom w:val="0"/>
      <w:divBdr>
        <w:top w:val="none" w:sz="0" w:space="0" w:color="auto"/>
        <w:left w:val="none" w:sz="0" w:space="0" w:color="auto"/>
        <w:bottom w:val="none" w:sz="0" w:space="0" w:color="auto"/>
        <w:right w:val="none" w:sz="0" w:space="0" w:color="auto"/>
      </w:divBdr>
    </w:div>
    <w:div w:id="1931156008">
      <w:bodyDiv w:val="1"/>
      <w:marLeft w:val="0"/>
      <w:marRight w:val="0"/>
      <w:marTop w:val="0"/>
      <w:marBottom w:val="0"/>
      <w:divBdr>
        <w:top w:val="none" w:sz="0" w:space="0" w:color="auto"/>
        <w:left w:val="none" w:sz="0" w:space="0" w:color="auto"/>
        <w:bottom w:val="none" w:sz="0" w:space="0" w:color="auto"/>
        <w:right w:val="none" w:sz="0" w:space="0" w:color="auto"/>
      </w:divBdr>
    </w:div>
    <w:div w:id="1931424264">
      <w:bodyDiv w:val="1"/>
      <w:marLeft w:val="0"/>
      <w:marRight w:val="0"/>
      <w:marTop w:val="0"/>
      <w:marBottom w:val="0"/>
      <w:divBdr>
        <w:top w:val="none" w:sz="0" w:space="0" w:color="auto"/>
        <w:left w:val="none" w:sz="0" w:space="0" w:color="auto"/>
        <w:bottom w:val="none" w:sz="0" w:space="0" w:color="auto"/>
        <w:right w:val="none" w:sz="0" w:space="0" w:color="auto"/>
      </w:divBdr>
    </w:div>
    <w:div w:id="1932079565">
      <w:bodyDiv w:val="1"/>
      <w:marLeft w:val="0"/>
      <w:marRight w:val="0"/>
      <w:marTop w:val="0"/>
      <w:marBottom w:val="0"/>
      <w:divBdr>
        <w:top w:val="none" w:sz="0" w:space="0" w:color="auto"/>
        <w:left w:val="none" w:sz="0" w:space="0" w:color="auto"/>
        <w:bottom w:val="none" w:sz="0" w:space="0" w:color="auto"/>
        <w:right w:val="none" w:sz="0" w:space="0" w:color="auto"/>
      </w:divBdr>
    </w:div>
    <w:div w:id="1932396012">
      <w:bodyDiv w:val="1"/>
      <w:marLeft w:val="0"/>
      <w:marRight w:val="0"/>
      <w:marTop w:val="0"/>
      <w:marBottom w:val="0"/>
      <w:divBdr>
        <w:top w:val="none" w:sz="0" w:space="0" w:color="auto"/>
        <w:left w:val="none" w:sz="0" w:space="0" w:color="auto"/>
        <w:bottom w:val="none" w:sz="0" w:space="0" w:color="auto"/>
        <w:right w:val="none" w:sz="0" w:space="0" w:color="auto"/>
      </w:divBdr>
    </w:div>
    <w:div w:id="1933004480">
      <w:bodyDiv w:val="1"/>
      <w:marLeft w:val="0"/>
      <w:marRight w:val="0"/>
      <w:marTop w:val="0"/>
      <w:marBottom w:val="0"/>
      <w:divBdr>
        <w:top w:val="none" w:sz="0" w:space="0" w:color="auto"/>
        <w:left w:val="none" w:sz="0" w:space="0" w:color="auto"/>
        <w:bottom w:val="none" w:sz="0" w:space="0" w:color="auto"/>
        <w:right w:val="none" w:sz="0" w:space="0" w:color="auto"/>
      </w:divBdr>
    </w:div>
    <w:div w:id="1934780527">
      <w:bodyDiv w:val="1"/>
      <w:marLeft w:val="0"/>
      <w:marRight w:val="0"/>
      <w:marTop w:val="0"/>
      <w:marBottom w:val="0"/>
      <w:divBdr>
        <w:top w:val="none" w:sz="0" w:space="0" w:color="auto"/>
        <w:left w:val="none" w:sz="0" w:space="0" w:color="auto"/>
        <w:bottom w:val="none" w:sz="0" w:space="0" w:color="auto"/>
        <w:right w:val="none" w:sz="0" w:space="0" w:color="auto"/>
      </w:divBdr>
    </w:div>
    <w:div w:id="1934973276">
      <w:bodyDiv w:val="1"/>
      <w:marLeft w:val="0"/>
      <w:marRight w:val="0"/>
      <w:marTop w:val="0"/>
      <w:marBottom w:val="0"/>
      <w:divBdr>
        <w:top w:val="none" w:sz="0" w:space="0" w:color="auto"/>
        <w:left w:val="none" w:sz="0" w:space="0" w:color="auto"/>
        <w:bottom w:val="none" w:sz="0" w:space="0" w:color="auto"/>
        <w:right w:val="none" w:sz="0" w:space="0" w:color="auto"/>
      </w:divBdr>
    </w:div>
    <w:div w:id="1935480920">
      <w:bodyDiv w:val="1"/>
      <w:marLeft w:val="0"/>
      <w:marRight w:val="0"/>
      <w:marTop w:val="0"/>
      <w:marBottom w:val="0"/>
      <w:divBdr>
        <w:top w:val="none" w:sz="0" w:space="0" w:color="auto"/>
        <w:left w:val="none" w:sz="0" w:space="0" w:color="auto"/>
        <w:bottom w:val="none" w:sz="0" w:space="0" w:color="auto"/>
        <w:right w:val="none" w:sz="0" w:space="0" w:color="auto"/>
      </w:divBdr>
    </w:div>
    <w:div w:id="1935629846">
      <w:bodyDiv w:val="1"/>
      <w:marLeft w:val="0"/>
      <w:marRight w:val="0"/>
      <w:marTop w:val="0"/>
      <w:marBottom w:val="0"/>
      <w:divBdr>
        <w:top w:val="none" w:sz="0" w:space="0" w:color="auto"/>
        <w:left w:val="none" w:sz="0" w:space="0" w:color="auto"/>
        <w:bottom w:val="none" w:sz="0" w:space="0" w:color="auto"/>
        <w:right w:val="none" w:sz="0" w:space="0" w:color="auto"/>
      </w:divBdr>
    </w:div>
    <w:div w:id="1937210535">
      <w:bodyDiv w:val="1"/>
      <w:marLeft w:val="0"/>
      <w:marRight w:val="0"/>
      <w:marTop w:val="0"/>
      <w:marBottom w:val="0"/>
      <w:divBdr>
        <w:top w:val="none" w:sz="0" w:space="0" w:color="auto"/>
        <w:left w:val="none" w:sz="0" w:space="0" w:color="auto"/>
        <w:bottom w:val="none" w:sz="0" w:space="0" w:color="auto"/>
        <w:right w:val="none" w:sz="0" w:space="0" w:color="auto"/>
      </w:divBdr>
    </w:div>
    <w:div w:id="1938634697">
      <w:bodyDiv w:val="1"/>
      <w:marLeft w:val="0"/>
      <w:marRight w:val="0"/>
      <w:marTop w:val="0"/>
      <w:marBottom w:val="0"/>
      <w:divBdr>
        <w:top w:val="none" w:sz="0" w:space="0" w:color="auto"/>
        <w:left w:val="none" w:sz="0" w:space="0" w:color="auto"/>
        <w:bottom w:val="none" w:sz="0" w:space="0" w:color="auto"/>
        <w:right w:val="none" w:sz="0" w:space="0" w:color="auto"/>
      </w:divBdr>
    </w:div>
    <w:div w:id="1938705987">
      <w:bodyDiv w:val="1"/>
      <w:marLeft w:val="0"/>
      <w:marRight w:val="0"/>
      <w:marTop w:val="0"/>
      <w:marBottom w:val="0"/>
      <w:divBdr>
        <w:top w:val="none" w:sz="0" w:space="0" w:color="auto"/>
        <w:left w:val="none" w:sz="0" w:space="0" w:color="auto"/>
        <w:bottom w:val="none" w:sz="0" w:space="0" w:color="auto"/>
        <w:right w:val="none" w:sz="0" w:space="0" w:color="auto"/>
      </w:divBdr>
    </w:div>
    <w:div w:id="1940016388">
      <w:bodyDiv w:val="1"/>
      <w:marLeft w:val="0"/>
      <w:marRight w:val="0"/>
      <w:marTop w:val="0"/>
      <w:marBottom w:val="0"/>
      <w:divBdr>
        <w:top w:val="none" w:sz="0" w:space="0" w:color="auto"/>
        <w:left w:val="none" w:sz="0" w:space="0" w:color="auto"/>
        <w:bottom w:val="none" w:sz="0" w:space="0" w:color="auto"/>
        <w:right w:val="none" w:sz="0" w:space="0" w:color="auto"/>
      </w:divBdr>
    </w:div>
    <w:div w:id="1941717070">
      <w:bodyDiv w:val="1"/>
      <w:marLeft w:val="0"/>
      <w:marRight w:val="0"/>
      <w:marTop w:val="0"/>
      <w:marBottom w:val="0"/>
      <w:divBdr>
        <w:top w:val="none" w:sz="0" w:space="0" w:color="auto"/>
        <w:left w:val="none" w:sz="0" w:space="0" w:color="auto"/>
        <w:bottom w:val="none" w:sz="0" w:space="0" w:color="auto"/>
        <w:right w:val="none" w:sz="0" w:space="0" w:color="auto"/>
      </w:divBdr>
    </w:div>
    <w:div w:id="1941913978">
      <w:bodyDiv w:val="1"/>
      <w:marLeft w:val="0"/>
      <w:marRight w:val="0"/>
      <w:marTop w:val="0"/>
      <w:marBottom w:val="0"/>
      <w:divBdr>
        <w:top w:val="none" w:sz="0" w:space="0" w:color="auto"/>
        <w:left w:val="none" w:sz="0" w:space="0" w:color="auto"/>
        <w:bottom w:val="none" w:sz="0" w:space="0" w:color="auto"/>
        <w:right w:val="none" w:sz="0" w:space="0" w:color="auto"/>
      </w:divBdr>
    </w:div>
    <w:div w:id="1942912366">
      <w:bodyDiv w:val="1"/>
      <w:marLeft w:val="0"/>
      <w:marRight w:val="0"/>
      <w:marTop w:val="0"/>
      <w:marBottom w:val="0"/>
      <w:divBdr>
        <w:top w:val="none" w:sz="0" w:space="0" w:color="auto"/>
        <w:left w:val="none" w:sz="0" w:space="0" w:color="auto"/>
        <w:bottom w:val="none" w:sz="0" w:space="0" w:color="auto"/>
        <w:right w:val="none" w:sz="0" w:space="0" w:color="auto"/>
      </w:divBdr>
    </w:div>
    <w:div w:id="1944996947">
      <w:bodyDiv w:val="1"/>
      <w:marLeft w:val="0"/>
      <w:marRight w:val="0"/>
      <w:marTop w:val="0"/>
      <w:marBottom w:val="0"/>
      <w:divBdr>
        <w:top w:val="none" w:sz="0" w:space="0" w:color="auto"/>
        <w:left w:val="none" w:sz="0" w:space="0" w:color="auto"/>
        <w:bottom w:val="none" w:sz="0" w:space="0" w:color="auto"/>
        <w:right w:val="none" w:sz="0" w:space="0" w:color="auto"/>
      </w:divBdr>
    </w:div>
    <w:div w:id="1946381193">
      <w:bodyDiv w:val="1"/>
      <w:marLeft w:val="0"/>
      <w:marRight w:val="0"/>
      <w:marTop w:val="0"/>
      <w:marBottom w:val="0"/>
      <w:divBdr>
        <w:top w:val="none" w:sz="0" w:space="0" w:color="auto"/>
        <w:left w:val="none" w:sz="0" w:space="0" w:color="auto"/>
        <w:bottom w:val="none" w:sz="0" w:space="0" w:color="auto"/>
        <w:right w:val="none" w:sz="0" w:space="0" w:color="auto"/>
      </w:divBdr>
    </w:div>
    <w:div w:id="1946841021">
      <w:bodyDiv w:val="1"/>
      <w:marLeft w:val="0"/>
      <w:marRight w:val="0"/>
      <w:marTop w:val="0"/>
      <w:marBottom w:val="0"/>
      <w:divBdr>
        <w:top w:val="none" w:sz="0" w:space="0" w:color="auto"/>
        <w:left w:val="none" w:sz="0" w:space="0" w:color="auto"/>
        <w:bottom w:val="none" w:sz="0" w:space="0" w:color="auto"/>
        <w:right w:val="none" w:sz="0" w:space="0" w:color="auto"/>
      </w:divBdr>
    </w:div>
    <w:div w:id="1947888542">
      <w:bodyDiv w:val="1"/>
      <w:marLeft w:val="0"/>
      <w:marRight w:val="0"/>
      <w:marTop w:val="0"/>
      <w:marBottom w:val="0"/>
      <w:divBdr>
        <w:top w:val="none" w:sz="0" w:space="0" w:color="auto"/>
        <w:left w:val="none" w:sz="0" w:space="0" w:color="auto"/>
        <w:bottom w:val="none" w:sz="0" w:space="0" w:color="auto"/>
        <w:right w:val="none" w:sz="0" w:space="0" w:color="auto"/>
      </w:divBdr>
    </w:div>
    <w:div w:id="1948659212">
      <w:bodyDiv w:val="1"/>
      <w:marLeft w:val="0"/>
      <w:marRight w:val="0"/>
      <w:marTop w:val="0"/>
      <w:marBottom w:val="0"/>
      <w:divBdr>
        <w:top w:val="none" w:sz="0" w:space="0" w:color="auto"/>
        <w:left w:val="none" w:sz="0" w:space="0" w:color="auto"/>
        <w:bottom w:val="none" w:sz="0" w:space="0" w:color="auto"/>
        <w:right w:val="none" w:sz="0" w:space="0" w:color="auto"/>
      </w:divBdr>
    </w:div>
    <w:div w:id="1949241380">
      <w:bodyDiv w:val="1"/>
      <w:marLeft w:val="0"/>
      <w:marRight w:val="0"/>
      <w:marTop w:val="0"/>
      <w:marBottom w:val="0"/>
      <w:divBdr>
        <w:top w:val="none" w:sz="0" w:space="0" w:color="auto"/>
        <w:left w:val="none" w:sz="0" w:space="0" w:color="auto"/>
        <w:bottom w:val="none" w:sz="0" w:space="0" w:color="auto"/>
        <w:right w:val="none" w:sz="0" w:space="0" w:color="auto"/>
      </w:divBdr>
    </w:div>
    <w:div w:id="1949434273">
      <w:bodyDiv w:val="1"/>
      <w:marLeft w:val="0"/>
      <w:marRight w:val="0"/>
      <w:marTop w:val="0"/>
      <w:marBottom w:val="0"/>
      <w:divBdr>
        <w:top w:val="none" w:sz="0" w:space="0" w:color="auto"/>
        <w:left w:val="none" w:sz="0" w:space="0" w:color="auto"/>
        <w:bottom w:val="none" w:sz="0" w:space="0" w:color="auto"/>
        <w:right w:val="none" w:sz="0" w:space="0" w:color="auto"/>
      </w:divBdr>
    </w:div>
    <w:div w:id="1950089760">
      <w:bodyDiv w:val="1"/>
      <w:marLeft w:val="0"/>
      <w:marRight w:val="0"/>
      <w:marTop w:val="0"/>
      <w:marBottom w:val="0"/>
      <w:divBdr>
        <w:top w:val="none" w:sz="0" w:space="0" w:color="auto"/>
        <w:left w:val="none" w:sz="0" w:space="0" w:color="auto"/>
        <w:bottom w:val="none" w:sz="0" w:space="0" w:color="auto"/>
        <w:right w:val="none" w:sz="0" w:space="0" w:color="auto"/>
      </w:divBdr>
    </w:div>
    <w:div w:id="1950238761">
      <w:bodyDiv w:val="1"/>
      <w:marLeft w:val="0"/>
      <w:marRight w:val="0"/>
      <w:marTop w:val="0"/>
      <w:marBottom w:val="0"/>
      <w:divBdr>
        <w:top w:val="none" w:sz="0" w:space="0" w:color="auto"/>
        <w:left w:val="none" w:sz="0" w:space="0" w:color="auto"/>
        <w:bottom w:val="none" w:sz="0" w:space="0" w:color="auto"/>
        <w:right w:val="none" w:sz="0" w:space="0" w:color="auto"/>
      </w:divBdr>
    </w:div>
    <w:div w:id="1950358466">
      <w:bodyDiv w:val="1"/>
      <w:marLeft w:val="0"/>
      <w:marRight w:val="0"/>
      <w:marTop w:val="0"/>
      <w:marBottom w:val="0"/>
      <w:divBdr>
        <w:top w:val="none" w:sz="0" w:space="0" w:color="auto"/>
        <w:left w:val="none" w:sz="0" w:space="0" w:color="auto"/>
        <w:bottom w:val="none" w:sz="0" w:space="0" w:color="auto"/>
        <w:right w:val="none" w:sz="0" w:space="0" w:color="auto"/>
      </w:divBdr>
    </w:div>
    <w:div w:id="1951400771">
      <w:bodyDiv w:val="1"/>
      <w:marLeft w:val="0"/>
      <w:marRight w:val="0"/>
      <w:marTop w:val="0"/>
      <w:marBottom w:val="0"/>
      <w:divBdr>
        <w:top w:val="none" w:sz="0" w:space="0" w:color="auto"/>
        <w:left w:val="none" w:sz="0" w:space="0" w:color="auto"/>
        <w:bottom w:val="none" w:sz="0" w:space="0" w:color="auto"/>
        <w:right w:val="none" w:sz="0" w:space="0" w:color="auto"/>
      </w:divBdr>
    </w:div>
    <w:div w:id="1951470182">
      <w:bodyDiv w:val="1"/>
      <w:marLeft w:val="0"/>
      <w:marRight w:val="0"/>
      <w:marTop w:val="0"/>
      <w:marBottom w:val="0"/>
      <w:divBdr>
        <w:top w:val="none" w:sz="0" w:space="0" w:color="auto"/>
        <w:left w:val="none" w:sz="0" w:space="0" w:color="auto"/>
        <w:bottom w:val="none" w:sz="0" w:space="0" w:color="auto"/>
        <w:right w:val="none" w:sz="0" w:space="0" w:color="auto"/>
      </w:divBdr>
    </w:div>
    <w:div w:id="1953050682">
      <w:bodyDiv w:val="1"/>
      <w:marLeft w:val="0"/>
      <w:marRight w:val="0"/>
      <w:marTop w:val="0"/>
      <w:marBottom w:val="0"/>
      <w:divBdr>
        <w:top w:val="none" w:sz="0" w:space="0" w:color="auto"/>
        <w:left w:val="none" w:sz="0" w:space="0" w:color="auto"/>
        <w:bottom w:val="none" w:sz="0" w:space="0" w:color="auto"/>
        <w:right w:val="none" w:sz="0" w:space="0" w:color="auto"/>
      </w:divBdr>
    </w:div>
    <w:div w:id="1953052734">
      <w:bodyDiv w:val="1"/>
      <w:marLeft w:val="0"/>
      <w:marRight w:val="0"/>
      <w:marTop w:val="0"/>
      <w:marBottom w:val="0"/>
      <w:divBdr>
        <w:top w:val="none" w:sz="0" w:space="0" w:color="auto"/>
        <w:left w:val="none" w:sz="0" w:space="0" w:color="auto"/>
        <w:bottom w:val="none" w:sz="0" w:space="0" w:color="auto"/>
        <w:right w:val="none" w:sz="0" w:space="0" w:color="auto"/>
      </w:divBdr>
    </w:div>
    <w:div w:id="1953897927">
      <w:bodyDiv w:val="1"/>
      <w:marLeft w:val="0"/>
      <w:marRight w:val="0"/>
      <w:marTop w:val="0"/>
      <w:marBottom w:val="0"/>
      <w:divBdr>
        <w:top w:val="none" w:sz="0" w:space="0" w:color="auto"/>
        <w:left w:val="none" w:sz="0" w:space="0" w:color="auto"/>
        <w:bottom w:val="none" w:sz="0" w:space="0" w:color="auto"/>
        <w:right w:val="none" w:sz="0" w:space="0" w:color="auto"/>
      </w:divBdr>
    </w:div>
    <w:div w:id="1954512311">
      <w:bodyDiv w:val="1"/>
      <w:marLeft w:val="0"/>
      <w:marRight w:val="0"/>
      <w:marTop w:val="0"/>
      <w:marBottom w:val="0"/>
      <w:divBdr>
        <w:top w:val="none" w:sz="0" w:space="0" w:color="auto"/>
        <w:left w:val="none" w:sz="0" w:space="0" w:color="auto"/>
        <w:bottom w:val="none" w:sz="0" w:space="0" w:color="auto"/>
        <w:right w:val="none" w:sz="0" w:space="0" w:color="auto"/>
      </w:divBdr>
    </w:div>
    <w:div w:id="1954554392">
      <w:bodyDiv w:val="1"/>
      <w:marLeft w:val="0"/>
      <w:marRight w:val="0"/>
      <w:marTop w:val="0"/>
      <w:marBottom w:val="0"/>
      <w:divBdr>
        <w:top w:val="none" w:sz="0" w:space="0" w:color="auto"/>
        <w:left w:val="none" w:sz="0" w:space="0" w:color="auto"/>
        <w:bottom w:val="none" w:sz="0" w:space="0" w:color="auto"/>
        <w:right w:val="none" w:sz="0" w:space="0" w:color="auto"/>
      </w:divBdr>
    </w:div>
    <w:div w:id="1955017571">
      <w:bodyDiv w:val="1"/>
      <w:marLeft w:val="0"/>
      <w:marRight w:val="0"/>
      <w:marTop w:val="0"/>
      <w:marBottom w:val="0"/>
      <w:divBdr>
        <w:top w:val="none" w:sz="0" w:space="0" w:color="auto"/>
        <w:left w:val="none" w:sz="0" w:space="0" w:color="auto"/>
        <w:bottom w:val="none" w:sz="0" w:space="0" w:color="auto"/>
        <w:right w:val="none" w:sz="0" w:space="0" w:color="auto"/>
      </w:divBdr>
    </w:div>
    <w:div w:id="1955095784">
      <w:bodyDiv w:val="1"/>
      <w:marLeft w:val="0"/>
      <w:marRight w:val="0"/>
      <w:marTop w:val="0"/>
      <w:marBottom w:val="0"/>
      <w:divBdr>
        <w:top w:val="none" w:sz="0" w:space="0" w:color="auto"/>
        <w:left w:val="none" w:sz="0" w:space="0" w:color="auto"/>
        <w:bottom w:val="none" w:sz="0" w:space="0" w:color="auto"/>
        <w:right w:val="none" w:sz="0" w:space="0" w:color="auto"/>
      </w:divBdr>
    </w:div>
    <w:div w:id="1956137420">
      <w:bodyDiv w:val="1"/>
      <w:marLeft w:val="0"/>
      <w:marRight w:val="0"/>
      <w:marTop w:val="0"/>
      <w:marBottom w:val="0"/>
      <w:divBdr>
        <w:top w:val="none" w:sz="0" w:space="0" w:color="auto"/>
        <w:left w:val="none" w:sz="0" w:space="0" w:color="auto"/>
        <w:bottom w:val="none" w:sz="0" w:space="0" w:color="auto"/>
        <w:right w:val="none" w:sz="0" w:space="0" w:color="auto"/>
      </w:divBdr>
    </w:div>
    <w:div w:id="1956398879">
      <w:bodyDiv w:val="1"/>
      <w:marLeft w:val="0"/>
      <w:marRight w:val="0"/>
      <w:marTop w:val="0"/>
      <w:marBottom w:val="0"/>
      <w:divBdr>
        <w:top w:val="none" w:sz="0" w:space="0" w:color="auto"/>
        <w:left w:val="none" w:sz="0" w:space="0" w:color="auto"/>
        <w:bottom w:val="none" w:sz="0" w:space="0" w:color="auto"/>
        <w:right w:val="none" w:sz="0" w:space="0" w:color="auto"/>
      </w:divBdr>
    </w:div>
    <w:div w:id="1956671254">
      <w:bodyDiv w:val="1"/>
      <w:marLeft w:val="0"/>
      <w:marRight w:val="0"/>
      <w:marTop w:val="0"/>
      <w:marBottom w:val="0"/>
      <w:divBdr>
        <w:top w:val="none" w:sz="0" w:space="0" w:color="auto"/>
        <w:left w:val="none" w:sz="0" w:space="0" w:color="auto"/>
        <w:bottom w:val="none" w:sz="0" w:space="0" w:color="auto"/>
        <w:right w:val="none" w:sz="0" w:space="0" w:color="auto"/>
      </w:divBdr>
    </w:div>
    <w:div w:id="1956862820">
      <w:bodyDiv w:val="1"/>
      <w:marLeft w:val="0"/>
      <w:marRight w:val="0"/>
      <w:marTop w:val="0"/>
      <w:marBottom w:val="0"/>
      <w:divBdr>
        <w:top w:val="none" w:sz="0" w:space="0" w:color="auto"/>
        <w:left w:val="none" w:sz="0" w:space="0" w:color="auto"/>
        <w:bottom w:val="none" w:sz="0" w:space="0" w:color="auto"/>
        <w:right w:val="none" w:sz="0" w:space="0" w:color="auto"/>
      </w:divBdr>
    </w:div>
    <w:div w:id="1958247187">
      <w:bodyDiv w:val="1"/>
      <w:marLeft w:val="0"/>
      <w:marRight w:val="0"/>
      <w:marTop w:val="0"/>
      <w:marBottom w:val="0"/>
      <w:divBdr>
        <w:top w:val="none" w:sz="0" w:space="0" w:color="auto"/>
        <w:left w:val="none" w:sz="0" w:space="0" w:color="auto"/>
        <w:bottom w:val="none" w:sz="0" w:space="0" w:color="auto"/>
        <w:right w:val="none" w:sz="0" w:space="0" w:color="auto"/>
      </w:divBdr>
    </w:div>
    <w:div w:id="1958372440">
      <w:bodyDiv w:val="1"/>
      <w:marLeft w:val="0"/>
      <w:marRight w:val="0"/>
      <w:marTop w:val="0"/>
      <w:marBottom w:val="0"/>
      <w:divBdr>
        <w:top w:val="none" w:sz="0" w:space="0" w:color="auto"/>
        <w:left w:val="none" w:sz="0" w:space="0" w:color="auto"/>
        <w:bottom w:val="none" w:sz="0" w:space="0" w:color="auto"/>
        <w:right w:val="none" w:sz="0" w:space="0" w:color="auto"/>
      </w:divBdr>
    </w:div>
    <w:div w:id="1958638661">
      <w:bodyDiv w:val="1"/>
      <w:marLeft w:val="0"/>
      <w:marRight w:val="0"/>
      <w:marTop w:val="0"/>
      <w:marBottom w:val="0"/>
      <w:divBdr>
        <w:top w:val="none" w:sz="0" w:space="0" w:color="auto"/>
        <w:left w:val="none" w:sz="0" w:space="0" w:color="auto"/>
        <w:bottom w:val="none" w:sz="0" w:space="0" w:color="auto"/>
        <w:right w:val="none" w:sz="0" w:space="0" w:color="auto"/>
      </w:divBdr>
    </w:div>
    <w:div w:id="1959873943">
      <w:bodyDiv w:val="1"/>
      <w:marLeft w:val="0"/>
      <w:marRight w:val="0"/>
      <w:marTop w:val="0"/>
      <w:marBottom w:val="0"/>
      <w:divBdr>
        <w:top w:val="none" w:sz="0" w:space="0" w:color="auto"/>
        <w:left w:val="none" w:sz="0" w:space="0" w:color="auto"/>
        <w:bottom w:val="none" w:sz="0" w:space="0" w:color="auto"/>
        <w:right w:val="none" w:sz="0" w:space="0" w:color="auto"/>
      </w:divBdr>
    </w:div>
    <w:div w:id="1960185456">
      <w:bodyDiv w:val="1"/>
      <w:marLeft w:val="0"/>
      <w:marRight w:val="0"/>
      <w:marTop w:val="0"/>
      <w:marBottom w:val="0"/>
      <w:divBdr>
        <w:top w:val="none" w:sz="0" w:space="0" w:color="auto"/>
        <w:left w:val="none" w:sz="0" w:space="0" w:color="auto"/>
        <w:bottom w:val="none" w:sz="0" w:space="0" w:color="auto"/>
        <w:right w:val="none" w:sz="0" w:space="0" w:color="auto"/>
      </w:divBdr>
    </w:div>
    <w:div w:id="1960606802">
      <w:bodyDiv w:val="1"/>
      <w:marLeft w:val="0"/>
      <w:marRight w:val="0"/>
      <w:marTop w:val="0"/>
      <w:marBottom w:val="0"/>
      <w:divBdr>
        <w:top w:val="none" w:sz="0" w:space="0" w:color="auto"/>
        <w:left w:val="none" w:sz="0" w:space="0" w:color="auto"/>
        <w:bottom w:val="none" w:sz="0" w:space="0" w:color="auto"/>
        <w:right w:val="none" w:sz="0" w:space="0" w:color="auto"/>
      </w:divBdr>
    </w:div>
    <w:div w:id="1961720743">
      <w:bodyDiv w:val="1"/>
      <w:marLeft w:val="0"/>
      <w:marRight w:val="0"/>
      <w:marTop w:val="0"/>
      <w:marBottom w:val="0"/>
      <w:divBdr>
        <w:top w:val="none" w:sz="0" w:space="0" w:color="auto"/>
        <w:left w:val="none" w:sz="0" w:space="0" w:color="auto"/>
        <w:bottom w:val="none" w:sz="0" w:space="0" w:color="auto"/>
        <w:right w:val="none" w:sz="0" w:space="0" w:color="auto"/>
      </w:divBdr>
    </w:div>
    <w:div w:id="1961842178">
      <w:bodyDiv w:val="1"/>
      <w:marLeft w:val="0"/>
      <w:marRight w:val="0"/>
      <w:marTop w:val="0"/>
      <w:marBottom w:val="0"/>
      <w:divBdr>
        <w:top w:val="none" w:sz="0" w:space="0" w:color="auto"/>
        <w:left w:val="none" w:sz="0" w:space="0" w:color="auto"/>
        <w:bottom w:val="none" w:sz="0" w:space="0" w:color="auto"/>
        <w:right w:val="none" w:sz="0" w:space="0" w:color="auto"/>
      </w:divBdr>
    </w:div>
    <w:div w:id="1961958923">
      <w:bodyDiv w:val="1"/>
      <w:marLeft w:val="0"/>
      <w:marRight w:val="0"/>
      <w:marTop w:val="0"/>
      <w:marBottom w:val="0"/>
      <w:divBdr>
        <w:top w:val="none" w:sz="0" w:space="0" w:color="auto"/>
        <w:left w:val="none" w:sz="0" w:space="0" w:color="auto"/>
        <w:bottom w:val="none" w:sz="0" w:space="0" w:color="auto"/>
        <w:right w:val="none" w:sz="0" w:space="0" w:color="auto"/>
      </w:divBdr>
    </w:div>
    <w:div w:id="1965768919">
      <w:bodyDiv w:val="1"/>
      <w:marLeft w:val="0"/>
      <w:marRight w:val="0"/>
      <w:marTop w:val="0"/>
      <w:marBottom w:val="0"/>
      <w:divBdr>
        <w:top w:val="none" w:sz="0" w:space="0" w:color="auto"/>
        <w:left w:val="none" w:sz="0" w:space="0" w:color="auto"/>
        <w:bottom w:val="none" w:sz="0" w:space="0" w:color="auto"/>
        <w:right w:val="none" w:sz="0" w:space="0" w:color="auto"/>
      </w:divBdr>
    </w:div>
    <w:div w:id="1969050194">
      <w:bodyDiv w:val="1"/>
      <w:marLeft w:val="0"/>
      <w:marRight w:val="0"/>
      <w:marTop w:val="0"/>
      <w:marBottom w:val="0"/>
      <w:divBdr>
        <w:top w:val="none" w:sz="0" w:space="0" w:color="auto"/>
        <w:left w:val="none" w:sz="0" w:space="0" w:color="auto"/>
        <w:bottom w:val="none" w:sz="0" w:space="0" w:color="auto"/>
        <w:right w:val="none" w:sz="0" w:space="0" w:color="auto"/>
      </w:divBdr>
    </w:div>
    <w:div w:id="1970427513">
      <w:bodyDiv w:val="1"/>
      <w:marLeft w:val="0"/>
      <w:marRight w:val="0"/>
      <w:marTop w:val="0"/>
      <w:marBottom w:val="0"/>
      <w:divBdr>
        <w:top w:val="none" w:sz="0" w:space="0" w:color="auto"/>
        <w:left w:val="none" w:sz="0" w:space="0" w:color="auto"/>
        <w:bottom w:val="none" w:sz="0" w:space="0" w:color="auto"/>
        <w:right w:val="none" w:sz="0" w:space="0" w:color="auto"/>
      </w:divBdr>
    </w:div>
    <w:div w:id="1970891528">
      <w:bodyDiv w:val="1"/>
      <w:marLeft w:val="0"/>
      <w:marRight w:val="0"/>
      <w:marTop w:val="0"/>
      <w:marBottom w:val="0"/>
      <w:divBdr>
        <w:top w:val="none" w:sz="0" w:space="0" w:color="auto"/>
        <w:left w:val="none" w:sz="0" w:space="0" w:color="auto"/>
        <w:bottom w:val="none" w:sz="0" w:space="0" w:color="auto"/>
        <w:right w:val="none" w:sz="0" w:space="0" w:color="auto"/>
      </w:divBdr>
    </w:div>
    <w:div w:id="1972246575">
      <w:bodyDiv w:val="1"/>
      <w:marLeft w:val="0"/>
      <w:marRight w:val="0"/>
      <w:marTop w:val="0"/>
      <w:marBottom w:val="0"/>
      <w:divBdr>
        <w:top w:val="none" w:sz="0" w:space="0" w:color="auto"/>
        <w:left w:val="none" w:sz="0" w:space="0" w:color="auto"/>
        <w:bottom w:val="none" w:sz="0" w:space="0" w:color="auto"/>
        <w:right w:val="none" w:sz="0" w:space="0" w:color="auto"/>
      </w:divBdr>
    </w:div>
    <w:div w:id="1977567830">
      <w:bodyDiv w:val="1"/>
      <w:marLeft w:val="0"/>
      <w:marRight w:val="0"/>
      <w:marTop w:val="0"/>
      <w:marBottom w:val="0"/>
      <w:divBdr>
        <w:top w:val="none" w:sz="0" w:space="0" w:color="auto"/>
        <w:left w:val="none" w:sz="0" w:space="0" w:color="auto"/>
        <w:bottom w:val="none" w:sz="0" w:space="0" w:color="auto"/>
        <w:right w:val="none" w:sz="0" w:space="0" w:color="auto"/>
      </w:divBdr>
    </w:div>
    <w:div w:id="1979067749">
      <w:bodyDiv w:val="1"/>
      <w:marLeft w:val="0"/>
      <w:marRight w:val="0"/>
      <w:marTop w:val="0"/>
      <w:marBottom w:val="0"/>
      <w:divBdr>
        <w:top w:val="none" w:sz="0" w:space="0" w:color="auto"/>
        <w:left w:val="none" w:sz="0" w:space="0" w:color="auto"/>
        <w:bottom w:val="none" w:sz="0" w:space="0" w:color="auto"/>
        <w:right w:val="none" w:sz="0" w:space="0" w:color="auto"/>
      </w:divBdr>
    </w:div>
    <w:div w:id="1979410466">
      <w:bodyDiv w:val="1"/>
      <w:marLeft w:val="0"/>
      <w:marRight w:val="0"/>
      <w:marTop w:val="0"/>
      <w:marBottom w:val="0"/>
      <w:divBdr>
        <w:top w:val="none" w:sz="0" w:space="0" w:color="auto"/>
        <w:left w:val="none" w:sz="0" w:space="0" w:color="auto"/>
        <w:bottom w:val="none" w:sz="0" w:space="0" w:color="auto"/>
        <w:right w:val="none" w:sz="0" w:space="0" w:color="auto"/>
      </w:divBdr>
    </w:div>
    <w:div w:id="1979608397">
      <w:bodyDiv w:val="1"/>
      <w:marLeft w:val="0"/>
      <w:marRight w:val="0"/>
      <w:marTop w:val="0"/>
      <w:marBottom w:val="0"/>
      <w:divBdr>
        <w:top w:val="none" w:sz="0" w:space="0" w:color="auto"/>
        <w:left w:val="none" w:sz="0" w:space="0" w:color="auto"/>
        <w:bottom w:val="none" w:sz="0" w:space="0" w:color="auto"/>
        <w:right w:val="none" w:sz="0" w:space="0" w:color="auto"/>
      </w:divBdr>
    </w:div>
    <w:div w:id="1983458309">
      <w:bodyDiv w:val="1"/>
      <w:marLeft w:val="0"/>
      <w:marRight w:val="0"/>
      <w:marTop w:val="0"/>
      <w:marBottom w:val="0"/>
      <w:divBdr>
        <w:top w:val="none" w:sz="0" w:space="0" w:color="auto"/>
        <w:left w:val="none" w:sz="0" w:space="0" w:color="auto"/>
        <w:bottom w:val="none" w:sz="0" w:space="0" w:color="auto"/>
        <w:right w:val="none" w:sz="0" w:space="0" w:color="auto"/>
      </w:divBdr>
    </w:div>
    <w:div w:id="1984773845">
      <w:bodyDiv w:val="1"/>
      <w:marLeft w:val="0"/>
      <w:marRight w:val="0"/>
      <w:marTop w:val="0"/>
      <w:marBottom w:val="0"/>
      <w:divBdr>
        <w:top w:val="none" w:sz="0" w:space="0" w:color="auto"/>
        <w:left w:val="none" w:sz="0" w:space="0" w:color="auto"/>
        <w:bottom w:val="none" w:sz="0" w:space="0" w:color="auto"/>
        <w:right w:val="none" w:sz="0" w:space="0" w:color="auto"/>
      </w:divBdr>
    </w:div>
    <w:div w:id="1985087232">
      <w:bodyDiv w:val="1"/>
      <w:marLeft w:val="0"/>
      <w:marRight w:val="0"/>
      <w:marTop w:val="0"/>
      <w:marBottom w:val="0"/>
      <w:divBdr>
        <w:top w:val="none" w:sz="0" w:space="0" w:color="auto"/>
        <w:left w:val="none" w:sz="0" w:space="0" w:color="auto"/>
        <w:bottom w:val="none" w:sz="0" w:space="0" w:color="auto"/>
        <w:right w:val="none" w:sz="0" w:space="0" w:color="auto"/>
      </w:divBdr>
    </w:div>
    <w:div w:id="1987540005">
      <w:bodyDiv w:val="1"/>
      <w:marLeft w:val="0"/>
      <w:marRight w:val="0"/>
      <w:marTop w:val="0"/>
      <w:marBottom w:val="0"/>
      <w:divBdr>
        <w:top w:val="none" w:sz="0" w:space="0" w:color="auto"/>
        <w:left w:val="none" w:sz="0" w:space="0" w:color="auto"/>
        <w:bottom w:val="none" w:sz="0" w:space="0" w:color="auto"/>
        <w:right w:val="none" w:sz="0" w:space="0" w:color="auto"/>
      </w:divBdr>
    </w:div>
    <w:div w:id="1988052742">
      <w:bodyDiv w:val="1"/>
      <w:marLeft w:val="0"/>
      <w:marRight w:val="0"/>
      <w:marTop w:val="0"/>
      <w:marBottom w:val="0"/>
      <w:divBdr>
        <w:top w:val="none" w:sz="0" w:space="0" w:color="auto"/>
        <w:left w:val="none" w:sz="0" w:space="0" w:color="auto"/>
        <w:bottom w:val="none" w:sz="0" w:space="0" w:color="auto"/>
        <w:right w:val="none" w:sz="0" w:space="0" w:color="auto"/>
      </w:divBdr>
    </w:div>
    <w:div w:id="1991402586">
      <w:bodyDiv w:val="1"/>
      <w:marLeft w:val="0"/>
      <w:marRight w:val="0"/>
      <w:marTop w:val="0"/>
      <w:marBottom w:val="0"/>
      <w:divBdr>
        <w:top w:val="none" w:sz="0" w:space="0" w:color="auto"/>
        <w:left w:val="none" w:sz="0" w:space="0" w:color="auto"/>
        <w:bottom w:val="none" w:sz="0" w:space="0" w:color="auto"/>
        <w:right w:val="none" w:sz="0" w:space="0" w:color="auto"/>
      </w:divBdr>
    </w:div>
    <w:div w:id="1994720660">
      <w:bodyDiv w:val="1"/>
      <w:marLeft w:val="0"/>
      <w:marRight w:val="0"/>
      <w:marTop w:val="0"/>
      <w:marBottom w:val="0"/>
      <w:divBdr>
        <w:top w:val="none" w:sz="0" w:space="0" w:color="auto"/>
        <w:left w:val="none" w:sz="0" w:space="0" w:color="auto"/>
        <w:bottom w:val="none" w:sz="0" w:space="0" w:color="auto"/>
        <w:right w:val="none" w:sz="0" w:space="0" w:color="auto"/>
      </w:divBdr>
    </w:div>
    <w:div w:id="1995143373">
      <w:bodyDiv w:val="1"/>
      <w:marLeft w:val="0"/>
      <w:marRight w:val="0"/>
      <w:marTop w:val="0"/>
      <w:marBottom w:val="0"/>
      <w:divBdr>
        <w:top w:val="none" w:sz="0" w:space="0" w:color="auto"/>
        <w:left w:val="none" w:sz="0" w:space="0" w:color="auto"/>
        <w:bottom w:val="none" w:sz="0" w:space="0" w:color="auto"/>
        <w:right w:val="none" w:sz="0" w:space="0" w:color="auto"/>
      </w:divBdr>
    </w:div>
    <w:div w:id="1998652084">
      <w:bodyDiv w:val="1"/>
      <w:marLeft w:val="0"/>
      <w:marRight w:val="0"/>
      <w:marTop w:val="0"/>
      <w:marBottom w:val="0"/>
      <w:divBdr>
        <w:top w:val="none" w:sz="0" w:space="0" w:color="auto"/>
        <w:left w:val="none" w:sz="0" w:space="0" w:color="auto"/>
        <w:bottom w:val="none" w:sz="0" w:space="0" w:color="auto"/>
        <w:right w:val="none" w:sz="0" w:space="0" w:color="auto"/>
      </w:divBdr>
    </w:div>
    <w:div w:id="2001229595">
      <w:bodyDiv w:val="1"/>
      <w:marLeft w:val="0"/>
      <w:marRight w:val="0"/>
      <w:marTop w:val="0"/>
      <w:marBottom w:val="0"/>
      <w:divBdr>
        <w:top w:val="none" w:sz="0" w:space="0" w:color="auto"/>
        <w:left w:val="none" w:sz="0" w:space="0" w:color="auto"/>
        <w:bottom w:val="none" w:sz="0" w:space="0" w:color="auto"/>
        <w:right w:val="none" w:sz="0" w:space="0" w:color="auto"/>
      </w:divBdr>
    </w:div>
    <w:div w:id="2002076338">
      <w:bodyDiv w:val="1"/>
      <w:marLeft w:val="0"/>
      <w:marRight w:val="0"/>
      <w:marTop w:val="0"/>
      <w:marBottom w:val="0"/>
      <w:divBdr>
        <w:top w:val="none" w:sz="0" w:space="0" w:color="auto"/>
        <w:left w:val="none" w:sz="0" w:space="0" w:color="auto"/>
        <w:bottom w:val="none" w:sz="0" w:space="0" w:color="auto"/>
        <w:right w:val="none" w:sz="0" w:space="0" w:color="auto"/>
      </w:divBdr>
    </w:div>
    <w:div w:id="2002389709">
      <w:bodyDiv w:val="1"/>
      <w:marLeft w:val="0"/>
      <w:marRight w:val="0"/>
      <w:marTop w:val="0"/>
      <w:marBottom w:val="0"/>
      <w:divBdr>
        <w:top w:val="none" w:sz="0" w:space="0" w:color="auto"/>
        <w:left w:val="none" w:sz="0" w:space="0" w:color="auto"/>
        <w:bottom w:val="none" w:sz="0" w:space="0" w:color="auto"/>
        <w:right w:val="none" w:sz="0" w:space="0" w:color="auto"/>
      </w:divBdr>
    </w:div>
    <w:div w:id="2003116248">
      <w:bodyDiv w:val="1"/>
      <w:marLeft w:val="0"/>
      <w:marRight w:val="0"/>
      <w:marTop w:val="0"/>
      <w:marBottom w:val="0"/>
      <w:divBdr>
        <w:top w:val="none" w:sz="0" w:space="0" w:color="auto"/>
        <w:left w:val="none" w:sz="0" w:space="0" w:color="auto"/>
        <w:bottom w:val="none" w:sz="0" w:space="0" w:color="auto"/>
        <w:right w:val="none" w:sz="0" w:space="0" w:color="auto"/>
      </w:divBdr>
    </w:div>
    <w:div w:id="2003584204">
      <w:bodyDiv w:val="1"/>
      <w:marLeft w:val="0"/>
      <w:marRight w:val="0"/>
      <w:marTop w:val="0"/>
      <w:marBottom w:val="0"/>
      <w:divBdr>
        <w:top w:val="none" w:sz="0" w:space="0" w:color="auto"/>
        <w:left w:val="none" w:sz="0" w:space="0" w:color="auto"/>
        <w:bottom w:val="none" w:sz="0" w:space="0" w:color="auto"/>
        <w:right w:val="none" w:sz="0" w:space="0" w:color="auto"/>
      </w:divBdr>
    </w:div>
    <w:div w:id="2004357038">
      <w:bodyDiv w:val="1"/>
      <w:marLeft w:val="0"/>
      <w:marRight w:val="0"/>
      <w:marTop w:val="0"/>
      <w:marBottom w:val="0"/>
      <w:divBdr>
        <w:top w:val="none" w:sz="0" w:space="0" w:color="auto"/>
        <w:left w:val="none" w:sz="0" w:space="0" w:color="auto"/>
        <w:bottom w:val="none" w:sz="0" w:space="0" w:color="auto"/>
        <w:right w:val="none" w:sz="0" w:space="0" w:color="auto"/>
      </w:divBdr>
    </w:div>
    <w:div w:id="2004776677">
      <w:bodyDiv w:val="1"/>
      <w:marLeft w:val="0"/>
      <w:marRight w:val="0"/>
      <w:marTop w:val="0"/>
      <w:marBottom w:val="0"/>
      <w:divBdr>
        <w:top w:val="none" w:sz="0" w:space="0" w:color="auto"/>
        <w:left w:val="none" w:sz="0" w:space="0" w:color="auto"/>
        <w:bottom w:val="none" w:sz="0" w:space="0" w:color="auto"/>
        <w:right w:val="none" w:sz="0" w:space="0" w:color="auto"/>
      </w:divBdr>
    </w:div>
    <w:div w:id="2007392551">
      <w:bodyDiv w:val="1"/>
      <w:marLeft w:val="0"/>
      <w:marRight w:val="0"/>
      <w:marTop w:val="0"/>
      <w:marBottom w:val="0"/>
      <w:divBdr>
        <w:top w:val="none" w:sz="0" w:space="0" w:color="auto"/>
        <w:left w:val="none" w:sz="0" w:space="0" w:color="auto"/>
        <w:bottom w:val="none" w:sz="0" w:space="0" w:color="auto"/>
        <w:right w:val="none" w:sz="0" w:space="0" w:color="auto"/>
      </w:divBdr>
    </w:div>
    <w:div w:id="2007435325">
      <w:bodyDiv w:val="1"/>
      <w:marLeft w:val="0"/>
      <w:marRight w:val="0"/>
      <w:marTop w:val="0"/>
      <w:marBottom w:val="0"/>
      <w:divBdr>
        <w:top w:val="none" w:sz="0" w:space="0" w:color="auto"/>
        <w:left w:val="none" w:sz="0" w:space="0" w:color="auto"/>
        <w:bottom w:val="none" w:sz="0" w:space="0" w:color="auto"/>
        <w:right w:val="none" w:sz="0" w:space="0" w:color="auto"/>
      </w:divBdr>
    </w:div>
    <w:div w:id="2007702312">
      <w:bodyDiv w:val="1"/>
      <w:marLeft w:val="0"/>
      <w:marRight w:val="0"/>
      <w:marTop w:val="0"/>
      <w:marBottom w:val="0"/>
      <w:divBdr>
        <w:top w:val="none" w:sz="0" w:space="0" w:color="auto"/>
        <w:left w:val="none" w:sz="0" w:space="0" w:color="auto"/>
        <w:bottom w:val="none" w:sz="0" w:space="0" w:color="auto"/>
        <w:right w:val="none" w:sz="0" w:space="0" w:color="auto"/>
      </w:divBdr>
    </w:div>
    <w:div w:id="2009014939">
      <w:bodyDiv w:val="1"/>
      <w:marLeft w:val="0"/>
      <w:marRight w:val="0"/>
      <w:marTop w:val="0"/>
      <w:marBottom w:val="0"/>
      <w:divBdr>
        <w:top w:val="none" w:sz="0" w:space="0" w:color="auto"/>
        <w:left w:val="none" w:sz="0" w:space="0" w:color="auto"/>
        <w:bottom w:val="none" w:sz="0" w:space="0" w:color="auto"/>
        <w:right w:val="none" w:sz="0" w:space="0" w:color="auto"/>
      </w:divBdr>
    </w:div>
    <w:div w:id="2009091446">
      <w:bodyDiv w:val="1"/>
      <w:marLeft w:val="0"/>
      <w:marRight w:val="0"/>
      <w:marTop w:val="0"/>
      <w:marBottom w:val="0"/>
      <w:divBdr>
        <w:top w:val="none" w:sz="0" w:space="0" w:color="auto"/>
        <w:left w:val="none" w:sz="0" w:space="0" w:color="auto"/>
        <w:bottom w:val="none" w:sz="0" w:space="0" w:color="auto"/>
        <w:right w:val="none" w:sz="0" w:space="0" w:color="auto"/>
      </w:divBdr>
    </w:div>
    <w:div w:id="2009364200">
      <w:bodyDiv w:val="1"/>
      <w:marLeft w:val="0"/>
      <w:marRight w:val="0"/>
      <w:marTop w:val="0"/>
      <w:marBottom w:val="0"/>
      <w:divBdr>
        <w:top w:val="none" w:sz="0" w:space="0" w:color="auto"/>
        <w:left w:val="none" w:sz="0" w:space="0" w:color="auto"/>
        <w:bottom w:val="none" w:sz="0" w:space="0" w:color="auto"/>
        <w:right w:val="none" w:sz="0" w:space="0" w:color="auto"/>
      </w:divBdr>
    </w:div>
    <w:div w:id="2009818961">
      <w:bodyDiv w:val="1"/>
      <w:marLeft w:val="0"/>
      <w:marRight w:val="0"/>
      <w:marTop w:val="0"/>
      <w:marBottom w:val="0"/>
      <w:divBdr>
        <w:top w:val="none" w:sz="0" w:space="0" w:color="auto"/>
        <w:left w:val="none" w:sz="0" w:space="0" w:color="auto"/>
        <w:bottom w:val="none" w:sz="0" w:space="0" w:color="auto"/>
        <w:right w:val="none" w:sz="0" w:space="0" w:color="auto"/>
      </w:divBdr>
    </w:div>
    <w:div w:id="2011371311">
      <w:bodyDiv w:val="1"/>
      <w:marLeft w:val="0"/>
      <w:marRight w:val="0"/>
      <w:marTop w:val="0"/>
      <w:marBottom w:val="0"/>
      <w:divBdr>
        <w:top w:val="none" w:sz="0" w:space="0" w:color="auto"/>
        <w:left w:val="none" w:sz="0" w:space="0" w:color="auto"/>
        <w:bottom w:val="none" w:sz="0" w:space="0" w:color="auto"/>
        <w:right w:val="none" w:sz="0" w:space="0" w:color="auto"/>
      </w:divBdr>
    </w:div>
    <w:div w:id="2011516182">
      <w:bodyDiv w:val="1"/>
      <w:marLeft w:val="0"/>
      <w:marRight w:val="0"/>
      <w:marTop w:val="0"/>
      <w:marBottom w:val="0"/>
      <w:divBdr>
        <w:top w:val="none" w:sz="0" w:space="0" w:color="auto"/>
        <w:left w:val="none" w:sz="0" w:space="0" w:color="auto"/>
        <w:bottom w:val="none" w:sz="0" w:space="0" w:color="auto"/>
        <w:right w:val="none" w:sz="0" w:space="0" w:color="auto"/>
      </w:divBdr>
    </w:div>
    <w:div w:id="2013291354">
      <w:bodyDiv w:val="1"/>
      <w:marLeft w:val="0"/>
      <w:marRight w:val="0"/>
      <w:marTop w:val="0"/>
      <w:marBottom w:val="0"/>
      <w:divBdr>
        <w:top w:val="none" w:sz="0" w:space="0" w:color="auto"/>
        <w:left w:val="none" w:sz="0" w:space="0" w:color="auto"/>
        <w:bottom w:val="none" w:sz="0" w:space="0" w:color="auto"/>
        <w:right w:val="none" w:sz="0" w:space="0" w:color="auto"/>
      </w:divBdr>
    </w:div>
    <w:div w:id="2013680645">
      <w:bodyDiv w:val="1"/>
      <w:marLeft w:val="0"/>
      <w:marRight w:val="0"/>
      <w:marTop w:val="0"/>
      <w:marBottom w:val="0"/>
      <w:divBdr>
        <w:top w:val="none" w:sz="0" w:space="0" w:color="auto"/>
        <w:left w:val="none" w:sz="0" w:space="0" w:color="auto"/>
        <w:bottom w:val="none" w:sz="0" w:space="0" w:color="auto"/>
        <w:right w:val="none" w:sz="0" w:space="0" w:color="auto"/>
      </w:divBdr>
    </w:div>
    <w:div w:id="2014601522">
      <w:bodyDiv w:val="1"/>
      <w:marLeft w:val="0"/>
      <w:marRight w:val="0"/>
      <w:marTop w:val="0"/>
      <w:marBottom w:val="0"/>
      <w:divBdr>
        <w:top w:val="none" w:sz="0" w:space="0" w:color="auto"/>
        <w:left w:val="none" w:sz="0" w:space="0" w:color="auto"/>
        <w:bottom w:val="none" w:sz="0" w:space="0" w:color="auto"/>
        <w:right w:val="none" w:sz="0" w:space="0" w:color="auto"/>
      </w:divBdr>
    </w:div>
    <w:div w:id="2016880752">
      <w:bodyDiv w:val="1"/>
      <w:marLeft w:val="0"/>
      <w:marRight w:val="0"/>
      <w:marTop w:val="0"/>
      <w:marBottom w:val="0"/>
      <w:divBdr>
        <w:top w:val="none" w:sz="0" w:space="0" w:color="auto"/>
        <w:left w:val="none" w:sz="0" w:space="0" w:color="auto"/>
        <w:bottom w:val="none" w:sz="0" w:space="0" w:color="auto"/>
        <w:right w:val="none" w:sz="0" w:space="0" w:color="auto"/>
      </w:divBdr>
    </w:div>
    <w:div w:id="2017684499">
      <w:bodyDiv w:val="1"/>
      <w:marLeft w:val="0"/>
      <w:marRight w:val="0"/>
      <w:marTop w:val="0"/>
      <w:marBottom w:val="0"/>
      <w:divBdr>
        <w:top w:val="none" w:sz="0" w:space="0" w:color="auto"/>
        <w:left w:val="none" w:sz="0" w:space="0" w:color="auto"/>
        <w:bottom w:val="none" w:sz="0" w:space="0" w:color="auto"/>
        <w:right w:val="none" w:sz="0" w:space="0" w:color="auto"/>
      </w:divBdr>
    </w:div>
    <w:div w:id="2019112910">
      <w:bodyDiv w:val="1"/>
      <w:marLeft w:val="0"/>
      <w:marRight w:val="0"/>
      <w:marTop w:val="0"/>
      <w:marBottom w:val="0"/>
      <w:divBdr>
        <w:top w:val="none" w:sz="0" w:space="0" w:color="auto"/>
        <w:left w:val="none" w:sz="0" w:space="0" w:color="auto"/>
        <w:bottom w:val="none" w:sz="0" w:space="0" w:color="auto"/>
        <w:right w:val="none" w:sz="0" w:space="0" w:color="auto"/>
      </w:divBdr>
    </w:div>
    <w:div w:id="2020422533">
      <w:bodyDiv w:val="1"/>
      <w:marLeft w:val="0"/>
      <w:marRight w:val="0"/>
      <w:marTop w:val="0"/>
      <w:marBottom w:val="0"/>
      <w:divBdr>
        <w:top w:val="none" w:sz="0" w:space="0" w:color="auto"/>
        <w:left w:val="none" w:sz="0" w:space="0" w:color="auto"/>
        <w:bottom w:val="none" w:sz="0" w:space="0" w:color="auto"/>
        <w:right w:val="none" w:sz="0" w:space="0" w:color="auto"/>
      </w:divBdr>
    </w:div>
    <w:div w:id="2021201042">
      <w:bodyDiv w:val="1"/>
      <w:marLeft w:val="0"/>
      <w:marRight w:val="0"/>
      <w:marTop w:val="0"/>
      <w:marBottom w:val="0"/>
      <w:divBdr>
        <w:top w:val="none" w:sz="0" w:space="0" w:color="auto"/>
        <w:left w:val="none" w:sz="0" w:space="0" w:color="auto"/>
        <w:bottom w:val="none" w:sz="0" w:space="0" w:color="auto"/>
        <w:right w:val="none" w:sz="0" w:space="0" w:color="auto"/>
      </w:divBdr>
    </w:div>
    <w:div w:id="2021740531">
      <w:bodyDiv w:val="1"/>
      <w:marLeft w:val="0"/>
      <w:marRight w:val="0"/>
      <w:marTop w:val="0"/>
      <w:marBottom w:val="0"/>
      <w:divBdr>
        <w:top w:val="none" w:sz="0" w:space="0" w:color="auto"/>
        <w:left w:val="none" w:sz="0" w:space="0" w:color="auto"/>
        <w:bottom w:val="none" w:sz="0" w:space="0" w:color="auto"/>
        <w:right w:val="none" w:sz="0" w:space="0" w:color="auto"/>
      </w:divBdr>
    </w:div>
    <w:div w:id="2023899522">
      <w:bodyDiv w:val="1"/>
      <w:marLeft w:val="0"/>
      <w:marRight w:val="0"/>
      <w:marTop w:val="0"/>
      <w:marBottom w:val="0"/>
      <w:divBdr>
        <w:top w:val="none" w:sz="0" w:space="0" w:color="auto"/>
        <w:left w:val="none" w:sz="0" w:space="0" w:color="auto"/>
        <w:bottom w:val="none" w:sz="0" w:space="0" w:color="auto"/>
        <w:right w:val="none" w:sz="0" w:space="0" w:color="auto"/>
      </w:divBdr>
    </w:div>
    <w:div w:id="2027052820">
      <w:bodyDiv w:val="1"/>
      <w:marLeft w:val="0"/>
      <w:marRight w:val="0"/>
      <w:marTop w:val="0"/>
      <w:marBottom w:val="0"/>
      <w:divBdr>
        <w:top w:val="none" w:sz="0" w:space="0" w:color="auto"/>
        <w:left w:val="none" w:sz="0" w:space="0" w:color="auto"/>
        <w:bottom w:val="none" w:sz="0" w:space="0" w:color="auto"/>
        <w:right w:val="none" w:sz="0" w:space="0" w:color="auto"/>
      </w:divBdr>
    </w:div>
    <w:div w:id="2027519342">
      <w:bodyDiv w:val="1"/>
      <w:marLeft w:val="0"/>
      <w:marRight w:val="0"/>
      <w:marTop w:val="0"/>
      <w:marBottom w:val="0"/>
      <w:divBdr>
        <w:top w:val="none" w:sz="0" w:space="0" w:color="auto"/>
        <w:left w:val="none" w:sz="0" w:space="0" w:color="auto"/>
        <w:bottom w:val="none" w:sz="0" w:space="0" w:color="auto"/>
        <w:right w:val="none" w:sz="0" w:space="0" w:color="auto"/>
      </w:divBdr>
    </w:div>
    <w:div w:id="2029208704">
      <w:bodyDiv w:val="1"/>
      <w:marLeft w:val="0"/>
      <w:marRight w:val="0"/>
      <w:marTop w:val="0"/>
      <w:marBottom w:val="0"/>
      <w:divBdr>
        <w:top w:val="none" w:sz="0" w:space="0" w:color="auto"/>
        <w:left w:val="none" w:sz="0" w:space="0" w:color="auto"/>
        <w:bottom w:val="none" w:sz="0" w:space="0" w:color="auto"/>
        <w:right w:val="none" w:sz="0" w:space="0" w:color="auto"/>
      </w:divBdr>
    </w:div>
    <w:div w:id="2029679605">
      <w:bodyDiv w:val="1"/>
      <w:marLeft w:val="0"/>
      <w:marRight w:val="0"/>
      <w:marTop w:val="0"/>
      <w:marBottom w:val="0"/>
      <w:divBdr>
        <w:top w:val="none" w:sz="0" w:space="0" w:color="auto"/>
        <w:left w:val="none" w:sz="0" w:space="0" w:color="auto"/>
        <w:bottom w:val="none" w:sz="0" w:space="0" w:color="auto"/>
        <w:right w:val="none" w:sz="0" w:space="0" w:color="auto"/>
      </w:divBdr>
    </w:div>
    <w:div w:id="2032107032">
      <w:bodyDiv w:val="1"/>
      <w:marLeft w:val="0"/>
      <w:marRight w:val="0"/>
      <w:marTop w:val="0"/>
      <w:marBottom w:val="0"/>
      <w:divBdr>
        <w:top w:val="none" w:sz="0" w:space="0" w:color="auto"/>
        <w:left w:val="none" w:sz="0" w:space="0" w:color="auto"/>
        <w:bottom w:val="none" w:sz="0" w:space="0" w:color="auto"/>
        <w:right w:val="none" w:sz="0" w:space="0" w:color="auto"/>
      </w:divBdr>
    </w:div>
    <w:div w:id="2032755855">
      <w:bodyDiv w:val="1"/>
      <w:marLeft w:val="0"/>
      <w:marRight w:val="0"/>
      <w:marTop w:val="0"/>
      <w:marBottom w:val="0"/>
      <w:divBdr>
        <w:top w:val="none" w:sz="0" w:space="0" w:color="auto"/>
        <w:left w:val="none" w:sz="0" w:space="0" w:color="auto"/>
        <w:bottom w:val="none" w:sz="0" w:space="0" w:color="auto"/>
        <w:right w:val="none" w:sz="0" w:space="0" w:color="auto"/>
      </w:divBdr>
    </w:div>
    <w:div w:id="2033604772">
      <w:bodyDiv w:val="1"/>
      <w:marLeft w:val="0"/>
      <w:marRight w:val="0"/>
      <w:marTop w:val="0"/>
      <w:marBottom w:val="0"/>
      <w:divBdr>
        <w:top w:val="none" w:sz="0" w:space="0" w:color="auto"/>
        <w:left w:val="none" w:sz="0" w:space="0" w:color="auto"/>
        <w:bottom w:val="none" w:sz="0" w:space="0" w:color="auto"/>
        <w:right w:val="none" w:sz="0" w:space="0" w:color="auto"/>
      </w:divBdr>
    </w:div>
    <w:div w:id="2034532112">
      <w:bodyDiv w:val="1"/>
      <w:marLeft w:val="0"/>
      <w:marRight w:val="0"/>
      <w:marTop w:val="0"/>
      <w:marBottom w:val="0"/>
      <w:divBdr>
        <w:top w:val="none" w:sz="0" w:space="0" w:color="auto"/>
        <w:left w:val="none" w:sz="0" w:space="0" w:color="auto"/>
        <w:bottom w:val="none" w:sz="0" w:space="0" w:color="auto"/>
        <w:right w:val="none" w:sz="0" w:space="0" w:color="auto"/>
      </w:divBdr>
    </w:div>
    <w:div w:id="2035883853">
      <w:bodyDiv w:val="1"/>
      <w:marLeft w:val="0"/>
      <w:marRight w:val="0"/>
      <w:marTop w:val="0"/>
      <w:marBottom w:val="0"/>
      <w:divBdr>
        <w:top w:val="none" w:sz="0" w:space="0" w:color="auto"/>
        <w:left w:val="none" w:sz="0" w:space="0" w:color="auto"/>
        <w:bottom w:val="none" w:sz="0" w:space="0" w:color="auto"/>
        <w:right w:val="none" w:sz="0" w:space="0" w:color="auto"/>
      </w:divBdr>
    </w:div>
    <w:div w:id="2036693582">
      <w:bodyDiv w:val="1"/>
      <w:marLeft w:val="0"/>
      <w:marRight w:val="0"/>
      <w:marTop w:val="0"/>
      <w:marBottom w:val="0"/>
      <w:divBdr>
        <w:top w:val="none" w:sz="0" w:space="0" w:color="auto"/>
        <w:left w:val="none" w:sz="0" w:space="0" w:color="auto"/>
        <w:bottom w:val="none" w:sz="0" w:space="0" w:color="auto"/>
        <w:right w:val="none" w:sz="0" w:space="0" w:color="auto"/>
      </w:divBdr>
    </w:div>
    <w:div w:id="2036733609">
      <w:bodyDiv w:val="1"/>
      <w:marLeft w:val="0"/>
      <w:marRight w:val="0"/>
      <w:marTop w:val="0"/>
      <w:marBottom w:val="0"/>
      <w:divBdr>
        <w:top w:val="none" w:sz="0" w:space="0" w:color="auto"/>
        <w:left w:val="none" w:sz="0" w:space="0" w:color="auto"/>
        <w:bottom w:val="none" w:sz="0" w:space="0" w:color="auto"/>
        <w:right w:val="none" w:sz="0" w:space="0" w:color="auto"/>
      </w:divBdr>
    </w:div>
    <w:div w:id="2036735521">
      <w:bodyDiv w:val="1"/>
      <w:marLeft w:val="0"/>
      <w:marRight w:val="0"/>
      <w:marTop w:val="0"/>
      <w:marBottom w:val="0"/>
      <w:divBdr>
        <w:top w:val="none" w:sz="0" w:space="0" w:color="auto"/>
        <w:left w:val="none" w:sz="0" w:space="0" w:color="auto"/>
        <w:bottom w:val="none" w:sz="0" w:space="0" w:color="auto"/>
        <w:right w:val="none" w:sz="0" w:space="0" w:color="auto"/>
      </w:divBdr>
    </w:div>
    <w:div w:id="2037269763">
      <w:bodyDiv w:val="1"/>
      <w:marLeft w:val="0"/>
      <w:marRight w:val="0"/>
      <w:marTop w:val="0"/>
      <w:marBottom w:val="0"/>
      <w:divBdr>
        <w:top w:val="none" w:sz="0" w:space="0" w:color="auto"/>
        <w:left w:val="none" w:sz="0" w:space="0" w:color="auto"/>
        <w:bottom w:val="none" w:sz="0" w:space="0" w:color="auto"/>
        <w:right w:val="none" w:sz="0" w:space="0" w:color="auto"/>
      </w:divBdr>
    </w:div>
    <w:div w:id="2037730061">
      <w:bodyDiv w:val="1"/>
      <w:marLeft w:val="0"/>
      <w:marRight w:val="0"/>
      <w:marTop w:val="0"/>
      <w:marBottom w:val="0"/>
      <w:divBdr>
        <w:top w:val="none" w:sz="0" w:space="0" w:color="auto"/>
        <w:left w:val="none" w:sz="0" w:space="0" w:color="auto"/>
        <w:bottom w:val="none" w:sz="0" w:space="0" w:color="auto"/>
        <w:right w:val="none" w:sz="0" w:space="0" w:color="auto"/>
      </w:divBdr>
    </w:div>
    <w:div w:id="2037928361">
      <w:bodyDiv w:val="1"/>
      <w:marLeft w:val="0"/>
      <w:marRight w:val="0"/>
      <w:marTop w:val="0"/>
      <w:marBottom w:val="0"/>
      <w:divBdr>
        <w:top w:val="none" w:sz="0" w:space="0" w:color="auto"/>
        <w:left w:val="none" w:sz="0" w:space="0" w:color="auto"/>
        <w:bottom w:val="none" w:sz="0" w:space="0" w:color="auto"/>
        <w:right w:val="none" w:sz="0" w:space="0" w:color="auto"/>
      </w:divBdr>
    </w:div>
    <w:div w:id="2038463689">
      <w:bodyDiv w:val="1"/>
      <w:marLeft w:val="0"/>
      <w:marRight w:val="0"/>
      <w:marTop w:val="0"/>
      <w:marBottom w:val="0"/>
      <w:divBdr>
        <w:top w:val="none" w:sz="0" w:space="0" w:color="auto"/>
        <w:left w:val="none" w:sz="0" w:space="0" w:color="auto"/>
        <w:bottom w:val="none" w:sz="0" w:space="0" w:color="auto"/>
        <w:right w:val="none" w:sz="0" w:space="0" w:color="auto"/>
      </w:divBdr>
    </w:div>
    <w:div w:id="2039113466">
      <w:bodyDiv w:val="1"/>
      <w:marLeft w:val="0"/>
      <w:marRight w:val="0"/>
      <w:marTop w:val="0"/>
      <w:marBottom w:val="0"/>
      <w:divBdr>
        <w:top w:val="none" w:sz="0" w:space="0" w:color="auto"/>
        <w:left w:val="none" w:sz="0" w:space="0" w:color="auto"/>
        <w:bottom w:val="none" w:sz="0" w:space="0" w:color="auto"/>
        <w:right w:val="none" w:sz="0" w:space="0" w:color="auto"/>
      </w:divBdr>
    </w:div>
    <w:div w:id="2039308580">
      <w:bodyDiv w:val="1"/>
      <w:marLeft w:val="0"/>
      <w:marRight w:val="0"/>
      <w:marTop w:val="0"/>
      <w:marBottom w:val="0"/>
      <w:divBdr>
        <w:top w:val="none" w:sz="0" w:space="0" w:color="auto"/>
        <w:left w:val="none" w:sz="0" w:space="0" w:color="auto"/>
        <w:bottom w:val="none" w:sz="0" w:space="0" w:color="auto"/>
        <w:right w:val="none" w:sz="0" w:space="0" w:color="auto"/>
      </w:divBdr>
    </w:div>
    <w:div w:id="2039894654">
      <w:bodyDiv w:val="1"/>
      <w:marLeft w:val="0"/>
      <w:marRight w:val="0"/>
      <w:marTop w:val="0"/>
      <w:marBottom w:val="0"/>
      <w:divBdr>
        <w:top w:val="none" w:sz="0" w:space="0" w:color="auto"/>
        <w:left w:val="none" w:sz="0" w:space="0" w:color="auto"/>
        <w:bottom w:val="none" w:sz="0" w:space="0" w:color="auto"/>
        <w:right w:val="none" w:sz="0" w:space="0" w:color="auto"/>
      </w:divBdr>
    </w:div>
    <w:div w:id="2040081825">
      <w:bodyDiv w:val="1"/>
      <w:marLeft w:val="0"/>
      <w:marRight w:val="0"/>
      <w:marTop w:val="0"/>
      <w:marBottom w:val="0"/>
      <w:divBdr>
        <w:top w:val="none" w:sz="0" w:space="0" w:color="auto"/>
        <w:left w:val="none" w:sz="0" w:space="0" w:color="auto"/>
        <w:bottom w:val="none" w:sz="0" w:space="0" w:color="auto"/>
        <w:right w:val="none" w:sz="0" w:space="0" w:color="auto"/>
      </w:divBdr>
    </w:div>
    <w:div w:id="2040467993">
      <w:bodyDiv w:val="1"/>
      <w:marLeft w:val="0"/>
      <w:marRight w:val="0"/>
      <w:marTop w:val="0"/>
      <w:marBottom w:val="0"/>
      <w:divBdr>
        <w:top w:val="none" w:sz="0" w:space="0" w:color="auto"/>
        <w:left w:val="none" w:sz="0" w:space="0" w:color="auto"/>
        <w:bottom w:val="none" w:sz="0" w:space="0" w:color="auto"/>
        <w:right w:val="none" w:sz="0" w:space="0" w:color="auto"/>
      </w:divBdr>
    </w:div>
    <w:div w:id="2041395080">
      <w:bodyDiv w:val="1"/>
      <w:marLeft w:val="0"/>
      <w:marRight w:val="0"/>
      <w:marTop w:val="0"/>
      <w:marBottom w:val="0"/>
      <w:divBdr>
        <w:top w:val="none" w:sz="0" w:space="0" w:color="auto"/>
        <w:left w:val="none" w:sz="0" w:space="0" w:color="auto"/>
        <w:bottom w:val="none" w:sz="0" w:space="0" w:color="auto"/>
        <w:right w:val="none" w:sz="0" w:space="0" w:color="auto"/>
      </w:divBdr>
    </w:div>
    <w:div w:id="2041663359">
      <w:bodyDiv w:val="1"/>
      <w:marLeft w:val="0"/>
      <w:marRight w:val="0"/>
      <w:marTop w:val="0"/>
      <w:marBottom w:val="0"/>
      <w:divBdr>
        <w:top w:val="none" w:sz="0" w:space="0" w:color="auto"/>
        <w:left w:val="none" w:sz="0" w:space="0" w:color="auto"/>
        <w:bottom w:val="none" w:sz="0" w:space="0" w:color="auto"/>
        <w:right w:val="none" w:sz="0" w:space="0" w:color="auto"/>
      </w:divBdr>
    </w:div>
    <w:div w:id="2043241261">
      <w:bodyDiv w:val="1"/>
      <w:marLeft w:val="0"/>
      <w:marRight w:val="0"/>
      <w:marTop w:val="0"/>
      <w:marBottom w:val="0"/>
      <w:divBdr>
        <w:top w:val="none" w:sz="0" w:space="0" w:color="auto"/>
        <w:left w:val="none" w:sz="0" w:space="0" w:color="auto"/>
        <w:bottom w:val="none" w:sz="0" w:space="0" w:color="auto"/>
        <w:right w:val="none" w:sz="0" w:space="0" w:color="auto"/>
      </w:divBdr>
    </w:div>
    <w:div w:id="2043944080">
      <w:bodyDiv w:val="1"/>
      <w:marLeft w:val="0"/>
      <w:marRight w:val="0"/>
      <w:marTop w:val="0"/>
      <w:marBottom w:val="0"/>
      <w:divBdr>
        <w:top w:val="none" w:sz="0" w:space="0" w:color="auto"/>
        <w:left w:val="none" w:sz="0" w:space="0" w:color="auto"/>
        <w:bottom w:val="none" w:sz="0" w:space="0" w:color="auto"/>
        <w:right w:val="none" w:sz="0" w:space="0" w:color="auto"/>
      </w:divBdr>
    </w:div>
    <w:div w:id="2045903283">
      <w:bodyDiv w:val="1"/>
      <w:marLeft w:val="0"/>
      <w:marRight w:val="0"/>
      <w:marTop w:val="0"/>
      <w:marBottom w:val="0"/>
      <w:divBdr>
        <w:top w:val="none" w:sz="0" w:space="0" w:color="auto"/>
        <w:left w:val="none" w:sz="0" w:space="0" w:color="auto"/>
        <w:bottom w:val="none" w:sz="0" w:space="0" w:color="auto"/>
        <w:right w:val="none" w:sz="0" w:space="0" w:color="auto"/>
      </w:divBdr>
    </w:div>
    <w:div w:id="2047607293">
      <w:bodyDiv w:val="1"/>
      <w:marLeft w:val="0"/>
      <w:marRight w:val="0"/>
      <w:marTop w:val="0"/>
      <w:marBottom w:val="0"/>
      <w:divBdr>
        <w:top w:val="none" w:sz="0" w:space="0" w:color="auto"/>
        <w:left w:val="none" w:sz="0" w:space="0" w:color="auto"/>
        <w:bottom w:val="none" w:sz="0" w:space="0" w:color="auto"/>
        <w:right w:val="none" w:sz="0" w:space="0" w:color="auto"/>
      </w:divBdr>
    </w:div>
    <w:div w:id="2048674650">
      <w:bodyDiv w:val="1"/>
      <w:marLeft w:val="0"/>
      <w:marRight w:val="0"/>
      <w:marTop w:val="0"/>
      <w:marBottom w:val="0"/>
      <w:divBdr>
        <w:top w:val="none" w:sz="0" w:space="0" w:color="auto"/>
        <w:left w:val="none" w:sz="0" w:space="0" w:color="auto"/>
        <w:bottom w:val="none" w:sz="0" w:space="0" w:color="auto"/>
        <w:right w:val="none" w:sz="0" w:space="0" w:color="auto"/>
      </w:divBdr>
    </w:div>
    <w:div w:id="2049648127">
      <w:bodyDiv w:val="1"/>
      <w:marLeft w:val="0"/>
      <w:marRight w:val="0"/>
      <w:marTop w:val="0"/>
      <w:marBottom w:val="0"/>
      <w:divBdr>
        <w:top w:val="none" w:sz="0" w:space="0" w:color="auto"/>
        <w:left w:val="none" w:sz="0" w:space="0" w:color="auto"/>
        <w:bottom w:val="none" w:sz="0" w:space="0" w:color="auto"/>
        <w:right w:val="none" w:sz="0" w:space="0" w:color="auto"/>
      </w:divBdr>
    </w:div>
    <w:div w:id="2050180056">
      <w:bodyDiv w:val="1"/>
      <w:marLeft w:val="0"/>
      <w:marRight w:val="0"/>
      <w:marTop w:val="0"/>
      <w:marBottom w:val="0"/>
      <w:divBdr>
        <w:top w:val="none" w:sz="0" w:space="0" w:color="auto"/>
        <w:left w:val="none" w:sz="0" w:space="0" w:color="auto"/>
        <w:bottom w:val="none" w:sz="0" w:space="0" w:color="auto"/>
        <w:right w:val="none" w:sz="0" w:space="0" w:color="auto"/>
      </w:divBdr>
    </w:div>
    <w:div w:id="2050371668">
      <w:bodyDiv w:val="1"/>
      <w:marLeft w:val="0"/>
      <w:marRight w:val="0"/>
      <w:marTop w:val="0"/>
      <w:marBottom w:val="0"/>
      <w:divBdr>
        <w:top w:val="none" w:sz="0" w:space="0" w:color="auto"/>
        <w:left w:val="none" w:sz="0" w:space="0" w:color="auto"/>
        <w:bottom w:val="none" w:sz="0" w:space="0" w:color="auto"/>
        <w:right w:val="none" w:sz="0" w:space="0" w:color="auto"/>
      </w:divBdr>
    </w:div>
    <w:div w:id="2050454195">
      <w:bodyDiv w:val="1"/>
      <w:marLeft w:val="0"/>
      <w:marRight w:val="0"/>
      <w:marTop w:val="0"/>
      <w:marBottom w:val="0"/>
      <w:divBdr>
        <w:top w:val="none" w:sz="0" w:space="0" w:color="auto"/>
        <w:left w:val="none" w:sz="0" w:space="0" w:color="auto"/>
        <w:bottom w:val="none" w:sz="0" w:space="0" w:color="auto"/>
        <w:right w:val="none" w:sz="0" w:space="0" w:color="auto"/>
      </w:divBdr>
    </w:div>
    <w:div w:id="2051027582">
      <w:bodyDiv w:val="1"/>
      <w:marLeft w:val="0"/>
      <w:marRight w:val="0"/>
      <w:marTop w:val="0"/>
      <w:marBottom w:val="0"/>
      <w:divBdr>
        <w:top w:val="none" w:sz="0" w:space="0" w:color="auto"/>
        <w:left w:val="none" w:sz="0" w:space="0" w:color="auto"/>
        <w:bottom w:val="none" w:sz="0" w:space="0" w:color="auto"/>
        <w:right w:val="none" w:sz="0" w:space="0" w:color="auto"/>
      </w:divBdr>
    </w:div>
    <w:div w:id="2054302153">
      <w:bodyDiv w:val="1"/>
      <w:marLeft w:val="0"/>
      <w:marRight w:val="0"/>
      <w:marTop w:val="0"/>
      <w:marBottom w:val="0"/>
      <w:divBdr>
        <w:top w:val="none" w:sz="0" w:space="0" w:color="auto"/>
        <w:left w:val="none" w:sz="0" w:space="0" w:color="auto"/>
        <w:bottom w:val="none" w:sz="0" w:space="0" w:color="auto"/>
        <w:right w:val="none" w:sz="0" w:space="0" w:color="auto"/>
      </w:divBdr>
    </w:div>
    <w:div w:id="2056077057">
      <w:bodyDiv w:val="1"/>
      <w:marLeft w:val="0"/>
      <w:marRight w:val="0"/>
      <w:marTop w:val="0"/>
      <w:marBottom w:val="0"/>
      <w:divBdr>
        <w:top w:val="none" w:sz="0" w:space="0" w:color="auto"/>
        <w:left w:val="none" w:sz="0" w:space="0" w:color="auto"/>
        <w:bottom w:val="none" w:sz="0" w:space="0" w:color="auto"/>
        <w:right w:val="none" w:sz="0" w:space="0" w:color="auto"/>
      </w:divBdr>
    </w:div>
    <w:div w:id="2057075555">
      <w:bodyDiv w:val="1"/>
      <w:marLeft w:val="0"/>
      <w:marRight w:val="0"/>
      <w:marTop w:val="0"/>
      <w:marBottom w:val="0"/>
      <w:divBdr>
        <w:top w:val="none" w:sz="0" w:space="0" w:color="auto"/>
        <w:left w:val="none" w:sz="0" w:space="0" w:color="auto"/>
        <w:bottom w:val="none" w:sz="0" w:space="0" w:color="auto"/>
        <w:right w:val="none" w:sz="0" w:space="0" w:color="auto"/>
      </w:divBdr>
    </w:div>
    <w:div w:id="2057774719">
      <w:bodyDiv w:val="1"/>
      <w:marLeft w:val="0"/>
      <w:marRight w:val="0"/>
      <w:marTop w:val="0"/>
      <w:marBottom w:val="0"/>
      <w:divBdr>
        <w:top w:val="none" w:sz="0" w:space="0" w:color="auto"/>
        <w:left w:val="none" w:sz="0" w:space="0" w:color="auto"/>
        <w:bottom w:val="none" w:sz="0" w:space="0" w:color="auto"/>
        <w:right w:val="none" w:sz="0" w:space="0" w:color="auto"/>
      </w:divBdr>
    </w:div>
    <w:div w:id="2058625959">
      <w:bodyDiv w:val="1"/>
      <w:marLeft w:val="0"/>
      <w:marRight w:val="0"/>
      <w:marTop w:val="0"/>
      <w:marBottom w:val="0"/>
      <w:divBdr>
        <w:top w:val="none" w:sz="0" w:space="0" w:color="auto"/>
        <w:left w:val="none" w:sz="0" w:space="0" w:color="auto"/>
        <w:bottom w:val="none" w:sz="0" w:space="0" w:color="auto"/>
        <w:right w:val="none" w:sz="0" w:space="0" w:color="auto"/>
      </w:divBdr>
    </w:div>
    <w:div w:id="2058816301">
      <w:bodyDiv w:val="1"/>
      <w:marLeft w:val="0"/>
      <w:marRight w:val="0"/>
      <w:marTop w:val="0"/>
      <w:marBottom w:val="0"/>
      <w:divBdr>
        <w:top w:val="none" w:sz="0" w:space="0" w:color="auto"/>
        <w:left w:val="none" w:sz="0" w:space="0" w:color="auto"/>
        <w:bottom w:val="none" w:sz="0" w:space="0" w:color="auto"/>
        <w:right w:val="none" w:sz="0" w:space="0" w:color="auto"/>
      </w:divBdr>
    </w:div>
    <w:div w:id="2059207601">
      <w:bodyDiv w:val="1"/>
      <w:marLeft w:val="0"/>
      <w:marRight w:val="0"/>
      <w:marTop w:val="0"/>
      <w:marBottom w:val="0"/>
      <w:divBdr>
        <w:top w:val="none" w:sz="0" w:space="0" w:color="auto"/>
        <w:left w:val="none" w:sz="0" w:space="0" w:color="auto"/>
        <w:bottom w:val="none" w:sz="0" w:space="0" w:color="auto"/>
        <w:right w:val="none" w:sz="0" w:space="0" w:color="auto"/>
      </w:divBdr>
    </w:div>
    <w:div w:id="2061319856">
      <w:bodyDiv w:val="1"/>
      <w:marLeft w:val="0"/>
      <w:marRight w:val="0"/>
      <w:marTop w:val="0"/>
      <w:marBottom w:val="0"/>
      <w:divBdr>
        <w:top w:val="none" w:sz="0" w:space="0" w:color="auto"/>
        <w:left w:val="none" w:sz="0" w:space="0" w:color="auto"/>
        <w:bottom w:val="none" w:sz="0" w:space="0" w:color="auto"/>
        <w:right w:val="none" w:sz="0" w:space="0" w:color="auto"/>
      </w:divBdr>
    </w:div>
    <w:div w:id="2062946626">
      <w:bodyDiv w:val="1"/>
      <w:marLeft w:val="0"/>
      <w:marRight w:val="0"/>
      <w:marTop w:val="0"/>
      <w:marBottom w:val="0"/>
      <w:divBdr>
        <w:top w:val="none" w:sz="0" w:space="0" w:color="auto"/>
        <w:left w:val="none" w:sz="0" w:space="0" w:color="auto"/>
        <w:bottom w:val="none" w:sz="0" w:space="0" w:color="auto"/>
        <w:right w:val="none" w:sz="0" w:space="0" w:color="auto"/>
      </w:divBdr>
    </w:div>
    <w:div w:id="2063213283">
      <w:bodyDiv w:val="1"/>
      <w:marLeft w:val="0"/>
      <w:marRight w:val="0"/>
      <w:marTop w:val="0"/>
      <w:marBottom w:val="0"/>
      <w:divBdr>
        <w:top w:val="none" w:sz="0" w:space="0" w:color="auto"/>
        <w:left w:val="none" w:sz="0" w:space="0" w:color="auto"/>
        <w:bottom w:val="none" w:sz="0" w:space="0" w:color="auto"/>
        <w:right w:val="none" w:sz="0" w:space="0" w:color="auto"/>
      </w:divBdr>
    </w:div>
    <w:div w:id="2065792526">
      <w:bodyDiv w:val="1"/>
      <w:marLeft w:val="0"/>
      <w:marRight w:val="0"/>
      <w:marTop w:val="0"/>
      <w:marBottom w:val="0"/>
      <w:divBdr>
        <w:top w:val="none" w:sz="0" w:space="0" w:color="auto"/>
        <w:left w:val="none" w:sz="0" w:space="0" w:color="auto"/>
        <w:bottom w:val="none" w:sz="0" w:space="0" w:color="auto"/>
        <w:right w:val="none" w:sz="0" w:space="0" w:color="auto"/>
      </w:divBdr>
    </w:div>
    <w:div w:id="2066298579">
      <w:bodyDiv w:val="1"/>
      <w:marLeft w:val="0"/>
      <w:marRight w:val="0"/>
      <w:marTop w:val="0"/>
      <w:marBottom w:val="0"/>
      <w:divBdr>
        <w:top w:val="none" w:sz="0" w:space="0" w:color="auto"/>
        <w:left w:val="none" w:sz="0" w:space="0" w:color="auto"/>
        <w:bottom w:val="none" w:sz="0" w:space="0" w:color="auto"/>
        <w:right w:val="none" w:sz="0" w:space="0" w:color="auto"/>
      </w:divBdr>
    </w:div>
    <w:div w:id="2066639341">
      <w:bodyDiv w:val="1"/>
      <w:marLeft w:val="0"/>
      <w:marRight w:val="0"/>
      <w:marTop w:val="0"/>
      <w:marBottom w:val="0"/>
      <w:divBdr>
        <w:top w:val="none" w:sz="0" w:space="0" w:color="auto"/>
        <w:left w:val="none" w:sz="0" w:space="0" w:color="auto"/>
        <w:bottom w:val="none" w:sz="0" w:space="0" w:color="auto"/>
        <w:right w:val="none" w:sz="0" w:space="0" w:color="auto"/>
      </w:divBdr>
    </w:div>
    <w:div w:id="2067336704">
      <w:bodyDiv w:val="1"/>
      <w:marLeft w:val="0"/>
      <w:marRight w:val="0"/>
      <w:marTop w:val="0"/>
      <w:marBottom w:val="0"/>
      <w:divBdr>
        <w:top w:val="none" w:sz="0" w:space="0" w:color="auto"/>
        <w:left w:val="none" w:sz="0" w:space="0" w:color="auto"/>
        <w:bottom w:val="none" w:sz="0" w:space="0" w:color="auto"/>
        <w:right w:val="none" w:sz="0" w:space="0" w:color="auto"/>
      </w:divBdr>
    </w:div>
    <w:div w:id="2068456589">
      <w:bodyDiv w:val="1"/>
      <w:marLeft w:val="0"/>
      <w:marRight w:val="0"/>
      <w:marTop w:val="0"/>
      <w:marBottom w:val="0"/>
      <w:divBdr>
        <w:top w:val="none" w:sz="0" w:space="0" w:color="auto"/>
        <w:left w:val="none" w:sz="0" w:space="0" w:color="auto"/>
        <w:bottom w:val="none" w:sz="0" w:space="0" w:color="auto"/>
        <w:right w:val="none" w:sz="0" w:space="0" w:color="auto"/>
      </w:divBdr>
    </w:div>
    <w:div w:id="2069331737">
      <w:bodyDiv w:val="1"/>
      <w:marLeft w:val="0"/>
      <w:marRight w:val="0"/>
      <w:marTop w:val="0"/>
      <w:marBottom w:val="0"/>
      <w:divBdr>
        <w:top w:val="none" w:sz="0" w:space="0" w:color="auto"/>
        <w:left w:val="none" w:sz="0" w:space="0" w:color="auto"/>
        <w:bottom w:val="none" w:sz="0" w:space="0" w:color="auto"/>
        <w:right w:val="none" w:sz="0" w:space="0" w:color="auto"/>
      </w:divBdr>
    </w:div>
    <w:div w:id="2070420878">
      <w:bodyDiv w:val="1"/>
      <w:marLeft w:val="0"/>
      <w:marRight w:val="0"/>
      <w:marTop w:val="0"/>
      <w:marBottom w:val="0"/>
      <w:divBdr>
        <w:top w:val="none" w:sz="0" w:space="0" w:color="auto"/>
        <w:left w:val="none" w:sz="0" w:space="0" w:color="auto"/>
        <w:bottom w:val="none" w:sz="0" w:space="0" w:color="auto"/>
        <w:right w:val="none" w:sz="0" w:space="0" w:color="auto"/>
      </w:divBdr>
    </w:div>
    <w:div w:id="2070491265">
      <w:bodyDiv w:val="1"/>
      <w:marLeft w:val="0"/>
      <w:marRight w:val="0"/>
      <w:marTop w:val="0"/>
      <w:marBottom w:val="0"/>
      <w:divBdr>
        <w:top w:val="none" w:sz="0" w:space="0" w:color="auto"/>
        <w:left w:val="none" w:sz="0" w:space="0" w:color="auto"/>
        <w:bottom w:val="none" w:sz="0" w:space="0" w:color="auto"/>
        <w:right w:val="none" w:sz="0" w:space="0" w:color="auto"/>
      </w:divBdr>
    </w:div>
    <w:div w:id="2073231500">
      <w:bodyDiv w:val="1"/>
      <w:marLeft w:val="0"/>
      <w:marRight w:val="0"/>
      <w:marTop w:val="0"/>
      <w:marBottom w:val="0"/>
      <w:divBdr>
        <w:top w:val="none" w:sz="0" w:space="0" w:color="auto"/>
        <w:left w:val="none" w:sz="0" w:space="0" w:color="auto"/>
        <w:bottom w:val="none" w:sz="0" w:space="0" w:color="auto"/>
        <w:right w:val="none" w:sz="0" w:space="0" w:color="auto"/>
      </w:divBdr>
    </w:div>
    <w:div w:id="2073308176">
      <w:bodyDiv w:val="1"/>
      <w:marLeft w:val="0"/>
      <w:marRight w:val="0"/>
      <w:marTop w:val="0"/>
      <w:marBottom w:val="0"/>
      <w:divBdr>
        <w:top w:val="none" w:sz="0" w:space="0" w:color="auto"/>
        <w:left w:val="none" w:sz="0" w:space="0" w:color="auto"/>
        <w:bottom w:val="none" w:sz="0" w:space="0" w:color="auto"/>
        <w:right w:val="none" w:sz="0" w:space="0" w:color="auto"/>
      </w:divBdr>
    </w:div>
    <w:div w:id="2074039444">
      <w:bodyDiv w:val="1"/>
      <w:marLeft w:val="0"/>
      <w:marRight w:val="0"/>
      <w:marTop w:val="0"/>
      <w:marBottom w:val="0"/>
      <w:divBdr>
        <w:top w:val="none" w:sz="0" w:space="0" w:color="auto"/>
        <w:left w:val="none" w:sz="0" w:space="0" w:color="auto"/>
        <w:bottom w:val="none" w:sz="0" w:space="0" w:color="auto"/>
        <w:right w:val="none" w:sz="0" w:space="0" w:color="auto"/>
      </w:divBdr>
    </w:div>
    <w:div w:id="2074308409">
      <w:bodyDiv w:val="1"/>
      <w:marLeft w:val="0"/>
      <w:marRight w:val="0"/>
      <w:marTop w:val="0"/>
      <w:marBottom w:val="0"/>
      <w:divBdr>
        <w:top w:val="none" w:sz="0" w:space="0" w:color="auto"/>
        <w:left w:val="none" w:sz="0" w:space="0" w:color="auto"/>
        <w:bottom w:val="none" w:sz="0" w:space="0" w:color="auto"/>
        <w:right w:val="none" w:sz="0" w:space="0" w:color="auto"/>
      </w:divBdr>
    </w:div>
    <w:div w:id="2074352221">
      <w:bodyDiv w:val="1"/>
      <w:marLeft w:val="0"/>
      <w:marRight w:val="0"/>
      <w:marTop w:val="0"/>
      <w:marBottom w:val="0"/>
      <w:divBdr>
        <w:top w:val="none" w:sz="0" w:space="0" w:color="auto"/>
        <w:left w:val="none" w:sz="0" w:space="0" w:color="auto"/>
        <w:bottom w:val="none" w:sz="0" w:space="0" w:color="auto"/>
        <w:right w:val="none" w:sz="0" w:space="0" w:color="auto"/>
      </w:divBdr>
    </w:div>
    <w:div w:id="2074766888">
      <w:bodyDiv w:val="1"/>
      <w:marLeft w:val="0"/>
      <w:marRight w:val="0"/>
      <w:marTop w:val="0"/>
      <w:marBottom w:val="0"/>
      <w:divBdr>
        <w:top w:val="none" w:sz="0" w:space="0" w:color="auto"/>
        <w:left w:val="none" w:sz="0" w:space="0" w:color="auto"/>
        <w:bottom w:val="none" w:sz="0" w:space="0" w:color="auto"/>
        <w:right w:val="none" w:sz="0" w:space="0" w:color="auto"/>
      </w:divBdr>
    </w:div>
    <w:div w:id="2074769269">
      <w:bodyDiv w:val="1"/>
      <w:marLeft w:val="0"/>
      <w:marRight w:val="0"/>
      <w:marTop w:val="0"/>
      <w:marBottom w:val="0"/>
      <w:divBdr>
        <w:top w:val="none" w:sz="0" w:space="0" w:color="auto"/>
        <w:left w:val="none" w:sz="0" w:space="0" w:color="auto"/>
        <w:bottom w:val="none" w:sz="0" w:space="0" w:color="auto"/>
        <w:right w:val="none" w:sz="0" w:space="0" w:color="auto"/>
      </w:divBdr>
    </w:div>
    <w:div w:id="2076388399">
      <w:bodyDiv w:val="1"/>
      <w:marLeft w:val="0"/>
      <w:marRight w:val="0"/>
      <w:marTop w:val="0"/>
      <w:marBottom w:val="0"/>
      <w:divBdr>
        <w:top w:val="none" w:sz="0" w:space="0" w:color="auto"/>
        <w:left w:val="none" w:sz="0" w:space="0" w:color="auto"/>
        <w:bottom w:val="none" w:sz="0" w:space="0" w:color="auto"/>
        <w:right w:val="none" w:sz="0" w:space="0" w:color="auto"/>
      </w:divBdr>
    </w:div>
    <w:div w:id="2077504750">
      <w:bodyDiv w:val="1"/>
      <w:marLeft w:val="0"/>
      <w:marRight w:val="0"/>
      <w:marTop w:val="0"/>
      <w:marBottom w:val="0"/>
      <w:divBdr>
        <w:top w:val="none" w:sz="0" w:space="0" w:color="auto"/>
        <w:left w:val="none" w:sz="0" w:space="0" w:color="auto"/>
        <w:bottom w:val="none" w:sz="0" w:space="0" w:color="auto"/>
        <w:right w:val="none" w:sz="0" w:space="0" w:color="auto"/>
      </w:divBdr>
    </w:div>
    <w:div w:id="2078435879">
      <w:bodyDiv w:val="1"/>
      <w:marLeft w:val="0"/>
      <w:marRight w:val="0"/>
      <w:marTop w:val="0"/>
      <w:marBottom w:val="0"/>
      <w:divBdr>
        <w:top w:val="none" w:sz="0" w:space="0" w:color="auto"/>
        <w:left w:val="none" w:sz="0" w:space="0" w:color="auto"/>
        <w:bottom w:val="none" w:sz="0" w:space="0" w:color="auto"/>
        <w:right w:val="none" w:sz="0" w:space="0" w:color="auto"/>
      </w:divBdr>
    </w:div>
    <w:div w:id="2078622511">
      <w:bodyDiv w:val="1"/>
      <w:marLeft w:val="0"/>
      <w:marRight w:val="0"/>
      <w:marTop w:val="0"/>
      <w:marBottom w:val="0"/>
      <w:divBdr>
        <w:top w:val="none" w:sz="0" w:space="0" w:color="auto"/>
        <w:left w:val="none" w:sz="0" w:space="0" w:color="auto"/>
        <w:bottom w:val="none" w:sz="0" w:space="0" w:color="auto"/>
        <w:right w:val="none" w:sz="0" w:space="0" w:color="auto"/>
      </w:divBdr>
    </w:div>
    <w:div w:id="2078819910">
      <w:bodyDiv w:val="1"/>
      <w:marLeft w:val="0"/>
      <w:marRight w:val="0"/>
      <w:marTop w:val="0"/>
      <w:marBottom w:val="0"/>
      <w:divBdr>
        <w:top w:val="none" w:sz="0" w:space="0" w:color="auto"/>
        <w:left w:val="none" w:sz="0" w:space="0" w:color="auto"/>
        <w:bottom w:val="none" w:sz="0" w:space="0" w:color="auto"/>
        <w:right w:val="none" w:sz="0" w:space="0" w:color="auto"/>
      </w:divBdr>
    </w:div>
    <w:div w:id="2080592650">
      <w:bodyDiv w:val="1"/>
      <w:marLeft w:val="0"/>
      <w:marRight w:val="0"/>
      <w:marTop w:val="0"/>
      <w:marBottom w:val="0"/>
      <w:divBdr>
        <w:top w:val="none" w:sz="0" w:space="0" w:color="auto"/>
        <w:left w:val="none" w:sz="0" w:space="0" w:color="auto"/>
        <w:bottom w:val="none" w:sz="0" w:space="0" w:color="auto"/>
        <w:right w:val="none" w:sz="0" w:space="0" w:color="auto"/>
      </w:divBdr>
    </w:div>
    <w:div w:id="2080782326">
      <w:bodyDiv w:val="1"/>
      <w:marLeft w:val="0"/>
      <w:marRight w:val="0"/>
      <w:marTop w:val="0"/>
      <w:marBottom w:val="0"/>
      <w:divBdr>
        <w:top w:val="none" w:sz="0" w:space="0" w:color="auto"/>
        <w:left w:val="none" w:sz="0" w:space="0" w:color="auto"/>
        <w:bottom w:val="none" w:sz="0" w:space="0" w:color="auto"/>
        <w:right w:val="none" w:sz="0" w:space="0" w:color="auto"/>
      </w:divBdr>
    </w:div>
    <w:div w:id="2081634515">
      <w:bodyDiv w:val="1"/>
      <w:marLeft w:val="0"/>
      <w:marRight w:val="0"/>
      <w:marTop w:val="0"/>
      <w:marBottom w:val="0"/>
      <w:divBdr>
        <w:top w:val="none" w:sz="0" w:space="0" w:color="auto"/>
        <w:left w:val="none" w:sz="0" w:space="0" w:color="auto"/>
        <w:bottom w:val="none" w:sz="0" w:space="0" w:color="auto"/>
        <w:right w:val="none" w:sz="0" w:space="0" w:color="auto"/>
      </w:divBdr>
    </w:div>
    <w:div w:id="2082605304">
      <w:bodyDiv w:val="1"/>
      <w:marLeft w:val="0"/>
      <w:marRight w:val="0"/>
      <w:marTop w:val="0"/>
      <w:marBottom w:val="0"/>
      <w:divBdr>
        <w:top w:val="none" w:sz="0" w:space="0" w:color="auto"/>
        <w:left w:val="none" w:sz="0" w:space="0" w:color="auto"/>
        <w:bottom w:val="none" w:sz="0" w:space="0" w:color="auto"/>
        <w:right w:val="none" w:sz="0" w:space="0" w:color="auto"/>
      </w:divBdr>
    </w:div>
    <w:div w:id="2085104091">
      <w:bodyDiv w:val="1"/>
      <w:marLeft w:val="0"/>
      <w:marRight w:val="0"/>
      <w:marTop w:val="0"/>
      <w:marBottom w:val="0"/>
      <w:divBdr>
        <w:top w:val="none" w:sz="0" w:space="0" w:color="auto"/>
        <w:left w:val="none" w:sz="0" w:space="0" w:color="auto"/>
        <w:bottom w:val="none" w:sz="0" w:space="0" w:color="auto"/>
        <w:right w:val="none" w:sz="0" w:space="0" w:color="auto"/>
      </w:divBdr>
    </w:div>
    <w:div w:id="2085447699">
      <w:bodyDiv w:val="1"/>
      <w:marLeft w:val="0"/>
      <w:marRight w:val="0"/>
      <w:marTop w:val="0"/>
      <w:marBottom w:val="0"/>
      <w:divBdr>
        <w:top w:val="none" w:sz="0" w:space="0" w:color="auto"/>
        <w:left w:val="none" w:sz="0" w:space="0" w:color="auto"/>
        <w:bottom w:val="none" w:sz="0" w:space="0" w:color="auto"/>
        <w:right w:val="none" w:sz="0" w:space="0" w:color="auto"/>
      </w:divBdr>
    </w:div>
    <w:div w:id="2086605755">
      <w:bodyDiv w:val="1"/>
      <w:marLeft w:val="0"/>
      <w:marRight w:val="0"/>
      <w:marTop w:val="0"/>
      <w:marBottom w:val="0"/>
      <w:divBdr>
        <w:top w:val="none" w:sz="0" w:space="0" w:color="auto"/>
        <w:left w:val="none" w:sz="0" w:space="0" w:color="auto"/>
        <w:bottom w:val="none" w:sz="0" w:space="0" w:color="auto"/>
        <w:right w:val="none" w:sz="0" w:space="0" w:color="auto"/>
      </w:divBdr>
    </w:div>
    <w:div w:id="2086606684">
      <w:bodyDiv w:val="1"/>
      <w:marLeft w:val="0"/>
      <w:marRight w:val="0"/>
      <w:marTop w:val="0"/>
      <w:marBottom w:val="0"/>
      <w:divBdr>
        <w:top w:val="none" w:sz="0" w:space="0" w:color="auto"/>
        <w:left w:val="none" w:sz="0" w:space="0" w:color="auto"/>
        <w:bottom w:val="none" w:sz="0" w:space="0" w:color="auto"/>
        <w:right w:val="none" w:sz="0" w:space="0" w:color="auto"/>
      </w:divBdr>
    </w:div>
    <w:div w:id="2086797965">
      <w:bodyDiv w:val="1"/>
      <w:marLeft w:val="0"/>
      <w:marRight w:val="0"/>
      <w:marTop w:val="0"/>
      <w:marBottom w:val="0"/>
      <w:divBdr>
        <w:top w:val="none" w:sz="0" w:space="0" w:color="auto"/>
        <w:left w:val="none" w:sz="0" w:space="0" w:color="auto"/>
        <w:bottom w:val="none" w:sz="0" w:space="0" w:color="auto"/>
        <w:right w:val="none" w:sz="0" w:space="0" w:color="auto"/>
      </w:divBdr>
    </w:div>
    <w:div w:id="2087221645">
      <w:bodyDiv w:val="1"/>
      <w:marLeft w:val="0"/>
      <w:marRight w:val="0"/>
      <w:marTop w:val="0"/>
      <w:marBottom w:val="0"/>
      <w:divBdr>
        <w:top w:val="none" w:sz="0" w:space="0" w:color="auto"/>
        <w:left w:val="none" w:sz="0" w:space="0" w:color="auto"/>
        <w:bottom w:val="none" w:sz="0" w:space="0" w:color="auto"/>
        <w:right w:val="none" w:sz="0" w:space="0" w:color="auto"/>
      </w:divBdr>
    </w:div>
    <w:div w:id="2087923143">
      <w:bodyDiv w:val="1"/>
      <w:marLeft w:val="0"/>
      <w:marRight w:val="0"/>
      <w:marTop w:val="0"/>
      <w:marBottom w:val="0"/>
      <w:divBdr>
        <w:top w:val="none" w:sz="0" w:space="0" w:color="auto"/>
        <w:left w:val="none" w:sz="0" w:space="0" w:color="auto"/>
        <w:bottom w:val="none" w:sz="0" w:space="0" w:color="auto"/>
        <w:right w:val="none" w:sz="0" w:space="0" w:color="auto"/>
      </w:divBdr>
    </w:div>
    <w:div w:id="2088651557">
      <w:bodyDiv w:val="1"/>
      <w:marLeft w:val="0"/>
      <w:marRight w:val="0"/>
      <w:marTop w:val="0"/>
      <w:marBottom w:val="0"/>
      <w:divBdr>
        <w:top w:val="none" w:sz="0" w:space="0" w:color="auto"/>
        <w:left w:val="none" w:sz="0" w:space="0" w:color="auto"/>
        <w:bottom w:val="none" w:sz="0" w:space="0" w:color="auto"/>
        <w:right w:val="none" w:sz="0" w:space="0" w:color="auto"/>
      </w:divBdr>
    </w:div>
    <w:div w:id="2088838230">
      <w:bodyDiv w:val="1"/>
      <w:marLeft w:val="0"/>
      <w:marRight w:val="0"/>
      <w:marTop w:val="0"/>
      <w:marBottom w:val="0"/>
      <w:divBdr>
        <w:top w:val="none" w:sz="0" w:space="0" w:color="auto"/>
        <w:left w:val="none" w:sz="0" w:space="0" w:color="auto"/>
        <w:bottom w:val="none" w:sz="0" w:space="0" w:color="auto"/>
        <w:right w:val="none" w:sz="0" w:space="0" w:color="auto"/>
      </w:divBdr>
    </w:div>
    <w:div w:id="2090149600">
      <w:bodyDiv w:val="1"/>
      <w:marLeft w:val="0"/>
      <w:marRight w:val="0"/>
      <w:marTop w:val="0"/>
      <w:marBottom w:val="0"/>
      <w:divBdr>
        <w:top w:val="none" w:sz="0" w:space="0" w:color="auto"/>
        <w:left w:val="none" w:sz="0" w:space="0" w:color="auto"/>
        <w:bottom w:val="none" w:sz="0" w:space="0" w:color="auto"/>
        <w:right w:val="none" w:sz="0" w:space="0" w:color="auto"/>
      </w:divBdr>
    </w:div>
    <w:div w:id="2090275142">
      <w:bodyDiv w:val="1"/>
      <w:marLeft w:val="0"/>
      <w:marRight w:val="0"/>
      <w:marTop w:val="0"/>
      <w:marBottom w:val="0"/>
      <w:divBdr>
        <w:top w:val="none" w:sz="0" w:space="0" w:color="auto"/>
        <w:left w:val="none" w:sz="0" w:space="0" w:color="auto"/>
        <w:bottom w:val="none" w:sz="0" w:space="0" w:color="auto"/>
        <w:right w:val="none" w:sz="0" w:space="0" w:color="auto"/>
      </w:divBdr>
    </w:div>
    <w:div w:id="2093119429">
      <w:bodyDiv w:val="1"/>
      <w:marLeft w:val="0"/>
      <w:marRight w:val="0"/>
      <w:marTop w:val="0"/>
      <w:marBottom w:val="0"/>
      <w:divBdr>
        <w:top w:val="none" w:sz="0" w:space="0" w:color="auto"/>
        <w:left w:val="none" w:sz="0" w:space="0" w:color="auto"/>
        <w:bottom w:val="none" w:sz="0" w:space="0" w:color="auto"/>
        <w:right w:val="none" w:sz="0" w:space="0" w:color="auto"/>
      </w:divBdr>
    </w:div>
    <w:div w:id="2093307866">
      <w:bodyDiv w:val="1"/>
      <w:marLeft w:val="0"/>
      <w:marRight w:val="0"/>
      <w:marTop w:val="0"/>
      <w:marBottom w:val="0"/>
      <w:divBdr>
        <w:top w:val="none" w:sz="0" w:space="0" w:color="auto"/>
        <w:left w:val="none" w:sz="0" w:space="0" w:color="auto"/>
        <w:bottom w:val="none" w:sz="0" w:space="0" w:color="auto"/>
        <w:right w:val="none" w:sz="0" w:space="0" w:color="auto"/>
      </w:divBdr>
    </w:div>
    <w:div w:id="2093352354">
      <w:bodyDiv w:val="1"/>
      <w:marLeft w:val="0"/>
      <w:marRight w:val="0"/>
      <w:marTop w:val="0"/>
      <w:marBottom w:val="0"/>
      <w:divBdr>
        <w:top w:val="none" w:sz="0" w:space="0" w:color="auto"/>
        <w:left w:val="none" w:sz="0" w:space="0" w:color="auto"/>
        <w:bottom w:val="none" w:sz="0" w:space="0" w:color="auto"/>
        <w:right w:val="none" w:sz="0" w:space="0" w:color="auto"/>
      </w:divBdr>
    </w:div>
    <w:div w:id="2093355867">
      <w:bodyDiv w:val="1"/>
      <w:marLeft w:val="0"/>
      <w:marRight w:val="0"/>
      <w:marTop w:val="0"/>
      <w:marBottom w:val="0"/>
      <w:divBdr>
        <w:top w:val="none" w:sz="0" w:space="0" w:color="auto"/>
        <w:left w:val="none" w:sz="0" w:space="0" w:color="auto"/>
        <w:bottom w:val="none" w:sz="0" w:space="0" w:color="auto"/>
        <w:right w:val="none" w:sz="0" w:space="0" w:color="auto"/>
      </w:divBdr>
    </w:div>
    <w:div w:id="2094541873">
      <w:bodyDiv w:val="1"/>
      <w:marLeft w:val="0"/>
      <w:marRight w:val="0"/>
      <w:marTop w:val="0"/>
      <w:marBottom w:val="0"/>
      <w:divBdr>
        <w:top w:val="none" w:sz="0" w:space="0" w:color="auto"/>
        <w:left w:val="none" w:sz="0" w:space="0" w:color="auto"/>
        <w:bottom w:val="none" w:sz="0" w:space="0" w:color="auto"/>
        <w:right w:val="none" w:sz="0" w:space="0" w:color="auto"/>
      </w:divBdr>
    </w:div>
    <w:div w:id="2094625832">
      <w:bodyDiv w:val="1"/>
      <w:marLeft w:val="0"/>
      <w:marRight w:val="0"/>
      <w:marTop w:val="0"/>
      <w:marBottom w:val="0"/>
      <w:divBdr>
        <w:top w:val="none" w:sz="0" w:space="0" w:color="auto"/>
        <w:left w:val="none" w:sz="0" w:space="0" w:color="auto"/>
        <w:bottom w:val="none" w:sz="0" w:space="0" w:color="auto"/>
        <w:right w:val="none" w:sz="0" w:space="0" w:color="auto"/>
      </w:divBdr>
    </w:div>
    <w:div w:id="2097435305">
      <w:bodyDiv w:val="1"/>
      <w:marLeft w:val="0"/>
      <w:marRight w:val="0"/>
      <w:marTop w:val="0"/>
      <w:marBottom w:val="0"/>
      <w:divBdr>
        <w:top w:val="none" w:sz="0" w:space="0" w:color="auto"/>
        <w:left w:val="none" w:sz="0" w:space="0" w:color="auto"/>
        <w:bottom w:val="none" w:sz="0" w:space="0" w:color="auto"/>
        <w:right w:val="none" w:sz="0" w:space="0" w:color="auto"/>
      </w:divBdr>
    </w:div>
    <w:div w:id="2097627208">
      <w:bodyDiv w:val="1"/>
      <w:marLeft w:val="0"/>
      <w:marRight w:val="0"/>
      <w:marTop w:val="0"/>
      <w:marBottom w:val="0"/>
      <w:divBdr>
        <w:top w:val="none" w:sz="0" w:space="0" w:color="auto"/>
        <w:left w:val="none" w:sz="0" w:space="0" w:color="auto"/>
        <w:bottom w:val="none" w:sz="0" w:space="0" w:color="auto"/>
        <w:right w:val="none" w:sz="0" w:space="0" w:color="auto"/>
      </w:divBdr>
    </w:div>
    <w:div w:id="2097630208">
      <w:bodyDiv w:val="1"/>
      <w:marLeft w:val="0"/>
      <w:marRight w:val="0"/>
      <w:marTop w:val="0"/>
      <w:marBottom w:val="0"/>
      <w:divBdr>
        <w:top w:val="none" w:sz="0" w:space="0" w:color="auto"/>
        <w:left w:val="none" w:sz="0" w:space="0" w:color="auto"/>
        <w:bottom w:val="none" w:sz="0" w:space="0" w:color="auto"/>
        <w:right w:val="none" w:sz="0" w:space="0" w:color="auto"/>
      </w:divBdr>
    </w:div>
    <w:div w:id="2099982454">
      <w:bodyDiv w:val="1"/>
      <w:marLeft w:val="0"/>
      <w:marRight w:val="0"/>
      <w:marTop w:val="0"/>
      <w:marBottom w:val="0"/>
      <w:divBdr>
        <w:top w:val="none" w:sz="0" w:space="0" w:color="auto"/>
        <w:left w:val="none" w:sz="0" w:space="0" w:color="auto"/>
        <w:bottom w:val="none" w:sz="0" w:space="0" w:color="auto"/>
        <w:right w:val="none" w:sz="0" w:space="0" w:color="auto"/>
      </w:divBdr>
    </w:div>
    <w:div w:id="2100441634">
      <w:bodyDiv w:val="1"/>
      <w:marLeft w:val="0"/>
      <w:marRight w:val="0"/>
      <w:marTop w:val="0"/>
      <w:marBottom w:val="0"/>
      <w:divBdr>
        <w:top w:val="none" w:sz="0" w:space="0" w:color="auto"/>
        <w:left w:val="none" w:sz="0" w:space="0" w:color="auto"/>
        <w:bottom w:val="none" w:sz="0" w:space="0" w:color="auto"/>
        <w:right w:val="none" w:sz="0" w:space="0" w:color="auto"/>
      </w:divBdr>
    </w:div>
    <w:div w:id="2100833508">
      <w:bodyDiv w:val="1"/>
      <w:marLeft w:val="0"/>
      <w:marRight w:val="0"/>
      <w:marTop w:val="0"/>
      <w:marBottom w:val="0"/>
      <w:divBdr>
        <w:top w:val="none" w:sz="0" w:space="0" w:color="auto"/>
        <w:left w:val="none" w:sz="0" w:space="0" w:color="auto"/>
        <w:bottom w:val="none" w:sz="0" w:space="0" w:color="auto"/>
        <w:right w:val="none" w:sz="0" w:space="0" w:color="auto"/>
      </w:divBdr>
    </w:div>
    <w:div w:id="2101295750">
      <w:bodyDiv w:val="1"/>
      <w:marLeft w:val="0"/>
      <w:marRight w:val="0"/>
      <w:marTop w:val="0"/>
      <w:marBottom w:val="0"/>
      <w:divBdr>
        <w:top w:val="none" w:sz="0" w:space="0" w:color="auto"/>
        <w:left w:val="none" w:sz="0" w:space="0" w:color="auto"/>
        <w:bottom w:val="none" w:sz="0" w:space="0" w:color="auto"/>
        <w:right w:val="none" w:sz="0" w:space="0" w:color="auto"/>
      </w:divBdr>
    </w:div>
    <w:div w:id="2101484368">
      <w:bodyDiv w:val="1"/>
      <w:marLeft w:val="0"/>
      <w:marRight w:val="0"/>
      <w:marTop w:val="0"/>
      <w:marBottom w:val="0"/>
      <w:divBdr>
        <w:top w:val="none" w:sz="0" w:space="0" w:color="auto"/>
        <w:left w:val="none" w:sz="0" w:space="0" w:color="auto"/>
        <w:bottom w:val="none" w:sz="0" w:space="0" w:color="auto"/>
        <w:right w:val="none" w:sz="0" w:space="0" w:color="auto"/>
      </w:divBdr>
    </w:div>
    <w:div w:id="2101683916">
      <w:bodyDiv w:val="1"/>
      <w:marLeft w:val="0"/>
      <w:marRight w:val="0"/>
      <w:marTop w:val="0"/>
      <w:marBottom w:val="0"/>
      <w:divBdr>
        <w:top w:val="none" w:sz="0" w:space="0" w:color="auto"/>
        <w:left w:val="none" w:sz="0" w:space="0" w:color="auto"/>
        <w:bottom w:val="none" w:sz="0" w:space="0" w:color="auto"/>
        <w:right w:val="none" w:sz="0" w:space="0" w:color="auto"/>
      </w:divBdr>
    </w:div>
    <w:div w:id="2102336149">
      <w:bodyDiv w:val="1"/>
      <w:marLeft w:val="0"/>
      <w:marRight w:val="0"/>
      <w:marTop w:val="0"/>
      <w:marBottom w:val="0"/>
      <w:divBdr>
        <w:top w:val="none" w:sz="0" w:space="0" w:color="auto"/>
        <w:left w:val="none" w:sz="0" w:space="0" w:color="auto"/>
        <w:bottom w:val="none" w:sz="0" w:space="0" w:color="auto"/>
        <w:right w:val="none" w:sz="0" w:space="0" w:color="auto"/>
      </w:divBdr>
    </w:div>
    <w:div w:id="2102336178">
      <w:bodyDiv w:val="1"/>
      <w:marLeft w:val="0"/>
      <w:marRight w:val="0"/>
      <w:marTop w:val="0"/>
      <w:marBottom w:val="0"/>
      <w:divBdr>
        <w:top w:val="none" w:sz="0" w:space="0" w:color="auto"/>
        <w:left w:val="none" w:sz="0" w:space="0" w:color="auto"/>
        <w:bottom w:val="none" w:sz="0" w:space="0" w:color="auto"/>
        <w:right w:val="none" w:sz="0" w:space="0" w:color="auto"/>
      </w:divBdr>
    </w:div>
    <w:div w:id="2102871172">
      <w:bodyDiv w:val="1"/>
      <w:marLeft w:val="0"/>
      <w:marRight w:val="0"/>
      <w:marTop w:val="0"/>
      <w:marBottom w:val="0"/>
      <w:divBdr>
        <w:top w:val="none" w:sz="0" w:space="0" w:color="auto"/>
        <w:left w:val="none" w:sz="0" w:space="0" w:color="auto"/>
        <w:bottom w:val="none" w:sz="0" w:space="0" w:color="auto"/>
        <w:right w:val="none" w:sz="0" w:space="0" w:color="auto"/>
      </w:divBdr>
    </w:div>
    <w:div w:id="2103064500">
      <w:bodyDiv w:val="1"/>
      <w:marLeft w:val="0"/>
      <w:marRight w:val="0"/>
      <w:marTop w:val="0"/>
      <w:marBottom w:val="0"/>
      <w:divBdr>
        <w:top w:val="none" w:sz="0" w:space="0" w:color="auto"/>
        <w:left w:val="none" w:sz="0" w:space="0" w:color="auto"/>
        <w:bottom w:val="none" w:sz="0" w:space="0" w:color="auto"/>
        <w:right w:val="none" w:sz="0" w:space="0" w:color="auto"/>
      </w:divBdr>
    </w:div>
    <w:div w:id="2103724794">
      <w:bodyDiv w:val="1"/>
      <w:marLeft w:val="0"/>
      <w:marRight w:val="0"/>
      <w:marTop w:val="0"/>
      <w:marBottom w:val="0"/>
      <w:divBdr>
        <w:top w:val="none" w:sz="0" w:space="0" w:color="auto"/>
        <w:left w:val="none" w:sz="0" w:space="0" w:color="auto"/>
        <w:bottom w:val="none" w:sz="0" w:space="0" w:color="auto"/>
        <w:right w:val="none" w:sz="0" w:space="0" w:color="auto"/>
      </w:divBdr>
    </w:div>
    <w:div w:id="2105804433">
      <w:bodyDiv w:val="1"/>
      <w:marLeft w:val="0"/>
      <w:marRight w:val="0"/>
      <w:marTop w:val="0"/>
      <w:marBottom w:val="0"/>
      <w:divBdr>
        <w:top w:val="none" w:sz="0" w:space="0" w:color="auto"/>
        <w:left w:val="none" w:sz="0" w:space="0" w:color="auto"/>
        <w:bottom w:val="none" w:sz="0" w:space="0" w:color="auto"/>
        <w:right w:val="none" w:sz="0" w:space="0" w:color="auto"/>
      </w:divBdr>
    </w:div>
    <w:div w:id="2106075105">
      <w:bodyDiv w:val="1"/>
      <w:marLeft w:val="0"/>
      <w:marRight w:val="0"/>
      <w:marTop w:val="0"/>
      <w:marBottom w:val="0"/>
      <w:divBdr>
        <w:top w:val="none" w:sz="0" w:space="0" w:color="auto"/>
        <w:left w:val="none" w:sz="0" w:space="0" w:color="auto"/>
        <w:bottom w:val="none" w:sz="0" w:space="0" w:color="auto"/>
        <w:right w:val="none" w:sz="0" w:space="0" w:color="auto"/>
      </w:divBdr>
    </w:div>
    <w:div w:id="2106416317">
      <w:bodyDiv w:val="1"/>
      <w:marLeft w:val="0"/>
      <w:marRight w:val="0"/>
      <w:marTop w:val="0"/>
      <w:marBottom w:val="0"/>
      <w:divBdr>
        <w:top w:val="none" w:sz="0" w:space="0" w:color="auto"/>
        <w:left w:val="none" w:sz="0" w:space="0" w:color="auto"/>
        <w:bottom w:val="none" w:sz="0" w:space="0" w:color="auto"/>
        <w:right w:val="none" w:sz="0" w:space="0" w:color="auto"/>
      </w:divBdr>
    </w:div>
    <w:div w:id="2109151402">
      <w:bodyDiv w:val="1"/>
      <w:marLeft w:val="0"/>
      <w:marRight w:val="0"/>
      <w:marTop w:val="0"/>
      <w:marBottom w:val="0"/>
      <w:divBdr>
        <w:top w:val="none" w:sz="0" w:space="0" w:color="auto"/>
        <w:left w:val="none" w:sz="0" w:space="0" w:color="auto"/>
        <w:bottom w:val="none" w:sz="0" w:space="0" w:color="auto"/>
        <w:right w:val="none" w:sz="0" w:space="0" w:color="auto"/>
      </w:divBdr>
    </w:div>
    <w:div w:id="2109808280">
      <w:bodyDiv w:val="1"/>
      <w:marLeft w:val="0"/>
      <w:marRight w:val="0"/>
      <w:marTop w:val="0"/>
      <w:marBottom w:val="0"/>
      <w:divBdr>
        <w:top w:val="none" w:sz="0" w:space="0" w:color="auto"/>
        <w:left w:val="none" w:sz="0" w:space="0" w:color="auto"/>
        <w:bottom w:val="none" w:sz="0" w:space="0" w:color="auto"/>
        <w:right w:val="none" w:sz="0" w:space="0" w:color="auto"/>
      </w:divBdr>
    </w:div>
    <w:div w:id="2110930044">
      <w:bodyDiv w:val="1"/>
      <w:marLeft w:val="0"/>
      <w:marRight w:val="0"/>
      <w:marTop w:val="0"/>
      <w:marBottom w:val="0"/>
      <w:divBdr>
        <w:top w:val="none" w:sz="0" w:space="0" w:color="auto"/>
        <w:left w:val="none" w:sz="0" w:space="0" w:color="auto"/>
        <w:bottom w:val="none" w:sz="0" w:space="0" w:color="auto"/>
        <w:right w:val="none" w:sz="0" w:space="0" w:color="auto"/>
      </w:divBdr>
    </w:div>
    <w:div w:id="2111005285">
      <w:bodyDiv w:val="1"/>
      <w:marLeft w:val="0"/>
      <w:marRight w:val="0"/>
      <w:marTop w:val="0"/>
      <w:marBottom w:val="0"/>
      <w:divBdr>
        <w:top w:val="none" w:sz="0" w:space="0" w:color="auto"/>
        <w:left w:val="none" w:sz="0" w:space="0" w:color="auto"/>
        <w:bottom w:val="none" w:sz="0" w:space="0" w:color="auto"/>
        <w:right w:val="none" w:sz="0" w:space="0" w:color="auto"/>
      </w:divBdr>
    </w:div>
    <w:div w:id="2111192014">
      <w:bodyDiv w:val="1"/>
      <w:marLeft w:val="0"/>
      <w:marRight w:val="0"/>
      <w:marTop w:val="0"/>
      <w:marBottom w:val="0"/>
      <w:divBdr>
        <w:top w:val="none" w:sz="0" w:space="0" w:color="auto"/>
        <w:left w:val="none" w:sz="0" w:space="0" w:color="auto"/>
        <w:bottom w:val="none" w:sz="0" w:space="0" w:color="auto"/>
        <w:right w:val="none" w:sz="0" w:space="0" w:color="auto"/>
      </w:divBdr>
    </w:div>
    <w:div w:id="2111780974">
      <w:bodyDiv w:val="1"/>
      <w:marLeft w:val="0"/>
      <w:marRight w:val="0"/>
      <w:marTop w:val="0"/>
      <w:marBottom w:val="0"/>
      <w:divBdr>
        <w:top w:val="none" w:sz="0" w:space="0" w:color="auto"/>
        <w:left w:val="none" w:sz="0" w:space="0" w:color="auto"/>
        <w:bottom w:val="none" w:sz="0" w:space="0" w:color="auto"/>
        <w:right w:val="none" w:sz="0" w:space="0" w:color="auto"/>
      </w:divBdr>
    </w:div>
    <w:div w:id="2111852853">
      <w:bodyDiv w:val="1"/>
      <w:marLeft w:val="0"/>
      <w:marRight w:val="0"/>
      <w:marTop w:val="0"/>
      <w:marBottom w:val="0"/>
      <w:divBdr>
        <w:top w:val="none" w:sz="0" w:space="0" w:color="auto"/>
        <w:left w:val="none" w:sz="0" w:space="0" w:color="auto"/>
        <w:bottom w:val="none" w:sz="0" w:space="0" w:color="auto"/>
        <w:right w:val="none" w:sz="0" w:space="0" w:color="auto"/>
      </w:divBdr>
    </w:div>
    <w:div w:id="2112822090">
      <w:bodyDiv w:val="1"/>
      <w:marLeft w:val="0"/>
      <w:marRight w:val="0"/>
      <w:marTop w:val="0"/>
      <w:marBottom w:val="0"/>
      <w:divBdr>
        <w:top w:val="none" w:sz="0" w:space="0" w:color="auto"/>
        <w:left w:val="none" w:sz="0" w:space="0" w:color="auto"/>
        <w:bottom w:val="none" w:sz="0" w:space="0" w:color="auto"/>
        <w:right w:val="none" w:sz="0" w:space="0" w:color="auto"/>
      </w:divBdr>
    </w:div>
    <w:div w:id="2113278542">
      <w:bodyDiv w:val="1"/>
      <w:marLeft w:val="0"/>
      <w:marRight w:val="0"/>
      <w:marTop w:val="0"/>
      <w:marBottom w:val="0"/>
      <w:divBdr>
        <w:top w:val="none" w:sz="0" w:space="0" w:color="auto"/>
        <w:left w:val="none" w:sz="0" w:space="0" w:color="auto"/>
        <w:bottom w:val="none" w:sz="0" w:space="0" w:color="auto"/>
        <w:right w:val="none" w:sz="0" w:space="0" w:color="auto"/>
      </w:divBdr>
    </w:div>
    <w:div w:id="2117601171">
      <w:bodyDiv w:val="1"/>
      <w:marLeft w:val="0"/>
      <w:marRight w:val="0"/>
      <w:marTop w:val="0"/>
      <w:marBottom w:val="0"/>
      <w:divBdr>
        <w:top w:val="none" w:sz="0" w:space="0" w:color="auto"/>
        <w:left w:val="none" w:sz="0" w:space="0" w:color="auto"/>
        <w:bottom w:val="none" w:sz="0" w:space="0" w:color="auto"/>
        <w:right w:val="none" w:sz="0" w:space="0" w:color="auto"/>
      </w:divBdr>
    </w:div>
    <w:div w:id="2117631082">
      <w:bodyDiv w:val="1"/>
      <w:marLeft w:val="0"/>
      <w:marRight w:val="0"/>
      <w:marTop w:val="0"/>
      <w:marBottom w:val="0"/>
      <w:divBdr>
        <w:top w:val="none" w:sz="0" w:space="0" w:color="auto"/>
        <w:left w:val="none" w:sz="0" w:space="0" w:color="auto"/>
        <w:bottom w:val="none" w:sz="0" w:space="0" w:color="auto"/>
        <w:right w:val="none" w:sz="0" w:space="0" w:color="auto"/>
      </w:divBdr>
    </w:div>
    <w:div w:id="2117944584">
      <w:bodyDiv w:val="1"/>
      <w:marLeft w:val="0"/>
      <w:marRight w:val="0"/>
      <w:marTop w:val="0"/>
      <w:marBottom w:val="0"/>
      <w:divBdr>
        <w:top w:val="none" w:sz="0" w:space="0" w:color="auto"/>
        <w:left w:val="none" w:sz="0" w:space="0" w:color="auto"/>
        <w:bottom w:val="none" w:sz="0" w:space="0" w:color="auto"/>
        <w:right w:val="none" w:sz="0" w:space="0" w:color="auto"/>
      </w:divBdr>
    </w:div>
    <w:div w:id="2118215127">
      <w:bodyDiv w:val="1"/>
      <w:marLeft w:val="0"/>
      <w:marRight w:val="0"/>
      <w:marTop w:val="0"/>
      <w:marBottom w:val="0"/>
      <w:divBdr>
        <w:top w:val="none" w:sz="0" w:space="0" w:color="auto"/>
        <w:left w:val="none" w:sz="0" w:space="0" w:color="auto"/>
        <w:bottom w:val="none" w:sz="0" w:space="0" w:color="auto"/>
        <w:right w:val="none" w:sz="0" w:space="0" w:color="auto"/>
      </w:divBdr>
    </w:div>
    <w:div w:id="2121994649">
      <w:bodyDiv w:val="1"/>
      <w:marLeft w:val="0"/>
      <w:marRight w:val="0"/>
      <w:marTop w:val="0"/>
      <w:marBottom w:val="0"/>
      <w:divBdr>
        <w:top w:val="none" w:sz="0" w:space="0" w:color="auto"/>
        <w:left w:val="none" w:sz="0" w:space="0" w:color="auto"/>
        <w:bottom w:val="none" w:sz="0" w:space="0" w:color="auto"/>
        <w:right w:val="none" w:sz="0" w:space="0" w:color="auto"/>
      </w:divBdr>
    </w:div>
    <w:div w:id="2123694158">
      <w:bodyDiv w:val="1"/>
      <w:marLeft w:val="0"/>
      <w:marRight w:val="0"/>
      <w:marTop w:val="0"/>
      <w:marBottom w:val="0"/>
      <w:divBdr>
        <w:top w:val="none" w:sz="0" w:space="0" w:color="auto"/>
        <w:left w:val="none" w:sz="0" w:space="0" w:color="auto"/>
        <w:bottom w:val="none" w:sz="0" w:space="0" w:color="auto"/>
        <w:right w:val="none" w:sz="0" w:space="0" w:color="auto"/>
      </w:divBdr>
    </w:div>
    <w:div w:id="2124185324">
      <w:bodyDiv w:val="1"/>
      <w:marLeft w:val="0"/>
      <w:marRight w:val="0"/>
      <w:marTop w:val="0"/>
      <w:marBottom w:val="0"/>
      <w:divBdr>
        <w:top w:val="none" w:sz="0" w:space="0" w:color="auto"/>
        <w:left w:val="none" w:sz="0" w:space="0" w:color="auto"/>
        <w:bottom w:val="none" w:sz="0" w:space="0" w:color="auto"/>
        <w:right w:val="none" w:sz="0" w:space="0" w:color="auto"/>
      </w:divBdr>
    </w:div>
    <w:div w:id="2124373214">
      <w:bodyDiv w:val="1"/>
      <w:marLeft w:val="0"/>
      <w:marRight w:val="0"/>
      <w:marTop w:val="0"/>
      <w:marBottom w:val="0"/>
      <w:divBdr>
        <w:top w:val="none" w:sz="0" w:space="0" w:color="auto"/>
        <w:left w:val="none" w:sz="0" w:space="0" w:color="auto"/>
        <w:bottom w:val="none" w:sz="0" w:space="0" w:color="auto"/>
        <w:right w:val="none" w:sz="0" w:space="0" w:color="auto"/>
      </w:divBdr>
    </w:div>
    <w:div w:id="2124612660">
      <w:bodyDiv w:val="1"/>
      <w:marLeft w:val="0"/>
      <w:marRight w:val="0"/>
      <w:marTop w:val="0"/>
      <w:marBottom w:val="0"/>
      <w:divBdr>
        <w:top w:val="none" w:sz="0" w:space="0" w:color="auto"/>
        <w:left w:val="none" w:sz="0" w:space="0" w:color="auto"/>
        <w:bottom w:val="none" w:sz="0" w:space="0" w:color="auto"/>
        <w:right w:val="none" w:sz="0" w:space="0" w:color="auto"/>
      </w:divBdr>
    </w:div>
    <w:div w:id="2125272984">
      <w:bodyDiv w:val="1"/>
      <w:marLeft w:val="0"/>
      <w:marRight w:val="0"/>
      <w:marTop w:val="0"/>
      <w:marBottom w:val="0"/>
      <w:divBdr>
        <w:top w:val="none" w:sz="0" w:space="0" w:color="auto"/>
        <w:left w:val="none" w:sz="0" w:space="0" w:color="auto"/>
        <w:bottom w:val="none" w:sz="0" w:space="0" w:color="auto"/>
        <w:right w:val="none" w:sz="0" w:space="0" w:color="auto"/>
      </w:divBdr>
    </w:div>
    <w:div w:id="2127576697">
      <w:bodyDiv w:val="1"/>
      <w:marLeft w:val="0"/>
      <w:marRight w:val="0"/>
      <w:marTop w:val="0"/>
      <w:marBottom w:val="0"/>
      <w:divBdr>
        <w:top w:val="none" w:sz="0" w:space="0" w:color="auto"/>
        <w:left w:val="none" w:sz="0" w:space="0" w:color="auto"/>
        <w:bottom w:val="none" w:sz="0" w:space="0" w:color="auto"/>
        <w:right w:val="none" w:sz="0" w:space="0" w:color="auto"/>
      </w:divBdr>
    </w:div>
    <w:div w:id="2127849730">
      <w:bodyDiv w:val="1"/>
      <w:marLeft w:val="0"/>
      <w:marRight w:val="0"/>
      <w:marTop w:val="0"/>
      <w:marBottom w:val="0"/>
      <w:divBdr>
        <w:top w:val="none" w:sz="0" w:space="0" w:color="auto"/>
        <w:left w:val="none" w:sz="0" w:space="0" w:color="auto"/>
        <w:bottom w:val="none" w:sz="0" w:space="0" w:color="auto"/>
        <w:right w:val="none" w:sz="0" w:space="0" w:color="auto"/>
      </w:divBdr>
    </w:div>
    <w:div w:id="2128425733">
      <w:bodyDiv w:val="1"/>
      <w:marLeft w:val="0"/>
      <w:marRight w:val="0"/>
      <w:marTop w:val="0"/>
      <w:marBottom w:val="0"/>
      <w:divBdr>
        <w:top w:val="none" w:sz="0" w:space="0" w:color="auto"/>
        <w:left w:val="none" w:sz="0" w:space="0" w:color="auto"/>
        <w:bottom w:val="none" w:sz="0" w:space="0" w:color="auto"/>
        <w:right w:val="none" w:sz="0" w:space="0" w:color="auto"/>
      </w:divBdr>
    </w:div>
    <w:div w:id="2128616506">
      <w:bodyDiv w:val="1"/>
      <w:marLeft w:val="0"/>
      <w:marRight w:val="0"/>
      <w:marTop w:val="0"/>
      <w:marBottom w:val="0"/>
      <w:divBdr>
        <w:top w:val="none" w:sz="0" w:space="0" w:color="auto"/>
        <w:left w:val="none" w:sz="0" w:space="0" w:color="auto"/>
        <w:bottom w:val="none" w:sz="0" w:space="0" w:color="auto"/>
        <w:right w:val="none" w:sz="0" w:space="0" w:color="auto"/>
      </w:divBdr>
    </w:div>
    <w:div w:id="2129808320">
      <w:bodyDiv w:val="1"/>
      <w:marLeft w:val="0"/>
      <w:marRight w:val="0"/>
      <w:marTop w:val="0"/>
      <w:marBottom w:val="0"/>
      <w:divBdr>
        <w:top w:val="none" w:sz="0" w:space="0" w:color="auto"/>
        <w:left w:val="none" w:sz="0" w:space="0" w:color="auto"/>
        <w:bottom w:val="none" w:sz="0" w:space="0" w:color="auto"/>
        <w:right w:val="none" w:sz="0" w:space="0" w:color="auto"/>
      </w:divBdr>
    </w:div>
    <w:div w:id="2131699874">
      <w:bodyDiv w:val="1"/>
      <w:marLeft w:val="0"/>
      <w:marRight w:val="0"/>
      <w:marTop w:val="0"/>
      <w:marBottom w:val="0"/>
      <w:divBdr>
        <w:top w:val="none" w:sz="0" w:space="0" w:color="auto"/>
        <w:left w:val="none" w:sz="0" w:space="0" w:color="auto"/>
        <w:bottom w:val="none" w:sz="0" w:space="0" w:color="auto"/>
        <w:right w:val="none" w:sz="0" w:space="0" w:color="auto"/>
      </w:divBdr>
    </w:div>
    <w:div w:id="2132938728">
      <w:bodyDiv w:val="1"/>
      <w:marLeft w:val="0"/>
      <w:marRight w:val="0"/>
      <w:marTop w:val="0"/>
      <w:marBottom w:val="0"/>
      <w:divBdr>
        <w:top w:val="none" w:sz="0" w:space="0" w:color="auto"/>
        <w:left w:val="none" w:sz="0" w:space="0" w:color="auto"/>
        <w:bottom w:val="none" w:sz="0" w:space="0" w:color="auto"/>
        <w:right w:val="none" w:sz="0" w:space="0" w:color="auto"/>
      </w:divBdr>
    </w:div>
    <w:div w:id="2133668918">
      <w:bodyDiv w:val="1"/>
      <w:marLeft w:val="0"/>
      <w:marRight w:val="0"/>
      <w:marTop w:val="0"/>
      <w:marBottom w:val="0"/>
      <w:divBdr>
        <w:top w:val="none" w:sz="0" w:space="0" w:color="auto"/>
        <w:left w:val="none" w:sz="0" w:space="0" w:color="auto"/>
        <w:bottom w:val="none" w:sz="0" w:space="0" w:color="auto"/>
        <w:right w:val="none" w:sz="0" w:space="0" w:color="auto"/>
      </w:divBdr>
    </w:div>
    <w:div w:id="2134402788">
      <w:bodyDiv w:val="1"/>
      <w:marLeft w:val="0"/>
      <w:marRight w:val="0"/>
      <w:marTop w:val="0"/>
      <w:marBottom w:val="0"/>
      <w:divBdr>
        <w:top w:val="none" w:sz="0" w:space="0" w:color="auto"/>
        <w:left w:val="none" w:sz="0" w:space="0" w:color="auto"/>
        <w:bottom w:val="none" w:sz="0" w:space="0" w:color="auto"/>
        <w:right w:val="none" w:sz="0" w:space="0" w:color="auto"/>
      </w:divBdr>
    </w:div>
    <w:div w:id="2134668591">
      <w:bodyDiv w:val="1"/>
      <w:marLeft w:val="0"/>
      <w:marRight w:val="0"/>
      <w:marTop w:val="0"/>
      <w:marBottom w:val="0"/>
      <w:divBdr>
        <w:top w:val="none" w:sz="0" w:space="0" w:color="auto"/>
        <w:left w:val="none" w:sz="0" w:space="0" w:color="auto"/>
        <w:bottom w:val="none" w:sz="0" w:space="0" w:color="auto"/>
        <w:right w:val="none" w:sz="0" w:space="0" w:color="auto"/>
      </w:divBdr>
    </w:div>
    <w:div w:id="2135827678">
      <w:bodyDiv w:val="1"/>
      <w:marLeft w:val="0"/>
      <w:marRight w:val="0"/>
      <w:marTop w:val="0"/>
      <w:marBottom w:val="0"/>
      <w:divBdr>
        <w:top w:val="none" w:sz="0" w:space="0" w:color="auto"/>
        <w:left w:val="none" w:sz="0" w:space="0" w:color="auto"/>
        <w:bottom w:val="none" w:sz="0" w:space="0" w:color="auto"/>
        <w:right w:val="none" w:sz="0" w:space="0" w:color="auto"/>
      </w:divBdr>
    </w:div>
    <w:div w:id="2136871137">
      <w:bodyDiv w:val="1"/>
      <w:marLeft w:val="0"/>
      <w:marRight w:val="0"/>
      <w:marTop w:val="0"/>
      <w:marBottom w:val="0"/>
      <w:divBdr>
        <w:top w:val="none" w:sz="0" w:space="0" w:color="auto"/>
        <w:left w:val="none" w:sz="0" w:space="0" w:color="auto"/>
        <w:bottom w:val="none" w:sz="0" w:space="0" w:color="auto"/>
        <w:right w:val="none" w:sz="0" w:space="0" w:color="auto"/>
      </w:divBdr>
    </w:div>
    <w:div w:id="2137674501">
      <w:bodyDiv w:val="1"/>
      <w:marLeft w:val="0"/>
      <w:marRight w:val="0"/>
      <w:marTop w:val="0"/>
      <w:marBottom w:val="0"/>
      <w:divBdr>
        <w:top w:val="none" w:sz="0" w:space="0" w:color="auto"/>
        <w:left w:val="none" w:sz="0" w:space="0" w:color="auto"/>
        <w:bottom w:val="none" w:sz="0" w:space="0" w:color="auto"/>
        <w:right w:val="none" w:sz="0" w:space="0" w:color="auto"/>
      </w:divBdr>
    </w:div>
    <w:div w:id="2137941131">
      <w:bodyDiv w:val="1"/>
      <w:marLeft w:val="0"/>
      <w:marRight w:val="0"/>
      <w:marTop w:val="0"/>
      <w:marBottom w:val="0"/>
      <w:divBdr>
        <w:top w:val="none" w:sz="0" w:space="0" w:color="auto"/>
        <w:left w:val="none" w:sz="0" w:space="0" w:color="auto"/>
        <w:bottom w:val="none" w:sz="0" w:space="0" w:color="auto"/>
        <w:right w:val="none" w:sz="0" w:space="0" w:color="auto"/>
      </w:divBdr>
    </w:div>
    <w:div w:id="2138184891">
      <w:bodyDiv w:val="1"/>
      <w:marLeft w:val="0"/>
      <w:marRight w:val="0"/>
      <w:marTop w:val="0"/>
      <w:marBottom w:val="0"/>
      <w:divBdr>
        <w:top w:val="none" w:sz="0" w:space="0" w:color="auto"/>
        <w:left w:val="none" w:sz="0" w:space="0" w:color="auto"/>
        <w:bottom w:val="none" w:sz="0" w:space="0" w:color="auto"/>
        <w:right w:val="none" w:sz="0" w:space="0" w:color="auto"/>
      </w:divBdr>
    </w:div>
    <w:div w:id="2138331078">
      <w:bodyDiv w:val="1"/>
      <w:marLeft w:val="0"/>
      <w:marRight w:val="0"/>
      <w:marTop w:val="0"/>
      <w:marBottom w:val="0"/>
      <w:divBdr>
        <w:top w:val="none" w:sz="0" w:space="0" w:color="auto"/>
        <w:left w:val="none" w:sz="0" w:space="0" w:color="auto"/>
        <w:bottom w:val="none" w:sz="0" w:space="0" w:color="auto"/>
        <w:right w:val="none" w:sz="0" w:space="0" w:color="auto"/>
      </w:divBdr>
    </w:div>
    <w:div w:id="2138909378">
      <w:bodyDiv w:val="1"/>
      <w:marLeft w:val="0"/>
      <w:marRight w:val="0"/>
      <w:marTop w:val="0"/>
      <w:marBottom w:val="0"/>
      <w:divBdr>
        <w:top w:val="none" w:sz="0" w:space="0" w:color="auto"/>
        <w:left w:val="none" w:sz="0" w:space="0" w:color="auto"/>
        <w:bottom w:val="none" w:sz="0" w:space="0" w:color="auto"/>
        <w:right w:val="none" w:sz="0" w:space="0" w:color="auto"/>
      </w:divBdr>
    </w:div>
    <w:div w:id="2139370880">
      <w:bodyDiv w:val="1"/>
      <w:marLeft w:val="0"/>
      <w:marRight w:val="0"/>
      <w:marTop w:val="0"/>
      <w:marBottom w:val="0"/>
      <w:divBdr>
        <w:top w:val="none" w:sz="0" w:space="0" w:color="auto"/>
        <w:left w:val="none" w:sz="0" w:space="0" w:color="auto"/>
        <w:bottom w:val="none" w:sz="0" w:space="0" w:color="auto"/>
        <w:right w:val="none" w:sz="0" w:space="0" w:color="auto"/>
      </w:divBdr>
    </w:div>
    <w:div w:id="2140411483">
      <w:bodyDiv w:val="1"/>
      <w:marLeft w:val="0"/>
      <w:marRight w:val="0"/>
      <w:marTop w:val="0"/>
      <w:marBottom w:val="0"/>
      <w:divBdr>
        <w:top w:val="none" w:sz="0" w:space="0" w:color="auto"/>
        <w:left w:val="none" w:sz="0" w:space="0" w:color="auto"/>
        <w:bottom w:val="none" w:sz="0" w:space="0" w:color="auto"/>
        <w:right w:val="none" w:sz="0" w:space="0" w:color="auto"/>
      </w:divBdr>
    </w:div>
    <w:div w:id="2140566243">
      <w:bodyDiv w:val="1"/>
      <w:marLeft w:val="0"/>
      <w:marRight w:val="0"/>
      <w:marTop w:val="0"/>
      <w:marBottom w:val="0"/>
      <w:divBdr>
        <w:top w:val="none" w:sz="0" w:space="0" w:color="auto"/>
        <w:left w:val="none" w:sz="0" w:space="0" w:color="auto"/>
        <w:bottom w:val="none" w:sz="0" w:space="0" w:color="auto"/>
        <w:right w:val="none" w:sz="0" w:space="0" w:color="auto"/>
      </w:divBdr>
    </w:div>
    <w:div w:id="2140604487">
      <w:bodyDiv w:val="1"/>
      <w:marLeft w:val="0"/>
      <w:marRight w:val="0"/>
      <w:marTop w:val="0"/>
      <w:marBottom w:val="0"/>
      <w:divBdr>
        <w:top w:val="none" w:sz="0" w:space="0" w:color="auto"/>
        <w:left w:val="none" w:sz="0" w:space="0" w:color="auto"/>
        <w:bottom w:val="none" w:sz="0" w:space="0" w:color="auto"/>
        <w:right w:val="none" w:sz="0" w:space="0" w:color="auto"/>
      </w:divBdr>
    </w:div>
    <w:div w:id="2140882079">
      <w:bodyDiv w:val="1"/>
      <w:marLeft w:val="0"/>
      <w:marRight w:val="0"/>
      <w:marTop w:val="0"/>
      <w:marBottom w:val="0"/>
      <w:divBdr>
        <w:top w:val="none" w:sz="0" w:space="0" w:color="auto"/>
        <w:left w:val="none" w:sz="0" w:space="0" w:color="auto"/>
        <w:bottom w:val="none" w:sz="0" w:space="0" w:color="auto"/>
        <w:right w:val="none" w:sz="0" w:space="0" w:color="auto"/>
      </w:divBdr>
    </w:div>
    <w:div w:id="2143767842">
      <w:bodyDiv w:val="1"/>
      <w:marLeft w:val="0"/>
      <w:marRight w:val="0"/>
      <w:marTop w:val="0"/>
      <w:marBottom w:val="0"/>
      <w:divBdr>
        <w:top w:val="none" w:sz="0" w:space="0" w:color="auto"/>
        <w:left w:val="none" w:sz="0" w:space="0" w:color="auto"/>
        <w:bottom w:val="none" w:sz="0" w:space="0" w:color="auto"/>
        <w:right w:val="none" w:sz="0" w:space="0" w:color="auto"/>
      </w:divBdr>
    </w:div>
    <w:div w:id="2144426693">
      <w:bodyDiv w:val="1"/>
      <w:marLeft w:val="0"/>
      <w:marRight w:val="0"/>
      <w:marTop w:val="0"/>
      <w:marBottom w:val="0"/>
      <w:divBdr>
        <w:top w:val="none" w:sz="0" w:space="0" w:color="auto"/>
        <w:left w:val="none" w:sz="0" w:space="0" w:color="auto"/>
        <w:bottom w:val="none" w:sz="0" w:space="0" w:color="auto"/>
        <w:right w:val="none" w:sz="0" w:space="0" w:color="auto"/>
      </w:divBdr>
    </w:div>
    <w:div w:id="2144810353">
      <w:bodyDiv w:val="1"/>
      <w:marLeft w:val="0"/>
      <w:marRight w:val="0"/>
      <w:marTop w:val="0"/>
      <w:marBottom w:val="0"/>
      <w:divBdr>
        <w:top w:val="none" w:sz="0" w:space="0" w:color="auto"/>
        <w:left w:val="none" w:sz="0" w:space="0" w:color="auto"/>
        <w:bottom w:val="none" w:sz="0" w:space="0" w:color="auto"/>
        <w:right w:val="none" w:sz="0" w:space="0" w:color="auto"/>
      </w:divBdr>
    </w:div>
    <w:div w:id="214546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footer" Target="footer7.xm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legislation.gov.au/Details/F2018C00049"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image" Target="media/image7.emf"/><Relationship Id="rId35"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ackhennessy\Desktop\Blood%20Funding\Funding\Funding%20summary%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46-4A78-A751-1AE12BFCD3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46-4A78-A751-1AE12BFCD3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46-4A78-A751-1AE12BFCD3B0}"/>
              </c:ext>
            </c:extLst>
          </c:dPt>
          <c:dLbls>
            <c:dLbl>
              <c:idx val="0"/>
              <c:layout>
                <c:manualLayout>
                  <c:x val="-0.12199343832020998"/>
                  <c:y val="8.9722586759988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46-4A78-A751-1AE12BFCD3B0}"/>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6-4A78-A751-1AE12BFCD3B0}"/>
                </c:ext>
              </c:extLst>
            </c:dLbl>
            <c:dLbl>
              <c:idx val="2"/>
              <c:layout>
                <c:manualLayout>
                  <c:x val="0.14734930008748906"/>
                  <c:y val="5.936041848935549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124890638670163E-2"/>
                      <c:h val="9.3171478565179336E-2"/>
                    </c:manualLayout>
                  </c15:layout>
                </c:ext>
                <c:ext xmlns:c16="http://schemas.microsoft.com/office/drawing/2014/chart" uri="{C3380CC4-5D6E-409C-BE32-E72D297353CC}">
                  <c16:uniqueId val="{00000005-2A46-4A78-A751-1AE12BFCD3B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Sheet1!$C$19:$C$21</c:f>
              <c:strCache>
                <c:ptCount val="3"/>
                <c:pt idx="0">
                  <c:v>Schedule 1</c:v>
                </c:pt>
                <c:pt idx="1">
                  <c:v>Schedule 2</c:v>
                </c:pt>
                <c:pt idx="2">
                  <c:v>Schedule 3</c:v>
                </c:pt>
              </c:strCache>
            </c:strRef>
          </c:cat>
          <c:val>
            <c:numRef>
              <c:f>Sheet1!$D$19:$D$21</c:f>
              <c:numCache>
                <c:formatCode>0%</c:formatCode>
                <c:ptCount val="3"/>
                <c:pt idx="0">
                  <c:v>0.36915719267496511</c:v>
                </c:pt>
                <c:pt idx="1">
                  <c:v>0.23134469279017558</c:v>
                </c:pt>
                <c:pt idx="2">
                  <c:v>0.39949811453485934</c:v>
                </c:pt>
              </c:numCache>
            </c:numRef>
          </c:val>
          <c:extLst>
            <c:ext xmlns:c16="http://schemas.microsoft.com/office/drawing/2014/chart" uri="{C3380CC4-5D6E-409C-BE32-E72D297353CC}">
              <c16:uniqueId val="{00000006-2A46-4A78-A751-1AE12BFCD3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Report">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Report">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The17</b:Tag>
    <b:SourceType>InternetSite</b:SourceType>
    <b:Guid>{FB0995D1-D2B9-4FB2-A3DC-DDAB233651E2}</b:Guid>
    <b:Author>
      <b:Author>
        <b:Corporate>Therapeutic Goods Administration</b:Corporate>
      </b:Author>
    </b:Author>
    <b:Title>Medical Devices and IVDs</b:Title>
    <b:YearAccessed>2017</b:YearAccessed>
    <b:MonthAccessed>March</b:MonthAccessed>
    <b:URL>https://www.tga.gov.au/medical-devices-ivds</b:URL>
    <b:RefOrder>10</b:RefOrder>
  </b:Source>
  <b:Source>
    <b:Tag>McN17</b:Tag>
    <b:SourceType>Interview</b:SourceType>
    <b:Guid>{2F938E98-7808-4808-90BD-86047F592744}</b:Guid>
    <b:Title>Director, IVD reforms; TGA</b:Title>
    <b:Year>2017</b:Year>
    <b:Month>March</b:Month>
    <b:Day>10</b:Day>
    <b:Author>
      <b:Interviewee>
        <b:NameList>
          <b:Person>
            <b:Last>McNiven </b:Last>
            <b:First>Michelle</b:First>
          </b:Person>
        </b:NameList>
      </b:Interviewee>
    </b:Author>
    <b:RefOrder>4</b:RefOrder>
  </b:Source>
  <b:Source>
    <b:Tag>Dep171</b:Tag>
    <b:SourceType>InternetSite</b:SourceType>
    <b:Guid>{3941F5B9-C6E3-4C5B-B261-2DFDAECD611C}</b:Guid>
    <b:Author>
      <b:Author>
        <b:Corporate>Department of Health </b:Corporate>
      </b:Author>
    </b:Author>
    <b:Title>NPAAC Publications</b:Title>
    <b:Year>2017</b:Year>
    <b:Month>January</b:Month>
    <b:Day>10</b:Day>
    <b:YearAccessed>2017</b:YearAccessed>
    <b:MonthAccessed>March</b:MonthAccessed>
    <b:URL>http://www.health.gov.au/internet/main/publishing.nsf/Content/health-npaac-publication.htm</b:URL>
    <b:RefOrder>16</b:RefOrder>
  </b:Source>
  <b:Source>
    <b:Tag>NPAACT213</b:Tag>
    <b:SourceType>Report</b:SourceType>
    <b:Guid>{13898A15-75D6-421F-8EB4-292B7B33FE17}</b:Guid>
    <b:Author>
      <b:Author>
        <b:Corporate>National Pathology Accreditation Advisory Council</b:Corporate>
      </b:Author>
    </b:Author>
    <b:Title>Requirements for Medical Pathology Serivces First Edition</b:Title>
    <b:Year>2013</b:Year>
    <b:City>Canberra</b:City>
    <b:RefOrder>17</b:RefOrder>
  </b:Source>
  <b:Source>
    <b:Tag>NPAACNAT13</b:Tag>
    <b:SourceType>Report</b:SourceType>
    <b:Guid>{0A3C5296-D4AA-47F3-A44B-2CB1F5B37658}</b:Guid>
    <b:Author>
      <b:Author>
        <b:Corporate>National Pathology Accreditation Advisory Council </b:Corporate>
      </b:Author>
    </b:Author>
    <b:Title>Requirements for Medical Testing of Microbial Nucleic Acids Second Edition </b:Title>
    <b:Year>2013</b:Year>
    <b:City>Canberra</b:City>
    <b:RefOrder>18</b:RefOrder>
  </b:Source>
  <b:Source>
    <b:Tag>Dep172</b:Tag>
    <b:SourceType>InternetSite</b:SourceType>
    <b:Guid>{427B143A-7A5A-403E-9BAA-ED3A77B6017D}</b:Guid>
    <b:Title>Search the MBS</b:Title>
    <b:Author>
      <b:Author>
        <b:Corporate>Department of Health </b:Corporate>
      </b:Author>
    </b:Author>
    <b:YearAccessed>2017</b:YearAccessed>
    <b:MonthAccessed>March</b:MonthAccessed>
    <b:URL>http://www9.health.gov.au/mbs/search.cfm</b:URL>
    <b:RefOrder>27</b:RefOrder>
  </b:Source>
  <b:Source>
    <b:Tag>San17</b:Tag>
    <b:SourceType>Interview</b:SourceType>
    <b:Guid>{20A224F0-1F10-4E0E-9D43-5ABA22697D6C}</b:Guid>
    <b:Author>
      <b:Interviewee>
        <b:NameList>
          <b:Person>
            <b:Last>Cochrane</b:Last>
            <b:First>Sandra</b:First>
          </b:Person>
        </b:NameList>
      </b:Interviewee>
    </b:Author>
    <b:Title>Executive Director, Fresh Blood, Data and Clinical Development, NBA</b:Title>
    <b:Year>2017</b:Year>
    <b:Month>March </b:Month>
    <b:Day>10</b:Day>
    <b:RefOrder>20</b:RefOrder>
  </b:Source>
  <b:Source>
    <b:Tag>TGA13</b:Tag>
    <b:SourceType>Report</b:SourceType>
    <b:Guid>{C220233D-B13C-4079-8303-AD494DBECCFA}</b:Guid>
    <b:Author>
      <b:Author>
        <b:Corporate>Therapeutic Goods Administration </b:Corporate>
      </b:Author>
    </b:Author>
    <b:Title>Australian Code of Good Manufacturing Practice for human blood and blood components, human tissues and human cellular therapy products</b:Title>
    <b:Year>2013</b:Year>
    <b:City>Canberra</b:City>
    <b:RefOrder>21</b:RefOrder>
  </b:Source>
  <b:Source>
    <b:Tag>The16</b:Tag>
    <b:SourceType>InternetSite</b:SourceType>
    <b:Guid>{350DFB57-62A9-4CCE-B797-A0E5F8366323}</b:Guid>
    <b:Title>Regulation of blood</b:Title>
    <b:Year>2016</b:Year>
    <b:Author>
      <b:Author>
        <b:Corporate>Therapeutic Goods Administration </b:Corporate>
      </b:Author>
    </b:Author>
    <b:Month>July</b:Month>
    <b:Day>4</b:Day>
    <b:YearAccessed>2017</b:YearAccessed>
    <b:MonthAccessed>March</b:MonthAccessed>
    <b:URL>https://www.tga.gov.au/regulation-blood</b:URL>
    <b:RefOrder>22</b:RefOrder>
  </b:Source>
  <b:Source>
    <b:Tag>Com17</b:Tag>
    <b:SourceType>InternetSite</b:SourceType>
    <b:Guid>{6254D7B4-7127-466F-8E6D-DAB5E62D5CB9}</b:Guid>
    <b:Title>Ensuring Supply</b:Title>
    <b:Author>
      <b:Author>
        <b:Corporate>National Blood Authority</b:Corporate>
      </b:Author>
    </b:Author>
    <b:YearAccessed>2017</b:YearAccessed>
    <b:URL>https://www.blood.gov.au/ensuring-supply</b:URL>
    <b:MonthAccessed>March </b:MonthAccessed>
    <b:RefOrder>3</b:RefOrder>
  </b:Source>
  <b:Source>
    <b:Tag>TGATGO88</b:Tag>
    <b:SourceType>Report</b:SourceType>
    <b:Guid>{ECC27C92-1ED6-4B09-9CFC-FA05AC98A9B4}</b:Guid>
    <b:Title>Therapeutic Goods Order No. 88: Standards for donor selection, testing and minimising infectious disease transmission via therapeutic goods that are human blood and blood components, human tissues and human cellular therapy products</b:Title>
    <b:Year>2013</b:Year>
    <b:Author>
      <b:Author>
        <b:Corporate>Therapeutic Goods Administration</b:Corporate>
      </b:Author>
    </b:Author>
    <b:City>Canberra</b:City>
    <b:RefOrder>23</b:RefOrder>
  </b:Source>
  <b:Source>
    <b:Tag>Par04</b:Tag>
    <b:SourceType>InternetSite</b:SourceType>
    <b:Guid>{4720179F-24B3-4851-BB55-5ED1166787A4}</b:Guid>
    <b:Author>
      <b:Author>
        <b:Corporate>Parliament of Australia</b:Corporate>
      </b:Author>
    </b:Author>
    <b:Title>Hepatitis C and the blood supply; Chapter 2 Hepatatis C in Australia </b:Title>
    <b:Year>2004</b:Year>
    <b:YearAccessed>2017</b:YearAccessed>
    <b:MonthAccessed>May</b:MonthAccessed>
    <b:URL>http://www.aph.gov.au/Parliamentary_Business/Committees/Senate/Community_Affairs/Completed_inquiries/2002-04/hepc/report/c02</b:URL>
    <b:RefOrder>1</b:RefOrder>
  </b:Source>
  <b:Source>
    <b:Tag>Nat17A</b:Tag>
    <b:SourceType>InternetSite</b:SourceType>
    <b:Guid>{94FE0AB9-B4E7-4BFD-810B-81F83DEAEF3C}</b:Guid>
    <b:Author>
      <b:Author>
        <b:Corporate>National Serology Reference Laboratory </b:Corporate>
      </b:Author>
    </b:Author>
    <b:Title>About Us</b:Title>
    <b:YearAccessed>2017</b:YearAccessed>
    <b:MonthAccessed>May</b:MonthAccessed>
    <b:URL>http://www.nrl.gov.au/About+Us</b:URL>
    <b:RefOrder>2</b:RefOrder>
  </b:Source>
  <b:Source>
    <b:Tag>RCP17A</b:Tag>
    <b:SourceType>Report</b:SourceType>
    <b:Guid>{4A7CE4B0-A487-4D25-AF15-AAEDF62D255A}</b:Guid>
    <b:Title>RCPA QAP Product Catalogue </b:Title>
    <b:Year>2017</b:Year>
    <b:City>St Leonards</b:City>
    <b:Publisher>RCPA QAP</b:Publisher>
    <b:Author>
      <b:Author>
        <b:Corporate>RCPA QAP</b:Corporate>
      </b:Author>
    </b:Author>
    <b:RefOrder>31</b:RefOrder>
  </b:Source>
  <b:Source>
    <b:Tag>Aus</b:Tag>
    <b:SourceType>Report</b:SourceType>
    <b:Guid>{A25B6BB4-A84B-4CE5-8D8B-B8EBF8BC9464}</b:Guid>
    <b:Author>
      <b:Author>
        <b:Corporate>Australian Government Department of Health and Ageing</b:Corporate>
      </b:Author>
    </b:Author>
    <b:Title>Cost Recovery Impact Statement</b:Title>
    <b:RefOrder>36</b:RefOrder>
  </b:Source>
  <b:Source>
    <b:Tag>Sto95</b:Tag>
    <b:SourceType>Book</b:SourceType>
    <b:Guid>{5F36D180-0A63-472C-B368-652E6B0CE4F2}</b:Guid>
    <b:Title>Stoto, M.A., Sox Jr, H.C. and Leveton, L.B. eds.,HIV and the blood supply: an analysis of crisis decision making.</b:Title>
    <b:JournalName>National Academies Press.</b:JournalName>
    <b:Year>1995</b:Year>
    <b:Publisher>National Academies Press</b:Publisher>
    <b:Author>
      <b:Author>
        <b:NameList>
          <b:Person>
            <b:Last>Stoto</b:Last>
            <b:Middle>A</b:Middle>
            <b:First>M</b:First>
          </b:Person>
          <b:Person>
            <b:Last>Sox Jr</b:Last>
            <b:Middle>C</b:Middle>
            <b:First>H</b:First>
          </b:Person>
          <b:Person>
            <b:Last>Leveton</b:Last>
            <b:Middle>B</b:Middle>
            <b:First>L</b:First>
          </b:Person>
        </b:NameList>
      </b:Author>
    </b:Author>
    <b:RefOrder>35</b:RefOrder>
  </b:Source>
  <b:Source>
    <b:Tag>The22</b:Tag>
    <b:SourceType>InternetSite</b:SourceType>
    <b:Guid>{4164116A-1187-42CA-9D45-2B2CCF780F00}</b:Guid>
    <b:Title>Regulatory decisions &amp; notices (medical devices &amp; IVDs)</b:Title>
    <b:Year>2017</b:Year>
    <b:Author>
      <b:Author>
        <b:Corporate>Therapeutic Goods Administration</b:Corporate>
      </b:Author>
    </b:Author>
    <b:Month>June</b:Month>
    <b:YearAccessed>2018</b:YearAccessed>
    <b:MonthAccessed>May</b:MonthAccessed>
    <b:URL>https://www.tga.gov.au/regulatory-decisions-notices-medical-devices-ivds</b:URL>
    <b:RefOrder>34</b:RefOrder>
  </b:Source>
  <b:Source>
    <b:Tag>NPAACHIV13</b:Tag>
    <b:SourceType>Report</b:SourceType>
    <b:Guid>{CF3A484D-5ADC-42F8-8BD7-0C4E4B85B8CB}</b:Guid>
    <b:Author>
      <b:Author>
        <b:Corporate>National Pathology Accreditation Advisory Council</b:Corporate>
      </b:Author>
    </b:Author>
    <b:Title>Requirements for Laboratory Testing of Human Immunodeficiency Virus (HIV) and Hepatitis C Virus (HCV)  Third Edition</b:Title>
    <b:Year>2013</b:Year>
    <b:City>Canberra</b:City>
    <b:RefOrder>11</b:RefOrder>
  </b:Source>
  <b:Source>
    <b:Tag>Placeholder1</b:Tag>
    <b:SourceType>Report</b:SourceType>
    <b:Guid>{79C36A59-4B28-46AE-971F-D7F910ED01AA}</b:Guid>
    <b:Author>
      <b:Author>
        <b:Corporate>National Pathology Accrediation Advisory Council </b:Corporate>
      </b:Author>
    </b:Author>
    <b:Title>Requirements for Enrolment and Participation in External Quality Assessment</b:Title>
    <b:Year>2013</b:Year>
    <b:City>Canberra</b:City>
    <b:RefOrder>6</b:RefOrder>
  </b:Source>
  <b:Source>
    <b:Tag>Placeholder3</b:Tag>
    <b:SourceType>InternetSite</b:SourceType>
    <b:Guid>{D55F044A-7E1D-4922-AE85-A0E83AEE0E99}</b:Guid>
    <b:Author>
      <b:Author>
        <b:Corporate>Therapeutics Goods Administration</b:Corporate>
      </b:Author>
    </b:Author>
    <b:Title>Classification of IVD Medial Devices</b:Title>
    <b:YearAccessed>2017</b:YearAccessed>
    <b:MonthAccessed>March</b:MonthAccessed>
    <b:URL>https://www.tga.gov.au/publication/classification-ivd-medical-devices</b:URL>
    <b:RefOrder>12</b:RefOrder>
  </b:Source>
  <b:Source xmlns:b="http://schemas.openxmlformats.org/officeDocument/2006/bibliography">
    <b:Tag>Placeholder4</b:Tag>
    <b:SourceType>Report</b:SourceType>
    <b:Guid>{A6D9C3C2-76AF-4699-9521-5CE7EB1F9787}</b:Guid>
    <b:Title>Proposed amendments to the new regulatory framework for In Vitro medical devices (IVDs)</b:Title>
    <b:Year>2013</b:Year>
    <b:Author>
      <b:Author>
        <b:Corporate>Therapeutic Goods Administration </b:Corporate>
      </b:Author>
    </b:Author>
    <b:Publisher>Commonwealth of Australia</b:Publisher>
    <b:City>Canberra</b:City>
    <b:RefOrder>13</b:RefOrder>
  </b:Source>
  <b:Source>
    <b:Tag>The3</b:Tag>
    <b:SourceType>InternetSite</b:SourceType>
    <b:Guid>{02E009E0-9C8E-412E-AB0A-A6939C6D72EC}</b:Guid>
    <b:Author>
      <b:Author>
        <b:Corporate>Therapeutic Goods Administration</b:Corporate>
      </b:Author>
    </b:Author>
    <b:Title>Regulatory decisions &amp; notices (medical devices &amp; IVDs)</b:Title>
    <b:Month>June</b:Month>
    <b:Day>2017</b:Day>
    <b:MonthAccessed>May</b:MonthAccessed>
    <b:DayAccessed>2018</b:DayAccessed>
    <b:URL>https://www.tga.gov.au/regulatory-decisions-notices-medical-devices-ivds. </b:URL>
    <b:RefOrder>14</b:RefOrder>
  </b:Source>
  <b:Source>
    <b:Tag>Aus03A</b:Tag>
    <b:SourceType>InternetSite</b:SourceType>
    <b:Guid>{EC711FF5-B18E-4C77-8A7B-8E6AD28DCB86}</b:Guid>
    <b:Author>
      <b:Author>
        <b:Corporate>Australian Law Reform Commission</b:Corporate>
      </b:Author>
    </b:Author>
    <b:Title>Regulating Access to Genetic Testing</b:Title>
    <b:Year>2003</b:Year>
    <b:Month>May</b:Month>
    <b:Day>30</b:Day>
    <b:MonthAccessed>May</b:MonthAccessed>
    <b:DayAccessed>2018</b:DayAccessed>
    <b:URL>https://www.alrc.gov.au/publications/11-regulating-access-genetic-testing/laboratory-accreditation</b:URL>
    <b:RefOrder>15</b:RefOrder>
  </b:Source>
  <b:Source>
    <b:Tag>Placeholder5</b:Tag>
    <b:SourceType>Report</b:SourceType>
    <b:Guid>{8224E128-513E-421F-9CD5-4B04A7F043A9}</b:Guid>
    <b:Author>
      <b:Author>
        <b:Corporate>National Pathology Accrediation Advisory Council</b:Corporate>
      </b:Author>
    </b:Author>
    <b:Title>Requirements for Laboratory Testing of Human Immunodeficiency Virus (HIV) and Hepatitis C Virus (HCV)  Third Edition</b:Title>
    <b:Year>2013</b:Year>
    <b:City>Canberra</b:City>
    <b:RefOrder>19</b:RefOrder>
  </b:Source>
  <b:Source>
    <b:Tag>Lab</b:Tag>
    <b:SourceType>InternetSite</b:SourceType>
    <b:Guid>{B4AC9628-2658-4C10-A63C-615A45BBBECE}</b:Guid>
    <b:Author>
      <b:Author>
        <b:Corporate>Lab Tests Online</b:Corporate>
      </b:Author>
    </b:Author>
    <b:Title>Explaining Pathology, HTLV</b:Title>
    <b:URL>https://www.labtestsonline.org.au/learning/index-of-conditions/htlv</b:URL>
    <b:RefOrder>30</b:RefOrder>
  </b:Source>
  <b:Source>
    <b:Tag>Dep19</b:Tag>
    <b:SourceType>InternetSite</b:SourceType>
    <b:Guid>{21A417EF-CA84-4451-BE75-0033C340B492}</b:Guid>
    <b:Author>
      <b:Author>
        <b:Corporate>Department of Health </b:Corporate>
      </b:Author>
    </b:Author>
    <b:Title>Eigth National HIV Strategy 2018-2022</b:Title>
    <b:YearAccessed>2019</b:YearAccessed>
    <b:URL>https://www1.health.gov.au/internet/main/publishing.nsf/Content/ohp-bbvs-1/$File/HIV-Eight-Nat-Strategy-2018-22.pdf</b:URL>
    <b:RefOrder>33</b:RefOrder>
  </b:Source>
  <b:Source>
    <b:Tag>ust</b:Tag>
    <b:SourceType>InternetSite</b:SourceType>
    <b:Guid>{EB2B3DCB-9177-4D64-B4BE-862CD1A1E297}</b:Guid>
    <b:Author>
      <b:Author>
        <b:Corporate>Australian Red Cross Blood Service</b:Corporate>
      </b:Author>
    </b:Author>
    <b:Title>Frequently Asked Questions : Why should I give blood?</b:Title>
    <b:DayAccessed>2018</b:DayAccessed>
    <b:URL>www.donateblood.com.au/faqs.</b:URL>
    <b:RefOrder>5</b:RefOrder>
  </b:Source>
  <b:Source>
    <b:Tag>The</b:Tag>
    <b:SourceType>InternetSite</b:SourceType>
    <b:Guid>{8F86A282-09F7-4F26-9CD6-A71244E1BDF9}</b:Guid>
    <b:Author>
      <b:Author>
        <b:Corporate>Therapeutic Goods Administration</b:Corporate>
      </b:Author>
    </b:Author>
    <b:Title>Who we are &amp; what we do</b:Title>
    <b:MonthAccessed>May</b:MonthAccessed>
    <b:URL>https://www.tga.gov.au/who-we-are-what-we-do.</b:URL>
    <b:YearAccessed>2018</b:YearAccessed>
    <b:RefOrder>7</b:RefOrder>
  </b:Source>
  <b:Source>
    <b:Tag>The1</b:Tag>
    <b:SourceType>InternetSite</b:SourceType>
    <b:Guid>{04171620-7A84-46B4-A2B6-F85056C86C47}</b:Guid>
    <b:Author>
      <b:Author>
        <b:Corporate>Therapeutic Goods Administration</b:Corporate>
      </b:Author>
    </b:Author>
    <b:Title>IVD medical devices: Definitions and links</b:Title>
    <b:MonthAccessed>May</b:MonthAccessed>
    <b:URL>https://www.tga.gov.au/ivd-medical-devices-definitions-links</b:URL>
    <b:YearAccessed>2018</b:YearAccessed>
    <b:RefOrder>8</b:RefOrder>
  </b:Source>
  <b:Source>
    <b:Tag>The2</b:Tag>
    <b:SourceType>InternetSite</b:SourceType>
    <b:Guid>{BCFEAB04-19F6-42E5-AA5B-1F90245F998E}</b:Guid>
    <b:Author>
      <b:Author>
        <b:Corporate>Therapeutic Goods Administration</b:Corporate>
      </b:Author>
    </b:Author>
    <b:Title>Overview of the regulatory framework for in-vitro diagnostic medical devices</b:Title>
    <b:MonthAccessed>May</b:MonthAccessed>
    <b:URL>https://www.tga.gov.au/overview-regulatory-framework-vitro-diagnostic-medical-devices</b:URL>
    <b:YearAccessed>2018</b:YearAccessed>
    <b:RefOrder>9</b:RefOrder>
  </b:Source>
  <b:Source>
    <b:Tag>Aus172</b:Tag>
    <b:SourceType>Report</b:SourceType>
    <b:Guid>{358DFA81-0D92-4371-864C-AE8A4A0412C3}</b:Guid>
    <b:Title>Natioanl HIV testing Policy</b:Title>
    <b:Year>2017</b:Year>
    <b:Author>
      <b:Author>
        <b:Corporate>Australasian Society for HIV, Viral Hepatitis and Sexual Health Medicine</b:Corporate>
      </b:Author>
    </b:Author>
    <b:City>Canberra</b:City>
    <b:RefOrder>26</b:RefOrder>
  </b:Source>
  <b:Source>
    <b:Tag>Placeholder6</b:Tag>
    <b:SourceType>Report</b:SourceType>
    <b:Guid>{E10399B8-E285-4265-A7B5-A0A7D35657B6}</b:Guid>
    <b:Author>
      <b:Author>
        <b:Corporate>Australasian Society for HIV, Viral Hepatitis and Sexual Health Medicine</b:Corporate>
      </b:Author>
    </b:Author>
    <b:Title>National HCV Testing Policy v1.1</b:Title>
    <b:Year>2012</b:Year>
    <b:City>Canberra</b:City>
    <b:RefOrder>28</b:RefOrder>
  </b:Source>
  <b:Source>
    <b:Tag>Placeholder7</b:Tag>
    <b:SourceType>Report</b:SourceType>
    <b:Guid>{2D9258BB-8766-4688-B0D8-F943D50BDFE8}</b:Guid>
    <b:Author>
      <b:Author>
        <b:Corporate>Australasian Society for HIV, Viral Hepatitis and Sexual Health Medicine</b:Corporate>
      </b:Author>
    </b:Author>
    <b:Title>National HBV Testing Policy v1.2</b:Title>
    <b:Year>2013</b:Year>
    <b:City>Canberra</b:City>
    <b:RefOrder>29</b:RefOrder>
  </b:Source>
  <b:Source>
    <b:Tag>Dep188</b:Tag>
    <b:SourceType>InternetSite</b:SourceType>
    <b:Guid>{8285D358-58D0-440A-9D05-6512245C5C9D}</b:Guid>
    <b:Author>
      <b:Author>
        <b:Corporate>Department of Health</b:Corporate>
      </b:Author>
    </b:Author>
    <b:Title>Office of Health Protection,</b:Title>
    <b:YearAccessed>2018</b:YearAccessed>
    <b:URL>http://www.health.gov.au/internet/main/publishing.nsf/Content/ohp-about.htm</b:URL>
    <b:RefOrder>32</b:RefOrder>
  </b:Source>
  <b:Source>
    <b:Tag>The15</b:Tag>
    <b:SourceType>Report</b:SourceType>
    <b:Guid>{F0053EA0-D94C-4D87-8B85-6FD66F9F51F6}</b:Guid>
    <b:Author>
      <b:Author>
        <b:Corporate>Therapeutic Goods Administration </b:Corporate>
      </b:Author>
    </b:Author>
    <b:Title>Clinical performance requirements and risk mitigation strategies for HIV tests v1.0</b:Title>
    <b:Year>2015</b:Year>
    <b:Publisher>Department of Health</b:Publisher>
    <b:City>Canberra</b:City>
    <b:RefOrder>24</b:RefOrder>
  </b:Source>
  <b:Source>
    <b:Tag>Wor10</b:Tag>
    <b:SourceType>Report</b:SourceType>
    <b:Guid>{D2E29518-1ED0-4498-9B3A-4B3BB5B2E823}</b:Guid>
    <b:Author>
      <b:Author>
        <b:Corporate>World Health Organization </b:Corporate>
      </b:Author>
    </b:Author>
    <b:Title>Screening Donated Blood for Transfusion Transmissible Infections Recommendations</b:Title>
    <b:Year>2010</b:Year>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19870D-2785-4268-8950-35E29B248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18000</Words>
  <Characters>102602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Review of Commonwealth Funding of Services to Support the Diagnosis and Screening of Bloodborne Viruses</vt:lpstr>
    </vt:vector>
  </TitlesOfParts>
  <Company/>
  <LinksUpToDate>false</LinksUpToDate>
  <CharactersWithSpaces>120362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Commonwealth Funding of Services to Support the Diagnosis and Screening of Bloodborne Viruses</dc:title>
  <dc:subject/>
  <dc:creator>Australian Government Department of Health</dc:creator>
  <cp:keywords>Communicable diseases</cp:keywords>
  <dc:description/>
  <cp:lastModifiedBy>HOWARD, Sophie</cp:lastModifiedBy>
  <cp:revision>3</cp:revision>
  <cp:lastPrinted>2020-01-09T02:36:00Z</cp:lastPrinted>
  <dcterms:created xsi:type="dcterms:W3CDTF">2022-05-20T05:04:00Z</dcterms:created>
  <dcterms:modified xsi:type="dcterms:W3CDTF">2022-05-26T00:29:00Z</dcterms:modified>
  <cp:category>Final Report</cp:category>
</cp:coreProperties>
</file>