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946" w:type="pct"/>
        <w:tblLook w:val="04A0" w:firstRow="1" w:lastRow="0" w:firstColumn="1" w:lastColumn="0" w:noHBand="0" w:noVBand="1"/>
      </w:tblPr>
      <w:tblGrid>
        <w:gridCol w:w="10343"/>
      </w:tblGrid>
      <w:tr w:rsidR="007A2435" w:rsidRPr="00677FC0" w:rsidTr="007A2435">
        <w:tc>
          <w:tcPr>
            <w:tcW w:w="5000" w:type="pct"/>
            <w:vAlign w:val="center"/>
          </w:tcPr>
          <w:p w:rsidR="007A2435" w:rsidRPr="00C27C2F" w:rsidRDefault="007A2435" w:rsidP="00C27C2F">
            <w:pPr>
              <w:spacing w:after="0" w:line="360" w:lineRule="auto"/>
              <w:rPr>
                <w:rFonts w:asciiTheme="minorHAnsi" w:hAnsiTheme="minorHAnsi" w:cstheme="minorHAnsi"/>
                <w:b/>
              </w:rPr>
            </w:pPr>
            <w:bookmarkStart w:id="0" w:name="_GoBack"/>
            <w:bookmarkEnd w:id="0"/>
            <w:r w:rsidRPr="00C27C2F">
              <w:rPr>
                <w:rFonts w:asciiTheme="minorHAnsi" w:hAnsiTheme="minorHAnsi" w:cstheme="minorHAnsi"/>
                <w:b/>
              </w:rPr>
              <w:t>Respite Care and AN-ACC</w:t>
            </w:r>
          </w:p>
          <w:p w:rsidR="00BB7B47" w:rsidRDefault="007A2435" w:rsidP="00BB7B47">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 xml:space="preserve">The Department outlined the </w:t>
            </w:r>
            <w:r w:rsidRPr="00C27C2F">
              <w:rPr>
                <w:rFonts w:asciiTheme="minorHAnsi" w:hAnsiTheme="minorHAnsi" w:cstheme="minorHAnsi"/>
              </w:rPr>
              <w:t>proposal to align assessments for respite funding with the AN-ACC model.</w:t>
            </w:r>
            <w:r w:rsidR="00BB7B47">
              <w:rPr>
                <w:rFonts w:asciiTheme="minorHAnsi" w:hAnsiTheme="minorHAnsi" w:cstheme="minorHAnsi"/>
              </w:rPr>
              <w:t xml:space="preserve"> </w:t>
            </w:r>
            <w:r w:rsidR="00BB7B47" w:rsidRPr="00BB7B47">
              <w:rPr>
                <w:rFonts w:asciiTheme="minorHAnsi" w:hAnsiTheme="minorHAnsi" w:cstheme="minorHAnsi"/>
              </w:rPr>
              <w:t>The new funding model recognises the additional costs associated with short term care.</w:t>
            </w:r>
          </w:p>
          <w:p w:rsidR="007A2435" w:rsidRPr="005B2834" w:rsidRDefault="00BB7B47" w:rsidP="005B2834">
            <w:pPr>
              <w:pStyle w:val="ListParagraph"/>
              <w:numPr>
                <w:ilvl w:val="0"/>
                <w:numId w:val="6"/>
              </w:numPr>
              <w:spacing w:after="0" w:line="360" w:lineRule="auto"/>
              <w:contextualSpacing w:val="0"/>
              <w:rPr>
                <w:rFonts w:asciiTheme="minorHAnsi" w:hAnsiTheme="minorHAnsi" w:cstheme="minorHAnsi"/>
              </w:rPr>
            </w:pPr>
            <w:r w:rsidRPr="00BB7B47">
              <w:rPr>
                <w:rFonts w:asciiTheme="minorHAnsi" w:hAnsiTheme="minorHAnsi" w:cstheme="minorHAnsi"/>
              </w:rPr>
              <w:t xml:space="preserve">Members agreed that the proposed model represents an improvement to the current respite funding system. </w:t>
            </w:r>
            <w:r w:rsidR="007A2435" w:rsidRPr="005B2834">
              <w:rPr>
                <w:rFonts w:asciiTheme="minorHAnsi" w:hAnsiTheme="minorHAnsi" w:cstheme="minorHAnsi"/>
              </w:rPr>
              <w:t>Membe</w:t>
            </w:r>
            <w:r w:rsidRPr="005B2834">
              <w:rPr>
                <w:rFonts w:asciiTheme="minorHAnsi" w:hAnsiTheme="minorHAnsi" w:cstheme="minorHAnsi"/>
              </w:rPr>
              <w:t>rs sought clarification</w:t>
            </w:r>
            <w:r w:rsidR="007A2435" w:rsidRPr="005B2834">
              <w:rPr>
                <w:rFonts w:asciiTheme="minorHAnsi" w:hAnsiTheme="minorHAnsi" w:cstheme="minorHAnsi"/>
              </w:rPr>
              <w:t xml:space="preserve"> about </w:t>
            </w:r>
            <w:r w:rsidRPr="005B2834">
              <w:rPr>
                <w:rFonts w:asciiTheme="minorHAnsi" w:hAnsiTheme="minorHAnsi" w:cstheme="minorHAnsi"/>
              </w:rPr>
              <w:t xml:space="preserve">the </w:t>
            </w:r>
            <w:r w:rsidR="007A2435" w:rsidRPr="005B2834">
              <w:rPr>
                <w:rFonts w:asciiTheme="minorHAnsi" w:hAnsiTheme="minorHAnsi" w:cstheme="minorHAnsi"/>
              </w:rPr>
              <w:t>proposed model, particularly in relation to the funding of care for d</w:t>
            </w:r>
            <w:r w:rsidR="00BC52F8">
              <w:rPr>
                <w:rFonts w:asciiTheme="minorHAnsi" w:hAnsiTheme="minorHAnsi" w:cstheme="minorHAnsi"/>
              </w:rPr>
              <w:t>ementia and behavioural issues which were addressed in the meeting.</w:t>
            </w:r>
          </w:p>
        </w:tc>
      </w:tr>
      <w:tr w:rsidR="007A2435" w:rsidRPr="00677FC0" w:rsidTr="007A2435">
        <w:tc>
          <w:tcPr>
            <w:tcW w:w="5000" w:type="pct"/>
            <w:vAlign w:val="center"/>
          </w:tcPr>
          <w:p w:rsidR="007A2435" w:rsidRPr="00C27C2F" w:rsidRDefault="007A2435" w:rsidP="00C27C2F">
            <w:pPr>
              <w:spacing w:after="0" w:line="360" w:lineRule="auto"/>
              <w:rPr>
                <w:rFonts w:asciiTheme="minorHAnsi" w:hAnsiTheme="minorHAnsi" w:cstheme="minorHAnsi"/>
                <w:b/>
              </w:rPr>
            </w:pPr>
            <w:r w:rsidRPr="00C27C2F">
              <w:rPr>
                <w:rFonts w:asciiTheme="minorHAnsi" w:hAnsiTheme="minorHAnsi" w:cstheme="minorHAnsi"/>
                <w:b/>
              </w:rPr>
              <w:t>AN-ACC Trial Update</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The Department</w:t>
            </w:r>
            <w:r w:rsidRPr="00C27C2F">
              <w:rPr>
                <w:rFonts w:asciiTheme="minorHAnsi" w:hAnsiTheme="minorHAnsi" w:cstheme="minorHAnsi"/>
              </w:rPr>
              <w:t xml:space="preserve"> gave an overview of the key findings of the AN-ACC Trial which commenced in November 2019 and ceased in late March/April due to the COVID-19 outbreak. </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sidRPr="00C27C2F">
              <w:rPr>
                <w:rFonts w:asciiTheme="minorHAnsi" w:hAnsiTheme="minorHAnsi" w:cstheme="minorHAnsi"/>
              </w:rPr>
              <w:t>Members discussed the qualifications of the assessment workforce and their impact on broader workforce planning, re-assessment, consultation with assessors following the trial and the inter-rate</w:t>
            </w:r>
            <w:r w:rsidR="005256BD">
              <w:rPr>
                <w:rFonts w:asciiTheme="minorHAnsi" w:hAnsiTheme="minorHAnsi" w:cstheme="minorHAnsi"/>
              </w:rPr>
              <w:t>r</w:t>
            </w:r>
            <w:r w:rsidRPr="00C27C2F">
              <w:rPr>
                <w:rFonts w:asciiTheme="minorHAnsi" w:hAnsiTheme="minorHAnsi" w:cstheme="minorHAnsi"/>
              </w:rPr>
              <w:t xml:space="preserve"> reliability of the assessment tool.</w:t>
            </w:r>
          </w:p>
        </w:tc>
      </w:tr>
      <w:tr w:rsidR="007A2435" w:rsidRPr="00677FC0" w:rsidTr="007A2435">
        <w:tc>
          <w:tcPr>
            <w:tcW w:w="5000" w:type="pct"/>
            <w:vAlign w:val="center"/>
          </w:tcPr>
          <w:p w:rsidR="007A2435" w:rsidRPr="00C27C2F" w:rsidRDefault="007A2435" w:rsidP="00C27C2F">
            <w:pPr>
              <w:spacing w:after="0" w:line="360" w:lineRule="auto"/>
              <w:rPr>
                <w:rFonts w:asciiTheme="minorHAnsi" w:hAnsiTheme="minorHAnsi" w:cstheme="minorHAnsi"/>
                <w:b/>
              </w:rPr>
            </w:pPr>
            <w:r w:rsidRPr="00C27C2F">
              <w:rPr>
                <w:rFonts w:asciiTheme="minorHAnsi" w:hAnsiTheme="minorHAnsi" w:cstheme="minorHAnsi"/>
                <w:b/>
              </w:rPr>
              <w:t>AN-ACC Shadow Assessment</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The Department</w:t>
            </w:r>
            <w:r w:rsidRPr="00C27C2F">
              <w:rPr>
                <w:rFonts w:asciiTheme="minorHAnsi" w:hAnsiTheme="minorHAnsi" w:cstheme="minorHAnsi"/>
              </w:rPr>
              <w:t xml:space="preserve"> outlined the AN-ACC ‘shadow assessment’ process commencing March 2021.</w:t>
            </w:r>
          </w:p>
          <w:p w:rsidR="007A2435" w:rsidRPr="00C27C2F" w:rsidDel="007908F0" w:rsidRDefault="007A2435" w:rsidP="00C27C2F">
            <w:pPr>
              <w:pStyle w:val="ListParagraph"/>
              <w:numPr>
                <w:ilvl w:val="0"/>
                <w:numId w:val="6"/>
              </w:numPr>
              <w:spacing w:after="0" w:line="360" w:lineRule="auto"/>
              <w:contextualSpacing w:val="0"/>
              <w:rPr>
                <w:rFonts w:asciiTheme="minorHAnsi" w:hAnsiTheme="minorHAnsi" w:cstheme="minorHAnsi"/>
              </w:rPr>
            </w:pPr>
            <w:r w:rsidRPr="00C27C2F">
              <w:rPr>
                <w:rFonts w:asciiTheme="minorHAnsi" w:hAnsiTheme="minorHAnsi" w:cstheme="minorHAnsi"/>
              </w:rPr>
              <w:t>Members discussed quality assurance, the tender process, qualifications of the assessment workforce and access to training.</w:t>
            </w:r>
          </w:p>
        </w:tc>
      </w:tr>
      <w:tr w:rsidR="007A2435" w:rsidRPr="00677FC0" w:rsidTr="007A2435">
        <w:tc>
          <w:tcPr>
            <w:tcW w:w="5000" w:type="pct"/>
            <w:vAlign w:val="center"/>
          </w:tcPr>
          <w:p w:rsidR="007A2435" w:rsidRPr="00C27C2F" w:rsidRDefault="007A2435" w:rsidP="00C27C2F">
            <w:pPr>
              <w:spacing w:after="0" w:line="360" w:lineRule="auto"/>
              <w:rPr>
                <w:rFonts w:asciiTheme="minorHAnsi" w:hAnsiTheme="minorHAnsi" w:cstheme="minorHAnsi"/>
                <w:b/>
              </w:rPr>
            </w:pPr>
            <w:r w:rsidRPr="00C27C2F">
              <w:rPr>
                <w:rFonts w:asciiTheme="minorHAnsi" w:hAnsiTheme="minorHAnsi" w:cstheme="minorHAnsi"/>
                <w:b/>
              </w:rPr>
              <w:t>ACFR Data</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The Department</w:t>
            </w:r>
            <w:r w:rsidRPr="00C27C2F">
              <w:rPr>
                <w:rFonts w:asciiTheme="minorHAnsi" w:hAnsiTheme="minorHAnsi" w:cstheme="minorHAnsi"/>
              </w:rPr>
              <w:t xml:space="preserve"> outlined the proposal to improve the Aged Care Financial Report (ACFR) and implications for the rollout of AN-ACC.</w:t>
            </w:r>
          </w:p>
          <w:p w:rsidR="007A2435" w:rsidRPr="00C27C2F" w:rsidRDefault="005256BD" w:rsidP="00C27C2F">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 xml:space="preserve">Grant Corderoy, Senior Partner at </w:t>
            </w:r>
            <w:r w:rsidR="007A2435" w:rsidRPr="007A2435">
              <w:rPr>
                <w:rFonts w:asciiTheme="minorHAnsi" w:hAnsiTheme="minorHAnsi" w:cstheme="minorHAnsi"/>
              </w:rPr>
              <w:t xml:space="preserve">StewartBrown, </w:t>
            </w:r>
            <w:r w:rsidR="007A2435" w:rsidRPr="00C27C2F">
              <w:rPr>
                <w:rFonts w:asciiTheme="minorHAnsi" w:hAnsiTheme="minorHAnsi" w:cstheme="minorHAnsi"/>
              </w:rPr>
              <w:t>presented on key ACFR changes.</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sidRPr="00C27C2F">
              <w:rPr>
                <w:rFonts w:asciiTheme="minorHAnsi" w:hAnsiTheme="minorHAnsi" w:cstheme="minorHAnsi"/>
              </w:rPr>
              <w:t>Members agreed it would be useful to present this information to Chief Finance Officers (CFOs). Attendees discussed the attribution of costs to individual facilities by larger providers and My Aged Care portal security for financial reporting.</w:t>
            </w:r>
          </w:p>
        </w:tc>
      </w:tr>
      <w:tr w:rsidR="007A2435" w:rsidRPr="00677FC0" w:rsidTr="007A2435">
        <w:tc>
          <w:tcPr>
            <w:tcW w:w="5000" w:type="pct"/>
            <w:tcBorders>
              <w:bottom w:val="single" w:sz="4" w:space="0" w:color="auto"/>
            </w:tcBorders>
            <w:vAlign w:val="center"/>
          </w:tcPr>
          <w:p w:rsidR="007A2435" w:rsidRPr="00C27C2F" w:rsidRDefault="007A2435" w:rsidP="00C27C2F">
            <w:pPr>
              <w:spacing w:after="0" w:line="360" w:lineRule="auto"/>
              <w:rPr>
                <w:rFonts w:asciiTheme="minorHAnsi" w:hAnsiTheme="minorHAnsi" w:cstheme="minorHAnsi"/>
                <w:b/>
              </w:rPr>
            </w:pPr>
            <w:r w:rsidRPr="00C27C2F">
              <w:rPr>
                <w:rFonts w:asciiTheme="minorHAnsi" w:hAnsiTheme="minorHAnsi" w:cstheme="minorHAnsi"/>
                <w:b/>
              </w:rPr>
              <w:t>Palliative Care</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The Department</w:t>
            </w:r>
            <w:r w:rsidRPr="00C27C2F">
              <w:rPr>
                <w:rFonts w:asciiTheme="minorHAnsi" w:hAnsiTheme="minorHAnsi" w:cstheme="minorHAnsi"/>
              </w:rPr>
              <w:t xml:space="preserve"> gave an overview of the proposed AN-ACC Class 1 ‘Admit for palliative care’ including eligibility criteria for entry to this class.</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sidRPr="00C27C2F">
              <w:rPr>
                <w:rFonts w:asciiTheme="minorHAnsi" w:hAnsiTheme="minorHAnsi" w:cstheme="minorHAnsi"/>
              </w:rPr>
              <w:t xml:space="preserve">Members suggested that consideration be given to better </w:t>
            </w:r>
            <w:r>
              <w:rPr>
                <w:rFonts w:asciiTheme="minorHAnsi" w:hAnsiTheme="minorHAnsi" w:cstheme="minorHAnsi"/>
              </w:rPr>
              <w:t>integrat</w:t>
            </w:r>
            <w:r w:rsidR="005256BD">
              <w:rPr>
                <w:rFonts w:asciiTheme="minorHAnsi" w:hAnsiTheme="minorHAnsi" w:cstheme="minorHAnsi"/>
              </w:rPr>
              <w:t>ing the criteria</w:t>
            </w:r>
            <w:r w:rsidRPr="00C27C2F">
              <w:rPr>
                <w:rFonts w:asciiTheme="minorHAnsi" w:hAnsiTheme="minorHAnsi" w:cstheme="minorHAnsi"/>
              </w:rPr>
              <w:t xml:space="preserve"> with GP practices.</w:t>
            </w:r>
          </w:p>
        </w:tc>
      </w:tr>
      <w:tr w:rsidR="007A2435" w:rsidRPr="00677FC0" w:rsidTr="007A2435">
        <w:tc>
          <w:tcPr>
            <w:tcW w:w="5000" w:type="pct"/>
            <w:tcBorders>
              <w:top w:val="single" w:sz="4" w:space="0" w:color="auto"/>
              <w:left w:val="single" w:sz="4" w:space="0" w:color="auto"/>
              <w:bottom w:val="single" w:sz="4" w:space="0" w:color="auto"/>
              <w:right w:val="single" w:sz="4" w:space="0" w:color="auto"/>
            </w:tcBorders>
            <w:vAlign w:val="center"/>
          </w:tcPr>
          <w:p w:rsidR="007A2435" w:rsidRPr="007A2435" w:rsidRDefault="007A2435" w:rsidP="007A2435">
            <w:pPr>
              <w:spacing w:after="0" w:line="360" w:lineRule="auto"/>
              <w:rPr>
                <w:rFonts w:asciiTheme="minorHAnsi" w:hAnsiTheme="minorHAnsi" w:cstheme="minorHAnsi"/>
                <w:b/>
              </w:rPr>
            </w:pPr>
            <w:r w:rsidRPr="007A2435">
              <w:rPr>
                <w:rFonts w:asciiTheme="minorHAnsi" w:hAnsiTheme="minorHAnsi" w:cstheme="minorHAnsi"/>
                <w:b/>
              </w:rPr>
              <w:t>IT System</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The Department</w:t>
            </w:r>
            <w:r w:rsidRPr="00C27C2F">
              <w:rPr>
                <w:rFonts w:asciiTheme="minorHAnsi" w:hAnsiTheme="minorHAnsi" w:cstheme="minorHAnsi"/>
              </w:rPr>
              <w:t xml:space="preserve"> advised</w:t>
            </w:r>
            <w:r>
              <w:rPr>
                <w:rFonts w:asciiTheme="minorHAnsi" w:hAnsiTheme="minorHAnsi" w:cstheme="minorHAnsi"/>
              </w:rPr>
              <w:t xml:space="preserve"> </w:t>
            </w:r>
            <w:r w:rsidRPr="00C27C2F">
              <w:rPr>
                <w:rFonts w:asciiTheme="minorHAnsi" w:hAnsiTheme="minorHAnsi" w:cstheme="minorHAnsi"/>
              </w:rPr>
              <w:t xml:space="preserve">the current residential aged care payment system (SPARC) is </w:t>
            </w:r>
            <w:r>
              <w:rPr>
                <w:rFonts w:asciiTheme="minorHAnsi" w:hAnsiTheme="minorHAnsi" w:cstheme="minorHAnsi"/>
              </w:rPr>
              <w:t xml:space="preserve">at </w:t>
            </w:r>
            <w:r w:rsidRPr="00C27C2F">
              <w:rPr>
                <w:rFonts w:asciiTheme="minorHAnsi" w:hAnsiTheme="minorHAnsi" w:cstheme="minorHAnsi"/>
              </w:rPr>
              <w:t>end-of-life</w:t>
            </w:r>
            <w:r w:rsidR="005256BD">
              <w:rPr>
                <w:rFonts w:asciiTheme="minorHAnsi" w:hAnsiTheme="minorHAnsi" w:cstheme="minorHAnsi"/>
              </w:rPr>
              <w:t>.</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Pr>
                <w:rFonts w:asciiTheme="minorHAnsi" w:hAnsiTheme="minorHAnsi" w:cstheme="minorHAnsi"/>
              </w:rPr>
              <w:t>Services Australia</w:t>
            </w:r>
            <w:r w:rsidRPr="00C27C2F">
              <w:rPr>
                <w:rFonts w:asciiTheme="minorHAnsi" w:hAnsiTheme="minorHAnsi" w:cstheme="minorHAnsi"/>
              </w:rPr>
              <w:t xml:space="preserve"> outlined the plan to replace SPARC with new technological capability that will flexibly support aged care reforms. </w:t>
            </w:r>
          </w:p>
          <w:p w:rsidR="007A2435" w:rsidRPr="00C27C2F" w:rsidRDefault="007A2435" w:rsidP="00C27C2F">
            <w:pPr>
              <w:pStyle w:val="ListParagraph"/>
              <w:numPr>
                <w:ilvl w:val="0"/>
                <w:numId w:val="6"/>
              </w:numPr>
              <w:spacing w:after="0" w:line="360" w:lineRule="auto"/>
              <w:contextualSpacing w:val="0"/>
              <w:rPr>
                <w:rFonts w:asciiTheme="minorHAnsi" w:hAnsiTheme="minorHAnsi" w:cstheme="minorHAnsi"/>
              </w:rPr>
            </w:pPr>
            <w:r w:rsidRPr="00C27C2F">
              <w:rPr>
                <w:rFonts w:asciiTheme="minorHAnsi" w:hAnsiTheme="minorHAnsi" w:cstheme="minorHAnsi"/>
              </w:rPr>
              <w:t xml:space="preserve">Attendees discussed the need to make information more accessible and work with software providers to implement system changes. </w:t>
            </w:r>
          </w:p>
        </w:tc>
      </w:tr>
      <w:tr w:rsidR="007A2435" w:rsidRPr="00677FC0" w:rsidTr="007A2435">
        <w:trPr>
          <w:trHeight w:val="308"/>
        </w:trPr>
        <w:tc>
          <w:tcPr>
            <w:tcW w:w="5000" w:type="pct"/>
            <w:tcBorders>
              <w:top w:val="single" w:sz="4" w:space="0" w:color="auto"/>
              <w:left w:val="nil"/>
              <w:bottom w:val="nil"/>
              <w:right w:val="nil"/>
            </w:tcBorders>
            <w:shd w:val="clear" w:color="auto" w:fill="auto"/>
          </w:tcPr>
          <w:p w:rsidR="007A2435" w:rsidRPr="004A7473" w:rsidRDefault="007A2435" w:rsidP="003B71B7">
            <w:pPr>
              <w:spacing w:before="60" w:after="60"/>
              <w:rPr>
                <w:rFonts w:asciiTheme="minorHAnsi" w:hAnsiTheme="minorHAnsi" w:cstheme="minorHAnsi"/>
                <w:b/>
                <w:sz w:val="20"/>
                <w:szCs w:val="20"/>
              </w:rPr>
            </w:pPr>
          </w:p>
        </w:tc>
      </w:tr>
    </w:tbl>
    <w:p w:rsidR="00C27C2F" w:rsidRDefault="00C27C2F" w:rsidP="00C27C2F"/>
    <w:p w:rsidR="00C27C2F" w:rsidRPr="00C27C2F" w:rsidRDefault="00C27C2F" w:rsidP="00C27C2F"/>
    <w:sectPr w:rsidR="00C27C2F" w:rsidRPr="00C27C2F" w:rsidSect="00AC583F">
      <w:headerReference w:type="default" r:id="rId8"/>
      <w:type w:val="continuous"/>
      <w:pgSz w:w="11906" w:h="16838" w:code="9"/>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A48" w:rsidRDefault="00617A48" w:rsidP="00C7184E">
      <w:pPr>
        <w:spacing w:after="0" w:line="240" w:lineRule="auto"/>
      </w:pPr>
      <w:r>
        <w:separator/>
      </w:r>
    </w:p>
  </w:endnote>
  <w:endnote w:type="continuationSeparator" w:id="0">
    <w:p w:rsidR="00617A48" w:rsidRDefault="00617A48" w:rsidP="00C7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A48" w:rsidRDefault="00617A48" w:rsidP="00C7184E">
      <w:pPr>
        <w:spacing w:after="0" w:line="240" w:lineRule="auto"/>
      </w:pPr>
      <w:r>
        <w:separator/>
      </w:r>
    </w:p>
  </w:footnote>
  <w:footnote w:type="continuationSeparator" w:id="0">
    <w:p w:rsidR="00617A48" w:rsidRDefault="00617A48" w:rsidP="00C71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78" w:rsidRPr="00EE1E78" w:rsidRDefault="00EE1E78" w:rsidP="00676671">
    <w:pPr>
      <w:pStyle w:val="Heading1"/>
      <w:jc w:val="right"/>
    </w:pPr>
    <w:r w:rsidRPr="00EE1E78">
      <w:t>Aged Care Funding Reform Working Group</w:t>
    </w:r>
    <w:r w:rsidR="00676671">
      <w:t xml:space="preserve"> | </w:t>
    </w:r>
    <w:r w:rsidR="00451328">
      <w:rPr>
        <w:b/>
      </w:rPr>
      <w:t>Communiqu</w:t>
    </w:r>
    <w:r w:rsidR="0043688B" w:rsidRPr="0043688B">
      <w:rPr>
        <w:b/>
      </w:rPr>
      <w:t>é</w:t>
    </w:r>
  </w:p>
  <w:p w:rsidR="00EE1E78" w:rsidRDefault="00EE1E78" w:rsidP="00EE1E78">
    <w:pPr>
      <w:jc w:val="right"/>
      <w:rPr>
        <w:rFonts w:asciiTheme="minorHAnsi" w:eastAsiaTheme="majorEastAsia" w:hAnsiTheme="minorHAnsi" w:cstheme="minorHAnsi"/>
        <w:b/>
        <w:color w:val="3F4A75"/>
        <w:sz w:val="20"/>
        <w:szCs w:val="20"/>
        <w:lang w:eastAsia="en-AU"/>
      </w:rPr>
    </w:pPr>
    <w:r w:rsidRPr="00EE1E78">
      <w:rPr>
        <w:rFonts w:asciiTheme="minorHAnsi" w:hAnsiTheme="minorHAnsi" w:cstheme="minorHAnsi"/>
        <w:b/>
        <w:noProof/>
        <w:sz w:val="20"/>
        <w:szCs w:val="20"/>
        <w:lang w:eastAsia="en-AU"/>
      </w:rPr>
      <w:t xml:space="preserve">Meeting </w:t>
    </w:r>
    <w:r w:rsidR="00346F32">
      <w:rPr>
        <w:rFonts w:asciiTheme="minorHAnsi" w:hAnsiTheme="minorHAnsi" w:cstheme="minorHAnsi"/>
        <w:b/>
        <w:noProof/>
        <w:sz w:val="20"/>
        <w:szCs w:val="20"/>
        <w:lang w:eastAsia="en-AU"/>
      </w:rPr>
      <w:t>Three</w:t>
    </w:r>
    <w:r w:rsidRPr="00EE1E78">
      <w:rPr>
        <w:rFonts w:asciiTheme="minorHAnsi" w:hAnsiTheme="minorHAnsi" w:cstheme="minorHAnsi"/>
        <w:noProof/>
        <w:sz w:val="20"/>
        <w:szCs w:val="20"/>
        <w:lang w:eastAsia="en-AU"/>
      </w:rPr>
      <w:t>|</w:t>
    </w:r>
    <w:r w:rsidRPr="00EE1E78">
      <w:rPr>
        <w:rFonts w:asciiTheme="minorHAnsi" w:hAnsiTheme="minorHAnsi" w:cstheme="minorHAnsi"/>
        <w:b/>
        <w:noProof/>
        <w:sz w:val="20"/>
        <w:szCs w:val="20"/>
        <w:lang w:eastAsia="en-AU"/>
      </w:rPr>
      <w:t xml:space="preserve"> </w:t>
    </w:r>
    <w:r w:rsidRPr="00EE1E78">
      <w:rPr>
        <w:rFonts w:asciiTheme="minorHAnsi" w:hAnsiTheme="minorHAnsi" w:cstheme="minorHAnsi"/>
        <w:b/>
        <w:sz w:val="20"/>
        <w:szCs w:val="20"/>
        <w:lang w:eastAsia="en-AU"/>
      </w:rPr>
      <w:t>Date:</w:t>
    </w:r>
    <w:r w:rsidR="007A2435">
      <w:rPr>
        <w:rFonts w:asciiTheme="minorHAnsi" w:hAnsiTheme="minorHAnsi" w:cstheme="minorHAnsi"/>
        <w:sz w:val="20"/>
        <w:szCs w:val="20"/>
        <w:lang w:eastAsia="en-AU"/>
      </w:rPr>
      <w:t xml:space="preserve"> 5 November 2020</w:t>
    </w:r>
    <w:r w:rsidRPr="00EE1E78">
      <w:rPr>
        <w:rFonts w:asciiTheme="minorHAnsi" w:hAnsiTheme="minorHAnsi" w:cstheme="minorHAnsi"/>
        <w:sz w:val="20"/>
        <w:szCs w:val="20"/>
        <w:lang w:eastAsia="en-AU"/>
      </w:rPr>
      <w:t xml:space="preserve"> | </w:t>
    </w:r>
    <w:r w:rsidRPr="00EE1E78">
      <w:rPr>
        <w:rFonts w:asciiTheme="minorHAnsi" w:hAnsiTheme="minorHAnsi" w:cstheme="minorHAnsi"/>
        <w:b/>
        <w:sz w:val="20"/>
        <w:szCs w:val="20"/>
        <w:lang w:eastAsia="en-AU"/>
      </w:rPr>
      <w:t>Time:</w:t>
    </w:r>
    <w:r w:rsidRPr="00EE1E78">
      <w:rPr>
        <w:rFonts w:asciiTheme="minorHAnsi" w:hAnsiTheme="minorHAnsi" w:cstheme="minorHAnsi"/>
        <w:sz w:val="20"/>
        <w:szCs w:val="20"/>
        <w:lang w:eastAsia="en-AU"/>
      </w:rPr>
      <w:t xml:space="preserve"> 1:00PM – 4:00PM |</w:t>
    </w:r>
    <w:r w:rsidRPr="00EE1E78">
      <w:rPr>
        <w:rFonts w:asciiTheme="minorHAnsi" w:hAnsiTheme="minorHAnsi" w:cstheme="minorHAnsi"/>
        <w:b/>
        <w:sz w:val="20"/>
        <w:szCs w:val="20"/>
        <w:lang w:eastAsia="en-AU"/>
      </w:rPr>
      <w:t xml:space="preserve"> Location:</w:t>
    </w:r>
    <w:r w:rsidRPr="00EE1E78">
      <w:rPr>
        <w:rFonts w:asciiTheme="minorHAnsi" w:hAnsiTheme="minorHAnsi" w:cstheme="minorHAnsi"/>
        <w:sz w:val="20"/>
        <w:szCs w:val="20"/>
        <w:lang w:eastAsia="en-AU"/>
      </w:rPr>
      <w:t xml:space="preserve"> virtual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D2C"/>
    <w:multiLevelType w:val="hybridMultilevel"/>
    <w:tmpl w:val="3A403778"/>
    <w:lvl w:ilvl="0" w:tplc="301AA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05DBC"/>
    <w:multiLevelType w:val="hybridMultilevel"/>
    <w:tmpl w:val="5D88A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F2257"/>
    <w:multiLevelType w:val="hybridMultilevel"/>
    <w:tmpl w:val="15AE08F8"/>
    <w:lvl w:ilvl="0" w:tplc="5F9C6BF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25301"/>
    <w:multiLevelType w:val="hybridMultilevel"/>
    <w:tmpl w:val="29DC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E237E3"/>
    <w:multiLevelType w:val="hybridMultilevel"/>
    <w:tmpl w:val="61DC8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74A84"/>
    <w:multiLevelType w:val="hybridMultilevel"/>
    <w:tmpl w:val="BD0AC3FC"/>
    <w:lvl w:ilvl="0" w:tplc="2D0A460E">
      <w:start w:val="3"/>
      <w:numFmt w:val="bullet"/>
      <w:lvlText w:val="-"/>
      <w:lvlJc w:val="left"/>
      <w:pPr>
        <w:ind w:left="360" w:hanging="360"/>
      </w:pPr>
      <w:rPr>
        <w:rFonts w:ascii="Times New Roman" w:eastAsia="Times New Roman" w:hAnsi="Times New Roman" w:cs="Times New Roman" w:hint="default"/>
      </w:rPr>
    </w:lvl>
    <w:lvl w:ilvl="1" w:tplc="D1286DF2">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840500"/>
    <w:multiLevelType w:val="hybridMultilevel"/>
    <w:tmpl w:val="02ACBA8A"/>
    <w:lvl w:ilvl="0" w:tplc="BF245408">
      <w:start w:val="1"/>
      <w:numFmt w:val="bullet"/>
      <w:lvlText w:val="•"/>
      <w:lvlJc w:val="left"/>
      <w:pPr>
        <w:tabs>
          <w:tab w:val="num" w:pos="720"/>
        </w:tabs>
        <w:ind w:left="720" w:hanging="360"/>
      </w:pPr>
      <w:rPr>
        <w:rFonts w:ascii="Arial" w:hAnsi="Arial" w:hint="default"/>
      </w:rPr>
    </w:lvl>
    <w:lvl w:ilvl="1" w:tplc="2F38C35E" w:tentative="1">
      <w:start w:val="1"/>
      <w:numFmt w:val="bullet"/>
      <w:lvlText w:val="•"/>
      <w:lvlJc w:val="left"/>
      <w:pPr>
        <w:tabs>
          <w:tab w:val="num" w:pos="1440"/>
        </w:tabs>
        <w:ind w:left="1440" w:hanging="360"/>
      </w:pPr>
      <w:rPr>
        <w:rFonts w:ascii="Arial" w:hAnsi="Arial" w:hint="default"/>
      </w:rPr>
    </w:lvl>
    <w:lvl w:ilvl="2" w:tplc="9AE0EBA4" w:tentative="1">
      <w:start w:val="1"/>
      <w:numFmt w:val="bullet"/>
      <w:lvlText w:val="•"/>
      <w:lvlJc w:val="left"/>
      <w:pPr>
        <w:tabs>
          <w:tab w:val="num" w:pos="2160"/>
        </w:tabs>
        <w:ind w:left="2160" w:hanging="360"/>
      </w:pPr>
      <w:rPr>
        <w:rFonts w:ascii="Arial" w:hAnsi="Arial" w:hint="default"/>
      </w:rPr>
    </w:lvl>
    <w:lvl w:ilvl="3" w:tplc="78C6B8F2" w:tentative="1">
      <w:start w:val="1"/>
      <w:numFmt w:val="bullet"/>
      <w:lvlText w:val="•"/>
      <w:lvlJc w:val="left"/>
      <w:pPr>
        <w:tabs>
          <w:tab w:val="num" w:pos="2880"/>
        </w:tabs>
        <w:ind w:left="2880" w:hanging="360"/>
      </w:pPr>
      <w:rPr>
        <w:rFonts w:ascii="Arial" w:hAnsi="Arial" w:hint="default"/>
      </w:rPr>
    </w:lvl>
    <w:lvl w:ilvl="4" w:tplc="A216D878" w:tentative="1">
      <w:start w:val="1"/>
      <w:numFmt w:val="bullet"/>
      <w:lvlText w:val="•"/>
      <w:lvlJc w:val="left"/>
      <w:pPr>
        <w:tabs>
          <w:tab w:val="num" w:pos="3600"/>
        </w:tabs>
        <w:ind w:left="3600" w:hanging="360"/>
      </w:pPr>
      <w:rPr>
        <w:rFonts w:ascii="Arial" w:hAnsi="Arial" w:hint="default"/>
      </w:rPr>
    </w:lvl>
    <w:lvl w:ilvl="5" w:tplc="F3A4655E" w:tentative="1">
      <w:start w:val="1"/>
      <w:numFmt w:val="bullet"/>
      <w:lvlText w:val="•"/>
      <w:lvlJc w:val="left"/>
      <w:pPr>
        <w:tabs>
          <w:tab w:val="num" w:pos="4320"/>
        </w:tabs>
        <w:ind w:left="4320" w:hanging="360"/>
      </w:pPr>
      <w:rPr>
        <w:rFonts w:ascii="Arial" w:hAnsi="Arial" w:hint="default"/>
      </w:rPr>
    </w:lvl>
    <w:lvl w:ilvl="6" w:tplc="39ACFB96" w:tentative="1">
      <w:start w:val="1"/>
      <w:numFmt w:val="bullet"/>
      <w:lvlText w:val="•"/>
      <w:lvlJc w:val="left"/>
      <w:pPr>
        <w:tabs>
          <w:tab w:val="num" w:pos="5040"/>
        </w:tabs>
        <w:ind w:left="5040" w:hanging="360"/>
      </w:pPr>
      <w:rPr>
        <w:rFonts w:ascii="Arial" w:hAnsi="Arial" w:hint="default"/>
      </w:rPr>
    </w:lvl>
    <w:lvl w:ilvl="7" w:tplc="34029D64" w:tentative="1">
      <w:start w:val="1"/>
      <w:numFmt w:val="bullet"/>
      <w:lvlText w:val="•"/>
      <w:lvlJc w:val="left"/>
      <w:pPr>
        <w:tabs>
          <w:tab w:val="num" w:pos="5760"/>
        </w:tabs>
        <w:ind w:left="5760" w:hanging="360"/>
      </w:pPr>
      <w:rPr>
        <w:rFonts w:ascii="Arial" w:hAnsi="Arial" w:hint="default"/>
      </w:rPr>
    </w:lvl>
    <w:lvl w:ilvl="8" w:tplc="757229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EC3928"/>
    <w:multiLevelType w:val="hybridMultilevel"/>
    <w:tmpl w:val="DFA2D32A"/>
    <w:lvl w:ilvl="0" w:tplc="301AA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7E5C99"/>
    <w:multiLevelType w:val="hybridMultilevel"/>
    <w:tmpl w:val="5448B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8A3598"/>
    <w:multiLevelType w:val="hybridMultilevel"/>
    <w:tmpl w:val="7C02E0DA"/>
    <w:lvl w:ilvl="0" w:tplc="301AA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F469C1"/>
    <w:multiLevelType w:val="hybridMultilevel"/>
    <w:tmpl w:val="C2688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A303DC"/>
    <w:multiLevelType w:val="hybridMultilevel"/>
    <w:tmpl w:val="E812C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EF2244"/>
    <w:multiLevelType w:val="hybridMultilevel"/>
    <w:tmpl w:val="AC547DBC"/>
    <w:lvl w:ilvl="0" w:tplc="301AA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7704C7"/>
    <w:multiLevelType w:val="hybridMultilevel"/>
    <w:tmpl w:val="0B366518"/>
    <w:lvl w:ilvl="0" w:tplc="301AA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66D60"/>
    <w:multiLevelType w:val="hybridMultilevel"/>
    <w:tmpl w:val="B0A0571E"/>
    <w:lvl w:ilvl="0" w:tplc="2D0A460E">
      <w:start w:val="3"/>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986B5E"/>
    <w:multiLevelType w:val="hybridMultilevel"/>
    <w:tmpl w:val="92D2E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7D2E9E"/>
    <w:multiLevelType w:val="hybridMultilevel"/>
    <w:tmpl w:val="EA4E30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3"/>
  </w:num>
  <w:num w:numId="4">
    <w:abstractNumId w:val="11"/>
  </w:num>
  <w:num w:numId="5">
    <w:abstractNumId w:val="1"/>
  </w:num>
  <w:num w:numId="6">
    <w:abstractNumId w:val="8"/>
  </w:num>
  <w:num w:numId="7">
    <w:abstractNumId w:val="4"/>
  </w:num>
  <w:num w:numId="8">
    <w:abstractNumId w:val="9"/>
  </w:num>
  <w:num w:numId="9">
    <w:abstractNumId w:val="12"/>
  </w:num>
  <w:num w:numId="10">
    <w:abstractNumId w:val="0"/>
  </w:num>
  <w:num w:numId="11">
    <w:abstractNumId w:val="7"/>
  </w:num>
  <w:num w:numId="12">
    <w:abstractNumId w:val="13"/>
  </w:num>
  <w:num w:numId="13">
    <w:abstractNumId w:val="15"/>
  </w:num>
  <w:num w:numId="14">
    <w:abstractNumId w:val="14"/>
  </w:num>
  <w:num w:numId="15">
    <w:abstractNumId w:val="2"/>
  </w:num>
  <w:num w:numId="16">
    <w:abstractNumId w:val="5"/>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78"/>
    <w:rsid w:val="00017851"/>
    <w:rsid w:val="000266B1"/>
    <w:rsid w:val="00030BBE"/>
    <w:rsid w:val="000369A3"/>
    <w:rsid w:val="00040639"/>
    <w:rsid w:val="000410A4"/>
    <w:rsid w:val="0004463C"/>
    <w:rsid w:val="00051CD7"/>
    <w:rsid w:val="00051D9E"/>
    <w:rsid w:val="0006666E"/>
    <w:rsid w:val="00071513"/>
    <w:rsid w:val="00075928"/>
    <w:rsid w:val="00084E16"/>
    <w:rsid w:val="000B081E"/>
    <w:rsid w:val="000B18B7"/>
    <w:rsid w:val="000B649A"/>
    <w:rsid w:val="000C1ADF"/>
    <w:rsid w:val="000C3CA6"/>
    <w:rsid w:val="000C71D8"/>
    <w:rsid w:val="000D11F6"/>
    <w:rsid w:val="000E4590"/>
    <w:rsid w:val="000E6F1C"/>
    <w:rsid w:val="000F12EC"/>
    <w:rsid w:val="000F3AFD"/>
    <w:rsid w:val="000F6EBD"/>
    <w:rsid w:val="000F7C4C"/>
    <w:rsid w:val="00106DF3"/>
    <w:rsid w:val="0012505E"/>
    <w:rsid w:val="00134999"/>
    <w:rsid w:val="0013637C"/>
    <w:rsid w:val="001501C7"/>
    <w:rsid w:val="001518B9"/>
    <w:rsid w:val="00152DE6"/>
    <w:rsid w:val="00165A08"/>
    <w:rsid w:val="00166891"/>
    <w:rsid w:val="00190730"/>
    <w:rsid w:val="00194D22"/>
    <w:rsid w:val="001B3F69"/>
    <w:rsid w:val="001D4881"/>
    <w:rsid w:val="001E0F50"/>
    <w:rsid w:val="001E769D"/>
    <w:rsid w:val="00201AC2"/>
    <w:rsid w:val="0020267C"/>
    <w:rsid w:val="00202CDB"/>
    <w:rsid w:val="00213B6E"/>
    <w:rsid w:val="00216FEB"/>
    <w:rsid w:val="00235DE2"/>
    <w:rsid w:val="002419F3"/>
    <w:rsid w:val="00245865"/>
    <w:rsid w:val="002527B7"/>
    <w:rsid w:val="0025283A"/>
    <w:rsid w:val="002551F3"/>
    <w:rsid w:val="002564F9"/>
    <w:rsid w:val="00260F6E"/>
    <w:rsid w:val="00261D87"/>
    <w:rsid w:val="00263159"/>
    <w:rsid w:val="00280050"/>
    <w:rsid w:val="00286089"/>
    <w:rsid w:val="00295BA4"/>
    <w:rsid w:val="002966C4"/>
    <w:rsid w:val="0029682D"/>
    <w:rsid w:val="002A2275"/>
    <w:rsid w:val="002A2F01"/>
    <w:rsid w:val="002B1CB6"/>
    <w:rsid w:val="002E2E7C"/>
    <w:rsid w:val="002E5BDB"/>
    <w:rsid w:val="002E6E3C"/>
    <w:rsid w:val="002F222C"/>
    <w:rsid w:val="003125E3"/>
    <w:rsid w:val="003172DB"/>
    <w:rsid w:val="0032214D"/>
    <w:rsid w:val="003249FB"/>
    <w:rsid w:val="00326414"/>
    <w:rsid w:val="00346CE9"/>
    <w:rsid w:val="00346F32"/>
    <w:rsid w:val="00352456"/>
    <w:rsid w:val="003558AF"/>
    <w:rsid w:val="00360D06"/>
    <w:rsid w:val="00370FEE"/>
    <w:rsid w:val="00372CA6"/>
    <w:rsid w:val="00377216"/>
    <w:rsid w:val="0037750B"/>
    <w:rsid w:val="0038071A"/>
    <w:rsid w:val="00383A0E"/>
    <w:rsid w:val="003A1686"/>
    <w:rsid w:val="003A1C38"/>
    <w:rsid w:val="003B03DB"/>
    <w:rsid w:val="003B665F"/>
    <w:rsid w:val="003C4D74"/>
    <w:rsid w:val="003C7BDA"/>
    <w:rsid w:val="003D37C8"/>
    <w:rsid w:val="003D59C9"/>
    <w:rsid w:val="003D6773"/>
    <w:rsid w:val="003E44D0"/>
    <w:rsid w:val="003F3698"/>
    <w:rsid w:val="003F37F3"/>
    <w:rsid w:val="003F4499"/>
    <w:rsid w:val="003F5DCF"/>
    <w:rsid w:val="004068B3"/>
    <w:rsid w:val="00411769"/>
    <w:rsid w:val="0043688B"/>
    <w:rsid w:val="00446484"/>
    <w:rsid w:val="00447395"/>
    <w:rsid w:val="00451328"/>
    <w:rsid w:val="004530FB"/>
    <w:rsid w:val="00461500"/>
    <w:rsid w:val="004650F0"/>
    <w:rsid w:val="00465850"/>
    <w:rsid w:val="00472EBB"/>
    <w:rsid w:val="00476694"/>
    <w:rsid w:val="00481E9D"/>
    <w:rsid w:val="004A563D"/>
    <w:rsid w:val="004B1B4D"/>
    <w:rsid w:val="004B4427"/>
    <w:rsid w:val="004C3A59"/>
    <w:rsid w:val="004C4DE5"/>
    <w:rsid w:val="004C55B6"/>
    <w:rsid w:val="004D0C95"/>
    <w:rsid w:val="004D14DB"/>
    <w:rsid w:val="004D3C17"/>
    <w:rsid w:val="004D4F54"/>
    <w:rsid w:val="004D76A6"/>
    <w:rsid w:val="004E550C"/>
    <w:rsid w:val="004E7C91"/>
    <w:rsid w:val="004F2365"/>
    <w:rsid w:val="004F5F29"/>
    <w:rsid w:val="00502759"/>
    <w:rsid w:val="00504D84"/>
    <w:rsid w:val="00506E48"/>
    <w:rsid w:val="00512A3F"/>
    <w:rsid w:val="005256BD"/>
    <w:rsid w:val="005473DC"/>
    <w:rsid w:val="005476E0"/>
    <w:rsid w:val="005551EA"/>
    <w:rsid w:val="00570D65"/>
    <w:rsid w:val="00577C03"/>
    <w:rsid w:val="00582C51"/>
    <w:rsid w:val="00585650"/>
    <w:rsid w:val="00590214"/>
    <w:rsid w:val="00592201"/>
    <w:rsid w:val="0059727B"/>
    <w:rsid w:val="005A1477"/>
    <w:rsid w:val="005B0C3A"/>
    <w:rsid w:val="005B2834"/>
    <w:rsid w:val="005B44F6"/>
    <w:rsid w:val="005C118D"/>
    <w:rsid w:val="005C1803"/>
    <w:rsid w:val="005D6693"/>
    <w:rsid w:val="005E0972"/>
    <w:rsid w:val="005E50CF"/>
    <w:rsid w:val="005F2208"/>
    <w:rsid w:val="005F2EC5"/>
    <w:rsid w:val="005F4EE7"/>
    <w:rsid w:val="005F6FDD"/>
    <w:rsid w:val="005F7254"/>
    <w:rsid w:val="005F79BC"/>
    <w:rsid w:val="00602E60"/>
    <w:rsid w:val="00607FAC"/>
    <w:rsid w:val="00617A48"/>
    <w:rsid w:val="00617FEF"/>
    <w:rsid w:val="00633301"/>
    <w:rsid w:val="006454BD"/>
    <w:rsid w:val="00650A2C"/>
    <w:rsid w:val="0066131E"/>
    <w:rsid w:val="006614D1"/>
    <w:rsid w:val="00664AE2"/>
    <w:rsid w:val="00664EE1"/>
    <w:rsid w:val="006668A4"/>
    <w:rsid w:val="00671098"/>
    <w:rsid w:val="006718FC"/>
    <w:rsid w:val="00676671"/>
    <w:rsid w:val="0067785D"/>
    <w:rsid w:val="006808EB"/>
    <w:rsid w:val="00680AC3"/>
    <w:rsid w:val="00686E19"/>
    <w:rsid w:val="006904B0"/>
    <w:rsid w:val="00694CCC"/>
    <w:rsid w:val="006A4C35"/>
    <w:rsid w:val="006B0579"/>
    <w:rsid w:val="006B173B"/>
    <w:rsid w:val="006B25B7"/>
    <w:rsid w:val="006C21C6"/>
    <w:rsid w:val="006C6F57"/>
    <w:rsid w:val="006C7D17"/>
    <w:rsid w:val="006D1DC6"/>
    <w:rsid w:val="006E173F"/>
    <w:rsid w:val="006E3654"/>
    <w:rsid w:val="006F15D1"/>
    <w:rsid w:val="006F34DA"/>
    <w:rsid w:val="007007A0"/>
    <w:rsid w:val="007034DC"/>
    <w:rsid w:val="007076B8"/>
    <w:rsid w:val="00717B0B"/>
    <w:rsid w:val="007257B3"/>
    <w:rsid w:val="00741175"/>
    <w:rsid w:val="00750348"/>
    <w:rsid w:val="00752C96"/>
    <w:rsid w:val="007558DF"/>
    <w:rsid w:val="00756247"/>
    <w:rsid w:val="007564B2"/>
    <w:rsid w:val="00760B15"/>
    <w:rsid w:val="00761D78"/>
    <w:rsid w:val="007646CF"/>
    <w:rsid w:val="007665CA"/>
    <w:rsid w:val="0076777E"/>
    <w:rsid w:val="007816AA"/>
    <w:rsid w:val="00781E40"/>
    <w:rsid w:val="007821AB"/>
    <w:rsid w:val="0078226E"/>
    <w:rsid w:val="00786298"/>
    <w:rsid w:val="007869D5"/>
    <w:rsid w:val="00787B99"/>
    <w:rsid w:val="00796D5B"/>
    <w:rsid w:val="007A0109"/>
    <w:rsid w:val="007A034C"/>
    <w:rsid w:val="007A2435"/>
    <w:rsid w:val="007A4030"/>
    <w:rsid w:val="007A5DAB"/>
    <w:rsid w:val="007A6999"/>
    <w:rsid w:val="007B000A"/>
    <w:rsid w:val="007B3783"/>
    <w:rsid w:val="007C0F8C"/>
    <w:rsid w:val="007D08F4"/>
    <w:rsid w:val="007D16E5"/>
    <w:rsid w:val="007D1DBC"/>
    <w:rsid w:val="007D4816"/>
    <w:rsid w:val="007D798C"/>
    <w:rsid w:val="007F090E"/>
    <w:rsid w:val="007F1E8A"/>
    <w:rsid w:val="00812E0D"/>
    <w:rsid w:val="00814AAD"/>
    <w:rsid w:val="008158C6"/>
    <w:rsid w:val="00815B3D"/>
    <w:rsid w:val="00820873"/>
    <w:rsid w:val="0084512E"/>
    <w:rsid w:val="00861B81"/>
    <w:rsid w:val="00866FBF"/>
    <w:rsid w:val="0087329A"/>
    <w:rsid w:val="00882E32"/>
    <w:rsid w:val="008913CC"/>
    <w:rsid w:val="00891C97"/>
    <w:rsid w:val="008A6968"/>
    <w:rsid w:val="008B02FB"/>
    <w:rsid w:val="008B4BCA"/>
    <w:rsid w:val="008C21F2"/>
    <w:rsid w:val="008C7E7C"/>
    <w:rsid w:val="008D43D9"/>
    <w:rsid w:val="008D5A6B"/>
    <w:rsid w:val="008E2934"/>
    <w:rsid w:val="00900F73"/>
    <w:rsid w:val="00904F65"/>
    <w:rsid w:val="00907F1F"/>
    <w:rsid w:val="009100A7"/>
    <w:rsid w:val="00922CC9"/>
    <w:rsid w:val="00930D59"/>
    <w:rsid w:val="00935897"/>
    <w:rsid w:val="009374B4"/>
    <w:rsid w:val="00940EC7"/>
    <w:rsid w:val="00947A09"/>
    <w:rsid w:val="0095483E"/>
    <w:rsid w:val="00955067"/>
    <w:rsid w:val="0096239F"/>
    <w:rsid w:val="00970809"/>
    <w:rsid w:val="00973E62"/>
    <w:rsid w:val="009907A1"/>
    <w:rsid w:val="009B0BEC"/>
    <w:rsid w:val="009B3258"/>
    <w:rsid w:val="009B524D"/>
    <w:rsid w:val="009B7B42"/>
    <w:rsid w:val="009C33D1"/>
    <w:rsid w:val="009D3054"/>
    <w:rsid w:val="009D4780"/>
    <w:rsid w:val="009D50F0"/>
    <w:rsid w:val="009D5A9C"/>
    <w:rsid w:val="009E0E05"/>
    <w:rsid w:val="009E239F"/>
    <w:rsid w:val="009E45B9"/>
    <w:rsid w:val="009F07E4"/>
    <w:rsid w:val="009F38F8"/>
    <w:rsid w:val="009F741C"/>
    <w:rsid w:val="009F790A"/>
    <w:rsid w:val="00A070FB"/>
    <w:rsid w:val="00A16F5A"/>
    <w:rsid w:val="00A227A8"/>
    <w:rsid w:val="00A238B3"/>
    <w:rsid w:val="00A23B91"/>
    <w:rsid w:val="00A309BE"/>
    <w:rsid w:val="00A3373D"/>
    <w:rsid w:val="00A36BBD"/>
    <w:rsid w:val="00A4705C"/>
    <w:rsid w:val="00A502D9"/>
    <w:rsid w:val="00A5171E"/>
    <w:rsid w:val="00A61746"/>
    <w:rsid w:val="00A61BA2"/>
    <w:rsid w:val="00A77093"/>
    <w:rsid w:val="00A80DB2"/>
    <w:rsid w:val="00A848D7"/>
    <w:rsid w:val="00A909A7"/>
    <w:rsid w:val="00AB0205"/>
    <w:rsid w:val="00AC4BCF"/>
    <w:rsid w:val="00AC583F"/>
    <w:rsid w:val="00AD1D0B"/>
    <w:rsid w:val="00AE6C1A"/>
    <w:rsid w:val="00AF455B"/>
    <w:rsid w:val="00AF645A"/>
    <w:rsid w:val="00AF729F"/>
    <w:rsid w:val="00B03240"/>
    <w:rsid w:val="00B2108F"/>
    <w:rsid w:val="00B210BB"/>
    <w:rsid w:val="00B22372"/>
    <w:rsid w:val="00B24123"/>
    <w:rsid w:val="00B30F78"/>
    <w:rsid w:val="00B31F22"/>
    <w:rsid w:val="00B436F2"/>
    <w:rsid w:val="00B43B41"/>
    <w:rsid w:val="00B46704"/>
    <w:rsid w:val="00B474EA"/>
    <w:rsid w:val="00B55ED8"/>
    <w:rsid w:val="00B6357C"/>
    <w:rsid w:val="00B63F4A"/>
    <w:rsid w:val="00B65E12"/>
    <w:rsid w:val="00B65E15"/>
    <w:rsid w:val="00B66944"/>
    <w:rsid w:val="00B67CAE"/>
    <w:rsid w:val="00B81D92"/>
    <w:rsid w:val="00B82BB3"/>
    <w:rsid w:val="00B8315F"/>
    <w:rsid w:val="00B96388"/>
    <w:rsid w:val="00BA4442"/>
    <w:rsid w:val="00BA5941"/>
    <w:rsid w:val="00BB1DB7"/>
    <w:rsid w:val="00BB5779"/>
    <w:rsid w:val="00BB7B47"/>
    <w:rsid w:val="00BC193C"/>
    <w:rsid w:val="00BC52F8"/>
    <w:rsid w:val="00BC7261"/>
    <w:rsid w:val="00BD0668"/>
    <w:rsid w:val="00BD4D13"/>
    <w:rsid w:val="00BE2F11"/>
    <w:rsid w:val="00BE5666"/>
    <w:rsid w:val="00BE63C6"/>
    <w:rsid w:val="00BE6CB5"/>
    <w:rsid w:val="00C0195D"/>
    <w:rsid w:val="00C022F2"/>
    <w:rsid w:val="00C12464"/>
    <w:rsid w:val="00C13E3A"/>
    <w:rsid w:val="00C14C33"/>
    <w:rsid w:val="00C20B38"/>
    <w:rsid w:val="00C279E5"/>
    <w:rsid w:val="00C27BCB"/>
    <w:rsid w:val="00C27C2F"/>
    <w:rsid w:val="00C4114B"/>
    <w:rsid w:val="00C447A1"/>
    <w:rsid w:val="00C466D8"/>
    <w:rsid w:val="00C501A4"/>
    <w:rsid w:val="00C53E1D"/>
    <w:rsid w:val="00C550E3"/>
    <w:rsid w:val="00C7184E"/>
    <w:rsid w:val="00C809CC"/>
    <w:rsid w:val="00C833C1"/>
    <w:rsid w:val="00C84DA1"/>
    <w:rsid w:val="00C923B5"/>
    <w:rsid w:val="00C9317F"/>
    <w:rsid w:val="00C962F5"/>
    <w:rsid w:val="00C96509"/>
    <w:rsid w:val="00C972A8"/>
    <w:rsid w:val="00CA5B91"/>
    <w:rsid w:val="00CA76A7"/>
    <w:rsid w:val="00CB5E69"/>
    <w:rsid w:val="00CC54B4"/>
    <w:rsid w:val="00CD36D1"/>
    <w:rsid w:val="00CD5067"/>
    <w:rsid w:val="00CE22A7"/>
    <w:rsid w:val="00CE41FE"/>
    <w:rsid w:val="00CF3BAA"/>
    <w:rsid w:val="00CF3D26"/>
    <w:rsid w:val="00CF4677"/>
    <w:rsid w:val="00CF612F"/>
    <w:rsid w:val="00D124B4"/>
    <w:rsid w:val="00D14F23"/>
    <w:rsid w:val="00D16CB7"/>
    <w:rsid w:val="00D22AFE"/>
    <w:rsid w:val="00D23AD5"/>
    <w:rsid w:val="00D26B70"/>
    <w:rsid w:val="00D317D4"/>
    <w:rsid w:val="00D3206A"/>
    <w:rsid w:val="00D45DC6"/>
    <w:rsid w:val="00D57881"/>
    <w:rsid w:val="00D62611"/>
    <w:rsid w:val="00D661A3"/>
    <w:rsid w:val="00D74E96"/>
    <w:rsid w:val="00D75C6F"/>
    <w:rsid w:val="00D819E8"/>
    <w:rsid w:val="00D86EA0"/>
    <w:rsid w:val="00DA35F5"/>
    <w:rsid w:val="00DA4089"/>
    <w:rsid w:val="00DA4B65"/>
    <w:rsid w:val="00DA51FB"/>
    <w:rsid w:val="00DC5ABF"/>
    <w:rsid w:val="00DD6CA3"/>
    <w:rsid w:val="00DE0824"/>
    <w:rsid w:val="00DE1A79"/>
    <w:rsid w:val="00DE2AA3"/>
    <w:rsid w:val="00DE37F1"/>
    <w:rsid w:val="00DE41FA"/>
    <w:rsid w:val="00DE44B8"/>
    <w:rsid w:val="00DE46ED"/>
    <w:rsid w:val="00DE781F"/>
    <w:rsid w:val="00DF2165"/>
    <w:rsid w:val="00DF379F"/>
    <w:rsid w:val="00E12303"/>
    <w:rsid w:val="00E13227"/>
    <w:rsid w:val="00E13409"/>
    <w:rsid w:val="00E13CE0"/>
    <w:rsid w:val="00E16A6C"/>
    <w:rsid w:val="00E17176"/>
    <w:rsid w:val="00E2497C"/>
    <w:rsid w:val="00E2648E"/>
    <w:rsid w:val="00E2724F"/>
    <w:rsid w:val="00E31133"/>
    <w:rsid w:val="00E34648"/>
    <w:rsid w:val="00E431E4"/>
    <w:rsid w:val="00E43AA8"/>
    <w:rsid w:val="00E45A1A"/>
    <w:rsid w:val="00E54CE5"/>
    <w:rsid w:val="00E6651B"/>
    <w:rsid w:val="00E71375"/>
    <w:rsid w:val="00E75366"/>
    <w:rsid w:val="00E82DC3"/>
    <w:rsid w:val="00E84C55"/>
    <w:rsid w:val="00E874FB"/>
    <w:rsid w:val="00E904BE"/>
    <w:rsid w:val="00E93931"/>
    <w:rsid w:val="00EA158C"/>
    <w:rsid w:val="00EA2991"/>
    <w:rsid w:val="00EA5CBA"/>
    <w:rsid w:val="00EA66A7"/>
    <w:rsid w:val="00EA66B8"/>
    <w:rsid w:val="00EA6CAE"/>
    <w:rsid w:val="00EA7376"/>
    <w:rsid w:val="00EB3672"/>
    <w:rsid w:val="00EC0529"/>
    <w:rsid w:val="00EC09AC"/>
    <w:rsid w:val="00ED4BCF"/>
    <w:rsid w:val="00EE0106"/>
    <w:rsid w:val="00EE1E78"/>
    <w:rsid w:val="00EF0A8C"/>
    <w:rsid w:val="00EF61E6"/>
    <w:rsid w:val="00EF6678"/>
    <w:rsid w:val="00F01EFA"/>
    <w:rsid w:val="00F03DFD"/>
    <w:rsid w:val="00F04918"/>
    <w:rsid w:val="00F05364"/>
    <w:rsid w:val="00F125A6"/>
    <w:rsid w:val="00F14D6C"/>
    <w:rsid w:val="00F34F39"/>
    <w:rsid w:val="00F3557A"/>
    <w:rsid w:val="00F409FA"/>
    <w:rsid w:val="00F464D2"/>
    <w:rsid w:val="00F55AC8"/>
    <w:rsid w:val="00F56F71"/>
    <w:rsid w:val="00F626A9"/>
    <w:rsid w:val="00F6590C"/>
    <w:rsid w:val="00F65B93"/>
    <w:rsid w:val="00F73EC7"/>
    <w:rsid w:val="00F80B0D"/>
    <w:rsid w:val="00F826DA"/>
    <w:rsid w:val="00F85946"/>
    <w:rsid w:val="00F87044"/>
    <w:rsid w:val="00F91EB6"/>
    <w:rsid w:val="00F96200"/>
    <w:rsid w:val="00FA2098"/>
    <w:rsid w:val="00FA7088"/>
    <w:rsid w:val="00FB314A"/>
    <w:rsid w:val="00FB5B56"/>
    <w:rsid w:val="00FC58D0"/>
    <w:rsid w:val="00FC6EBA"/>
    <w:rsid w:val="00FD2DD7"/>
    <w:rsid w:val="00FD51E3"/>
    <w:rsid w:val="00FD6612"/>
    <w:rsid w:val="00FE263B"/>
    <w:rsid w:val="00FF7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8970C18-4AE8-4823-91A4-A134F603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678"/>
    <w:pPr>
      <w:spacing w:after="200" w:line="276" w:lineRule="auto"/>
    </w:pPr>
    <w:rPr>
      <w:rFonts w:ascii="Arial" w:hAnsi="Arial" w:cstheme="minorBidi"/>
      <w:sz w:val="22"/>
      <w:szCs w:val="22"/>
    </w:rPr>
  </w:style>
  <w:style w:type="paragraph" w:styleId="Heading1">
    <w:name w:val="heading 1"/>
    <w:basedOn w:val="Normal"/>
    <w:next w:val="Normal"/>
    <w:link w:val="Heading1Char"/>
    <w:uiPriority w:val="9"/>
    <w:qFormat/>
    <w:rsid w:val="00BE63C6"/>
    <w:pPr>
      <w:keepNext/>
      <w:keepLines/>
      <w:spacing w:before="240" w:after="0"/>
      <w:outlineLvl w:val="0"/>
    </w:pPr>
    <w:rPr>
      <w:rFonts w:ascii="Segoe UI" w:eastAsiaTheme="majorEastAsia" w:hAnsi="Segoe UI" w:cstheme="majorBidi"/>
      <w:color w:val="3F4A75"/>
      <w:sz w:val="32"/>
      <w:szCs w:val="32"/>
    </w:rPr>
  </w:style>
  <w:style w:type="paragraph" w:styleId="Heading2">
    <w:name w:val="heading 2"/>
    <w:basedOn w:val="Normal"/>
    <w:next w:val="Normal"/>
    <w:link w:val="Heading2Char"/>
    <w:uiPriority w:val="9"/>
    <w:unhideWhenUsed/>
    <w:qFormat/>
    <w:rsid w:val="00BE63C6"/>
    <w:pPr>
      <w:keepNext/>
      <w:keepLines/>
      <w:spacing w:before="40" w:after="0"/>
      <w:outlineLvl w:val="1"/>
    </w:pPr>
    <w:rPr>
      <w:rFonts w:ascii="Segoe UI" w:eastAsiaTheme="majorEastAsia" w:hAnsi="Segoe UI" w:cstheme="majorBidi"/>
      <w:color w:val="3F4A7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667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678"/>
    <w:rPr>
      <w:sz w:val="16"/>
      <w:szCs w:val="16"/>
    </w:rPr>
  </w:style>
  <w:style w:type="paragraph" w:styleId="CommentText">
    <w:name w:val="annotation text"/>
    <w:basedOn w:val="Normal"/>
    <w:link w:val="CommentTextChar"/>
    <w:uiPriority w:val="99"/>
    <w:semiHidden/>
    <w:unhideWhenUsed/>
    <w:rsid w:val="00EF6678"/>
    <w:pPr>
      <w:spacing w:line="240" w:lineRule="auto"/>
    </w:pPr>
    <w:rPr>
      <w:sz w:val="20"/>
      <w:szCs w:val="20"/>
    </w:rPr>
  </w:style>
  <w:style w:type="character" w:customStyle="1" w:styleId="CommentTextChar">
    <w:name w:val="Comment Text Char"/>
    <w:basedOn w:val="DefaultParagraphFont"/>
    <w:link w:val="CommentText"/>
    <w:uiPriority w:val="99"/>
    <w:semiHidden/>
    <w:rsid w:val="00EF6678"/>
    <w:rPr>
      <w:rFonts w:ascii="Arial" w:hAnsi="Arial" w:cstheme="minorBidi"/>
      <w:sz w:val="20"/>
      <w:szCs w:val="20"/>
    </w:rPr>
  </w:style>
  <w:style w:type="paragraph" w:styleId="BalloonText">
    <w:name w:val="Balloon Text"/>
    <w:basedOn w:val="Normal"/>
    <w:link w:val="BalloonTextChar"/>
    <w:uiPriority w:val="99"/>
    <w:semiHidden/>
    <w:unhideWhenUsed/>
    <w:rsid w:val="00EF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78"/>
    <w:rPr>
      <w:rFonts w:ascii="Segoe UI" w:hAnsi="Segoe UI" w:cs="Segoe UI"/>
      <w:sz w:val="18"/>
      <w:szCs w:val="18"/>
    </w:rPr>
  </w:style>
  <w:style w:type="paragraph" w:styleId="Title">
    <w:name w:val="Title"/>
    <w:basedOn w:val="Normal"/>
    <w:next w:val="Normal"/>
    <w:link w:val="TitleChar"/>
    <w:uiPriority w:val="10"/>
    <w:qFormat/>
    <w:rsid w:val="00BE63C6"/>
    <w:pPr>
      <w:spacing w:after="0" w:line="240" w:lineRule="auto"/>
      <w:contextualSpacing/>
    </w:pPr>
    <w:rPr>
      <w:rFonts w:ascii="Segoe UI" w:eastAsiaTheme="majorEastAsia" w:hAnsi="Segoe UI" w:cstheme="majorBidi"/>
      <w:color w:val="3F4A75"/>
      <w:spacing w:val="-10"/>
      <w:kern w:val="28"/>
      <w:sz w:val="56"/>
      <w:szCs w:val="56"/>
    </w:rPr>
  </w:style>
  <w:style w:type="character" w:customStyle="1" w:styleId="TitleChar">
    <w:name w:val="Title Char"/>
    <w:basedOn w:val="DefaultParagraphFont"/>
    <w:link w:val="Title"/>
    <w:uiPriority w:val="10"/>
    <w:rsid w:val="00BE63C6"/>
    <w:rPr>
      <w:rFonts w:ascii="Segoe UI" w:eastAsiaTheme="majorEastAsia" w:hAnsi="Segoe UI" w:cstheme="majorBidi"/>
      <w:color w:val="3F4A75"/>
      <w:spacing w:val="-10"/>
      <w:kern w:val="28"/>
      <w:sz w:val="56"/>
      <w:szCs w:val="56"/>
    </w:rPr>
  </w:style>
  <w:style w:type="paragraph" w:styleId="Subtitle">
    <w:name w:val="Subtitle"/>
    <w:basedOn w:val="Normal"/>
    <w:next w:val="Normal"/>
    <w:link w:val="SubtitleChar"/>
    <w:uiPriority w:val="11"/>
    <w:qFormat/>
    <w:rsid w:val="00EF6678"/>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EF6678"/>
    <w:rPr>
      <w:rFonts w:asciiTheme="minorHAnsi" w:eastAsiaTheme="minorEastAsia" w:hAnsiTheme="minorHAnsi" w:cstheme="minorBidi"/>
      <w:color w:val="5A5A5A" w:themeColor="text1" w:themeTint="A5"/>
      <w:spacing w:val="15"/>
      <w:sz w:val="22"/>
      <w:szCs w:val="22"/>
    </w:rPr>
  </w:style>
  <w:style w:type="table" w:styleId="GridTable2-Accent3">
    <w:name w:val="Grid Table 2 Accent 3"/>
    <w:basedOn w:val="TableNormal"/>
    <w:uiPriority w:val="47"/>
    <w:rsid w:val="00EF667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qFormat/>
    <w:rsid w:val="00EF6678"/>
    <w:rPr>
      <w:color w:val="0563C1" w:themeColor="hyperlink"/>
      <w:u w:val="single"/>
    </w:rPr>
  </w:style>
  <w:style w:type="paragraph" w:customStyle="1" w:styleId="VisionBox">
    <w:name w:val="VisionBox"/>
    <w:basedOn w:val="Normal"/>
    <w:qFormat/>
    <w:rsid w:val="007F1E8A"/>
    <w:pPr>
      <w:pBdr>
        <w:top w:val="single" w:sz="4" w:space="15" w:color="358189"/>
        <w:bottom w:val="single" w:sz="4" w:space="10" w:color="358189"/>
      </w:pBdr>
      <w:spacing w:before="240" w:after="240" w:line="340" w:lineRule="exact"/>
    </w:pPr>
    <w:rPr>
      <w:rFonts w:ascii="Segoe UI" w:hAnsi="Segoe UI" w:cs="Times New Roman"/>
      <w:szCs w:val="24"/>
    </w:rPr>
  </w:style>
  <w:style w:type="paragraph" w:styleId="Header">
    <w:name w:val="header"/>
    <w:basedOn w:val="Normal"/>
    <w:link w:val="HeaderChar"/>
    <w:uiPriority w:val="99"/>
    <w:unhideWhenUsed/>
    <w:rsid w:val="00C71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84E"/>
    <w:rPr>
      <w:rFonts w:ascii="Arial" w:hAnsi="Arial" w:cstheme="minorBidi"/>
      <w:sz w:val="22"/>
      <w:szCs w:val="22"/>
    </w:rPr>
  </w:style>
  <w:style w:type="paragraph" w:styleId="Footer">
    <w:name w:val="footer"/>
    <w:basedOn w:val="Normal"/>
    <w:link w:val="FooterChar"/>
    <w:uiPriority w:val="99"/>
    <w:unhideWhenUsed/>
    <w:rsid w:val="00C71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84E"/>
    <w:rPr>
      <w:rFonts w:ascii="Arial" w:hAnsi="Arial" w:cstheme="minorBidi"/>
      <w:sz w:val="22"/>
      <w:szCs w:val="22"/>
    </w:rPr>
  </w:style>
  <w:style w:type="character" w:customStyle="1" w:styleId="Heading1Char">
    <w:name w:val="Heading 1 Char"/>
    <w:basedOn w:val="DefaultParagraphFont"/>
    <w:link w:val="Heading1"/>
    <w:uiPriority w:val="9"/>
    <w:rsid w:val="00BE63C6"/>
    <w:rPr>
      <w:rFonts w:ascii="Segoe UI" w:eastAsiaTheme="majorEastAsia" w:hAnsi="Segoe UI" w:cstheme="majorBidi"/>
      <w:color w:val="3F4A75"/>
      <w:sz w:val="32"/>
      <w:szCs w:val="32"/>
    </w:rPr>
  </w:style>
  <w:style w:type="table" w:styleId="GridTable6Colorful">
    <w:name w:val="Grid Table 6 Colorful"/>
    <w:basedOn w:val="TableNormal"/>
    <w:uiPriority w:val="51"/>
    <w:rsid w:val="00DF379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DE41F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BE63C6"/>
    <w:rPr>
      <w:rFonts w:ascii="Segoe UI" w:eastAsiaTheme="majorEastAsia" w:hAnsi="Segoe UI" w:cstheme="majorBidi"/>
      <w:color w:val="3F4A75"/>
      <w:sz w:val="26"/>
      <w:szCs w:val="26"/>
    </w:rPr>
  </w:style>
  <w:style w:type="paragraph" w:styleId="ListParagraph">
    <w:name w:val="List Paragraph"/>
    <w:aliases w:val="List Paragraph1,Recommendation,#List Paragraph,List Paragraph11,L,List Paragraph - bullet,List - bullet,List Paragraph - bullets,Use Case List Paragraph,Bullets,Figure_name,Numbered Indented Text,Bullet- First level,List NUmber,lp1,Bulle"/>
    <w:basedOn w:val="Normal"/>
    <w:link w:val="ListParagraphChar"/>
    <w:uiPriority w:val="34"/>
    <w:qFormat/>
    <w:rsid w:val="007F1E8A"/>
    <w:pPr>
      <w:ind w:left="720"/>
      <w:contextualSpacing/>
    </w:pPr>
  </w:style>
  <w:style w:type="character" w:customStyle="1" w:styleId="ListParagraphChar">
    <w:name w:val="List Paragraph Char"/>
    <w:aliases w:val="List Paragraph1 Char,Recommendation Char,#List Paragraph Char,List Paragraph11 Char,L Char,List Paragraph - bullet Char,List - bullet Char,List Paragraph - bullets Char,Use Case List Paragraph Char,Bullets Char,Figure_name Char"/>
    <w:link w:val="ListParagraph"/>
    <w:uiPriority w:val="34"/>
    <w:qFormat/>
    <w:locked/>
    <w:rsid w:val="00781E40"/>
    <w:rPr>
      <w:rFonts w:ascii="Arial" w:hAnsi="Arial" w:cstheme="minorBidi"/>
      <w:sz w:val="22"/>
      <w:szCs w:val="22"/>
    </w:rPr>
  </w:style>
  <w:style w:type="table" w:styleId="GridTable1Light">
    <w:name w:val="Grid Table 1 Light"/>
    <w:basedOn w:val="TableNormal"/>
    <w:uiPriority w:val="46"/>
    <w:rsid w:val="00AE6C1A"/>
    <w:pPr>
      <w:spacing w:after="0" w:line="240" w:lineRule="auto"/>
    </w:pPr>
    <w:rPr>
      <w:rFonts w:eastAsia="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BE6CB5"/>
    <w:rPr>
      <w:b/>
      <w:bCs/>
    </w:rPr>
  </w:style>
  <w:style w:type="character" w:customStyle="1" w:styleId="CommentSubjectChar">
    <w:name w:val="Comment Subject Char"/>
    <w:basedOn w:val="CommentTextChar"/>
    <w:link w:val="CommentSubject"/>
    <w:uiPriority w:val="99"/>
    <w:semiHidden/>
    <w:rsid w:val="00BE6CB5"/>
    <w:rPr>
      <w:rFonts w:ascii="Arial" w:hAnsi="Arial"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5989">
      <w:bodyDiv w:val="1"/>
      <w:marLeft w:val="0"/>
      <w:marRight w:val="0"/>
      <w:marTop w:val="0"/>
      <w:marBottom w:val="0"/>
      <w:divBdr>
        <w:top w:val="none" w:sz="0" w:space="0" w:color="auto"/>
        <w:left w:val="none" w:sz="0" w:space="0" w:color="auto"/>
        <w:bottom w:val="none" w:sz="0" w:space="0" w:color="auto"/>
        <w:right w:val="none" w:sz="0" w:space="0" w:color="auto"/>
      </w:divBdr>
    </w:div>
    <w:div w:id="458691264">
      <w:bodyDiv w:val="1"/>
      <w:marLeft w:val="0"/>
      <w:marRight w:val="0"/>
      <w:marTop w:val="0"/>
      <w:marBottom w:val="0"/>
      <w:divBdr>
        <w:top w:val="none" w:sz="0" w:space="0" w:color="auto"/>
        <w:left w:val="none" w:sz="0" w:space="0" w:color="auto"/>
        <w:bottom w:val="none" w:sz="0" w:space="0" w:color="auto"/>
        <w:right w:val="none" w:sz="0" w:space="0" w:color="auto"/>
      </w:divBdr>
    </w:div>
    <w:div w:id="612514644">
      <w:bodyDiv w:val="1"/>
      <w:marLeft w:val="0"/>
      <w:marRight w:val="0"/>
      <w:marTop w:val="0"/>
      <w:marBottom w:val="0"/>
      <w:divBdr>
        <w:top w:val="none" w:sz="0" w:space="0" w:color="auto"/>
        <w:left w:val="none" w:sz="0" w:space="0" w:color="auto"/>
        <w:bottom w:val="none" w:sz="0" w:space="0" w:color="auto"/>
        <w:right w:val="none" w:sz="0" w:space="0" w:color="auto"/>
      </w:divBdr>
    </w:div>
    <w:div w:id="716003130">
      <w:bodyDiv w:val="1"/>
      <w:marLeft w:val="0"/>
      <w:marRight w:val="0"/>
      <w:marTop w:val="0"/>
      <w:marBottom w:val="0"/>
      <w:divBdr>
        <w:top w:val="none" w:sz="0" w:space="0" w:color="auto"/>
        <w:left w:val="none" w:sz="0" w:space="0" w:color="auto"/>
        <w:bottom w:val="none" w:sz="0" w:space="0" w:color="auto"/>
        <w:right w:val="none" w:sz="0" w:space="0" w:color="auto"/>
      </w:divBdr>
      <w:divsChild>
        <w:div w:id="1631354349">
          <w:marLeft w:val="274"/>
          <w:marRight w:val="0"/>
          <w:marTop w:val="0"/>
          <w:marBottom w:val="120"/>
          <w:divBdr>
            <w:top w:val="none" w:sz="0" w:space="0" w:color="auto"/>
            <w:left w:val="none" w:sz="0" w:space="0" w:color="auto"/>
            <w:bottom w:val="none" w:sz="0" w:space="0" w:color="auto"/>
            <w:right w:val="none" w:sz="0" w:space="0" w:color="auto"/>
          </w:divBdr>
        </w:div>
      </w:divsChild>
    </w:div>
    <w:div w:id="1165903753">
      <w:bodyDiv w:val="1"/>
      <w:marLeft w:val="0"/>
      <w:marRight w:val="0"/>
      <w:marTop w:val="0"/>
      <w:marBottom w:val="0"/>
      <w:divBdr>
        <w:top w:val="none" w:sz="0" w:space="0" w:color="auto"/>
        <w:left w:val="none" w:sz="0" w:space="0" w:color="auto"/>
        <w:bottom w:val="none" w:sz="0" w:space="0" w:color="auto"/>
        <w:right w:val="none" w:sz="0" w:space="0" w:color="auto"/>
      </w:divBdr>
    </w:div>
    <w:div w:id="1267149779">
      <w:bodyDiv w:val="1"/>
      <w:marLeft w:val="0"/>
      <w:marRight w:val="0"/>
      <w:marTop w:val="0"/>
      <w:marBottom w:val="0"/>
      <w:divBdr>
        <w:top w:val="none" w:sz="0" w:space="0" w:color="auto"/>
        <w:left w:val="none" w:sz="0" w:space="0" w:color="auto"/>
        <w:bottom w:val="none" w:sz="0" w:space="0" w:color="auto"/>
        <w:right w:val="none" w:sz="0" w:space="0" w:color="auto"/>
      </w:divBdr>
    </w:div>
    <w:div w:id="1309629075">
      <w:bodyDiv w:val="1"/>
      <w:marLeft w:val="0"/>
      <w:marRight w:val="0"/>
      <w:marTop w:val="0"/>
      <w:marBottom w:val="0"/>
      <w:divBdr>
        <w:top w:val="none" w:sz="0" w:space="0" w:color="auto"/>
        <w:left w:val="none" w:sz="0" w:space="0" w:color="auto"/>
        <w:bottom w:val="none" w:sz="0" w:space="0" w:color="auto"/>
        <w:right w:val="none" w:sz="0" w:space="0" w:color="auto"/>
      </w:divBdr>
    </w:div>
    <w:div w:id="1363244437">
      <w:bodyDiv w:val="1"/>
      <w:marLeft w:val="0"/>
      <w:marRight w:val="0"/>
      <w:marTop w:val="0"/>
      <w:marBottom w:val="0"/>
      <w:divBdr>
        <w:top w:val="none" w:sz="0" w:space="0" w:color="auto"/>
        <w:left w:val="none" w:sz="0" w:space="0" w:color="auto"/>
        <w:bottom w:val="none" w:sz="0" w:space="0" w:color="auto"/>
        <w:right w:val="none" w:sz="0" w:space="0" w:color="auto"/>
      </w:divBdr>
    </w:div>
    <w:div w:id="1586301607">
      <w:bodyDiv w:val="1"/>
      <w:marLeft w:val="0"/>
      <w:marRight w:val="0"/>
      <w:marTop w:val="0"/>
      <w:marBottom w:val="0"/>
      <w:divBdr>
        <w:top w:val="none" w:sz="0" w:space="0" w:color="auto"/>
        <w:left w:val="none" w:sz="0" w:space="0" w:color="auto"/>
        <w:bottom w:val="none" w:sz="0" w:space="0" w:color="auto"/>
        <w:right w:val="none" w:sz="0" w:space="0" w:color="auto"/>
      </w:divBdr>
    </w:div>
    <w:div w:id="1785608765">
      <w:bodyDiv w:val="1"/>
      <w:marLeft w:val="0"/>
      <w:marRight w:val="0"/>
      <w:marTop w:val="0"/>
      <w:marBottom w:val="0"/>
      <w:divBdr>
        <w:top w:val="none" w:sz="0" w:space="0" w:color="auto"/>
        <w:left w:val="none" w:sz="0" w:space="0" w:color="auto"/>
        <w:bottom w:val="none" w:sz="0" w:space="0" w:color="auto"/>
        <w:right w:val="none" w:sz="0" w:space="0" w:color="auto"/>
      </w:divBdr>
    </w:div>
    <w:div w:id="1861436102">
      <w:bodyDiv w:val="1"/>
      <w:marLeft w:val="0"/>
      <w:marRight w:val="0"/>
      <w:marTop w:val="0"/>
      <w:marBottom w:val="0"/>
      <w:divBdr>
        <w:top w:val="none" w:sz="0" w:space="0" w:color="auto"/>
        <w:left w:val="none" w:sz="0" w:space="0" w:color="auto"/>
        <w:bottom w:val="none" w:sz="0" w:space="0" w:color="auto"/>
        <w:right w:val="none" w:sz="0" w:space="0" w:color="auto"/>
      </w:divBdr>
      <w:divsChild>
        <w:div w:id="909972354">
          <w:marLeft w:val="1166"/>
          <w:marRight w:val="0"/>
          <w:marTop w:val="182"/>
          <w:marBottom w:val="0"/>
          <w:divBdr>
            <w:top w:val="none" w:sz="0" w:space="0" w:color="auto"/>
            <w:left w:val="none" w:sz="0" w:space="0" w:color="auto"/>
            <w:bottom w:val="none" w:sz="0" w:space="0" w:color="auto"/>
            <w:right w:val="none" w:sz="0" w:space="0" w:color="auto"/>
          </w:divBdr>
        </w:div>
        <w:div w:id="1461653448">
          <w:marLeft w:val="1166"/>
          <w:marRight w:val="0"/>
          <w:marTop w:val="182"/>
          <w:marBottom w:val="0"/>
          <w:divBdr>
            <w:top w:val="none" w:sz="0" w:space="0" w:color="auto"/>
            <w:left w:val="none" w:sz="0" w:space="0" w:color="auto"/>
            <w:bottom w:val="none" w:sz="0" w:space="0" w:color="auto"/>
            <w:right w:val="none" w:sz="0" w:space="0" w:color="auto"/>
          </w:divBdr>
        </w:div>
      </w:divsChild>
    </w:div>
    <w:div w:id="1935358841">
      <w:bodyDiv w:val="1"/>
      <w:marLeft w:val="0"/>
      <w:marRight w:val="0"/>
      <w:marTop w:val="0"/>
      <w:marBottom w:val="0"/>
      <w:divBdr>
        <w:top w:val="none" w:sz="0" w:space="0" w:color="auto"/>
        <w:left w:val="none" w:sz="0" w:space="0" w:color="auto"/>
        <w:bottom w:val="none" w:sz="0" w:space="0" w:color="auto"/>
        <w:right w:val="none" w:sz="0" w:space="0" w:color="auto"/>
      </w:divBdr>
      <w:divsChild>
        <w:div w:id="761757406">
          <w:marLeft w:val="1166"/>
          <w:marRight w:val="0"/>
          <w:marTop w:val="182"/>
          <w:marBottom w:val="0"/>
          <w:divBdr>
            <w:top w:val="none" w:sz="0" w:space="0" w:color="auto"/>
            <w:left w:val="none" w:sz="0" w:space="0" w:color="auto"/>
            <w:bottom w:val="none" w:sz="0" w:space="0" w:color="auto"/>
            <w:right w:val="none" w:sz="0" w:space="0" w:color="auto"/>
          </w:divBdr>
        </w:div>
        <w:div w:id="63532329">
          <w:marLeft w:val="1166"/>
          <w:marRight w:val="0"/>
          <w:marTop w:val="1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1616-D443-4B2B-8D84-BF6E51BA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Malley</dc:creator>
  <cp:keywords/>
  <dc:description/>
  <cp:lastModifiedBy>Caroline Blackburn</cp:lastModifiedBy>
  <cp:revision>2</cp:revision>
  <cp:lastPrinted>2021-02-04T00:55:00Z</cp:lastPrinted>
  <dcterms:created xsi:type="dcterms:W3CDTF">2021-04-07T01:11:00Z</dcterms:created>
  <dcterms:modified xsi:type="dcterms:W3CDTF">2021-04-07T01:11:00Z</dcterms:modified>
</cp:coreProperties>
</file>