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1328" w:rsidRPr="0095483E" w:rsidTr="00761D78">
        <w:trPr>
          <w:trHeight w:val="17"/>
        </w:trPr>
        <w:tc>
          <w:tcPr>
            <w:tcW w:w="0" w:type="auto"/>
            <w:vAlign w:val="center"/>
          </w:tcPr>
          <w:p w:rsidR="00451328" w:rsidRPr="0095483E" w:rsidRDefault="00451328" w:rsidP="0095483E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95483E">
              <w:rPr>
                <w:rFonts w:asciiTheme="minorHAnsi" w:hAnsiTheme="minorHAnsi" w:cstheme="minorHAnsi"/>
                <w:b/>
              </w:rPr>
              <w:t>Overview of AN-ACC</w:t>
            </w:r>
          </w:p>
          <w:p w:rsidR="00451328" w:rsidRPr="00411769" w:rsidRDefault="00157261" w:rsidP="0015726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Professor Kathy Eagar </w:t>
            </w:r>
            <w:r w:rsidR="00411769">
              <w:rPr>
                <w:rFonts w:asciiTheme="minorHAnsi" w:hAnsiTheme="minorHAnsi" w:cstheme="minorHAnsi"/>
              </w:rPr>
              <w:t>from the Australian Health Services Research Institute</w:t>
            </w:r>
            <w:r w:rsidR="00451328">
              <w:rPr>
                <w:rFonts w:asciiTheme="minorHAnsi" w:hAnsiTheme="minorHAnsi" w:cstheme="minorHAnsi"/>
              </w:rPr>
              <w:t xml:space="preserve"> </w:t>
            </w:r>
            <w:r w:rsidR="00451328" w:rsidRPr="0095483E">
              <w:rPr>
                <w:rFonts w:asciiTheme="minorHAnsi" w:hAnsiTheme="minorHAnsi" w:cstheme="minorHAnsi"/>
              </w:rPr>
              <w:t>presented an overview of the AN-ACC</w:t>
            </w:r>
            <w:r w:rsidR="00411769">
              <w:rPr>
                <w:rFonts w:asciiTheme="minorHAnsi" w:hAnsiTheme="minorHAnsi" w:cstheme="minorHAnsi"/>
              </w:rPr>
              <w:t xml:space="preserve"> and findings from the Resource Utilisation Study. She</w:t>
            </w:r>
            <w:r w:rsidR="00451328" w:rsidRPr="0095483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touched on</w:t>
            </w:r>
            <w:r w:rsidR="00451328" w:rsidRPr="0095483E">
              <w:rPr>
                <w:rFonts w:asciiTheme="minorHAnsi" w:hAnsiTheme="minorHAnsi" w:cstheme="minorHAnsi"/>
              </w:rPr>
              <w:t xml:space="preserve"> the importance of reforms to care planning, the role of rehabilitation in residential aged care facilities and further research into respite care funding reform.</w:t>
            </w:r>
          </w:p>
        </w:tc>
      </w:tr>
      <w:tr w:rsidR="00451328" w:rsidRPr="0095483E" w:rsidTr="00761D78">
        <w:trPr>
          <w:trHeight w:val="17"/>
        </w:trPr>
        <w:tc>
          <w:tcPr>
            <w:tcW w:w="0" w:type="auto"/>
            <w:shd w:val="clear" w:color="auto" w:fill="auto"/>
            <w:vAlign w:val="center"/>
          </w:tcPr>
          <w:p w:rsidR="00451328" w:rsidRPr="0095483E" w:rsidRDefault="00451328" w:rsidP="0095483E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95483E">
              <w:rPr>
                <w:rFonts w:asciiTheme="minorHAnsi" w:hAnsiTheme="minorHAnsi" w:cstheme="minorHAnsi"/>
                <w:b/>
              </w:rPr>
              <w:t>Shadow Assessment (tender for assessor trainers)</w:t>
            </w:r>
          </w:p>
          <w:p w:rsidR="00451328" w:rsidRPr="0095483E" w:rsidRDefault="00451328" w:rsidP="009B524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Department provided an update on</w:t>
            </w:r>
            <w:r w:rsidRPr="0095483E">
              <w:rPr>
                <w:rFonts w:asciiTheme="minorHAnsi" w:hAnsiTheme="minorHAnsi" w:cstheme="minorHAnsi"/>
              </w:rPr>
              <w:t xml:space="preserve"> the appointment of six Assessment Management Organisations to undertake assessments of all aged care residents using the AN-ACC assessment tool, the appointment of La Trobe University to train assessors and consideration for the COVID-19 response. </w:t>
            </w:r>
          </w:p>
        </w:tc>
      </w:tr>
      <w:tr w:rsidR="00451328" w:rsidRPr="0095483E" w:rsidTr="00761D78">
        <w:trPr>
          <w:trHeight w:val="17"/>
        </w:trPr>
        <w:tc>
          <w:tcPr>
            <w:tcW w:w="0" w:type="auto"/>
            <w:vAlign w:val="center"/>
          </w:tcPr>
          <w:p w:rsidR="00451328" w:rsidRPr="0095483E" w:rsidRDefault="00451328" w:rsidP="0095483E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95483E">
              <w:rPr>
                <w:rFonts w:asciiTheme="minorHAnsi" w:hAnsiTheme="minorHAnsi" w:cstheme="minorHAnsi"/>
                <w:b/>
              </w:rPr>
              <w:t>Quality Assurance under AN-ACC</w:t>
            </w:r>
          </w:p>
          <w:p w:rsidR="00451328" w:rsidRPr="0095483E" w:rsidRDefault="00451328" w:rsidP="009B524D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Department presented and lead a discussion </w:t>
            </w:r>
            <w:r w:rsidR="004B4427">
              <w:rPr>
                <w:rFonts w:asciiTheme="minorHAnsi" w:hAnsiTheme="minorHAnsi" w:cstheme="minorHAnsi"/>
              </w:rPr>
              <w:t xml:space="preserve">about </w:t>
            </w:r>
            <w:r>
              <w:rPr>
                <w:rFonts w:asciiTheme="minorHAnsi" w:hAnsiTheme="minorHAnsi" w:cstheme="minorHAnsi"/>
              </w:rPr>
              <w:t>the</w:t>
            </w:r>
            <w:r w:rsidRPr="0095483E">
              <w:rPr>
                <w:rFonts w:asciiTheme="minorHAnsi" w:hAnsiTheme="minorHAnsi" w:cstheme="minorHAnsi"/>
              </w:rPr>
              <w:t xml:space="preserve"> Draft Shadow Assessment Quality Assurance Strategy.</w:t>
            </w:r>
          </w:p>
          <w:p w:rsidR="00451328" w:rsidRPr="0095483E" w:rsidRDefault="00451328" w:rsidP="009B524D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</w:rPr>
            </w:pPr>
            <w:r w:rsidRPr="0095483E">
              <w:rPr>
                <w:rFonts w:asciiTheme="minorHAnsi" w:hAnsiTheme="minorHAnsi" w:cstheme="minorHAnsi"/>
              </w:rPr>
              <w:t xml:space="preserve">Members advocated for the collection of quantitative data measuring provider and resident satisfaction as part of the quality assurance process, and commented on the independence of assessments. </w:t>
            </w:r>
          </w:p>
        </w:tc>
      </w:tr>
      <w:tr w:rsidR="00451328" w:rsidRPr="0095483E" w:rsidTr="00761D78">
        <w:trPr>
          <w:trHeight w:val="17"/>
        </w:trPr>
        <w:tc>
          <w:tcPr>
            <w:tcW w:w="0" w:type="auto"/>
            <w:shd w:val="clear" w:color="auto" w:fill="FFFFFF" w:themeFill="background1"/>
            <w:vAlign w:val="center"/>
          </w:tcPr>
          <w:p w:rsidR="00451328" w:rsidRPr="0095483E" w:rsidRDefault="00451328" w:rsidP="0095483E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95483E">
              <w:rPr>
                <w:rFonts w:asciiTheme="minorHAnsi" w:hAnsiTheme="minorHAnsi" w:cstheme="minorHAnsi"/>
                <w:b/>
              </w:rPr>
              <w:t>Homeless + Indigenous Base Tariffs</w:t>
            </w:r>
          </w:p>
          <w:p w:rsidR="00451328" w:rsidRPr="0095483E" w:rsidRDefault="004B4427" w:rsidP="00866521">
            <w:pPr>
              <w:pStyle w:val="ListParagraph"/>
              <w:spacing w:after="0" w:line="360" w:lineRule="auto"/>
              <w:ind w:left="36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Department</w:t>
            </w:r>
            <w:r w:rsidR="00451328" w:rsidRPr="0095483E">
              <w:rPr>
                <w:rFonts w:asciiTheme="minorHAnsi" w:hAnsiTheme="minorHAnsi" w:cstheme="minorHAnsi"/>
              </w:rPr>
              <w:t xml:space="preserve"> discussed with members the proposed base care tariff (fixed fee component) of AN-ACC, the treatment of specialist services for homeless and Indigenous aged care residents and application/verification processes for homeless and Indigenous specialist services.</w:t>
            </w:r>
          </w:p>
        </w:tc>
      </w:tr>
      <w:tr w:rsidR="00451328" w:rsidRPr="0095483E" w:rsidTr="00761D78">
        <w:trPr>
          <w:trHeight w:val="17"/>
        </w:trPr>
        <w:tc>
          <w:tcPr>
            <w:tcW w:w="0" w:type="auto"/>
            <w:shd w:val="clear" w:color="auto" w:fill="auto"/>
            <w:vAlign w:val="center"/>
          </w:tcPr>
          <w:p w:rsidR="00451328" w:rsidRPr="0095483E" w:rsidRDefault="00451328" w:rsidP="0095483E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95483E">
              <w:rPr>
                <w:rFonts w:asciiTheme="minorHAnsi" w:hAnsiTheme="minorHAnsi" w:cstheme="minorHAnsi"/>
                <w:b/>
              </w:rPr>
              <w:t>Update on legislative changes</w:t>
            </w:r>
          </w:p>
          <w:p w:rsidR="00451328" w:rsidRPr="0095483E" w:rsidRDefault="002E18D2" w:rsidP="009B524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4B4427">
              <w:rPr>
                <w:rFonts w:asciiTheme="minorHAnsi" w:hAnsiTheme="minorHAnsi" w:cstheme="minorHAnsi"/>
              </w:rPr>
              <w:t xml:space="preserve">Department </w:t>
            </w:r>
            <w:r w:rsidR="00451328" w:rsidRPr="0095483E">
              <w:rPr>
                <w:rFonts w:asciiTheme="minorHAnsi" w:hAnsiTheme="minorHAnsi" w:cstheme="minorHAnsi"/>
              </w:rPr>
              <w:t xml:space="preserve">talked to recent and proposed changes to the </w:t>
            </w:r>
            <w:r w:rsidR="00451328" w:rsidRPr="00D23AD5">
              <w:rPr>
                <w:rFonts w:asciiTheme="minorHAnsi" w:hAnsiTheme="minorHAnsi" w:cstheme="minorHAnsi"/>
                <w:i/>
              </w:rPr>
              <w:t>Aged Care Act 1997</w:t>
            </w:r>
            <w:r w:rsidR="00451328" w:rsidRPr="0095483E">
              <w:rPr>
                <w:rFonts w:asciiTheme="minorHAnsi" w:hAnsiTheme="minorHAnsi" w:cstheme="minorHAnsi"/>
              </w:rPr>
              <w:t xml:space="preserve"> and subordinate legislation.</w:t>
            </w:r>
          </w:p>
          <w:p w:rsidR="00451328" w:rsidRPr="0095483E" w:rsidRDefault="00451328" w:rsidP="0015726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rPr>
                <w:rFonts w:asciiTheme="minorHAnsi" w:hAnsiTheme="minorHAnsi" w:cstheme="minorHAnsi"/>
              </w:rPr>
            </w:pPr>
            <w:r w:rsidRPr="0095483E">
              <w:rPr>
                <w:rFonts w:asciiTheme="minorHAnsi" w:hAnsiTheme="minorHAnsi" w:cstheme="minorHAnsi"/>
              </w:rPr>
              <w:t>Attendees discussed the rationale</w:t>
            </w:r>
            <w:r>
              <w:rPr>
                <w:rFonts w:asciiTheme="minorHAnsi" w:hAnsiTheme="minorHAnsi" w:cstheme="minorHAnsi"/>
              </w:rPr>
              <w:t xml:space="preserve"> and</w:t>
            </w:r>
            <w:r w:rsidRPr="0095483E">
              <w:rPr>
                <w:rFonts w:asciiTheme="minorHAnsi" w:hAnsiTheme="minorHAnsi" w:cstheme="minorHAnsi"/>
              </w:rPr>
              <w:t xml:space="preserve"> practicalities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Pr="0095483E">
              <w:rPr>
                <w:rFonts w:asciiTheme="minorHAnsi" w:hAnsiTheme="minorHAnsi" w:cstheme="minorHAnsi"/>
              </w:rPr>
              <w:t>the high/low care distinction in legislation and policy</w:t>
            </w:r>
            <w:r w:rsidR="002E18D2">
              <w:rPr>
                <w:rFonts w:asciiTheme="minorHAnsi" w:hAnsiTheme="minorHAnsi" w:cstheme="minorHAnsi"/>
              </w:rPr>
              <w:t>.</w:t>
            </w:r>
          </w:p>
        </w:tc>
      </w:tr>
      <w:tr w:rsidR="00451328" w:rsidRPr="0095483E" w:rsidTr="00761D78">
        <w:trPr>
          <w:trHeight w:val="17"/>
        </w:trPr>
        <w:tc>
          <w:tcPr>
            <w:tcW w:w="0" w:type="auto"/>
            <w:shd w:val="clear" w:color="auto" w:fill="FFFFFF" w:themeFill="background1"/>
            <w:vAlign w:val="center"/>
          </w:tcPr>
          <w:p w:rsidR="00451328" w:rsidRPr="0095483E" w:rsidRDefault="00451328" w:rsidP="0095483E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95483E">
              <w:rPr>
                <w:rFonts w:asciiTheme="minorHAnsi" w:hAnsiTheme="minorHAnsi" w:cstheme="minorHAnsi"/>
                <w:b/>
              </w:rPr>
              <w:t>IT Build / interface with Services Australia</w:t>
            </w:r>
          </w:p>
          <w:p w:rsidR="00451328" w:rsidRPr="0095483E" w:rsidRDefault="004B4427" w:rsidP="004B442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Services Australia</w:t>
            </w:r>
            <w:r w:rsidR="00451328" w:rsidRPr="0095483E">
              <w:rPr>
                <w:rFonts w:asciiTheme="minorHAnsi" w:hAnsiTheme="minorHAnsi" w:cstheme="minorHAnsi"/>
              </w:rPr>
              <w:t xml:space="preserve"> talked to the replacement of the payment system for residential aged care.</w:t>
            </w:r>
          </w:p>
        </w:tc>
      </w:tr>
    </w:tbl>
    <w:p w:rsidR="00E43AA8" w:rsidRDefault="00E43AA8" w:rsidP="0095483E">
      <w:pPr>
        <w:pStyle w:val="Heading2"/>
        <w:tabs>
          <w:tab w:val="center" w:pos="5233"/>
        </w:tabs>
        <w:spacing w:before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27C2F" w:rsidRDefault="00C27C2F" w:rsidP="00C27C2F"/>
    <w:sectPr w:rsidR="00C27C2F" w:rsidSect="00AC583F">
      <w:headerReference w:type="default" r:id="rId8"/>
      <w:type w:val="continuous"/>
      <w:pgSz w:w="11906" w:h="16838" w:code="9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48" w:rsidRDefault="00617A48" w:rsidP="00C7184E">
      <w:pPr>
        <w:spacing w:after="0" w:line="240" w:lineRule="auto"/>
      </w:pPr>
      <w:r>
        <w:separator/>
      </w:r>
    </w:p>
  </w:endnote>
  <w:endnote w:type="continuationSeparator" w:id="0">
    <w:p w:rsidR="00617A48" w:rsidRDefault="00617A48" w:rsidP="00C7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48" w:rsidRDefault="00617A48" w:rsidP="00C7184E">
      <w:pPr>
        <w:spacing w:after="0" w:line="240" w:lineRule="auto"/>
      </w:pPr>
      <w:r>
        <w:separator/>
      </w:r>
    </w:p>
  </w:footnote>
  <w:footnote w:type="continuationSeparator" w:id="0">
    <w:p w:rsidR="00617A48" w:rsidRDefault="00617A48" w:rsidP="00C7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78" w:rsidRPr="00EE1E78" w:rsidRDefault="00EE1E78" w:rsidP="00676671">
    <w:pPr>
      <w:pStyle w:val="Heading1"/>
      <w:jc w:val="right"/>
    </w:pPr>
    <w:r w:rsidRPr="00EE1E78">
      <w:t>Aged Care Funding Reform Working Group</w:t>
    </w:r>
    <w:r w:rsidR="00676671">
      <w:t xml:space="preserve"> | </w:t>
    </w:r>
    <w:r w:rsidR="00451328">
      <w:rPr>
        <w:b/>
      </w:rPr>
      <w:t>Communiqu</w:t>
    </w:r>
    <w:r w:rsidR="002E18D2" w:rsidRPr="002E18D2">
      <w:rPr>
        <w:b/>
      </w:rPr>
      <w:t>é</w:t>
    </w:r>
  </w:p>
  <w:p w:rsidR="00EE1E78" w:rsidRDefault="00EE1E78" w:rsidP="00EE1E78">
    <w:pPr>
      <w:jc w:val="right"/>
      <w:rPr>
        <w:rFonts w:asciiTheme="minorHAnsi" w:eastAsiaTheme="majorEastAsia" w:hAnsiTheme="minorHAnsi" w:cstheme="minorHAnsi"/>
        <w:b/>
        <w:color w:val="3F4A75"/>
        <w:sz w:val="20"/>
        <w:szCs w:val="20"/>
        <w:lang w:eastAsia="en-AU"/>
      </w:rPr>
    </w:pPr>
    <w:r w:rsidRPr="00EE1E78">
      <w:rPr>
        <w:rFonts w:asciiTheme="minorHAnsi" w:hAnsiTheme="minorHAnsi" w:cstheme="minorHAnsi"/>
        <w:b/>
        <w:noProof/>
        <w:sz w:val="20"/>
        <w:szCs w:val="20"/>
        <w:lang w:eastAsia="en-AU"/>
      </w:rPr>
      <w:t>Meeting</w:t>
    </w:r>
    <w:r w:rsidR="00157261">
      <w:rPr>
        <w:rFonts w:asciiTheme="minorHAnsi" w:hAnsiTheme="minorHAnsi" w:cstheme="minorHAnsi"/>
        <w:b/>
        <w:noProof/>
        <w:sz w:val="20"/>
        <w:szCs w:val="20"/>
        <w:lang w:eastAsia="en-AU"/>
      </w:rPr>
      <w:t xml:space="preserve"> Four</w:t>
    </w:r>
    <w:r w:rsidRPr="00EE1E78">
      <w:rPr>
        <w:rFonts w:asciiTheme="minorHAnsi" w:hAnsiTheme="minorHAnsi" w:cstheme="minorHAnsi"/>
        <w:b/>
        <w:noProof/>
        <w:sz w:val="20"/>
        <w:szCs w:val="20"/>
        <w:lang w:eastAsia="en-AU"/>
      </w:rPr>
      <w:t xml:space="preserve"> </w:t>
    </w:r>
    <w:r w:rsidRPr="00EE1E78">
      <w:rPr>
        <w:rFonts w:asciiTheme="minorHAnsi" w:hAnsiTheme="minorHAnsi" w:cstheme="minorHAnsi"/>
        <w:noProof/>
        <w:sz w:val="20"/>
        <w:szCs w:val="20"/>
        <w:lang w:eastAsia="en-AU"/>
      </w:rPr>
      <w:t>|</w:t>
    </w:r>
    <w:r w:rsidRPr="00EE1E78">
      <w:rPr>
        <w:rFonts w:asciiTheme="minorHAnsi" w:hAnsiTheme="minorHAnsi" w:cstheme="minorHAnsi"/>
        <w:b/>
        <w:noProof/>
        <w:sz w:val="20"/>
        <w:szCs w:val="20"/>
        <w:lang w:eastAsia="en-AU"/>
      </w:rPr>
      <w:t xml:space="preserve"> </w:t>
    </w:r>
    <w:r w:rsidRPr="00EE1E78">
      <w:rPr>
        <w:rFonts w:asciiTheme="minorHAnsi" w:hAnsiTheme="minorHAnsi" w:cstheme="minorHAnsi"/>
        <w:b/>
        <w:sz w:val="20"/>
        <w:szCs w:val="20"/>
        <w:lang w:eastAsia="en-AU"/>
      </w:rPr>
      <w:t>Date:</w:t>
    </w:r>
    <w:r w:rsidRPr="00EE1E78">
      <w:rPr>
        <w:rFonts w:asciiTheme="minorHAnsi" w:hAnsiTheme="minorHAnsi" w:cstheme="minorHAnsi"/>
        <w:sz w:val="20"/>
        <w:szCs w:val="20"/>
        <w:lang w:eastAsia="en-AU"/>
      </w:rPr>
      <w:t xml:space="preserve"> 4 February 2021 | </w:t>
    </w:r>
    <w:r w:rsidRPr="00EE1E78">
      <w:rPr>
        <w:rFonts w:asciiTheme="minorHAnsi" w:hAnsiTheme="minorHAnsi" w:cstheme="minorHAnsi"/>
        <w:b/>
        <w:sz w:val="20"/>
        <w:szCs w:val="20"/>
        <w:lang w:eastAsia="en-AU"/>
      </w:rPr>
      <w:t>Time:</w:t>
    </w:r>
    <w:r w:rsidRPr="00EE1E78">
      <w:rPr>
        <w:rFonts w:asciiTheme="minorHAnsi" w:hAnsiTheme="minorHAnsi" w:cstheme="minorHAnsi"/>
        <w:sz w:val="20"/>
        <w:szCs w:val="20"/>
        <w:lang w:eastAsia="en-AU"/>
      </w:rPr>
      <w:t xml:space="preserve"> 1:00PM – 4:00PM |</w:t>
    </w:r>
    <w:r w:rsidRPr="00EE1E78">
      <w:rPr>
        <w:rFonts w:asciiTheme="minorHAnsi" w:hAnsiTheme="minorHAnsi" w:cstheme="minorHAnsi"/>
        <w:b/>
        <w:sz w:val="20"/>
        <w:szCs w:val="20"/>
        <w:lang w:eastAsia="en-AU"/>
      </w:rPr>
      <w:t xml:space="preserve"> Location:</w:t>
    </w:r>
    <w:r w:rsidRPr="00EE1E78">
      <w:rPr>
        <w:rFonts w:asciiTheme="minorHAnsi" w:hAnsiTheme="minorHAnsi" w:cstheme="minorHAnsi"/>
        <w:sz w:val="20"/>
        <w:szCs w:val="20"/>
        <w:lang w:eastAsia="en-AU"/>
      </w:rPr>
      <w:t xml:space="preserve"> virtual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D2C"/>
    <w:multiLevelType w:val="hybridMultilevel"/>
    <w:tmpl w:val="3A403778"/>
    <w:lvl w:ilvl="0" w:tplc="301A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DBC"/>
    <w:multiLevelType w:val="hybridMultilevel"/>
    <w:tmpl w:val="5D88A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F2257"/>
    <w:multiLevelType w:val="hybridMultilevel"/>
    <w:tmpl w:val="15AE08F8"/>
    <w:lvl w:ilvl="0" w:tplc="5F9C6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5301"/>
    <w:multiLevelType w:val="hybridMultilevel"/>
    <w:tmpl w:val="29DC3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237E3"/>
    <w:multiLevelType w:val="hybridMultilevel"/>
    <w:tmpl w:val="61DC8E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C3928"/>
    <w:multiLevelType w:val="hybridMultilevel"/>
    <w:tmpl w:val="DFA2D32A"/>
    <w:lvl w:ilvl="0" w:tplc="301A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E5C99"/>
    <w:multiLevelType w:val="hybridMultilevel"/>
    <w:tmpl w:val="5448B7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A3598"/>
    <w:multiLevelType w:val="hybridMultilevel"/>
    <w:tmpl w:val="7C02E0DA"/>
    <w:lvl w:ilvl="0" w:tplc="301A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69C1"/>
    <w:multiLevelType w:val="hybridMultilevel"/>
    <w:tmpl w:val="C26883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303DC"/>
    <w:multiLevelType w:val="hybridMultilevel"/>
    <w:tmpl w:val="E812C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F2244"/>
    <w:multiLevelType w:val="hybridMultilevel"/>
    <w:tmpl w:val="AC547DBC"/>
    <w:lvl w:ilvl="0" w:tplc="301A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704C7"/>
    <w:multiLevelType w:val="hybridMultilevel"/>
    <w:tmpl w:val="0B366518"/>
    <w:lvl w:ilvl="0" w:tplc="301A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6D60"/>
    <w:multiLevelType w:val="hybridMultilevel"/>
    <w:tmpl w:val="B0A0571E"/>
    <w:lvl w:ilvl="0" w:tplc="2D0A460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986B5E"/>
    <w:multiLevelType w:val="hybridMultilevel"/>
    <w:tmpl w:val="92D2EF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D2E9E"/>
    <w:multiLevelType w:val="hybridMultilevel"/>
    <w:tmpl w:val="EA4E30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78"/>
    <w:rsid w:val="00017851"/>
    <w:rsid w:val="000266B1"/>
    <w:rsid w:val="00030BBE"/>
    <w:rsid w:val="000369A3"/>
    <w:rsid w:val="00040639"/>
    <w:rsid w:val="000410A4"/>
    <w:rsid w:val="0004463C"/>
    <w:rsid w:val="00051CD7"/>
    <w:rsid w:val="00051D9E"/>
    <w:rsid w:val="0006666E"/>
    <w:rsid w:val="00071513"/>
    <w:rsid w:val="00075928"/>
    <w:rsid w:val="00084E16"/>
    <w:rsid w:val="000B081E"/>
    <w:rsid w:val="000B18B7"/>
    <w:rsid w:val="000B649A"/>
    <w:rsid w:val="000C1ADF"/>
    <w:rsid w:val="000C3CA6"/>
    <w:rsid w:val="000C71D8"/>
    <w:rsid w:val="000D11F6"/>
    <w:rsid w:val="000E4590"/>
    <w:rsid w:val="000E6F1C"/>
    <w:rsid w:val="000F12EC"/>
    <w:rsid w:val="000F3AFD"/>
    <w:rsid w:val="000F6EBD"/>
    <w:rsid w:val="000F7C4C"/>
    <w:rsid w:val="00106DF3"/>
    <w:rsid w:val="0012505E"/>
    <w:rsid w:val="00134999"/>
    <w:rsid w:val="0013637C"/>
    <w:rsid w:val="001501C7"/>
    <w:rsid w:val="001518B9"/>
    <w:rsid w:val="00152DE6"/>
    <w:rsid w:val="00157261"/>
    <w:rsid w:val="00165A08"/>
    <w:rsid w:val="00166891"/>
    <w:rsid w:val="00190730"/>
    <w:rsid w:val="00194D22"/>
    <w:rsid w:val="001B3F69"/>
    <w:rsid w:val="001D4881"/>
    <w:rsid w:val="001E0F50"/>
    <w:rsid w:val="001E769D"/>
    <w:rsid w:val="00201AC2"/>
    <w:rsid w:val="0020267C"/>
    <w:rsid w:val="00202CDB"/>
    <w:rsid w:val="00213B6E"/>
    <w:rsid w:val="00216FEB"/>
    <w:rsid w:val="00235DE2"/>
    <w:rsid w:val="002419F3"/>
    <w:rsid w:val="00245865"/>
    <w:rsid w:val="002527B7"/>
    <w:rsid w:val="0025283A"/>
    <w:rsid w:val="002551F3"/>
    <w:rsid w:val="002564F9"/>
    <w:rsid w:val="00260F6E"/>
    <w:rsid w:val="00261D87"/>
    <w:rsid w:val="00263159"/>
    <w:rsid w:val="00280050"/>
    <w:rsid w:val="00286089"/>
    <w:rsid w:val="00295BA4"/>
    <w:rsid w:val="002966C4"/>
    <w:rsid w:val="0029682D"/>
    <w:rsid w:val="002A2275"/>
    <w:rsid w:val="002A2F01"/>
    <w:rsid w:val="002B1CB6"/>
    <w:rsid w:val="002E18D2"/>
    <w:rsid w:val="002E2E7C"/>
    <w:rsid w:val="002E5BDB"/>
    <w:rsid w:val="002E6E3C"/>
    <w:rsid w:val="002F222C"/>
    <w:rsid w:val="003125E3"/>
    <w:rsid w:val="003172DB"/>
    <w:rsid w:val="0032214D"/>
    <w:rsid w:val="003249FB"/>
    <w:rsid w:val="00326414"/>
    <w:rsid w:val="00346CE9"/>
    <w:rsid w:val="00352456"/>
    <w:rsid w:val="00360D06"/>
    <w:rsid w:val="00370FEE"/>
    <w:rsid w:val="00372CA6"/>
    <w:rsid w:val="00377216"/>
    <w:rsid w:val="0037750B"/>
    <w:rsid w:val="0038071A"/>
    <w:rsid w:val="00383A0E"/>
    <w:rsid w:val="003A1686"/>
    <w:rsid w:val="003A1C38"/>
    <w:rsid w:val="003B03DB"/>
    <w:rsid w:val="003B665F"/>
    <w:rsid w:val="003C4D74"/>
    <w:rsid w:val="003C7BDA"/>
    <w:rsid w:val="003D37C8"/>
    <w:rsid w:val="003D59C9"/>
    <w:rsid w:val="003D6773"/>
    <w:rsid w:val="003E44D0"/>
    <w:rsid w:val="003F3698"/>
    <w:rsid w:val="003F37F3"/>
    <w:rsid w:val="003F4499"/>
    <w:rsid w:val="003F5DCF"/>
    <w:rsid w:val="004068B3"/>
    <w:rsid w:val="00411769"/>
    <w:rsid w:val="00446484"/>
    <w:rsid w:val="00447395"/>
    <w:rsid w:val="00451328"/>
    <w:rsid w:val="004530FB"/>
    <w:rsid w:val="00461500"/>
    <w:rsid w:val="004650F0"/>
    <w:rsid w:val="00465850"/>
    <w:rsid w:val="00472EBB"/>
    <w:rsid w:val="00476694"/>
    <w:rsid w:val="00481E9D"/>
    <w:rsid w:val="004A563D"/>
    <w:rsid w:val="004B1B4D"/>
    <w:rsid w:val="004B4427"/>
    <w:rsid w:val="004C3A59"/>
    <w:rsid w:val="004C4DE5"/>
    <w:rsid w:val="004C55B6"/>
    <w:rsid w:val="004D0C95"/>
    <w:rsid w:val="004D14DB"/>
    <w:rsid w:val="004D3C17"/>
    <w:rsid w:val="004D4F54"/>
    <w:rsid w:val="004D76A6"/>
    <w:rsid w:val="004E550C"/>
    <w:rsid w:val="004E7C91"/>
    <w:rsid w:val="004F2365"/>
    <w:rsid w:val="004F5F29"/>
    <w:rsid w:val="00502759"/>
    <w:rsid w:val="00504D84"/>
    <w:rsid w:val="00506E48"/>
    <w:rsid w:val="00512A3F"/>
    <w:rsid w:val="005473DC"/>
    <w:rsid w:val="005476E0"/>
    <w:rsid w:val="005551EA"/>
    <w:rsid w:val="00570D65"/>
    <w:rsid w:val="00577C03"/>
    <w:rsid w:val="00582C51"/>
    <w:rsid w:val="00585650"/>
    <w:rsid w:val="00590214"/>
    <w:rsid w:val="00592201"/>
    <w:rsid w:val="0059727B"/>
    <w:rsid w:val="005A1477"/>
    <w:rsid w:val="005B0C3A"/>
    <w:rsid w:val="005B44F6"/>
    <w:rsid w:val="005C118D"/>
    <w:rsid w:val="005C1803"/>
    <w:rsid w:val="005D6693"/>
    <w:rsid w:val="005E0972"/>
    <w:rsid w:val="005E50CF"/>
    <w:rsid w:val="005F2208"/>
    <w:rsid w:val="005F2EC5"/>
    <w:rsid w:val="005F4EE7"/>
    <w:rsid w:val="005F6FDD"/>
    <w:rsid w:val="005F7254"/>
    <w:rsid w:val="005F79BC"/>
    <w:rsid w:val="00602E60"/>
    <w:rsid w:val="00607FAC"/>
    <w:rsid w:val="00617A48"/>
    <w:rsid w:val="00617FEF"/>
    <w:rsid w:val="00633301"/>
    <w:rsid w:val="006454BD"/>
    <w:rsid w:val="00650A2C"/>
    <w:rsid w:val="0066131E"/>
    <w:rsid w:val="006614D1"/>
    <w:rsid w:val="00664AE2"/>
    <w:rsid w:val="00664EE1"/>
    <w:rsid w:val="006668A4"/>
    <w:rsid w:val="00671098"/>
    <w:rsid w:val="006718FC"/>
    <w:rsid w:val="00676671"/>
    <w:rsid w:val="0067785D"/>
    <w:rsid w:val="006808EB"/>
    <w:rsid w:val="00680AC3"/>
    <w:rsid w:val="00686E19"/>
    <w:rsid w:val="006904B0"/>
    <w:rsid w:val="00694CCC"/>
    <w:rsid w:val="006A4C35"/>
    <w:rsid w:val="006B0579"/>
    <w:rsid w:val="006B173B"/>
    <w:rsid w:val="006B25B7"/>
    <w:rsid w:val="006C21C6"/>
    <w:rsid w:val="006C6F57"/>
    <w:rsid w:val="006C7D17"/>
    <w:rsid w:val="006D1DC6"/>
    <w:rsid w:val="006E173F"/>
    <w:rsid w:val="006E3654"/>
    <w:rsid w:val="006F15D1"/>
    <w:rsid w:val="006F34DA"/>
    <w:rsid w:val="007007A0"/>
    <w:rsid w:val="007034DC"/>
    <w:rsid w:val="007076B8"/>
    <w:rsid w:val="00717B0B"/>
    <w:rsid w:val="007257B3"/>
    <w:rsid w:val="00741175"/>
    <w:rsid w:val="00750348"/>
    <w:rsid w:val="00752C96"/>
    <w:rsid w:val="007558DF"/>
    <w:rsid w:val="00756247"/>
    <w:rsid w:val="007564B2"/>
    <w:rsid w:val="00760B15"/>
    <w:rsid w:val="00761D78"/>
    <w:rsid w:val="007646CF"/>
    <w:rsid w:val="007665CA"/>
    <w:rsid w:val="0076777E"/>
    <w:rsid w:val="007816AA"/>
    <w:rsid w:val="00781E40"/>
    <w:rsid w:val="007821AB"/>
    <w:rsid w:val="0078226E"/>
    <w:rsid w:val="00786298"/>
    <w:rsid w:val="007869D5"/>
    <w:rsid w:val="00787B99"/>
    <w:rsid w:val="00796D5B"/>
    <w:rsid w:val="007A0109"/>
    <w:rsid w:val="007A034C"/>
    <w:rsid w:val="007A2435"/>
    <w:rsid w:val="007A4030"/>
    <w:rsid w:val="007A5DAB"/>
    <w:rsid w:val="007A6999"/>
    <w:rsid w:val="007B000A"/>
    <w:rsid w:val="007B3783"/>
    <w:rsid w:val="007C0F8C"/>
    <w:rsid w:val="007D08F4"/>
    <w:rsid w:val="007D16E5"/>
    <w:rsid w:val="007D1DBC"/>
    <w:rsid w:val="007D4816"/>
    <w:rsid w:val="007D798C"/>
    <w:rsid w:val="007F090E"/>
    <w:rsid w:val="007F0981"/>
    <w:rsid w:val="007F1E8A"/>
    <w:rsid w:val="00812E0D"/>
    <w:rsid w:val="00814AAD"/>
    <w:rsid w:val="008158C6"/>
    <w:rsid w:val="00815B3D"/>
    <w:rsid w:val="00820873"/>
    <w:rsid w:val="0084512E"/>
    <w:rsid w:val="00861B81"/>
    <w:rsid w:val="00866521"/>
    <w:rsid w:val="00866FBF"/>
    <w:rsid w:val="0087329A"/>
    <w:rsid w:val="00882E32"/>
    <w:rsid w:val="008913CC"/>
    <w:rsid w:val="00891C97"/>
    <w:rsid w:val="008A6968"/>
    <w:rsid w:val="008B02FB"/>
    <w:rsid w:val="008B4BCA"/>
    <w:rsid w:val="008C21F2"/>
    <w:rsid w:val="008C7E7C"/>
    <w:rsid w:val="008D43D9"/>
    <w:rsid w:val="008D5A6B"/>
    <w:rsid w:val="008E2934"/>
    <w:rsid w:val="00900F73"/>
    <w:rsid w:val="00904F65"/>
    <w:rsid w:val="00907F1F"/>
    <w:rsid w:val="009100A7"/>
    <w:rsid w:val="00922CC9"/>
    <w:rsid w:val="00930D59"/>
    <w:rsid w:val="00935897"/>
    <w:rsid w:val="009374B4"/>
    <w:rsid w:val="00940EC7"/>
    <w:rsid w:val="00947A09"/>
    <w:rsid w:val="0095483E"/>
    <w:rsid w:val="00955067"/>
    <w:rsid w:val="0096239F"/>
    <w:rsid w:val="00970809"/>
    <w:rsid w:val="00973E62"/>
    <w:rsid w:val="009907A1"/>
    <w:rsid w:val="009B0BEC"/>
    <w:rsid w:val="009B3258"/>
    <w:rsid w:val="009B524D"/>
    <w:rsid w:val="009B7B42"/>
    <w:rsid w:val="009C33D1"/>
    <w:rsid w:val="009D3054"/>
    <w:rsid w:val="009D4780"/>
    <w:rsid w:val="009D50F0"/>
    <w:rsid w:val="009D5A9C"/>
    <w:rsid w:val="009E0E05"/>
    <w:rsid w:val="009E239F"/>
    <w:rsid w:val="009E45B9"/>
    <w:rsid w:val="009F07E4"/>
    <w:rsid w:val="009F38F8"/>
    <w:rsid w:val="009F741C"/>
    <w:rsid w:val="009F790A"/>
    <w:rsid w:val="00A070FB"/>
    <w:rsid w:val="00A16F5A"/>
    <w:rsid w:val="00A227A8"/>
    <w:rsid w:val="00A238B3"/>
    <w:rsid w:val="00A23B91"/>
    <w:rsid w:val="00A309BE"/>
    <w:rsid w:val="00A3373D"/>
    <w:rsid w:val="00A36BBD"/>
    <w:rsid w:val="00A4705C"/>
    <w:rsid w:val="00A502D9"/>
    <w:rsid w:val="00A5171E"/>
    <w:rsid w:val="00A61746"/>
    <w:rsid w:val="00A61BA2"/>
    <w:rsid w:val="00A77093"/>
    <w:rsid w:val="00A80DB2"/>
    <w:rsid w:val="00A848D7"/>
    <w:rsid w:val="00A909A7"/>
    <w:rsid w:val="00AB0205"/>
    <w:rsid w:val="00AC4BCF"/>
    <w:rsid w:val="00AC583F"/>
    <w:rsid w:val="00AD1D0B"/>
    <w:rsid w:val="00AE6C1A"/>
    <w:rsid w:val="00AF455B"/>
    <w:rsid w:val="00AF645A"/>
    <w:rsid w:val="00AF729F"/>
    <w:rsid w:val="00B03240"/>
    <w:rsid w:val="00B2108F"/>
    <w:rsid w:val="00B210BB"/>
    <w:rsid w:val="00B22372"/>
    <w:rsid w:val="00B24123"/>
    <w:rsid w:val="00B30F78"/>
    <w:rsid w:val="00B31F22"/>
    <w:rsid w:val="00B436F2"/>
    <w:rsid w:val="00B43B41"/>
    <w:rsid w:val="00B46704"/>
    <w:rsid w:val="00B474EA"/>
    <w:rsid w:val="00B55ED8"/>
    <w:rsid w:val="00B6357C"/>
    <w:rsid w:val="00B63F4A"/>
    <w:rsid w:val="00B65E12"/>
    <w:rsid w:val="00B65E15"/>
    <w:rsid w:val="00B66944"/>
    <w:rsid w:val="00B67CAE"/>
    <w:rsid w:val="00B81D92"/>
    <w:rsid w:val="00B82BB3"/>
    <w:rsid w:val="00B8315F"/>
    <w:rsid w:val="00B96388"/>
    <w:rsid w:val="00BA4442"/>
    <w:rsid w:val="00BA5941"/>
    <w:rsid w:val="00BB0B8A"/>
    <w:rsid w:val="00BB1DB7"/>
    <w:rsid w:val="00BB5779"/>
    <w:rsid w:val="00BC193C"/>
    <w:rsid w:val="00BC7261"/>
    <w:rsid w:val="00BD0668"/>
    <w:rsid w:val="00BD4D13"/>
    <w:rsid w:val="00BE2F11"/>
    <w:rsid w:val="00BE5666"/>
    <w:rsid w:val="00BE63C6"/>
    <w:rsid w:val="00BE6CB5"/>
    <w:rsid w:val="00C0195D"/>
    <w:rsid w:val="00C022F2"/>
    <w:rsid w:val="00C12464"/>
    <w:rsid w:val="00C13E3A"/>
    <w:rsid w:val="00C14C33"/>
    <w:rsid w:val="00C20B38"/>
    <w:rsid w:val="00C279E5"/>
    <w:rsid w:val="00C27BCB"/>
    <w:rsid w:val="00C27C2F"/>
    <w:rsid w:val="00C4114B"/>
    <w:rsid w:val="00C447A1"/>
    <w:rsid w:val="00C466D8"/>
    <w:rsid w:val="00C501A4"/>
    <w:rsid w:val="00C53E1D"/>
    <w:rsid w:val="00C550E3"/>
    <w:rsid w:val="00C7184E"/>
    <w:rsid w:val="00C809CC"/>
    <w:rsid w:val="00C833C1"/>
    <w:rsid w:val="00C84DA1"/>
    <w:rsid w:val="00C923B5"/>
    <w:rsid w:val="00C9317F"/>
    <w:rsid w:val="00C962F5"/>
    <w:rsid w:val="00C96509"/>
    <w:rsid w:val="00C972A8"/>
    <w:rsid w:val="00CA5B91"/>
    <w:rsid w:val="00CA76A7"/>
    <w:rsid w:val="00CB5E69"/>
    <w:rsid w:val="00CC19CC"/>
    <w:rsid w:val="00CC54B4"/>
    <w:rsid w:val="00CD36D1"/>
    <w:rsid w:val="00CD5067"/>
    <w:rsid w:val="00CE22A7"/>
    <w:rsid w:val="00CE41FE"/>
    <w:rsid w:val="00CF3BAA"/>
    <w:rsid w:val="00CF3D26"/>
    <w:rsid w:val="00CF4677"/>
    <w:rsid w:val="00CF612F"/>
    <w:rsid w:val="00D124B4"/>
    <w:rsid w:val="00D14F23"/>
    <w:rsid w:val="00D16CB7"/>
    <w:rsid w:val="00D22AFE"/>
    <w:rsid w:val="00D23AD5"/>
    <w:rsid w:val="00D26B70"/>
    <w:rsid w:val="00D317D4"/>
    <w:rsid w:val="00D3206A"/>
    <w:rsid w:val="00D45DC6"/>
    <w:rsid w:val="00D57881"/>
    <w:rsid w:val="00D62611"/>
    <w:rsid w:val="00D661A3"/>
    <w:rsid w:val="00D74E96"/>
    <w:rsid w:val="00D75C6F"/>
    <w:rsid w:val="00D819E8"/>
    <w:rsid w:val="00D86EA0"/>
    <w:rsid w:val="00DA35F5"/>
    <w:rsid w:val="00DA4089"/>
    <w:rsid w:val="00DA4B65"/>
    <w:rsid w:val="00DA51FB"/>
    <w:rsid w:val="00DC5ABF"/>
    <w:rsid w:val="00DD6CA3"/>
    <w:rsid w:val="00DE0824"/>
    <w:rsid w:val="00DE1A79"/>
    <w:rsid w:val="00DE2AA3"/>
    <w:rsid w:val="00DE37F1"/>
    <w:rsid w:val="00DE41FA"/>
    <w:rsid w:val="00DE44B8"/>
    <w:rsid w:val="00DE46ED"/>
    <w:rsid w:val="00DE781F"/>
    <w:rsid w:val="00DF2165"/>
    <w:rsid w:val="00DF379F"/>
    <w:rsid w:val="00E12303"/>
    <w:rsid w:val="00E13227"/>
    <w:rsid w:val="00E13409"/>
    <w:rsid w:val="00E13CE0"/>
    <w:rsid w:val="00E16A6C"/>
    <w:rsid w:val="00E17176"/>
    <w:rsid w:val="00E2497C"/>
    <w:rsid w:val="00E2648E"/>
    <w:rsid w:val="00E2724F"/>
    <w:rsid w:val="00E31133"/>
    <w:rsid w:val="00E34648"/>
    <w:rsid w:val="00E431E4"/>
    <w:rsid w:val="00E43AA8"/>
    <w:rsid w:val="00E45A1A"/>
    <w:rsid w:val="00E54CE5"/>
    <w:rsid w:val="00E6651B"/>
    <w:rsid w:val="00E71375"/>
    <w:rsid w:val="00E75366"/>
    <w:rsid w:val="00E82DC3"/>
    <w:rsid w:val="00E84C55"/>
    <w:rsid w:val="00E874FB"/>
    <w:rsid w:val="00E904BE"/>
    <w:rsid w:val="00E93931"/>
    <w:rsid w:val="00EA158C"/>
    <w:rsid w:val="00EA2991"/>
    <w:rsid w:val="00EA5CBA"/>
    <w:rsid w:val="00EA66A7"/>
    <w:rsid w:val="00EA66B8"/>
    <w:rsid w:val="00EA6CAE"/>
    <w:rsid w:val="00EA7376"/>
    <w:rsid w:val="00EB3672"/>
    <w:rsid w:val="00EC0529"/>
    <w:rsid w:val="00EC09AC"/>
    <w:rsid w:val="00ED4BCF"/>
    <w:rsid w:val="00EE0106"/>
    <w:rsid w:val="00EE1E78"/>
    <w:rsid w:val="00EF0A8C"/>
    <w:rsid w:val="00EF61E6"/>
    <w:rsid w:val="00EF6678"/>
    <w:rsid w:val="00F01EFA"/>
    <w:rsid w:val="00F03DFD"/>
    <w:rsid w:val="00F04918"/>
    <w:rsid w:val="00F05364"/>
    <w:rsid w:val="00F125A6"/>
    <w:rsid w:val="00F14D6C"/>
    <w:rsid w:val="00F34F39"/>
    <w:rsid w:val="00F3557A"/>
    <w:rsid w:val="00F409FA"/>
    <w:rsid w:val="00F464D2"/>
    <w:rsid w:val="00F55AC8"/>
    <w:rsid w:val="00F56F71"/>
    <w:rsid w:val="00F626A9"/>
    <w:rsid w:val="00F6590C"/>
    <w:rsid w:val="00F65B93"/>
    <w:rsid w:val="00F73EC7"/>
    <w:rsid w:val="00F80B0D"/>
    <w:rsid w:val="00F826DA"/>
    <w:rsid w:val="00F85946"/>
    <w:rsid w:val="00F87044"/>
    <w:rsid w:val="00F87BC9"/>
    <w:rsid w:val="00F91EB6"/>
    <w:rsid w:val="00F96200"/>
    <w:rsid w:val="00FA2098"/>
    <w:rsid w:val="00FA7088"/>
    <w:rsid w:val="00FB314A"/>
    <w:rsid w:val="00FB5B56"/>
    <w:rsid w:val="00FC58D0"/>
    <w:rsid w:val="00FC6EBA"/>
    <w:rsid w:val="00FD2DD7"/>
    <w:rsid w:val="00FD51E3"/>
    <w:rsid w:val="00FD6612"/>
    <w:rsid w:val="00FE263B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8970C18-4AE8-4823-91A4-A134F603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78"/>
    <w:pPr>
      <w:spacing w:after="200" w:line="276" w:lineRule="auto"/>
    </w:pPr>
    <w:rPr>
      <w:rFonts w:ascii="Arial" w:hAnsi="Arial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3C6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3F4A7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3C6"/>
    <w:pPr>
      <w:keepNext/>
      <w:keepLines/>
      <w:spacing w:before="40" w:after="0"/>
      <w:outlineLvl w:val="1"/>
    </w:pPr>
    <w:rPr>
      <w:rFonts w:ascii="Segoe UI" w:eastAsiaTheme="majorEastAsia" w:hAnsi="Segoe UI" w:cstheme="majorBidi"/>
      <w:color w:val="3F4A7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6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678"/>
    <w:rPr>
      <w:rFonts w:ascii="Arial" w:hAnsi="Arial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7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63C6"/>
    <w:pPr>
      <w:spacing w:after="0" w:line="240" w:lineRule="auto"/>
      <w:contextualSpacing/>
    </w:pPr>
    <w:rPr>
      <w:rFonts w:ascii="Segoe UI" w:eastAsiaTheme="majorEastAsia" w:hAnsi="Segoe UI" w:cstheme="majorBidi"/>
      <w:color w:val="3F4A7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3C6"/>
    <w:rPr>
      <w:rFonts w:ascii="Segoe UI" w:eastAsiaTheme="majorEastAsia" w:hAnsi="Segoe UI" w:cstheme="majorBidi"/>
      <w:color w:val="3F4A75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67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66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GridTable2-Accent3">
    <w:name w:val="Grid Table 2 Accent 3"/>
    <w:basedOn w:val="TableNormal"/>
    <w:uiPriority w:val="47"/>
    <w:rsid w:val="00EF667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EF6678"/>
    <w:rPr>
      <w:color w:val="0563C1" w:themeColor="hyperlink"/>
      <w:u w:val="single"/>
    </w:rPr>
  </w:style>
  <w:style w:type="paragraph" w:customStyle="1" w:styleId="VisionBox">
    <w:name w:val="VisionBox"/>
    <w:basedOn w:val="Normal"/>
    <w:qFormat/>
    <w:rsid w:val="007F1E8A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ascii="Segoe UI" w:hAnsi="Segoe U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7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84E"/>
    <w:rPr>
      <w:rFonts w:ascii="Arial" w:hAnsi="Arial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84E"/>
    <w:rPr>
      <w:rFonts w:ascii="Arial" w:hAnsi="Arial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63C6"/>
    <w:rPr>
      <w:rFonts w:ascii="Segoe UI" w:eastAsiaTheme="majorEastAsia" w:hAnsi="Segoe UI" w:cstheme="majorBidi"/>
      <w:color w:val="3F4A75"/>
      <w:sz w:val="32"/>
      <w:szCs w:val="32"/>
    </w:rPr>
  </w:style>
  <w:style w:type="table" w:styleId="GridTable6Colorful">
    <w:name w:val="Grid Table 6 Colorful"/>
    <w:basedOn w:val="TableNormal"/>
    <w:uiPriority w:val="51"/>
    <w:rsid w:val="00DF37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3">
    <w:name w:val="List Table 2 Accent 3"/>
    <w:basedOn w:val="TableNormal"/>
    <w:uiPriority w:val="47"/>
    <w:rsid w:val="00DE41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E63C6"/>
    <w:rPr>
      <w:rFonts w:ascii="Segoe UI" w:eastAsiaTheme="majorEastAsia" w:hAnsi="Segoe UI" w:cstheme="majorBidi"/>
      <w:color w:val="3F4A75"/>
      <w:sz w:val="26"/>
      <w:szCs w:val="26"/>
    </w:rPr>
  </w:style>
  <w:style w:type="paragraph" w:styleId="ListParagraph">
    <w:name w:val="List Paragraph"/>
    <w:aliases w:val="List Paragraph1,Recommendation,#List Paragraph,List Paragraph11,L,List Paragraph - bullet,List - bullet,List Paragraph - bullets,Use Case List Paragraph,Bullets,Figure_name,Numbered Indented Text,Bullet- First level,List NUmber,lp1,Bulle"/>
    <w:basedOn w:val="Normal"/>
    <w:link w:val="ListParagraphChar"/>
    <w:uiPriority w:val="34"/>
    <w:qFormat/>
    <w:rsid w:val="007F1E8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#List Paragraph Char,List Paragraph11 Char,L Char,List Paragraph - bullet Char,List - bullet Char,List Paragraph - bullets Char,Use Case List Paragraph Char,Bullets Char,Figure_name Char"/>
    <w:link w:val="ListParagraph"/>
    <w:uiPriority w:val="34"/>
    <w:qFormat/>
    <w:locked/>
    <w:rsid w:val="00781E40"/>
    <w:rPr>
      <w:rFonts w:ascii="Arial" w:hAnsi="Arial" w:cstheme="minorBidi"/>
      <w:sz w:val="22"/>
      <w:szCs w:val="22"/>
    </w:rPr>
  </w:style>
  <w:style w:type="table" w:styleId="GridTable1Light">
    <w:name w:val="Grid Table 1 Light"/>
    <w:basedOn w:val="TableNormal"/>
    <w:uiPriority w:val="46"/>
    <w:rsid w:val="00AE6C1A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CB5"/>
    <w:rPr>
      <w:rFonts w:ascii="Arial" w:hAnsi="Arial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2354">
          <w:marLeft w:val="116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448">
          <w:marLeft w:val="116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406">
          <w:marLeft w:val="116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329">
          <w:marLeft w:val="116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0797B-BB1F-4846-9388-E294F1E6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Malley</dc:creator>
  <cp:keywords/>
  <dc:description/>
  <cp:lastModifiedBy>Caroline Blackburn</cp:lastModifiedBy>
  <cp:revision>2</cp:revision>
  <cp:lastPrinted>2021-02-04T00:55:00Z</cp:lastPrinted>
  <dcterms:created xsi:type="dcterms:W3CDTF">2021-04-07T01:12:00Z</dcterms:created>
  <dcterms:modified xsi:type="dcterms:W3CDTF">2021-04-07T01:12:00Z</dcterms:modified>
</cp:coreProperties>
</file>