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339" w:rsidRDefault="00947339" w:rsidP="00947339">
      <w:pPr>
        <w:spacing w:after="480"/>
        <w:jc w:val="center"/>
        <w:rPr>
          <w:b/>
          <w:caps/>
        </w:rPr>
      </w:pPr>
      <w:bookmarkStart w:id="0" w:name="imageHolder"/>
      <w:bookmarkStart w:id="1" w:name="_GoBack"/>
      <w:bookmarkEnd w:id="0"/>
      <w:bookmarkEnd w:id="1"/>
      <w:r w:rsidRPr="00D912DB">
        <w:rPr>
          <w:noProof/>
          <w:sz w:val="28"/>
          <w:szCs w:val="28"/>
        </w:rPr>
        <w:drawing>
          <wp:inline distT="0" distB="0" distL="0" distR="0" wp14:anchorId="5DD76AFF" wp14:editId="2C30982C">
            <wp:extent cx="1687830" cy="1009650"/>
            <wp:effectExtent l="0" t="0" r="7620" b="0"/>
            <wp:docPr id="2" name="Picture 2" descr="Department of Health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Health Cres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8403" cy="1009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339" w:rsidRPr="00D23143" w:rsidRDefault="00965FE2" w:rsidP="00947339">
      <w:pPr>
        <w:spacing w:after="120"/>
        <w:jc w:val="center"/>
        <w:rPr>
          <w:b/>
          <w:sz w:val="32"/>
          <w:szCs w:val="32"/>
        </w:rPr>
      </w:pPr>
      <w:bookmarkStart w:id="2" w:name="Title"/>
      <w:bookmarkEnd w:id="2"/>
      <w:r>
        <w:rPr>
          <w:b/>
          <w:sz w:val="32"/>
          <w:szCs w:val="32"/>
        </w:rPr>
        <w:t xml:space="preserve">Residential Aged Care </w:t>
      </w:r>
      <w:r w:rsidR="00E379FF">
        <w:rPr>
          <w:b/>
          <w:sz w:val="32"/>
          <w:szCs w:val="32"/>
        </w:rPr>
        <w:t>Funding Reform Working Group</w:t>
      </w:r>
    </w:p>
    <w:p w:rsidR="00947339" w:rsidRPr="00D23143" w:rsidRDefault="00C63D28" w:rsidP="00947339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Communiqu</w:t>
      </w:r>
      <w:r w:rsidR="0033108A" w:rsidRPr="0033108A">
        <w:rPr>
          <w:b/>
          <w:sz w:val="32"/>
          <w:szCs w:val="32"/>
        </w:rPr>
        <w:t>é</w:t>
      </w:r>
    </w:p>
    <w:p w:rsidR="00947339" w:rsidRPr="00FF5A65" w:rsidRDefault="004C7190" w:rsidP="00947339">
      <w:pPr>
        <w:spacing w:after="120"/>
        <w:jc w:val="center"/>
        <w:rPr>
          <w:b/>
        </w:rPr>
      </w:pPr>
      <w:r>
        <w:rPr>
          <w:b/>
        </w:rPr>
        <w:t>18 February 2020</w:t>
      </w:r>
    </w:p>
    <w:p w:rsidR="00947339" w:rsidRPr="00406C60" w:rsidRDefault="00DA3B86" w:rsidP="00947339">
      <w:pPr>
        <w:spacing w:after="120"/>
        <w:jc w:val="center"/>
        <w:rPr>
          <w:b/>
        </w:rPr>
      </w:pPr>
      <w:r w:rsidRPr="00406C60">
        <w:rPr>
          <w:b/>
        </w:rPr>
        <w:t>9:30</w:t>
      </w:r>
      <w:r w:rsidR="00947339" w:rsidRPr="00406C60">
        <w:rPr>
          <w:b/>
        </w:rPr>
        <w:t xml:space="preserve">am – </w:t>
      </w:r>
      <w:r w:rsidR="000834FB">
        <w:rPr>
          <w:b/>
        </w:rPr>
        <w:t>3:00</w:t>
      </w:r>
      <w:r w:rsidR="004F5355" w:rsidRPr="00406C60">
        <w:rPr>
          <w:b/>
        </w:rPr>
        <w:t>p</w:t>
      </w:r>
      <w:r w:rsidR="00947339" w:rsidRPr="00406C60">
        <w:rPr>
          <w:b/>
        </w:rPr>
        <w:t>m</w:t>
      </w:r>
    </w:p>
    <w:tbl>
      <w:tblPr>
        <w:tblStyle w:val="TableGrid"/>
        <w:tblW w:w="4925" w:type="pct"/>
        <w:tblLook w:val="04A0" w:firstRow="1" w:lastRow="0" w:firstColumn="1" w:lastColumn="0" w:noHBand="0" w:noVBand="1"/>
      </w:tblPr>
      <w:tblGrid>
        <w:gridCol w:w="1594"/>
        <w:gridCol w:w="7330"/>
      </w:tblGrid>
      <w:tr w:rsidR="00E83B95" w:rsidRPr="00D23143" w:rsidTr="00257623">
        <w:tc>
          <w:tcPr>
            <w:tcW w:w="893" w:type="pct"/>
          </w:tcPr>
          <w:p w:rsidR="00E83B95" w:rsidRDefault="00E83B95" w:rsidP="00CE131A">
            <w:pPr>
              <w:spacing w:before="60" w:after="60"/>
              <w:rPr>
                <w:b/>
                <w:sz w:val="22"/>
              </w:rPr>
            </w:pPr>
            <w:r w:rsidRPr="00E57676">
              <w:rPr>
                <w:b/>
                <w:sz w:val="22"/>
              </w:rPr>
              <w:t>AN-ACC Trial Update</w:t>
            </w:r>
          </w:p>
          <w:p w:rsidR="00E83B95" w:rsidRPr="00E57676" w:rsidRDefault="00E83B95" w:rsidP="00CE131A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4107" w:type="pct"/>
            <w:vAlign w:val="center"/>
          </w:tcPr>
          <w:p w:rsidR="008B1651" w:rsidRPr="008B1651" w:rsidRDefault="008B1651" w:rsidP="008B1651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T</w:t>
            </w:r>
            <w:r w:rsidR="000834FB">
              <w:rPr>
                <w:sz w:val="22"/>
              </w:rPr>
              <w:t>he department</w:t>
            </w:r>
            <w:r w:rsidRPr="008B1651">
              <w:rPr>
                <w:sz w:val="22"/>
              </w:rPr>
              <w:t xml:space="preserve"> provided an update on the trial and reported that:</w:t>
            </w:r>
          </w:p>
          <w:p w:rsidR="008B1651" w:rsidRPr="008B1651" w:rsidRDefault="008B1651" w:rsidP="008B1651">
            <w:pPr>
              <w:pStyle w:val="ListParagraph"/>
              <w:numPr>
                <w:ilvl w:val="0"/>
                <w:numId w:val="36"/>
              </w:numPr>
              <w:spacing w:before="60" w:after="60"/>
              <w:rPr>
                <w:sz w:val="22"/>
              </w:rPr>
            </w:pPr>
            <w:r w:rsidRPr="008B1651">
              <w:rPr>
                <w:sz w:val="22"/>
              </w:rPr>
              <w:t>As at Sunday 16 February 2020, 4,000 assessments had been completed</w:t>
            </w:r>
            <w:r w:rsidR="000716C4">
              <w:rPr>
                <w:sz w:val="22"/>
              </w:rPr>
              <w:t>.</w:t>
            </w:r>
          </w:p>
          <w:p w:rsidR="008B1651" w:rsidRPr="009F5FB2" w:rsidRDefault="000834FB" w:rsidP="008B1651">
            <w:pPr>
              <w:pStyle w:val="ListParagraph"/>
              <w:numPr>
                <w:ilvl w:val="0"/>
                <w:numId w:val="36"/>
              </w:numPr>
              <w:spacing w:before="60" w:after="60"/>
              <w:rPr>
                <w:sz w:val="22"/>
              </w:rPr>
            </w:pPr>
            <w:r w:rsidRPr="009F5FB2">
              <w:rPr>
                <w:sz w:val="22"/>
              </w:rPr>
              <w:t xml:space="preserve">Inter-rater reliability between assessments is being tested, with results to date </w:t>
            </w:r>
            <w:r w:rsidR="00490142" w:rsidRPr="009F5FB2">
              <w:rPr>
                <w:sz w:val="22"/>
              </w:rPr>
              <w:t>promising</w:t>
            </w:r>
            <w:r w:rsidRPr="009F5FB2">
              <w:rPr>
                <w:sz w:val="22"/>
              </w:rPr>
              <w:t xml:space="preserve">. </w:t>
            </w:r>
          </w:p>
          <w:p w:rsidR="00E91A76" w:rsidRDefault="00490142" w:rsidP="00C665B1">
            <w:pPr>
              <w:pStyle w:val="ListParagraph"/>
              <w:numPr>
                <w:ilvl w:val="0"/>
                <w:numId w:val="36"/>
              </w:numPr>
              <w:spacing w:before="60" w:after="60"/>
              <w:rPr>
                <w:sz w:val="22"/>
              </w:rPr>
            </w:pPr>
            <w:r w:rsidRPr="00E91A76">
              <w:rPr>
                <w:sz w:val="22"/>
              </w:rPr>
              <w:t xml:space="preserve">The trial is being run through </w:t>
            </w:r>
            <w:r w:rsidR="009F5FB2">
              <w:rPr>
                <w:sz w:val="22"/>
              </w:rPr>
              <w:t xml:space="preserve">a test, learn - </w:t>
            </w:r>
            <w:r w:rsidR="00001ADB" w:rsidRPr="00E91A76">
              <w:rPr>
                <w:sz w:val="22"/>
              </w:rPr>
              <w:t>adapt approach. The department is reviewing trial data daily and working with assessment management organisations</w:t>
            </w:r>
            <w:r w:rsidR="00074F49">
              <w:rPr>
                <w:sz w:val="22"/>
              </w:rPr>
              <w:t xml:space="preserve"> and assessors</w:t>
            </w:r>
            <w:r w:rsidR="00001ADB" w:rsidRPr="00E91A76">
              <w:rPr>
                <w:sz w:val="22"/>
              </w:rPr>
              <w:t xml:space="preserve"> to refine the assessment process. </w:t>
            </w:r>
          </w:p>
          <w:p w:rsidR="008B1651" w:rsidRPr="00E91A76" w:rsidRDefault="00001ADB" w:rsidP="00C665B1">
            <w:pPr>
              <w:pStyle w:val="ListParagraph"/>
              <w:numPr>
                <w:ilvl w:val="0"/>
                <w:numId w:val="36"/>
              </w:numPr>
              <w:spacing w:before="60" w:after="60"/>
              <w:rPr>
                <w:sz w:val="22"/>
              </w:rPr>
            </w:pPr>
            <w:r w:rsidRPr="00E91A76">
              <w:rPr>
                <w:sz w:val="22"/>
              </w:rPr>
              <w:t>A clinical communities of practice</w:t>
            </w:r>
            <w:r w:rsidR="009F5FB2">
              <w:rPr>
                <w:sz w:val="22"/>
              </w:rPr>
              <w:t xml:space="preserve"> group</w:t>
            </w:r>
            <w:r w:rsidR="00183DC3">
              <w:rPr>
                <w:sz w:val="22"/>
              </w:rPr>
              <w:t>, made up of departmental, assessment management organisation</w:t>
            </w:r>
            <w:r w:rsidR="006E78F7">
              <w:rPr>
                <w:sz w:val="22"/>
              </w:rPr>
              <w:t>s</w:t>
            </w:r>
            <w:r w:rsidR="00183DC3">
              <w:rPr>
                <w:sz w:val="22"/>
              </w:rPr>
              <w:t xml:space="preserve"> and assessor representatives,</w:t>
            </w:r>
            <w:r w:rsidRPr="00E91A76">
              <w:rPr>
                <w:sz w:val="22"/>
              </w:rPr>
              <w:t xml:space="preserve"> meets every three weeks</w:t>
            </w:r>
            <w:r w:rsidR="00E91A76">
              <w:rPr>
                <w:sz w:val="22"/>
              </w:rPr>
              <w:t xml:space="preserve"> to </w:t>
            </w:r>
            <w:r w:rsidR="006E78F7">
              <w:rPr>
                <w:sz w:val="22"/>
              </w:rPr>
              <w:t xml:space="preserve">discuss </w:t>
            </w:r>
            <w:r w:rsidR="00074F49">
              <w:rPr>
                <w:sz w:val="22"/>
              </w:rPr>
              <w:t>assessor experiences</w:t>
            </w:r>
            <w:r w:rsidR="006E78F7">
              <w:rPr>
                <w:sz w:val="22"/>
              </w:rPr>
              <w:t xml:space="preserve">. Lessons from this forum are then integrated into </w:t>
            </w:r>
            <w:r w:rsidR="00074F49">
              <w:rPr>
                <w:sz w:val="22"/>
              </w:rPr>
              <w:t xml:space="preserve">the running of the trial. </w:t>
            </w:r>
          </w:p>
          <w:p w:rsidR="008B1651" w:rsidRPr="008B1651" w:rsidRDefault="008B1651" w:rsidP="008B1651">
            <w:pPr>
              <w:pStyle w:val="ListParagraph"/>
              <w:numPr>
                <w:ilvl w:val="0"/>
                <w:numId w:val="36"/>
              </w:numPr>
              <w:spacing w:before="60" w:after="60"/>
              <w:rPr>
                <w:sz w:val="22"/>
              </w:rPr>
            </w:pPr>
            <w:r w:rsidRPr="008B1651">
              <w:rPr>
                <w:sz w:val="22"/>
              </w:rPr>
              <w:t>Lessons include extending initial two day training to three days</w:t>
            </w:r>
            <w:r w:rsidR="003A6B9E">
              <w:rPr>
                <w:sz w:val="22"/>
              </w:rPr>
              <w:t>.</w:t>
            </w:r>
          </w:p>
          <w:p w:rsidR="008B1651" w:rsidRDefault="00074F49" w:rsidP="008B1651">
            <w:pPr>
              <w:pStyle w:val="ListParagraph"/>
              <w:numPr>
                <w:ilvl w:val="0"/>
                <w:numId w:val="36"/>
              </w:numPr>
              <w:spacing w:before="60" w:after="60"/>
              <w:rPr>
                <w:sz w:val="22"/>
              </w:rPr>
            </w:pPr>
            <w:r>
              <w:rPr>
                <w:sz w:val="22"/>
              </w:rPr>
              <w:t>All assessments for the trial are</w:t>
            </w:r>
            <w:r w:rsidR="008B1651" w:rsidRPr="008B1651">
              <w:rPr>
                <w:sz w:val="22"/>
              </w:rPr>
              <w:t xml:space="preserve"> on track to be completed by 30 April 2020</w:t>
            </w:r>
            <w:r w:rsidR="003A6B9E">
              <w:rPr>
                <w:sz w:val="22"/>
              </w:rPr>
              <w:t>.</w:t>
            </w:r>
          </w:p>
          <w:p w:rsidR="00E83B95" w:rsidRPr="00FC3ECD" w:rsidRDefault="00915D81" w:rsidP="00174A51">
            <w:pPr>
              <w:pStyle w:val="ListParagraph"/>
              <w:numPr>
                <w:ilvl w:val="0"/>
                <w:numId w:val="36"/>
              </w:num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Members provided feedback on their </w:t>
            </w:r>
            <w:r w:rsidR="00975689">
              <w:rPr>
                <w:sz w:val="22"/>
              </w:rPr>
              <w:t xml:space="preserve">experience of the trial. It was discussed that there is benefit in the </w:t>
            </w:r>
            <w:r w:rsidR="008B1651" w:rsidRPr="00975689">
              <w:rPr>
                <w:sz w:val="22"/>
              </w:rPr>
              <w:t xml:space="preserve">department </w:t>
            </w:r>
            <w:r w:rsidR="00975689">
              <w:rPr>
                <w:sz w:val="22"/>
              </w:rPr>
              <w:t xml:space="preserve">learning more about how </w:t>
            </w:r>
            <w:r w:rsidR="008B1651" w:rsidRPr="00975689">
              <w:rPr>
                <w:sz w:val="22"/>
              </w:rPr>
              <w:t xml:space="preserve">Culturally and Linguistically Diverse and Aboriginal and Torres Strait Islander residents </w:t>
            </w:r>
            <w:r w:rsidR="00975689">
              <w:rPr>
                <w:sz w:val="22"/>
              </w:rPr>
              <w:t>found the assessment experience</w:t>
            </w:r>
            <w:r w:rsidR="008B1651" w:rsidRPr="00975689">
              <w:rPr>
                <w:sz w:val="22"/>
              </w:rPr>
              <w:t>.</w:t>
            </w:r>
            <w:r w:rsidR="00975689">
              <w:rPr>
                <w:sz w:val="22"/>
              </w:rPr>
              <w:t xml:space="preserve"> </w:t>
            </w:r>
          </w:p>
        </w:tc>
      </w:tr>
      <w:tr w:rsidR="00E83B95" w:rsidRPr="00D23143" w:rsidTr="00257623">
        <w:tc>
          <w:tcPr>
            <w:tcW w:w="893" w:type="pct"/>
          </w:tcPr>
          <w:p w:rsidR="00E83B95" w:rsidRPr="003D7EE9" w:rsidRDefault="00582435" w:rsidP="00CE131A">
            <w:pPr>
              <w:spacing w:before="60" w:after="60"/>
              <w:rPr>
                <w:b/>
                <w:sz w:val="22"/>
              </w:rPr>
            </w:pPr>
            <w:r w:rsidRPr="00582435">
              <w:rPr>
                <w:b/>
                <w:sz w:val="22"/>
              </w:rPr>
              <w:t>IHPA Presentation</w:t>
            </w:r>
          </w:p>
        </w:tc>
        <w:tc>
          <w:tcPr>
            <w:tcW w:w="4107" w:type="pct"/>
            <w:vAlign w:val="center"/>
          </w:tcPr>
          <w:p w:rsidR="00E83B95" w:rsidRDefault="00724558" w:rsidP="00044238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Mr </w:t>
            </w:r>
            <w:r w:rsidR="00582435">
              <w:rPr>
                <w:sz w:val="22"/>
              </w:rPr>
              <w:t xml:space="preserve">James Downie, CEO of </w:t>
            </w:r>
            <w:r w:rsidR="00582435" w:rsidRPr="00582435">
              <w:rPr>
                <w:sz w:val="22"/>
              </w:rPr>
              <w:t>the Independent Hospital Pricing Authority (IHPA) presented to members on the role of IHPA and Activity Based Funding.</w:t>
            </w:r>
          </w:p>
          <w:p w:rsidR="00582435" w:rsidRPr="00C94425" w:rsidRDefault="00582435" w:rsidP="00174A51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Members discussed that there is currently a dearth of reliable data in the aged care sector and that annual costing studies could ameliorate this situation.</w:t>
            </w:r>
          </w:p>
        </w:tc>
      </w:tr>
      <w:tr w:rsidR="00E83B95" w:rsidRPr="00C070F4" w:rsidTr="00257623">
        <w:tc>
          <w:tcPr>
            <w:tcW w:w="893" w:type="pct"/>
          </w:tcPr>
          <w:p w:rsidR="00E83B95" w:rsidRPr="00C95D33" w:rsidRDefault="00582435" w:rsidP="00CE131A">
            <w:pPr>
              <w:rPr>
                <w:b/>
                <w:sz w:val="22"/>
              </w:rPr>
            </w:pPr>
            <w:r w:rsidRPr="00582435">
              <w:rPr>
                <w:b/>
                <w:sz w:val="22"/>
              </w:rPr>
              <w:t>StewartBrown presentation</w:t>
            </w:r>
          </w:p>
        </w:tc>
        <w:tc>
          <w:tcPr>
            <w:tcW w:w="4107" w:type="pct"/>
            <w:vAlign w:val="center"/>
          </w:tcPr>
          <w:p w:rsidR="00073759" w:rsidRDefault="00582435" w:rsidP="00582435">
            <w:pPr>
              <w:spacing w:before="60" w:after="60"/>
              <w:rPr>
                <w:sz w:val="22"/>
              </w:rPr>
            </w:pPr>
            <w:r w:rsidRPr="00582435">
              <w:rPr>
                <w:sz w:val="22"/>
              </w:rPr>
              <w:t xml:space="preserve">Mr </w:t>
            </w:r>
            <w:r w:rsidR="00073759">
              <w:rPr>
                <w:sz w:val="22"/>
              </w:rPr>
              <w:t xml:space="preserve">Grant </w:t>
            </w:r>
            <w:r w:rsidRPr="00582435">
              <w:rPr>
                <w:sz w:val="22"/>
              </w:rPr>
              <w:t xml:space="preserve">Corderoy </w:t>
            </w:r>
            <w:r w:rsidR="00073759">
              <w:rPr>
                <w:sz w:val="22"/>
              </w:rPr>
              <w:t>presented on analysis commissioned by the department looking into care, hotel and accommodation costs.</w:t>
            </w:r>
          </w:p>
          <w:p w:rsidR="00582435" w:rsidRPr="00582435" w:rsidRDefault="00B0276A" w:rsidP="00582435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Mr Corderoy ex</w:t>
            </w:r>
            <w:r w:rsidR="00582435" w:rsidRPr="00582435">
              <w:rPr>
                <w:sz w:val="22"/>
              </w:rPr>
              <w:t xml:space="preserve">plained that his analysis confirmed the findings of the UoW report on cost drivers in MMM3-5. </w:t>
            </w:r>
          </w:p>
          <w:p w:rsidR="00E83B95" w:rsidDel="00C95D33" w:rsidRDefault="00222952" w:rsidP="00582435">
            <w:pPr>
              <w:spacing w:before="60" w:after="60"/>
              <w:rPr>
                <w:sz w:val="22"/>
              </w:rPr>
            </w:pPr>
            <w:r w:rsidRPr="00222952">
              <w:rPr>
                <w:sz w:val="22"/>
              </w:rPr>
              <w:t>The key finding from the StewartBrown analysis was that most providers from MMM1-5 are making a small surplus on care funding. However, many providers rely on this surplus to fund their everyday living and corporate administration cost shortfalls.</w:t>
            </w:r>
          </w:p>
        </w:tc>
      </w:tr>
      <w:tr w:rsidR="00E83B95" w:rsidRPr="00C070F4" w:rsidTr="00257623">
        <w:tc>
          <w:tcPr>
            <w:tcW w:w="893" w:type="pct"/>
          </w:tcPr>
          <w:p w:rsidR="00E83B95" w:rsidRPr="002A3C1E" w:rsidRDefault="00BF23EC" w:rsidP="002A3C1E">
            <w:pPr>
              <w:spacing w:before="60" w:after="60"/>
              <w:rPr>
                <w:sz w:val="22"/>
              </w:rPr>
            </w:pPr>
            <w:r>
              <w:rPr>
                <w:b/>
                <w:sz w:val="22"/>
              </w:rPr>
              <w:t>Policy Discussion</w:t>
            </w:r>
          </w:p>
        </w:tc>
        <w:tc>
          <w:tcPr>
            <w:tcW w:w="4107" w:type="pct"/>
            <w:vAlign w:val="center"/>
          </w:tcPr>
          <w:p w:rsidR="00461D36" w:rsidRDefault="00DE261A" w:rsidP="00B126B7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Members discussed the hypothetical adoption of the AN-ACC Version 1.0 as recommend by the UoW. </w:t>
            </w:r>
          </w:p>
          <w:p w:rsidR="00557A6D" w:rsidRDefault="00557A6D" w:rsidP="00B126B7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Members discussed reassessme</w:t>
            </w:r>
            <w:r w:rsidR="0014293E">
              <w:rPr>
                <w:sz w:val="22"/>
              </w:rPr>
              <w:t>nt triggers and how work on AN-ACC would interface with work by the Royal Commission into Aged Care Quality and Safety.</w:t>
            </w:r>
          </w:p>
          <w:p w:rsidR="0014293E" w:rsidRPr="005F201C" w:rsidRDefault="0014293E" w:rsidP="009F5FB2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Members discussed that should Government adopt AN-ACC</w:t>
            </w:r>
            <w:r w:rsidR="00645071">
              <w:rPr>
                <w:sz w:val="22"/>
              </w:rPr>
              <w:t>,</w:t>
            </w:r>
            <w:r>
              <w:rPr>
                <w:sz w:val="22"/>
              </w:rPr>
              <w:t xml:space="preserve"> a change management and communication strategy would need to be designed in consultation with the aged care sector.</w:t>
            </w:r>
          </w:p>
        </w:tc>
      </w:tr>
    </w:tbl>
    <w:p w:rsidR="00003743" w:rsidRPr="00AA26E4" w:rsidRDefault="00003743" w:rsidP="00AA26E4">
      <w:pPr>
        <w:rPr>
          <w:sz w:val="2"/>
          <w:szCs w:val="2"/>
        </w:rPr>
      </w:pPr>
    </w:p>
    <w:sectPr w:rsidR="00003743" w:rsidRPr="00AA26E4" w:rsidSect="00D248E3">
      <w:headerReference w:type="default" r:id="rId9"/>
      <w:pgSz w:w="11906" w:h="16838" w:code="9"/>
      <w:pgMar w:top="720" w:right="1418" w:bottom="357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F41" w:rsidRDefault="00895F41">
      <w:r>
        <w:separator/>
      </w:r>
    </w:p>
  </w:endnote>
  <w:endnote w:type="continuationSeparator" w:id="0">
    <w:p w:rsidR="00895F41" w:rsidRDefault="00895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F41" w:rsidRDefault="00895F41">
      <w:r>
        <w:separator/>
      </w:r>
    </w:p>
  </w:footnote>
  <w:footnote w:type="continuationSeparator" w:id="0">
    <w:p w:rsidR="00895F41" w:rsidRDefault="00895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DB" w:rsidRDefault="00947339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 xml:space="preserve">- </w:t>
    </w:r>
    <w:r>
      <w:rPr>
        <w:rStyle w:val="PageNumber"/>
        <w:rFonts w:eastAsiaTheme="majorEastAsia"/>
        <w:sz w:val="20"/>
        <w:szCs w:val="20"/>
      </w:rPr>
      <w:fldChar w:fldCharType="begin"/>
    </w:r>
    <w:r>
      <w:rPr>
        <w:rStyle w:val="PageNumber"/>
        <w:rFonts w:eastAsiaTheme="majorEastAsia"/>
        <w:sz w:val="20"/>
        <w:szCs w:val="20"/>
      </w:rPr>
      <w:instrText xml:space="preserve"> PAGE </w:instrText>
    </w:r>
    <w:r>
      <w:rPr>
        <w:rStyle w:val="PageNumber"/>
        <w:rFonts w:eastAsiaTheme="majorEastAsia"/>
        <w:sz w:val="20"/>
        <w:szCs w:val="20"/>
      </w:rPr>
      <w:fldChar w:fldCharType="separate"/>
    </w:r>
    <w:r w:rsidR="009F5FB2">
      <w:rPr>
        <w:rStyle w:val="PageNumber"/>
        <w:rFonts w:eastAsiaTheme="majorEastAsia"/>
        <w:noProof/>
        <w:sz w:val="20"/>
        <w:szCs w:val="20"/>
      </w:rPr>
      <w:t>2</w:t>
    </w:r>
    <w:r>
      <w:rPr>
        <w:rStyle w:val="PageNumber"/>
        <w:rFonts w:eastAsiaTheme="majorEastAsia"/>
        <w:sz w:val="20"/>
        <w:szCs w:val="20"/>
      </w:rPr>
      <w:fldChar w:fldCharType="end"/>
    </w:r>
    <w:r>
      <w:rPr>
        <w:rStyle w:val="PageNumber"/>
        <w:rFonts w:eastAsiaTheme="majorEastAsia"/>
        <w:sz w:val="20"/>
        <w:szCs w:val="20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6811"/>
    <w:multiLevelType w:val="hybridMultilevel"/>
    <w:tmpl w:val="3E7686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01CF7"/>
    <w:multiLevelType w:val="hybridMultilevel"/>
    <w:tmpl w:val="F2BCC5A8"/>
    <w:lvl w:ilvl="0" w:tplc="0C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F5FB5"/>
    <w:multiLevelType w:val="hybridMultilevel"/>
    <w:tmpl w:val="BE52C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37402"/>
    <w:multiLevelType w:val="hybridMultilevel"/>
    <w:tmpl w:val="A6DA7B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0746F"/>
    <w:multiLevelType w:val="hybridMultilevel"/>
    <w:tmpl w:val="0ECC0B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54721"/>
    <w:multiLevelType w:val="hybridMultilevel"/>
    <w:tmpl w:val="25A23E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96AB8"/>
    <w:multiLevelType w:val="hybridMultilevel"/>
    <w:tmpl w:val="E1E004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55360"/>
    <w:multiLevelType w:val="hybridMultilevel"/>
    <w:tmpl w:val="97CACD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6D66DA"/>
    <w:multiLevelType w:val="hybridMultilevel"/>
    <w:tmpl w:val="FDBCDD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C0B2A"/>
    <w:multiLevelType w:val="hybridMultilevel"/>
    <w:tmpl w:val="0D1E92A2"/>
    <w:lvl w:ilvl="0" w:tplc="7DEC6D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A687B"/>
    <w:multiLevelType w:val="hybridMultilevel"/>
    <w:tmpl w:val="F9D621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50937"/>
    <w:multiLevelType w:val="hybridMultilevel"/>
    <w:tmpl w:val="D2CC812C"/>
    <w:lvl w:ilvl="0" w:tplc="F482C748">
      <w:numFmt w:val="bullet"/>
      <w:lvlText w:val=""/>
      <w:lvlJc w:val="left"/>
      <w:pPr>
        <w:ind w:left="720" w:hanging="72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6B7098"/>
    <w:multiLevelType w:val="hybridMultilevel"/>
    <w:tmpl w:val="6D4EC7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842F3"/>
    <w:multiLevelType w:val="hybridMultilevel"/>
    <w:tmpl w:val="B74C53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7E61D3"/>
    <w:multiLevelType w:val="multilevel"/>
    <w:tmpl w:val="2D048270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46DD4FF0"/>
    <w:multiLevelType w:val="hybridMultilevel"/>
    <w:tmpl w:val="CCE892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39071A"/>
    <w:multiLevelType w:val="hybridMultilevel"/>
    <w:tmpl w:val="F7F405B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5536A4"/>
    <w:multiLevelType w:val="hybridMultilevel"/>
    <w:tmpl w:val="8AF8D022"/>
    <w:lvl w:ilvl="0" w:tplc="7DEC6D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CE01D9"/>
    <w:multiLevelType w:val="hybridMultilevel"/>
    <w:tmpl w:val="F4724DAE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F377A"/>
    <w:multiLevelType w:val="hybridMultilevel"/>
    <w:tmpl w:val="27567CCE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0" w15:restartNumberingAfterBreak="0">
    <w:nsid w:val="51736063"/>
    <w:multiLevelType w:val="hybridMultilevel"/>
    <w:tmpl w:val="F84AD1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E74768"/>
    <w:multiLevelType w:val="hybridMultilevel"/>
    <w:tmpl w:val="51D606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2C1A0F"/>
    <w:multiLevelType w:val="hybridMultilevel"/>
    <w:tmpl w:val="D39A6F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80660B"/>
    <w:multiLevelType w:val="hybridMultilevel"/>
    <w:tmpl w:val="1786CA06"/>
    <w:lvl w:ilvl="0" w:tplc="2D0A460E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327956"/>
    <w:multiLevelType w:val="hybridMultilevel"/>
    <w:tmpl w:val="740092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ED0D67"/>
    <w:multiLevelType w:val="hybridMultilevel"/>
    <w:tmpl w:val="FDBCDD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DA0895"/>
    <w:multiLevelType w:val="hybridMultilevel"/>
    <w:tmpl w:val="7E7CB9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BD1F50"/>
    <w:multiLevelType w:val="hybridMultilevel"/>
    <w:tmpl w:val="D4B8304E"/>
    <w:lvl w:ilvl="0" w:tplc="F482C748">
      <w:numFmt w:val="bullet"/>
      <w:lvlText w:val=""/>
      <w:lvlJc w:val="left"/>
      <w:pPr>
        <w:ind w:left="720" w:hanging="72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E03B05"/>
    <w:multiLevelType w:val="hybridMultilevel"/>
    <w:tmpl w:val="EDF430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EF6328"/>
    <w:multiLevelType w:val="hybridMultilevel"/>
    <w:tmpl w:val="8252FD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8D22E7"/>
    <w:multiLevelType w:val="hybridMultilevel"/>
    <w:tmpl w:val="700E578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720E5373"/>
    <w:multiLevelType w:val="hybridMultilevel"/>
    <w:tmpl w:val="727223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1A0F99"/>
    <w:multiLevelType w:val="hybridMultilevel"/>
    <w:tmpl w:val="278CA9E4"/>
    <w:lvl w:ilvl="0" w:tplc="2D0A460E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BF1984"/>
    <w:multiLevelType w:val="hybridMultilevel"/>
    <w:tmpl w:val="78C0C38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2A6E33"/>
    <w:multiLevelType w:val="hybridMultilevel"/>
    <w:tmpl w:val="11404326"/>
    <w:lvl w:ilvl="0" w:tplc="2D0A460E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5" w15:restartNumberingAfterBreak="0">
    <w:nsid w:val="7EF13AE1"/>
    <w:multiLevelType w:val="hybridMultilevel"/>
    <w:tmpl w:val="1C6474C4"/>
    <w:lvl w:ilvl="0" w:tplc="0C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"/>
  </w:num>
  <w:num w:numId="3">
    <w:abstractNumId w:val="24"/>
  </w:num>
  <w:num w:numId="4">
    <w:abstractNumId w:val="10"/>
  </w:num>
  <w:num w:numId="5">
    <w:abstractNumId w:val="2"/>
  </w:num>
  <w:num w:numId="6">
    <w:abstractNumId w:val="0"/>
  </w:num>
  <w:num w:numId="7">
    <w:abstractNumId w:val="5"/>
  </w:num>
  <w:num w:numId="8">
    <w:abstractNumId w:val="4"/>
  </w:num>
  <w:num w:numId="9">
    <w:abstractNumId w:val="22"/>
  </w:num>
  <w:num w:numId="10">
    <w:abstractNumId w:val="6"/>
  </w:num>
  <w:num w:numId="11">
    <w:abstractNumId w:val="12"/>
  </w:num>
  <w:num w:numId="12">
    <w:abstractNumId w:val="13"/>
  </w:num>
  <w:num w:numId="13">
    <w:abstractNumId w:val="33"/>
  </w:num>
  <w:num w:numId="14">
    <w:abstractNumId w:val="14"/>
  </w:num>
  <w:num w:numId="15">
    <w:abstractNumId w:val="16"/>
  </w:num>
  <w:num w:numId="16">
    <w:abstractNumId w:val="18"/>
  </w:num>
  <w:num w:numId="17">
    <w:abstractNumId w:val="30"/>
  </w:num>
  <w:num w:numId="18">
    <w:abstractNumId w:val="15"/>
  </w:num>
  <w:num w:numId="19">
    <w:abstractNumId w:val="29"/>
  </w:num>
  <w:num w:numId="20">
    <w:abstractNumId w:val="21"/>
  </w:num>
  <w:num w:numId="21">
    <w:abstractNumId w:val="28"/>
  </w:num>
  <w:num w:numId="22">
    <w:abstractNumId w:val="7"/>
  </w:num>
  <w:num w:numId="23">
    <w:abstractNumId w:val="8"/>
  </w:num>
  <w:num w:numId="24">
    <w:abstractNumId w:val="25"/>
  </w:num>
  <w:num w:numId="25">
    <w:abstractNumId w:val="26"/>
  </w:num>
  <w:num w:numId="26">
    <w:abstractNumId w:val="34"/>
  </w:num>
  <w:num w:numId="27">
    <w:abstractNumId w:val="23"/>
  </w:num>
  <w:num w:numId="28">
    <w:abstractNumId w:val="32"/>
  </w:num>
  <w:num w:numId="29">
    <w:abstractNumId w:val="11"/>
  </w:num>
  <w:num w:numId="30">
    <w:abstractNumId w:val="27"/>
  </w:num>
  <w:num w:numId="31">
    <w:abstractNumId w:val="35"/>
  </w:num>
  <w:num w:numId="32">
    <w:abstractNumId w:val="1"/>
  </w:num>
  <w:num w:numId="33">
    <w:abstractNumId w:val="17"/>
  </w:num>
  <w:num w:numId="34">
    <w:abstractNumId w:val="9"/>
  </w:num>
  <w:num w:numId="35">
    <w:abstractNumId w:val="19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339"/>
    <w:rsid w:val="00001ADB"/>
    <w:rsid w:val="00003743"/>
    <w:rsid w:val="000066F3"/>
    <w:rsid w:val="0000684C"/>
    <w:rsid w:val="000103EB"/>
    <w:rsid w:val="000151E4"/>
    <w:rsid w:val="00015E71"/>
    <w:rsid w:val="00044238"/>
    <w:rsid w:val="000526CA"/>
    <w:rsid w:val="00053E3F"/>
    <w:rsid w:val="00067456"/>
    <w:rsid w:val="000716C4"/>
    <w:rsid w:val="00073759"/>
    <w:rsid w:val="00073EE8"/>
    <w:rsid w:val="00074F49"/>
    <w:rsid w:val="00077E01"/>
    <w:rsid w:val="0008085E"/>
    <w:rsid w:val="000834FB"/>
    <w:rsid w:val="00087702"/>
    <w:rsid w:val="00096D81"/>
    <w:rsid w:val="000A18AB"/>
    <w:rsid w:val="000A602B"/>
    <w:rsid w:val="000B32D5"/>
    <w:rsid w:val="000B78EF"/>
    <w:rsid w:val="000D6B79"/>
    <w:rsid w:val="000E0D41"/>
    <w:rsid w:val="000F62C1"/>
    <w:rsid w:val="00107B02"/>
    <w:rsid w:val="00116AE1"/>
    <w:rsid w:val="001209A2"/>
    <w:rsid w:val="00133CF0"/>
    <w:rsid w:val="00134186"/>
    <w:rsid w:val="00136165"/>
    <w:rsid w:val="00136A0B"/>
    <w:rsid w:val="00136EB0"/>
    <w:rsid w:val="0014293E"/>
    <w:rsid w:val="00155F46"/>
    <w:rsid w:val="00156886"/>
    <w:rsid w:val="001653ED"/>
    <w:rsid w:val="00166137"/>
    <w:rsid w:val="00174A51"/>
    <w:rsid w:val="00176F61"/>
    <w:rsid w:val="00183DC3"/>
    <w:rsid w:val="001860D9"/>
    <w:rsid w:val="001A1546"/>
    <w:rsid w:val="001A4334"/>
    <w:rsid w:val="001B3443"/>
    <w:rsid w:val="001B7B29"/>
    <w:rsid w:val="001C7E31"/>
    <w:rsid w:val="001E2A74"/>
    <w:rsid w:val="001E6003"/>
    <w:rsid w:val="001F4A77"/>
    <w:rsid w:val="0022293F"/>
    <w:rsid w:val="00222952"/>
    <w:rsid w:val="00257623"/>
    <w:rsid w:val="00261A4C"/>
    <w:rsid w:val="00262075"/>
    <w:rsid w:val="0026475C"/>
    <w:rsid w:val="002760D7"/>
    <w:rsid w:val="002809F4"/>
    <w:rsid w:val="00281A86"/>
    <w:rsid w:val="00282679"/>
    <w:rsid w:val="0028373D"/>
    <w:rsid w:val="002859BC"/>
    <w:rsid w:val="00293D00"/>
    <w:rsid w:val="00293D5E"/>
    <w:rsid w:val="00294B98"/>
    <w:rsid w:val="002A115A"/>
    <w:rsid w:val="002A2A09"/>
    <w:rsid w:val="002A3960"/>
    <w:rsid w:val="002A3C1E"/>
    <w:rsid w:val="002D1D45"/>
    <w:rsid w:val="002D54B4"/>
    <w:rsid w:val="002E03D0"/>
    <w:rsid w:val="002F36B2"/>
    <w:rsid w:val="002F3AE3"/>
    <w:rsid w:val="00301B34"/>
    <w:rsid w:val="00306D04"/>
    <w:rsid w:val="0030786C"/>
    <w:rsid w:val="00311336"/>
    <w:rsid w:val="003209D5"/>
    <w:rsid w:val="00322FB9"/>
    <w:rsid w:val="00327864"/>
    <w:rsid w:val="0033108A"/>
    <w:rsid w:val="0033561E"/>
    <w:rsid w:val="003744F9"/>
    <w:rsid w:val="00380774"/>
    <w:rsid w:val="00381EE9"/>
    <w:rsid w:val="00384581"/>
    <w:rsid w:val="00396F87"/>
    <w:rsid w:val="00397BA1"/>
    <w:rsid w:val="003A6B9E"/>
    <w:rsid w:val="003B2B0B"/>
    <w:rsid w:val="003B483A"/>
    <w:rsid w:val="003C4078"/>
    <w:rsid w:val="003C5274"/>
    <w:rsid w:val="003D019B"/>
    <w:rsid w:val="003D17F9"/>
    <w:rsid w:val="003D7EE9"/>
    <w:rsid w:val="00406C60"/>
    <w:rsid w:val="00417038"/>
    <w:rsid w:val="00425F4E"/>
    <w:rsid w:val="00442043"/>
    <w:rsid w:val="004477EC"/>
    <w:rsid w:val="00454D71"/>
    <w:rsid w:val="00461D36"/>
    <w:rsid w:val="00476F2D"/>
    <w:rsid w:val="004770AB"/>
    <w:rsid w:val="0048057A"/>
    <w:rsid w:val="004825C9"/>
    <w:rsid w:val="0048314E"/>
    <w:rsid w:val="00485523"/>
    <w:rsid w:val="00485628"/>
    <w:rsid w:val="004867E2"/>
    <w:rsid w:val="00490142"/>
    <w:rsid w:val="00490474"/>
    <w:rsid w:val="00491F33"/>
    <w:rsid w:val="004953E8"/>
    <w:rsid w:val="004B1B13"/>
    <w:rsid w:val="004B3B7A"/>
    <w:rsid w:val="004C7190"/>
    <w:rsid w:val="004D353F"/>
    <w:rsid w:val="004E2F2E"/>
    <w:rsid w:val="004E6176"/>
    <w:rsid w:val="004E639E"/>
    <w:rsid w:val="004E6E0D"/>
    <w:rsid w:val="004E7940"/>
    <w:rsid w:val="004F5355"/>
    <w:rsid w:val="0050560A"/>
    <w:rsid w:val="00507DB9"/>
    <w:rsid w:val="0051528B"/>
    <w:rsid w:val="00536017"/>
    <w:rsid w:val="00557A6D"/>
    <w:rsid w:val="005742F2"/>
    <w:rsid w:val="00582435"/>
    <w:rsid w:val="00586E92"/>
    <w:rsid w:val="005A5869"/>
    <w:rsid w:val="005C618B"/>
    <w:rsid w:val="005F201C"/>
    <w:rsid w:val="005F2170"/>
    <w:rsid w:val="005F782B"/>
    <w:rsid w:val="006145B2"/>
    <w:rsid w:val="00616DBC"/>
    <w:rsid w:val="00622459"/>
    <w:rsid w:val="006358AF"/>
    <w:rsid w:val="0064497D"/>
    <w:rsid w:val="00645071"/>
    <w:rsid w:val="00682FCE"/>
    <w:rsid w:val="006910B5"/>
    <w:rsid w:val="00697342"/>
    <w:rsid w:val="006A1089"/>
    <w:rsid w:val="006C079E"/>
    <w:rsid w:val="006C46E7"/>
    <w:rsid w:val="006C4DC2"/>
    <w:rsid w:val="006D5825"/>
    <w:rsid w:val="006E0B8C"/>
    <w:rsid w:val="006E366B"/>
    <w:rsid w:val="006E78F7"/>
    <w:rsid w:val="00712D56"/>
    <w:rsid w:val="00724558"/>
    <w:rsid w:val="00741079"/>
    <w:rsid w:val="0074241B"/>
    <w:rsid w:val="0074481D"/>
    <w:rsid w:val="00745F9D"/>
    <w:rsid w:val="00753A58"/>
    <w:rsid w:val="00766648"/>
    <w:rsid w:val="0076678E"/>
    <w:rsid w:val="00771627"/>
    <w:rsid w:val="007766C6"/>
    <w:rsid w:val="0078075D"/>
    <w:rsid w:val="00793F36"/>
    <w:rsid w:val="00795941"/>
    <w:rsid w:val="007A08EA"/>
    <w:rsid w:val="007A32F0"/>
    <w:rsid w:val="007B2537"/>
    <w:rsid w:val="007B3A12"/>
    <w:rsid w:val="007C1089"/>
    <w:rsid w:val="007C6398"/>
    <w:rsid w:val="007D055A"/>
    <w:rsid w:val="007D3A62"/>
    <w:rsid w:val="008077AD"/>
    <w:rsid w:val="008264EB"/>
    <w:rsid w:val="00833184"/>
    <w:rsid w:val="00834BE5"/>
    <w:rsid w:val="00840331"/>
    <w:rsid w:val="0087695C"/>
    <w:rsid w:val="00885710"/>
    <w:rsid w:val="00895182"/>
    <w:rsid w:val="00895F41"/>
    <w:rsid w:val="008A1CB9"/>
    <w:rsid w:val="008A24AA"/>
    <w:rsid w:val="008B1651"/>
    <w:rsid w:val="008C51E2"/>
    <w:rsid w:val="008C5BDE"/>
    <w:rsid w:val="008F65C3"/>
    <w:rsid w:val="00904DAE"/>
    <w:rsid w:val="00915D81"/>
    <w:rsid w:val="009174B5"/>
    <w:rsid w:val="00921F2D"/>
    <w:rsid w:val="009349CF"/>
    <w:rsid w:val="00947339"/>
    <w:rsid w:val="009623BD"/>
    <w:rsid w:val="009628F2"/>
    <w:rsid w:val="00965FE2"/>
    <w:rsid w:val="009703F0"/>
    <w:rsid w:val="009742AA"/>
    <w:rsid w:val="00975689"/>
    <w:rsid w:val="00983873"/>
    <w:rsid w:val="00990C61"/>
    <w:rsid w:val="00990DA0"/>
    <w:rsid w:val="0099731E"/>
    <w:rsid w:val="009C769C"/>
    <w:rsid w:val="009E5603"/>
    <w:rsid w:val="009F0BE6"/>
    <w:rsid w:val="009F5FB2"/>
    <w:rsid w:val="00A0477E"/>
    <w:rsid w:val="00A2407F"/>
    <w:rsid w:val="00A3143F"/>
    <w:rsid w:val="00A41A48"/>
    <w:rsid w:val="00A4512D"/>
    <w:rsid w:val="00A608CD"/>
    <w:rsid w:val="00A705AF"/>
    <w:rsid w:val="00A71B3F"/>
    <w:rsid w:val="00A7386D"/>
    <w:rsid w:val="00A77EF2"/>
    <w:rsid w:val="00A86AB0"/>
    <w:rsid w:val="00A87FE7"/>
    <w:rsid w:val="00AA26E4"/>
    <w:rsid w:val="00AA52A6"/>
    <w:rsid w:val="00AB27E1"/>
    <w:rsid w:val="00AB2A3B"/>
    <w:rsid w:val="00AB3C2B"/>
    <w:rsid w:val="00AB6D7E"/>
    <w:rsid w:val="00AB775A"/>
    <w:rsid w:val="00AD3CC5"/>
    <w:rsid w:val="00AE157C"/>
    <w:rsid w:val="00AE4524"/>
    <w:rsid w:val="00AF06F7"/>
    <w:rsid w:val="00AF388E"/>
    <w:rsid w:val="00AF64AD"/>
    <w:rsid w:val="00B0276A"/>
    <w:rsid w:val="00B126B7"/>
    <w:rsid w:val="00B12939"/>
    <w:rsid w:val="00B276A1"/>
    <w:rsid w:val="00B338D5"/>
    <w:rsid w:val="00B37339"/>
    <w:rsid w:val="00B4114A"/>
    <w:rsid w:val="00B42851"/>
    <w:rsid w:val="00B5609E"/>
    <w:rsid w:val="00B74B7A"/>
    <w:rsid w:val="00B935AF"/>
    <w:rsid w:val="00B96D39"/>
    <w:rsid w:val="00BC38CA"/>
    <w:rsid w:val="00BC62E3"/>
    <w:rsid w:val="00BE02F2"/>
    <w:rsid w:val="00BE1C18"/>
    <w:rsid w:val="00BF23EC"/>
    <w:rsid w:val="00BF31A2"/>
    <w:rsid w:val="00C070F4"/>
    <w:rsid w:val="00C074CE"/>
    <w:rsid w:val="00C1417D"/>
    <w:rsid w:val="00C30E66"/>
    <w:rsid w:val="00C3633C"/>
    <w:rsid w:val="00C44595"/>
    <w:rsid w:val="00C514A6"/>
    <w:rsid w:val="00C57154"/>
    <w:rsid w:val="00C63D28"/>
    <w:rsid w:val="00C67258"/>
    <w:rsid w:val="00C81C9D"/>
    <w:rsid w:val="00C84DA0"/>
    <w:rsid w:val="00C85C5C"/>
    <w:rsid w:val="00C94425"/>
    <w:rsid w:val="00C95D33"/>
    <w:rsid w:val="00CA648C"/>
    <w:rsid w:val="00CB0EF1"/>
    <w:rsid w:val="00CB5B1A"/>
    <w:rsid w:val="00CC051F"/>
    <w:rsid w:val="00CE131A"/>
    <w:rsid w:val="00CE6BF6"/>
    <w:rsid w:val="00CF147B"/>
    <w:rsid w:val="00CF28A9"/>
    <w:rsid w:val="00CF44C0"/>
    <w:rsid w:val="00CF5E19"/>
    <w:rsid w:val="00D1085A"/>
    <w:rsid w:val="00D21F0C"/>
    <w:rsid w:val="00D23143"/>
    <w:rsid w:val="00D248E3"/>
    <w:rsid w:val="00D26977"/>
    <w:rsid w:val="00D30154"/>
    <w:rsid w:val="00D41880"/>
    <w:rsid w:val="00D44E46"/>
    <w:rsid w:val="00D464DC"/>
    <w:rsid w:val="00D55ECE"/>
    <w:rsid w:val="00D66ECC"/>
    <w:rsid w:val="00D74393"/>
    <w:rsid w:val="00D77426"/>
    <w:rsid w:val="00D840E5"/>
    <w:rsid w:val="00D93753"/>
    <w:rsid w:val="00D94B0B"/>
    <w:rsid w:val="00DA3B86"/>
    <w:rsid w:val="00DB7E4D"/>
    <w:rsid w:val="00DC6725"/>
    <w:rsid w:val="00DE0B3F"/>
    <w:rsid w:val="00DE261A"/>
    <w:rsid w:val="00DF04D6"/>
    <w:rsid w:val="00E35278"/>
    <w:rsid w:val="00E379FF"/>
    <w:rsid w:val="00E404CF"/>
    <w:rsid w:val="00E40E86"/>
    <w:rsid w:val="00E53719"/>
    <w:rsid w:val="00E5504D"/>
    <w:rsid w:val="00E57676"/>
    <w:rsid w:val="00E70BFA"/>
    <w:rsid w:val="00E71486"/>
    <w:rsid w:val="00E724F4"/>
    <w:rsid w:val="00E80AD3"/>
    <w:rsid w:val="00E83B95"/>
    <w:rsid w:val="00E908B7"/>
    <w:rsid w:val="00E91A76"/>
    <w:rsid w:val="00E95572"/>
    <w:rsid w:val="00EB4AE4"/>
    <w:rsid w:val="00EC69CD"/>
    <w:rsid w:val="00ED1EBC"/>
    <w:rsid w:val="00EF23EA"/>
    <w:rsid w:val="00EF3286"/>
    <w:rsid w:val="00F001FC"/>
    <w:rsid w:val="00F03B9C"/>
    <w:rsid w:val="00F172CB"/>
    <w:rsid w:val="00F25CE3"/>
    <w:rsid w:val="00F276ED"/>
    <w:rsid w:val="00F318CC"/>
    <w:rsid w:val="00F31A09"/>
    <w:rsid w:val="00F453E8"/>
    <w:rsid w:val="00F5450B"/>
    <w:rsid w:val="00F5483B"/>
    <w:rsid w:val="00F62DA8"/>
    <w:rsid w:val="00F67685"/>
    <w:rsid w:val="00F81A3D"/>
    <w:rsid w:val="00F825D3"/>
    <w:rsid w:val="00F91AF8"/>
    <w:rsid w:val="00FB4109"/>
    <w:rsid w:val="00FB785F"/>
    <w:rsid w:val="00FC1308"/>
    <w:rsid w:val="00FC2F92"/>
    <w:rsid w:val="00FC3ECD"/>
    <w:rsid w:val="00FC7257"/>
    <w:rsid w:val="00FF16E1"/>
    <w:rsid w:val="00FF4907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5:docId w15:val="{938E1715-C2D6-47EF-A67B-9D5764B5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339"/>
    <w:rPr>
      <w:sz w:val="24"/>
      <w:szCs w:val="24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paragraph" w:styleId="Header">
    <w:name w:val="header"/>
    <w:basedOn w:val="Normal"/>
    <w:link w:val="HeaderChar"/>
    <w:rsid w:val="0094733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47339"/>
    <w:rPr>
      <w:sz w:val="24"/>
      <w:szCs w:val="24"/>
    </w:rPr>
  </w:style>
  <w:style w:type="paragraph" w:styleId="Footer">
    <w:name w:val="footer"/>
    <w:basedOn w:val="Normal"/>
    <w:link w:val="FooterChar"/>
    <w:rsid w:val="0094733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47339"/>
    <w:rPr>
      <w:sz w:val="24"/>
      <w:szCs w:val="24"/>
    </w:rPr>
  </w:style>
  <w:style w:type="character" w:styleId="PageNumber">
    <w:name w:val="page number"/>
    <w:basedOn w:val="DefaultParagraphFont"/>
    <w:rsid w:val="00947339"/>
  </w:style>
  <w:style w:type="paragraph" w:styleId="BalloonText">
    <w:name w:val="Balloon Text"/>
    <w:basedOn w:val="Normal"/>
    <w:link w:val="BalloonTextChar"/>
    <w:rsid w:val="009473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73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67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84DA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84D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84DA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84D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84D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0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11817-4C7D-4B0A-837B-931635458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2119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COVER, Myles</dc:creator>
  <cp:lastModifiedBy>Caroline Blackburn</cp:lastModifiedBy>
  <cp:revision>2</cp:revision>
  <cp:lastPrinted>2020-03-09T23:43:00Z</cp:lastPrinted>
  <dcterms:created xsi:type="dcterms:W3CDTF">2021-04-07T01:00:00Z</dcterms:created>
  <dcterms:modified xsi:type="dcterms:W3CDTF">2021-04-07T01:00:00Z</dcterms:modified>
</cp:coreProperties>
</file>