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4783E" w14:textId="06E22006" w:rsidR="00302FCB" w:rsidRPr="00302FCB" w:rsidRDefault="00302FCB" w:rsidP="00F10939">
      <w:pPr>
        <w:pStyle w:val="Title"/>
      </w:pPr>
      <w:bookmarkStart w:id="0" w:name="_Toc88050506"/>
      <w:r w:rsidRPr="00302FCB">
        <w:t>The National Aboriginal and Torres Strait Islander Health Plan Brochure 2021-2031</w:t>
      </w:r>
    </w:p>
    <w:p w14:paraId="62072ADB" w14:textId="557ED880" w:rsidR="002356B2" w:rsidRDefault="00037751" w:rsidP="00037751">
      <w:pPr>
        <w:pStyle w:val="Heading1"/>
      </w:pPr>
      <w:r w:rsidRPr="00037751">
        <w:t>Health Plan Vision</w:t>
      </w:r>
    </w:p>
    <w:p w14:paraId="7E99D8EA" w14:textId="0F4CF43E" w:rsidR="00037751" w:rsidRDefault="00037751" w:rsidP="00037751">
      <w:r w:rsidRPr="00037751">
        <w:t xml:space="preserve">Aboriginal and Torres Strait Islander people enjoy long, healthy lives that are centred in culture, with access to services that are prevention-focused, culturally </w:t>
      </w:r>
      <w:proofErr w:type="gramStart"/>
      <w:r w:rsidRPr="00037751">
        <w:t>safe</w:t>
      </w:r>
      <w:proofErr w:type="gramEnd"/>
      <w:r w:rsidRPr="00037751">
        <w:t xml:space="preserve"> and responsive, equitable and free of racism.</w:t>
      </w:r>
    </w:p>
    <w:p w14:paraId="6A2910F9" w14:textId="77777777" w:rsidR="00037751" w:rsidRDefault="00037751" w:rsidP="00037751">
      <w:pPr>
        <w:pStyle w:val="Heading1"/>
      </w:pPr>
      <w:r>
        <w:t>Foundations for a Healthy Life</w:t>
      </w:r>
    </w:p>
    <w:p w14:paraId="1642B722" w14:textId="14441DAE" w:rsidR="00037751" w:rsidRDefault="00037751" w:rsidP="00037751">
      <w:r>
        <w:t xml:space="preserve">Aboriginal and Torres Strait Islander health is viewed in a holistic context that recognises not only physical health and wellbeing but also the social, </w:t>
      </w:r>
      <w:proofErr w:type="gramStart"/>
      <w:r>
        <w:t>emotional</w:t>
      </w:r>
      <w:proofErr w:type="gramEnd"/>
      <w:r>
        <w:t xml:space="preserve"> and cultural wellbeing of individuals, families and communities throughout the entire life course.</w:t>
      </w:r>
    </w:p>
    <w:p w14:paraId="14334F51" w14:textId="6DF8DE39" w:rsidR="00037751" w:rsidRDefault="00037751" w:rsidP="00037751">
      <w:pPr>
        <w:pStyle w:val="Heading2"/>
      </w:pPr>
      <w:r w:rsidRPr="00037751">
        <w:t>The cultural determinants of health</w:t>
      </w:r>
      <w:r>
        <w:t xml:space="preserve"> and </w:t>
      </w:r>
      <w:r w:rsidRPr="00037751">
        <w:t>the social determinants of health</w:t>
      </w:r>
    </w:p>
    <w:p w14:paraId="298BFC7D" w14:textId="6DDBA9A6" w:rsidR="00037751" w:rsidRDefault="00037751" w:rsidP="00037751">
      <w:r>
        <w:t>Culture is a foundation for Aboriginal and Torres Strait Islander health and wellbeing. It is a protective factor across the life course and has a direct influence on broader social determinan</w:t>
      </w:r>
      <w:r w:rsidRPr="004B7304">
        <w:t>ts</w:t>
      </w:r>
      <w:r>
        <w:t xml:space="preserve"> outcomes. Gains across these broader determinants, in turn, reinforce cultural connectedness, maintenance, resurgence, nation building and pride in cultural identity.</w:t>
      </w:r>
    </w:p>
    <w:p w14:paraId="57D72E54" w14:textId="06A57817" w:rsidR="00037751" w:rsidRDefault="00037751" w:rsidP="007E11D5">
      <w:pPr>
        <w:pStyle w:val="Heading2"/>
      </w:pPr>
      <w:r w:rsidRPr="00037751">
        <w:t>The Life Course</w:t>
      </w:r>
    </w:p>
    <w:p w14:paraId="14FCCCD2" w14:textId="32F0A301" w:rsidR="00037751" w:rsidRDefault="00037751" w:rsidP="00037751">
      <w:pPr>
        <w:pStyle w:val="ListParagraph"/>
        <w:numPr>
          <w:ilvl w:val="0"/>
          <w:numId w:val="27"/>
        </w:numPr>
      </w:pPr>
      <w:r w:rsidRPr="00037751">
        <w:t>Healthy babies and children (Ages 0 – 12)</w:t>
      </w:r>
    </w:p>
    <w:p w14:paraId="54AA31BB" w14:textId="7EE26F87" w:rsidR="00037751" w:rsidRDefault="00037751" w:rsidP="00037751">
      <w:pPr>
        <w:pStyle w:val="ListParagraph"/>
        <w:numPr>
          <w:ilvl w:val="0"/>
          <w:numId w:val="27"/>
        </w:numPr>
      </w:pPr>
      <w:r w:rsidRPr="00037751">
        <w:t>Healthy youth and adolescents (Ages 12 – 24)</w:t>
      </w:r>
    </w:p>
    <w:p w14:paraId="4FDD7A04" w14:textId="5A7D34CC" w:rsidR="00037751" w:rsidRDefault="00037751" w:rsidP="00037751">
      <w:pPr>
        <w:pStyle w:val="ListParagraph"/>
        <w:numPr>
          <w:ilvl w:val="0"/>
          <w:numId w:val="27"/>
        </w:numPr>
      </w:pPr>
      <w:r w:rsidRPr="00037751">
        <w:t>Healthy adults (Ages 25 – 49)</w:t>
      </w:r>
    </w:p>
    <w:p w14:paraId="105F6CF3" w14:textId="325B83A0" w:rsidR="00037751" w:rsidRPr="00037751" w:rsidRDefault="00037751" w:rsidP="00037751">
      <w:pPr>
        <w:pStyle w:val="ListParagraph"/>
        <w:numPr>
          <w:ilvl w:val="0"/>
          <w:numId w:val="27"/>
        </w:numPr>
      </w:pPr>
      <w:r w:rsidRPr="00037751">
        <w:t>Healthy ageing (Ages 50+)</w:t>
      </w:r>
    </w:p>
    <w:tbl>
      <w:tblPr>
        <w:tblStyle w:val="TableGrid"/>
        <w:tblW w:w="10456" w:type="dxa"/>
        <w:tblLook w:val="04A0" w:firstRow="1" w:lastRow="0" w:firstColumn="1" w:lastColumn="0" w:noHBand="0" w:noVBand="1"/>
        <w:tblDescription w:val="This table list the properties for the National Aboriginal and Torres Strait Islander Health Plan 2021-2031"/>
      </w:tblPr>
      <w:tblGrid>
        <w:gridCol w:w="2559"/>
        <w:gridCol w:w="2562"/>
        <w:gridCol w:w="2611"/>
        <w:gridCol w:w="2724"/>
      </w:tblGrid>
      <w:tr w:rsidR="00037751" w14:paraId="385B29C5" w14:textId="77777777" w:rsidTr="006C3D35">
        <w:trPr>
          <w:cnfStyle w:val="100000000000" w:firstRow="1" w:lastRow="0" w:firstColumn="0" w:lastColumn="0" w:oddVBand="0" w:evenVBand="0" w:oddHBand="0" w:evenHBand="0" w:firstRowFirstColumn="0" w:firstRowLastColumn="0" w:lastRowFirstColumn="0" w:lastRowLastColumn="0"/>
          <w:tblHeader/>
        </w:trPr>
        <w:tc>
          <w:tcPr>
            <w:tcW w:w="2559" w:type="dxa"/>
          </w:tcPr>
          <w:p w14:paraId="26CBCAE5" w14:textId="47876558" w:rsidR="00037751" w:rsidRPr="00F73362" w:rsidRDefault="00037751" w:rsidP="00F73362">
            <w:r w:rsidRPr="00F73362">
              <w:t>Enablers for Change</w:t>
            </w:r>
          </w:p>
        </w:tc>
        <w:tc>
          <w:tcPr>
            <w:tcW w:w="2562" w:type="dxa"/>
          </w:tcPr>
          <w:p w14:paraId="73336E75" w14:textId="15906FC3" w:rsidR="00037751" w:rsidRPr="00F73362" w:rsidRDefault="00037751" w:rsidP="00F73362">
            <w:r w:rsidRPr="00F73362">
              <w:t>Focusing on Prevention</w:t>
            </w:r>
          </w:p>
        </w:tc>
        <w:tc>
          <w:tcPr>
            <w:tcW w:w="2611" w:type="dxa"/>
          </w:tcPr>
          <w:p w14:paraId="17217259" w14:textId="5C407642" w:rsidR="00037751" w:rsidRPr="00F73362" w:rsidRDefault="00037751" w:rsidP="00F73362">
            <w:r w:rsidRPr="00F73362">
              <w:t>Improving the Health System</w:t>
            </w:r>
          </w:p>
        </w:tc>
        <w:tc>
          <w:tcPr>
            <w:tcW w:w="2724" w:type="dxa"/>
          </w:tcPr>
          <w:p w14:paraId="792C6CE9" w14:textId="444BAA5D" w:rsidR="00037751" w:rsidRPr="00F73362" w:rsidRDefault="00037751" w:rsidP="00F73362">
            <w:r w:rsidRPr="00F73362">
              <w:t>Culturally Informed Evidence Base</w:t>
            </w:r>
          </w:p>
        </w:tc>
      </w:tr>
      <w:tr w:rsidR="00DA1B6B" w14:paraId="525F8557" w14:textId="7AAE8EBF" w:rsidTr="00037751">
        <w:tc>
          <w:tcPr>
            <w:tcW w:w="2559" w:type="dxa"/>
          </w:tcPr>
          <w:p w14:paraId="1E606D5A" w14:textId="77777777" w:rsidR="00DA1B6B" w:rsidRPr="00F73362" w:rsidRDefault="00DA1B6B" w:rsidP="00F73362">
            <w:r w:rsidRPr="00F73362">
              <w:t>Priority 1: Genuine shared decision making and partnerships</w:t>
            </w:r>
          </w:p>
          <w:p w14:paraId="744FE438" w14:textId="77777777" w:rsidR="00DA1B6B" w:rsidRPr="00F73362" w:rsidRDefault="00DA1B6B" w:rsidP="00F73362">
            <w:r w:rsidRPr="00F73362">
              <w:t>Priority 2: Aboriginal and Torres Strait Islander community controlled comprehensive primary health care</w:t>
            </w:r>
          </w:p>
          <w:p w14:paraId="7D62CD00" w14:textId="37F31FF8" w:rsidR="00DA1B6B" w:rsidRPr="00F73362" w:rsidRDefault="00DA1B6B" w:rsidP="00F73362">
            <w:r w:rsidRPr="00F73362">
              <w:t>Priority 3: Workforce</w:t>
            </w:r>
          </w:p>
        </w:tc>
        <w:tc>
          <w:tcPr>
            <w:tcW w:w="2562" w:type="dxa"/>
          </w:tcPr>
          <w:p w14:paraId="6CA0868E" w14:textId="77777777" w:rsidR="00DA1B6B" w:rsidRPr="00F73362" w:rsidRDefault="00DA1B6B" w:rsidP="00F73362">
            <w:r w:rsidRPr="00F73362">
              <w:t>Priority 4: Health promotion</w:t>
            </w:r>
          </w:p>
          <w:p w14:paraId="6556F4D0" w14:textId="77777777" w:rsidR="00DA1B6B" w:rsidRPr="00F73362" w:rsidRDefault="00DA1B6B" w:rsidP="00F73362">
            <w:r w:rsidRPr="00F73362">
              <w:t>Priority 5: Early intervention</w:t>
            </w:r>
          </w:p>
          <w:p w14:paraId="53FAB9E3" w14:textId="77777777" w:rsidR="00DA1B6B" w:rsidRPr="00F73362" w:rsidRDefault="00DA1B6B" w:rsidP="00F73362">
            <w:r w:rsidRPr="00F73362">
              <w:t>Priority 6: Social and emotional wellbeing and trauma-aware, healing-informed approaches</w:t>
            </w:r>
          </w:p>
          <w:p w14:paraId="33BE5E64" w14:textId="54BA09A3" w:rsidR="00DA1B6B" w:rsidRPr="00F73362" w:rsidRDefault="00DA1B6B" w:rsidP="00F73362">
            <w:r w:rsidRPr="00F73362">
              <w:t xml:space="preserve">Priority 7: Healthy environments, </w:t>
            </w:r>
            <w:proofErr w:type="gramStart"/>
            <w:r w:rsidRPr="00F73362">
              <w:t>sustainability</w:t>
            </w:r>
            <w:proofErr w:type="gramEnd"/>
            <w:r w:rsidRPr="00F73362">
              <w:t xml:space="preserve"> and preparedness</w:t>
            </w:r>
          </w:p>
        </w:tc>
        <w:tc>
          <w:tcPr>
            <w:tcW w:w="2611" w:type="dxa"/>
          </w:tcPr>
          <w:p w14:paraId="4D5FA18B" w14:textId="77777777" w:rsidR="00DA1B6B" w:rsidRPr="00F73362" w:rsidRDefault="00DA1B6B" w:rsidP="00F73362">
            <w:r w:rsidRPr="00F73362">
              <w:t>Priority 8: Identify and eliminate racism</w:t>
            </w:r>
          </w:p>
          <w:p w14:paraId="68C53034" w14:textId="77777777" w:rsidR="00DA1B6B" w:rsidRPr="00F73362" w:rsidRDefault="00DA1B6B" w:rsidP="00F73362">
            <w:r w:rsidRPr="00F73362">
              <w:t>Priority 9: Access to person-centred and family-centred care</w:t>
            </w:r>
          </w:p>
          <w:p w14:paraId="2AC8515B" w14:textId="756675E3" w:rsidR="00DA1B6B" w:rsidRPr="00F73362" w:rsidRDefault="00DA1B6B" w:rsidP="00F73362">
            <w:r w:rsidRPr="00F73362">
              <w:t xml:space="preserve">Priority 10: Mental health and suicide prevention </w:t>
            </w:r>
          </w:p>
        </w:tc>
        <w:tc>
          <w:tcPr>
            <w:tcW w:w="2724" w:type="dxa"/>
          </w:tcPr>
          <w:p w14:paraId="6CD5A517" w14:textId="77777777" w:rsidR="00DA1B6B" w:rsidRPr="00F73362" w:rsidRDefault="00DA1B6B" w:rsidP="00F73362">
            <w:r w:rsidRPr="00F73362">
              <w:t xml:space="preserve">Priority 11: Culturally informed and </w:t>
            </w:r>
            <w:proofErr w:type="gramStart"/>
            <w:r w:rsidRPr="00F73362">
              <w:t>evidence based</w:t>
            </w:r>
            <w:proofErr w:type="gramEnd"/>
            <w:r w:rsidRPr="00F73362">
              <w:t xml:space="preserve"> evaluation, research and practice</w:t>
            </w:r>
          </w:p>
          <w:p w14:paraId="15A728B4" w14:textId="1B98C8F6" w:rsidR="00DA1B6B" w:rsidRPr="00F73362" w:rsidRDefault="00DA1B6B" w:rsidP="00F73362">
            <w:r w:rsidRPr="00F73362">
              <w:t>Priority 12: Shared access to data and information at a regional level</w:t>
            </w:r>
          </w:p>
        </w:tc>
      </w:tr>
    </w:tbl>
    <w:bookmarkEnd w:id="0"/>
    <w:p w14:paraId="79F7C7DF" w14:textId="1359F7D8" w:rsidR="003674E2" w:rsidRPr="003674E2" w:rsidRDefault="003674E2" w:rsidP="00037751">
      <w:pPr>
        <w:pStyle w:val="Heading1"/>
        <w:pageBreakBefore/>
      </w:pPr>
      <w:r w:rsidRPr="003674E2">
        <w:lastRenderedPageBreak/>
        <w:t>Purpose</w:t>
      </w:r>
    </w:p>
    <w:p w14:paraId="00FB4F94" w14:textId="24C4A0C1" w:rsidR="003674E2" w:rsidRPr="00854BAB" w:rsidRDefault="003674E2" w:rsidP="00F73362">
      <w:pPr>
        <w:pStyle w:val="Quote"/>
      </w:pPr>
      <w:r w:rsidRPr="00854BAB">
        <w:t>The National Aboriginal and Torres Strait Islander Health Plan 2021-2031 (Health Plan) has been developed in full and genuine partnership with Aboriginal and Torres Strait Islander health leaders and experts. It establishes a new nationally agreed policy framework to improve health outcomes for Aboriginal and Torres Strait Islander people over the next ten years</w:t>
      </w:r>
      <w:r w:rsidR="00B8080F" w:rsidRPr="00854BAB">
        <w:t>.</w:t>
      </w:r>
    </w:p>
    <w:p w14:paraId="6F6F16C6" w14:textId="20810744" w:rsidR="003674E2" w:rsidRDefault="003674E2" w:rsidP="00F73362">
      <w:r w:rsidRPr="003674E2">
        <w:t>The priorities and objectives of the Health Plan will work</w:t>
      </w:r>
      <w:r>
        <w:t xml:space="preserve"> </w:t>
      </w:r>
      <w:r w:rsidRPr="003674E2">
        <w:t>towards achieving a vision that Aboriginal and Torres Strait</w:t>
      </w:r>
      <w:r>
        <w:t xml:space="preserve"> </w:t>
      </w:r>
      <w:r w:rsidRPr="003674E2">
        <w:t>Islander people enjoy long, healthy lives that are centred in</w:t>
      </w:r>
      <w:r>
        <w:t xml:space="preserve"> </w:t>
      </w:r>
      <w:r w:rsidRPr="003674E2">
        <w:t>culture, with access to services that are prevention-focused,</w:t>
      </w:r>
      <w:r>
        <w:t xml:space="preserve"> </w:t>
      </w:r>
      <w:r w:rsidRPr="003674E2">
        <w:t xml:space="preserve">culturally </w:t>
      </w:r>
      <w:proofErr w:type="gramStart"/>
      <w:r w:rsidRPr="003674E2">
        <w:t>safe</w:t>
      </w:r>
      <w:proofErr w:type="gramEnd"/>
      <w:r w:rsidRPr="003674E2">
        <w:t xml:space="preserve"> and responsive, equitable and</w:t>
      </w:r>
      <w:r>
        <w:t xml:space="preserve"> </w:t>
      </w:r>
      <w:r w:rsidRPr="003674E2">
        <w:t>free of racism.</w:t>
      </w:r>
      <w:r>
        <w:t xml:space="preserve"> </w:t>
      </w:r>
    </w:p>
    <w:p w14:paraId="37ED2A6A" w14:textId="77777777" w:rsidR="003674E2" w:rsidRDefault="003674E2" w:rsidP="00F73362">
      <w:proofErr w:type="gramStart"/>
      <w:r w:rsidRPr="003674E2">
        <w:t>In order to</w:t>
      </w:r>
      <w:proofErr w:type="gramEnd"/>
      <w:r w:rsidRPr="003674E2">
        <w:t xml:space="preserve"> achieve this, the Health Plan takes a holistic</w:t>
      </w:r>
      <w:r>
        <w:t xml:space="preserve"> </w:t>
      </w:r>
      <w:r w:rsidRPr="003674E2">
        <w:t>and strengths-based approach to Aboriginal and</w:t>
      </w:r>
      <w:r>
        <w:t xml:space="preserve"> </w:t>
      </w:r>
      <w:r w:rsidRPr="003674E2">
        <w:t>Torres Strait Islander health and wellbeing, reinforcing</w:t>
      </w:r>
      <w:r>
        <w:t xml:space="preserve"> </w:t>
      </w:r>
      <w:r w:rsidRPr="003674E2">
        <w:t>the importance of the cultural determinants and social</w:t>
      </w:r>
      <w:r>
        <w:t xml:space="preserve"> </w:t>
      </w:r>
      <w:r w:rsidRPr="003674E2">
        <w:t>determinants of health across the life course.</w:t>
      </w:r>
      <w:r>
        <w:t xml:space="preserve"> </w:t>
      </w:r>
    </w:p>
    <w:p w14:paraId="7D85CA79" w14:textId="5C22475B" w:rsidR="003674E2" w:rsidRDefault="003674E2" w:rsidP="00F73362">
      <w:r w:rsidRPr="003674E2">
        <w:t>The Health Plan demonstrates commitment to the</w:t>
      </w:r>
      <w:r>
        <w:t xml:space="preserve"> </w:t>
      </w:r>
      <w:r w:rsidRPr="003674E2">
        <w:t>National Agreement on Closing the Gap, with a focus on</w:t>
      </w:r>
      <w:r>
        <w:t xml:space="preserve"> </w:t>
      </w:r>
      <w:r w:rsidRPr="003674E2">
        <w:t>the four Priority Reforms. This includes prioritising the</w:t>
      </w:r>
      <w:r>
        <w:t xml:space="preserve"> </w:t>
      </w:r>
      <w:r w:rsidRPr="003674E2">
        <w:t xml:space="preserve">Aboriginal and Torres Strait Islander </w:t>
      </w:r>
      <w:proofErr w:type="gramStart"/>
      <w:r w:rsidRPr="003674E2">
        <w:t>community</w:t>
      </w:r>
      <w:r>
        <w:t xml:space="preserve"> </w:t>
      </w:r>
      <w:r w:rsidRPr="003674E2">
        <w:t>controlled</w:t>
      </w:r>
      <w:proofErr w:type="gramEnd"/>
      <w:r w:rsidRPr="003674E2">
        <w:t xml:space="preserve"> health sector, outlining actions to address</w:t>
      </w:r>
      <w:r>
        <w:t xml:space="preserve"> </w:t>
      </w:r>
      <w:r w:rsidRPr="003674E2">
        <w:t>racism and making sure that mainstream health services</w:t>
      </w:r>
      <w:r>
        <w:t xml:space="preserve"> </w:t>
      </w:r>
      <w:r w:rsidRPr="003674E2">
        <w:t>are responsive and accountable to Aboriginal and</w:t>
      </w:r>
      <w:r>
        <w:t xml:space="preserve"> </w:t>
      </w:r>
      <w:r w:rsidRPr="003674E2">
        <w:t>Torres Strait Islander people and communities.</w:t>
      </w:r>
      <w:r>
        <w:t xml:space="preserve"> </w:t>
      </w:r>
    </w:p>
    <w:p w14:paraId="2A184BF2" w14:textId="6523D8F9" w:rsidR="003674E2" w:rsidRPr="003674E2" w:rsidRDefault="003674E2" w:rsidP="00C13020">
      <w:pPr>
        <w:pStyle w:val="Heading1"/>
      </w:pPr>
      <w:r w:rsidRPr="003674E2">
        <w:t>Accountability and implementation</w:t>
      </w:r>
    </w:p>
    <w:p w14:paraId="2B47B781" w14:textId="440927FC" w:rsidR="003674E2" w:rsidRPr="00394F81" w:rsidRDefault="003674E2" w:rsidP="00F73362">
      <w:pPr>
        <w:pStyle w:val="Heading2"/>
      </w:pPr>
      <w:r w:rsidRPr="00394F81">
        <w:t>Accountability framework</w:t>
      </w:r>
    </w:p>
    <w:p w14:paraId="2E4FC5FD" w14:textId="4961FBFC" w:rsidR="003674E2" w:rsidRPr="00F73362" w:rsidRDefault="003674E2" w:rsidP="00F73362">
      <w:r w:rsidRPr="00F73362">
        <w:t>A robust accountability framework will be developed in partnership with Aboriginal and Torres Strait Islander</w:t>
      </w:r>
      <w:r w:rsidR="00394F81" w:rsidRPr="00F73362">
        <w:t xml:space="preserve"> </w:t>
      </w:r>
      <w:r w:rsidRPr="00F73362">
        <w:t>health leaders and experts. The framework will</w:t>
      </w:r>
      <w:r w:rsidR="00394F81" w:rsidRPr="00F73362">
        <w:t xml:space="preserve"> </w:t>
      </w:r>
      <w:r w:rsidRPr="00F73362">
        <w:t>include annual reporting against key performance</w:t>
      </w:r>
      <w:r w:rsidR="00394F81" w:rsidRPr="00F73362">
        <w:t xml:space="preserve"> </w:t>
      </w:r>
      <w:r w:rsidRPr="00F73362">
        <w:t>indicators to demonstrate progress. It will complement</w:t>
      </w:r>
      <w:r w:rsidR="00394F81" w:rsidRPr="00F73362">
        <w:t xml:space="preserve"> </w:t>
      </w:r>
      <w:r w:rsidRPr="00F73362">
        <w:t>other accountability mechanisms already in place at</w:t>
      </w:r>
      <w:r w:rsidR="00394F81" w:rsidRPr="00F73362">
        <w:t xml:space="preserve"> </w:t>
      </w:r>
      <w:r w:rsidRPr="00F73362">
        <w:t>the national, state and territory level.</w:t>
      </w:r>
    </w:p>
    <w:p w14:paraId="2D6BE1A7" w14:textId="364E4972" w:rsidR="003674E2" w:rsidRPr="00394F81" w:rsidRDefault="003674E2" w:rsidP="00F73362">
      <w:pPr>
        <w:pStyle w:val="Heading2"/>
      </w:pPr>
      <w:r w:rsidRPr="00394F81">
        <w:t>Independent Reviews</w:t>
      </w:r>
    </w:p>
    <w:p w14:paraId="7464632B" w14:textId="12ADB35C" w:rsidR="003674E2" w:rsidRPr="00F73362" w:rsidRDefault="003674E2" w:rsidP="00F73362">
      <w:r w:rsidRPr="00F73362">
        <w:t>Independent reviews will be conducted in partnership with</w:t>
      </w:r>
      <w:r w:rsidR="00394F81" w:rsidRPr="00F73362">
        <w:t xml:space="preserve"> </w:t>
      </w:r>
      <w:r w:rsidRPr="00F73362">
        <w:t>Aboriginal and Torres Strait Islander people to track the</w:t>
      </w:r>
      <w:r w:rsidR="002B1AD2" w:rsidRPr="00F73362">
        <w:t xml:space="preserve"> </w:t>
      </w:r>
      <w:r w:rsidRPr="00F73362">
        <w:t>achievements of the Health Plan. A mid-cycle review will</w:t>
      </w:r>
      <w:r w:rsidR="00394F81" w:rsidRPr="00F73362">
        <w:t xml:space="preserve"> </w:t>
      </w:r>
      <w:r w:rsidRPr="00F73362">
        <w:t>occur in 2026 to evaluate progress, and to respond to</w:t>
      </w:r>
      <w:r w:rsidR="00394F81" w:rsidRPr="00F73362">
        <w:t xml:space="preserve"> </w:t>
      </w:r>
      <w:r w:rsidRPr="00F73362">
        <w:t>emerging trends and changing priorities. An end-of-cycle</w:t>
      </w:r>
      <w:r w:rsidR="00394F81" w:rsidRPr="00F73362">
        <w:t xml:space="preserve"> </w:t>
      </w:r>
      <w:r w:rsidRPr="00F73362">
        <w:t>review will be conducted in 2031 to evaluate progress over</w:t>
      </w:r>
      <w:r w:rsidR="00394F81" w:rsidRPr="00F73362">
        <w:t xml:space="preserve"> </w:t>
      </w:r>
      <w:r w:rsidRPr="00F73362">
        <w:t>the duration over the Health Plan and identify emerging</w:t>
      </w:r>
      <w:r w:rsidR="00394F81" w:rsidRPr="00F73362">
        <w:t xml:space="preserve"> </w:t>
      </w:r>
      <w:r w:rsidRPr="00F73362">
        <w:t>priorities for Aboriginal and Torres Strait Islander health.</w:t>
      </w:r>
    </w:p>
    <w:p w14:paraId="1EBC7C3E" w14:textId="12B49F41" w:rsidR="003674E2" w:rsidRPr="00394F81" w:rsidRDefault="003674E2" w:rsidP="00F73362">
      <w:pPr>
        <w:pStyle w:val="Heading2"/>
      </w:pPr>
      <w:r w:rsidRPr="00394F81">
        <w:t>Implementation</w:t>
      </w:r>
    </w:p>
    <w:p w14:paraId="7C7C1F6E" w14:textId="2092689F" w:rsidR="007D3CAB" w:rsidRPr="00F73362" w:rsidRDefault="00394F81" w:rsidP="00F73362">
      <w:r w:rsidRPr="00F73362">
        <w:t xml:space="preserve">The Health Plan recognises that Aboriginal and Torres Strait Islander people are best placed to determine and deliver the solutions that are best for their communities. Implementation of the Health Plan will be done in partnership with Aboriginal and Torres Strait Islander people and include the flexibility to be adapted to the differing needs and priorities of each jurisdiction, as well as across urban, regional, </w:t>
      </w:r>
      <w:proofErr w:type="gramStart"/>
      <w:r w:rsidRPr="00F73362">
        <w:t>rural</w:t>
      </w:r>
      <w:proofErr w:type="gramEnd"/>
      <w:r w:rsidRPr="00F73362">
        <w:t xml:space="preserve"> and remote settings</w:t>
      </w:r>
    </w:p>
    <w:p w14:paraId="5F7F2688" w14:textId="70E10023" w:rsidR="00394F81" w:rsidRDefault="00394F81" w:rsidP="00B00F90">
      <w:pPr>
        <w:pStyle w:val="Heading1"/>
        <w:pageBreakBefore/>
      </w:pPr>
      <w:r w:rsidRPr="00394F81">
        <w:lastRenderedPageBreak/>
        <w:t>Priorities</w:t>
      </w:r>
    </w:p>
    <w:p w14:paraId="02CF2B4A" w14:textId="12C95864" w:rsidR="003F1488" w:rsidRPr="003F1488" w:rsidRDefault="003F1488" w:rsidP="003F1488">
      <w:pPr>
        <w:pStyle w:val="Heading2"/>
      </w:pPr>
      <w:r w:rsidRPr="003F1488">
        <w:t>Enablers for Change</w:t>
      </w:r>
    </w:p>
    <w:tbl>
      <w:tblPr>
        <w:tblStyle w:val="TableGrid"/>
        <w:tblW w:w="0" w:type="auto"/>
        <w:tblLook w:val="04A0" w:firstRow="1" w:lastRow="0" w:firstColumn="1" w:lastColumn="0" w:noHBand="0" w:noVBand="1"/>
      </w:tblPr>
      <w:tblGrid>
        <w:gridCol w:w="2353"/>
        <w:gridCol w:w="8103"/>
      </w:tblGrid>
      <w:tr w:rsidR="002356B2" w14:paraId="263BC39A" w14:textId="77777777" w:rsidTr="002356B2">
        <w:trPr>
          <w:cnfStyle w:val="100000000000" w:firstRow="1" w:lastRow="0" w:firstColumn="0" w:lastColumn="0" w:oddVBand="0" w:evenVBand="0" w:oddHBand="0" w:evenHBand="0" w:firstRowFirstColumn="0" w:firstRowLastColumn="0" w:lastRowFirstColumn="0" w:lastRowLastColumn="0"/>
          <w:tblHeader/>
        </w:trPr>
        <w:tc>
          <w:tcPr>
            <w:tcW w:w="2353" w:type="dxa"/>
          </w:tcPr>
          <w:p w14:paraId="1066FC81" w14:textId="029E5131" w:rsidR="002356B2" w:rsidRPr="00854BAB" w:rsidRDefault="002356B2" w:rsidP="00394F81">
            <w:pPr>
              <w:rPr>
                <w:rFonts w:cstheme="minorHAnsi"/>
                <w:b w:val="0"/>
                <w:bCs/>
                <w:szCs w:val="24"/>
              </w:rPr>
            </w:pPr>
            <w:r>
              <w:rPr>
                <w:rFonts w:cstheme="minorHAnsi"/>
                <w:bCs/>
                <w:szCs w:val="24"/>
              </w:rPr>
              <w:t>Priorities</w:t>
            </w:r>
          </w:p>
        </w:tc>
        <w:tc>
          <w:tcPr>
            <w:tcW w:w="8103" w:type="dxa"/>
          </w:tcPr>
          <w:p w14:paraId="59F1A45F" w14:textId="22178184" w:rsidR="002356B2" w:rsidRDefault="002356B2" w:rsidP="00394F81">
            <w:pPr>
              <w:rPr>
                <w:rFonts w:cstheme="minorHAnsi"/>
                <w:b w:val="0"/>
                <w:bCs/>
                <w:szCs w:val="24"/>
              </w:rPr>
            </w:pPr>
            <w:r>
              <w:rPr>
                <w:rFonts w:cstheme="minorHAnsi"/>
                <w:bCs/>
                <w:szCs w:val="24"/>
              </w:rPr>
              <w:t>Objective</w:t>
            </w:r>
          </w:p>
        </w:tc>
      </w:tr>
      <w:tr w:rsidR="00B8080F" w14:paraId="61D11CC9" w14:textId="77777777" w:rsidTr="002356B2">
        <w:tc>
          <w:tcPr>
            <w:tcW w:w="2353" w:type="dxa"/>
          </w:tcPr>
          <w:p w14:paraId="44C567C7" w14:textId="77777777" w:rsidR="00B8080F" w:rsidRPr="00854BAB" w:rsidRDefault="00B8080F" w:rsidP="00394F81">
            <w:pPr>
              <w:rPr>
                <w:rFonts w:cstheme="minorHAnsi"/>
                <w:b/>
                <w:bCs/>
                <w:szCs w:val="24"/>
              </w:rPr>
            </w:pPr>
            <w:r w:rsidRPr="00854BAB">
              <w:rPr>
                <w:rFonts w:cstheme="minorHAnsi"/>
                <w:b/>
                <w:bCs/>
                <w:szCs w:val="24"/>
              </w:rPr>
              <w:t xml:space="preserve">Priority 1: </w:t>
            </w:r>
          </w:p>
          <w:p w14:paraId="154FA913" w14:textId="2189F695" w:rsidR="00B8080F" w:rsidRPr="00B8080F" w:rsidRDefault="00B8080F" w:rsidP="00394F81">
            <w:r>
              <w:t>Genuine shared decision making and partnerships</w:t>
            </w:r>
          </w:p>
        </w:tc>
        <w:tc>
          <w:tcPr>
            <w:tcW w:w="8103" w:type="dxa"/>
          </w:tcPr>
          <w:p w14:paraId="570314D8" w14:textId="13342458" w:rsidR="00B8080F" w:rsidRPr="00854BAB" w:rsidRDefault="006B0C72" w:rsidP="00394F81">
            <w:pPr>
              <w:rPr>
                <w:rFonts w:cstheme="minorHAnsi"/>
                <w:b/>
                <w:bCs/>
                <w:szCs w:val="24"/>
              </w:rPr>
            </w:pPr>
            <w:r>
              <w:rPr>
                <w:rFonts w:cstheme="minorHAnsi"/>
                <w:b/>
                <w:bCs/>
                <w:szCs w:val="24"/>
              </w:rPr>
              <w:t>Objectives</w:t>
            </w:r>
            <w:r w:rsidR="00B8080F" w:rsidRPr="00854BAB">
              <w:rPr>
                <w:rFonts w:cstheme="minorHAnsi"/>
                <w:b/>
                <w:bCs/>
                <w:szCs w:val="24"/>
              </w:rPr>
              <w:t>:</w:t>
            </w:r>
          </w:p>
          <w:p w14:paraId="3394996A" w14:textId="1BB22BD5" w:rsidR="00B8080F" w:rsidRPr="000F09A9" w:rsidRDefault="00B8080F" w:rsidP="0069754A">
            <w:pPr>
              <w:pStyle w:val="ListParagraph"/>
              <w:numPr>
                <w:ilvl w:val="1"/>
                <w:numId w:val="6"/>
              </w:numPr>
              <w:autoSpaceDE w:val="0"/>
              <w:autoSpaceDN w:val="0"/>
              <w:adjustRightInd w:val="0"/>
              <w:spacing w:before="0" w:after="0"/>
              <w:rPr>
                <w:rFonts w:cstheme="minorHAnsi"/>
                <w:szCs w:val="24"/>
              </w:rPr>
            </w:pPr>
            <w:r w:rsidRPr="000F09A9">
              <w:rPr>
                <w:rFonts w:cstheme="minorHAnsi"/>
                <w:szCs w:val="24"/>
              </w:rPr>
              <w:t xml:space="preserve">Embed partnerships and shared decision making across the whole health, </w:t>
            </w:r>
            <w:proofErr w:type="gramStart"/>
            <w:r w:rsidRPr="000F09A9">
              <w:rPr>
                <w:rFonts w:cstheme="minorHAnsi"/>
                <w:szCs w:val="24"/>
              </w:rPr>
              <w:t>disability</w:t>
            </w:r>
            <w:proofErr w:type="gramEnd"/>
            <w:r w:rsidRPr="000F09A9">
              <w:rPr>
                <w:rFonts w:cstheme="minorHAnsi"/>
                <w:szCs w:val="24"/>
              </w:rPr>
              <w:t xml:space="preserve"> and aged care systems.</w:t>
            </w:r>
          </w:p>
          <w:p w14:paraId="755F1529" w14:textId="5B1D4706" w:rsidR="000F09A9" w:rsidRDefault="000F09A9" w:rsidP="0069754A">
            <w:pPr>
              <w:pStyle w:val="ListParagraph"/>
              <w:numPr>
                <w:ilvl w:val="1"/>
                <w:numId w:val="6"/>
              </w:numPr>
              <w:autoSpaceDE w:val="0"/>
              <w:autoSpaceDN w:val="0"/>
              <w:adjustRightInd w:val="0"/>
              <w:spacing w:before="0" w:after="0"/>
              <w:rPr>
                <w:rFonts w:cstheme="minorHAnsi"/>
                <w:szCs w:val="24"/>
              </w:rPr>
            </w:pPr>
            <w:r w:rsidRPr="000F09A9">
              <w:rPr>
                <w:rFonts w:cstheme="minorHAnsi"/>
                <w:szCs w:val="24"/>
              </w:rPr>
              <w:t>Embed mechanisms to support Aboriginal and Torres Strait Islander nation building to self-determine health and wellbeing</w:t>
            </w:r>
            <w:r>
              <w:rPr>
                <w:rFonts w:cstheme="minorHAnsi"/>
                <w:szCs w:val="24"/>
              </w:rPr>
              <w:t>.</w:t>
            </w:r>
          </w:p>
          <w:p w14:paraId="2FEE115F" w14:textId="1B9A9D7B" w:rsidR="000F09A9" w:rsidRDefault="000F09A9" w:rsidP="0069754A">
            <w:pPr>
              <w:pStyle w:val="ListParagraph"/>
              <w:numPr>
                <w:ilvl w:val="1"/>
                <w:numId w:val="6"/>
              </w:numPr>
              <w:autoSpaceDE w:val="0"/>
              <w:autoSpaceDN w:val="0"/>
              <w:adjustRightInd w:val="0"/>
              <w:spacing w:before="0" w:after="0"/>
              <w:rPr>
                <w:rFonts w:cstheme="minorHAnsi"/>
                <w:szCs w:val="24"/>
              </w:rPr>
            </w:pPr>
            <w:r w:rsidRPr="000F09A9">
              <w:rPr>
                <w:rFonts w:cstheme="minorHAnsi"/>
                <w:szCs w:val="24"/>
              </w:rPr>
              <w:t>Embed the leadership of Aboriginal and Torres Strait Islander peak organisations in policymaking across jurisdictions</w:t>
            </w:r>
            <w:r>
              <w:rPr>
                <w:rFonts w:cstheme="minorHAnsi"/>
                <w:szCs w:val="24"/>
              </w:rPr>
              <w:t>.</w:t>
            </w:r>
          </w:p>
          <w:p w14:paraId="2C15F7D3" w14:textId="123D5EDA" w:rsidR="00B8080F" w:rsidRPr="000F09A9" w:rsidRDefault="000F09A9" w:rsidP="0069754A">
            <w:pPr>
              <w:pStyle w:val="ListParagraph"/>
              <w:numPr>
                <w:ilvl w:val="1"/>
                <w:numId w:val="6"/>
              </w:numPr>
              <w:autoSpaceDE w:val="0"/>
              <w:autoSpaceDN w:val="0"/>
              <w:adjustRightInd w:val="0"/>
              <w:rPr>
                <w:rFonts w:cstheme="minorHAnsi"/>
                <w:szCs w:val="24"/>
              </w:rPr>
            </w:pPr>
            <w:r w:rsidRPr="000F09A9">
              <w:rPr>
                <w:rFonts w:cstheme="minorHAnsi"/>
                <w:szCs w:val="24"/>
              </w:rPr>
              <w:t>Embed regional and local partnerships and interlinkages with Aboriginal and Torres Strait Islander organisations across broader sectors that impact health</w:t>
            </w:r>
            <w:r>
              <w:rPr>
                <w:rFonts w:cstheme="minorHAnsi"/>
                <w:szCs w:val="24"/>
              </w:rPr>
              <w:t>.</w:t>
            </w:r>
          </w:p>
        </w:tc>
      </w:tr>
      <w:tr w:rsidR="00B8080F" w14:paraId="2104BFA0" w14:textId="77777777" w:rsidTr="002356B2">
        <w:tc>
          <w:tcPr>
            <w:tcW w:w="2353" w:type="dxa"/>
          </w:tcPr>
          <w:p w14:paraId="2E0BE3C5" w14:textId="77777777" w:rsidR="000F09A9" w:rsidRPr="00854BAB" w:rsidRDefault="000F09A9" w:rsidP="000F09A9">
            <w:pPr>
              <w:rPr>
                <w:b/>
                <w:bCs/>
              </w:rPr>
            </w:pPr>
            <w:r w:rsidRPr="00854BAB">
              <w:rPr>
                <w:b/>
                <w:bCs/>
              </w:rPr>
              <w:t xml:space="preserve">Priority 2: </w:t>
            </w:r>
          </w:p>
          <w:p w14:paraId="2E4A41A2" w14:textId="646FC975" w:rsidR="00B8080F" w:rsidRPr="00854BAB" w:rsidRDefault="000F09A9" w:rsidP="00394F81">
            <w:r>
              <w:t>Aboriginal and Torres Strait Islander community controlled comprehensive primary health care</w:t>
            </w:r>
          </w:p>
        </w:tc>
        <w:tc>
          <w:tcPr>
            <w:tcW w:w="8103" w:type="dxa"/>
          </w:tcPr>
          <w:p w14:paraId="3C5C4F53" w14:textId="77777777" w:rsidR="006B0C72" w:rsidRPr="00854BAB" w:rsidRDefault="006B0C72" w:rsidP="006B0C72">
            <w:pPr>
              <w:rPr>
                <w:rFonts w:cstheme="minorHAnsi"/>
                <w:b/>
                <w:bCs/>
                <w:szCs w:val="24"/>
              </w:rPr>
            </w:pPr>
            <w:r>
              <w:rPr>
                <w:rFonts w:cstheme="minorHAnsi"/>
                <w:b/>
                <w:bCs/>
                <w:szCs w:val="24"/>
              </w:rPr>
              <w:t>Objectives</w:t>
            </w:r>
            <w:r w:rsidRPr="00854BAB">
              <w:rPr>
                <w:rFonts w:cstheme="minorHAnsi"/>
                <w:b/>
                <w:bCs/>
                <w:szCs w:val="24"/>
              </w:rPr>
              <w:t>:</w:t>
            </w:r>
          </w:p>
          <w:p w14:paraId="3D75BE32" w14:textId="0510D4E3" w:rsidR="00643053" w:rsidRPr="00854BAB" w:rsidRDefault="000F09A9" w:rsidP="0069754A">
            <w:pPr>
              <w:pStyle w:val="ListParagraph"/>
              <w:numPr>
                <w:ilvl w:val="1"/>
                <w:numId w:val="7"/>
              </w:numPr>
              <w:autoSpaceDE w:val="0"/>
              <w:autoSpaceDN w:val="0"/>
              <w:adjustRightInd w:val="0"/>
              <w:spacing w:before="0" w:after="0"/>
              <w:rPr>
                <w:rFonts w:cstheme="minorHAnsi"/>
                <w:szCs w:val="24"/>
              </w:rPr>
            </w:pPr>
            <w:r w:rsidRPr="00854BAB">
              <w:rPr>
                <w:rFonts w:cstheme="minorHAnsi"/>
                <w:szCs w:val="24"/>
              </w:rPr>
              <w:t xml:space="preserve">Prioritise the </w:t>
            </w:r>
            <w:proofErr w:type="gramStart"/>
            <w:r w:rsidRPr="00854BAB">
              <w:rPr>
                <w:rFonts w:cstheme="minorHAnsi"/>
                <w:szCs w:val="24"/>
              </w:rPr>
              <w:t>community controlled</w:t>
            </w:r>
            <w:proofErr w:type="gramEnd"/>
            <w:r w:rsidRPr="00854BAB">
              <w:rPr>
                <w:rFonts w:cstheme="minorHAnsi"/>
                <w:szCs w:val="24"/>
              </w:rPr>
              <w:t xml:space="preserve"> health sector for the delivery of healthcare programs and services targeted at Aboriginal and Torres Strait Islander people.</w:t>
            </w:r>
          </w:p>
          <w:p w14:paraId="3ABA6D5C" w14:textId="1D02434E" w:rsidR="00854BAB" w:rsidRDefault="000F09A9" w:rsidP="0069754A">
            <w:pPr>
              <w:pStyle w:val="ListParagraph"/>
              <w:numPr>
                <w:ilvl w:val="1"/>
                <w:numId w:val="7"/>
              </w:numPr>
            </w:pPr>
            <w:r>
              <w:t>Extend the reach of ACCHS into areas of unmet need.</w:t>
            </w:r>
          </w:p>
          <w:p w14:paraId="71C4ABEE" w14:textId="529F0CC9" w:rsidR="00B8080F" w:rsidRPr="00854BAB" w:rsidRDefault="000F09A9" w:rsidP="0069754A">
            <w:pPr>
              <w:pStyle w:val="ListParagraph"/>
              <w:numPr>
                <w:ilvl w:val="1"/>
                <w:numId w:val="7"/>
              </w:numPr>
            </w:pPr>
            <w:r>
              <w:t>Expand primary health care and service delivery models of care to ensure ACCHS can deliver innovative services into the future.</w:t>
            </w:r>
          </w:p>
        </w:tc>
      </w:tr>
      <w:tr w:rsidR="00B8080F" w14:paraId="1C446AA5" w14:textId="77777777" w:rsidTr="002356B2">
        <w:tc>
          <w:tcPr>
            <w:tcW w:w="2353" w:type="dxa"/>
          </w:tcPr>
          <w:p w14:paraId="6B66042C" w14:textId="77777777" w:rsidR="00854BAB" w:rsidRDefault="00643053" w:rsidP="00643053">
            <w:pPr>
              <w:rPr>
                <w:b/>
                <w:bCs/>
              </w:rPr>
            </w:pPr>
            <w:r w:rsidRPr="00854BAB">
              <w:rPr>
                <w:b/>
                <w:bCs/>
              </w:rPr>
              <w:t xml:space="preserve">Priority 3: </w:t>
            </w:r>
          </w:p>
          <w:p w14:paraId="4E3821D5" w14:textId="72378C1B" w:rsidR="00B8080F" w:rsidRPr="00F73362" w:rsidRDefault="00643053" w:rsidP="00394F81">
            <w:r w:rsidRPr="00854BAB">
              <w:t>Workforce</w:t>
            </w:r>
          </w:p>
        </w:tc>
        <w:tc>
          <w:tcPr>
            <w:tcW w:w="8103" w:type="dxa"/>
          </w:tcPr>
          <w:p w14:paraId="3C5C05E9" w14:textId="77777777" w:rsidR="006B0C72" w:rsidRPr="00854BAB" w:rsidRDefault="006B0C72" w:rsidP="006B0C72">
            <w:pPr>
              <w:rPr>
                <w:rFonts w:cstheme="minorHAnsi"/>
                <w:b/>
                <w:bCs/>
                <w:szCs w:val="24"/>
              </w:rPr>
            </w:pPr>
            <w:r>
              <w:rPr>
                <w:rFonts w:cstheme="minorHAnsi"/>
                <w:b/>
                <w:bCs/>
                <w:szCs w:val="24"/>
              </w:rPr>
              <w:t>Objectives</w:t>
            </w:r>
            <w:r w:rsidRPr="00854BAB">
              <w:rPr>
                <w:rFonts w:cstheme="minorHAnsi"/>
                <w:b/>
                <w:bCs/>
                <w:szCs w:val="24"/>
              </w:rPr>
              <w:t>:</w:t>
            </w:r>
          </w:p>
          <w:p w14:paraId="2EAD3306" w14:textId="77777777" w:rsidR="00451DE4" w:rsidRDefault="00643053" w:rsidP="0069754A">
            <w:pPr>
              <w:pStyle w:val="ListParagraph"/>
              <w:numPr>
                <w:ilvl w:val="1"/>
                <w:numId w:val="12"/>
              </w:numPr>
            </w:pPr>
            <w:r>
              <w:t xml:space="preserve">Implement strategies to grow the Aboriginal and Torres Strait Islander workforce across health, mental health, </w:t>
            </w:r>
            <w:proofErr w:type="gramStart"/>
            <w:r>
              <w:t>disability</w:t>
            </w:r>
            <w:proofErr w:type="gramEnd"/>
            <w:r>
              <w:t xml:space="preserve"> and aged care.</w:t>
            </w:r>
          </w:p>
          <w:p w14:paraId="7C8BB030" w14:textId="77777777" w:rsidR="00451DE4" w:rsidRDefault="00643053" w:rsidP="0069754A">
            <w:pPr>
              <w:pStyle w:val="ListParagraph"/>
              <w:numPr>
                <w:ilvl w:val="1"/>
                <w:numId w:val="12"/>
              </w:numPr>
            </w:pPr>
            <w:r>
              <w:t xml:space="preserve">Improve cultural safety in workplaces across the health, mental health, </w:t>
            </w:r>
            <w:proofErr w:type="gramStart"/>
            <w:r>
              <w:t>disability</w:t>
            </w:r>
            <w:proofErr w:type="gramEnd"/>
            <w:r>
              <w:t xml:space="preserve"> and aged care systems.</w:t>
            </w:r>
          </w:p>
          <w:p w14:paraId="5A76D7DF" w14:textId="0BEC1FC6" w:rsidR="00B8080F" w:rsidRPr="00643053" w:rsidRDefault="00643053" w:rsidP="0069754A">
            <w:pPr>
              <w:pStyle w:val="ListParagraph"/>
              <w:numPr>
                <w:ilvl w:val="1"/>
                <w:numId w:val="12"/>
              </w:numPr>
            </w:pPr>
            <w:r>
              <w:t xml:space="preserve">Continue to support the leadership role of the Aboriginal and Torres Strait Islander </w:t>
            </w:r>
            <w:proofErr w:type="gramStart"/>
            <w:r>
              <w:t>community controlled</w:t>
            </w:r>
            <w:proofErr w:type="gramEnd"/>
            <w:r>
              <w:t xml:space="preserve"> health workforce organisations.</w:t>
            </w:r>
          </w:p>
        </w:tc>
      </w:tr>
    </w:tbl>
    <w:p w14:paraId="0EFDD665" w14:textId="72F8E19C" w:rsidR="003F1488" w:rsidRDefault="003F1488" w:rsidP="003F1488">
      <w:pPr>
        <w:pStyle w:val="Heading2"/>
      </w:pPr>
      <w:r w:rsidRPr="003F1488">
        <w:t>Focusing on Prevention</w:t>
      </w:r>
    </w:p>
    <w:tbl>
      <w:tblPr>
        <w:tblStyle w:val="TableGrid"/>
        <w:tblW w:w="0" w:type="auto"/>
        <w:tblLook w:val="04A0" w:firstRow="1" w:lastRow="0" w:firstColumn="1" w:lastColumn="0" w:noHBand="0" w:noVBand="1"/>
      </w:tblPr>
      <w:tblGrid>
        <w:gridCol w:w="2353"/>
        <w:gridCol w:w="8103"/>
      </w:tblGrid>
      <w:tr w:rsidR="003F1488" w14:paraId="68283A37" w14:textId="77777777" w:rsidTr="002356B2">
        <w:trPr>
          <w:cnfStyle w:val="100000000000" w:firstRow="1" w:lastRow="0" w:firstColumn="0" w:lastColumn="0" w:oddVBand="0" w:evenVBand="0" w:oddHBand="0" w:evenHBand="0" w:firstRowFirstColumn="0" w:firstRowLastColumn="0" w:lastRowFirstColumn="0" w:lastRowLastColumn="0"/>
          <w:tblHeader/>
        </w:trPr>
        <w:tc>
          <w:tcPr>
            <w:tcW w:w="2353" w:type="dxa"/>
          </w:tcPr>
          <w:p w14:paraId="67ADFBDC" w14:textId="6CBC12A6" w:rsidR="003F1488" w:rsidRPr="00854BAB" w:rsidRDefault="003F1488" w:rsidP="00854BAB">
            <w:pPr>
              <w:rPr>
                <w:b w:val="0"/>
                <w:bCs/>
              </w:rPr>
            </w:pPr>
            <w:r w:rsidRPr="003F1488">
              <w:rPr>
                <w:bCs/>
              </w:rPr>
              <w:t>Priorit</w:t>
            </w:r>
            <w:r w:rsidR="002356B2">
              <w:rPr>
                <w:bCs/>
              </w:rPr>
              <w:t>ies</w:t>
            </w:r>
          </w:p>
        </w:tc>
        <w:tc>
          <w:tcPr>
            <w:tcW w:w="8103" w:type="dxa"/>
          </w:tcPr>
          <w:p w14:paraId="18A40A34" w14:textId="3A4533B3" w:rsidR="003F1488" w:rsidRDefault="002356B2" w:rsidP="006B0C72">
            <w:pPr>
              <w:rPr>
                <w:rFonts w:cstheme="minorHAnsi"/>
                <w:b w:val="0"/>
                <w:bCs/>
                <w:szCs w:val="24"/>
              </w:rPr>
            </w:pPr>
            <w:r>
              <w:rPr>
                <w:rFonts w:cstheme="minorHAnsi"/>
                <w:bCs/>
                <w:szCs w:val="24"/>
              </w:rPr>
              <w:t>Objectives</w:t>
            </w:r>
          </w:p>
        </w:tc>
      </w:tr>
      <w:tr w:rsidR="00B8080F" w14:paraId="3A320079" w14:textId="77777777" w:rsidTr="00B80866">
        <w:tc>
          <w:tcPr>
            <w:tcW w:w="2353" w:type="dxa"/>
          </w:tcPr>
          <w:p w14:paraId="45A3687B" w14:textId="454E08E8" w:rsidR="00854BAB" w:rsidRDefault="00643053" w:rsidP="00854BAB">
            <w:r w:rsidRPr="00854BAB">
              <w:rPr>
                <w:b/>
                <w:bCs/>
              </w:rPr>
              <w:t>Priority 4</w:t>
            </w:r>
            <w:r>
              <w:t>:</w:t>
            </w:r>
          </w:p>
          <w:p w14:paraId="54F1954A" w14:textId="1CD4391A" w:rsidR="00B8080F" w:rsidRPr="00F73362" w:rsidRDefault="00643053" w:rsidP="00394F81">
            <w:r>
              <w:t>Health promotion</w:t>
            </w:r>
          </w:p>
        </w:tc>
        <w:tc>
          <w:tcPr>
            <w:tcW w:w="8103" w:type="dxa"/>
          </w:tcPr>
          <w:p w14:paraId="315B7E8F" w14:textId="77777777" w:rsidR="006B0C72" w:rsidRPr="00854BAB" w:rsidRDefault="006B0C72" w:rsidP="006B0C72">
            <w:pPr>
              <w:rPr>
                <w:rFonts w:cstheme="minorHAnsi"/>
                <w:b/>
                <w:bCs/>
                <w:szCs w:val="24"/>
              </w:rPr>
            </w:pPr>
            <w:r>
              <w:rPr>
                <w:rFonts w:cstheme="minorHAnsi"/>
                <w:b/>
                <w:bCs/>
                <w:szCs w:val="24"/>
              </w:rPr>
              <w:t>Objectives</w:t>
            </w:r>
            <w:r w:rsidRPr="00854BAB">
              <w:rPr>
                <w:rFonts w:cstheme="minorHAnsi"/>
                <w:b/>
                <w:bCs/>
                <w:szCs w:val="24"/>
              </w:rPr>
              <w:t>:</w:t>
            </w:r>
          </w:p>
          <w:p w14:paraId="1B4F6271" w14:textId="77777777" w:rsidR="00451DE4" w:rsidRDefault="00643053" w:rsidP="0069754A">
            <w:pPr>
              <w:pStyle w:val="ListParagraph"/>
              <w:numPr>
                <w:ilvl w:val="1"/>
                <w:numId w:val="13"/>
              </w:numPr>
            </w:pPr>
            <w:r>
              <w:t>Enhance health literacy to support integrated health promotion</w:t>
            </w:r>
            <w:r w:rsidR="00451DE4">
              <w:t>.</w:t>
            </w:r>
          </w:p>
          <w:p w14:paraId="6CA76584" w14:textId="77777777" w:rsidR="00451DE4" w:rsidRDefault="00643053" w:rsidP="0069754A">
            <w:pPr>
              <w:pStyle w:val="ListParagraph"/>
              <w:numPr>
                <w:ilvl w:val="1"/>
                <w:numId w:val="13"/>
              </w:numPr>
            </w:pPr>
            <w:r>
              <w:t>Deliver targeted, needs-</w:t>
            </w:r>
            <w:proofErr w:type="gramStart"/>
            <w:r>
              <w:t>based</w:t>
            </w:r>
            <w:proofErr w:type="gramEnd"/>
            <w:r>
              <w:t xml:space="preserve"> and community-driven activities to support healthy babies</w:t>
            </w:r>
            <w:r w:rsidR="00451DE4">
              <w:t>.</w:t>
            </w:r>
          </w:p>
          <w:p w14:paraId="1BA4E0C0" w14:textId="77777777" w:rsidR="00451DE4" w:rsidRDefault="00643053" w:rsidP="0069754A">
            <w:pPr>
              <w:pStyle w:val="ListParagraph"/>
              <w:numPr>
                <w:ilvl w:val="1"/>
                <w:numId w:val="13"/>
              </w:numPr>
            </w:pPr>
            <w:r>
              <w:t>Deliver targeted, needs-</w:t>
            </w:r>
            <w:proofErr w:type="gramStart"/>
            <w:r>
              <w:t>based</w:t>
            </w:r>
            <w:proofErr w:type="gramEnd"/>
            <w:r>
              <w:t xml:space="preserve"> and community-driven activities to support healthy children</w:t>
            </w:r>
            <w:r w:rsidR="00451DE4">
              <w:t>.</w:t>
            </w:r>
          </w:p>
          <w:p w14:paraId="1626216B" w14:textId="77777777" w:rsidR="00451DE4" w:rsidRDefault="00643053" w:rsidP="0069754A">
            <w:pPr>
              <w:pStyle w:val="ListParagraph"/>
              <w:numPr>
                <w:ilvl w:val="1"/>
                <w:numId w:val="13"/>
              </w:numPr>
            </w:pPr>
            <w:r>
              <w:t>Deliver culturally safe and responsive immunisation responses</w:t>
            </w:r>
            <w:r w:rsidR="00451DE4">
              <w:t>.</w:t>
            </w:r>
          </w:p>
          <w:p w14:paraId="33312392" w14:textId="77777777" w:rsidR="00451DE4" w:rsidRDefault="00643053" w:rsidP="0069754A">
            <w:pPr>
              <w:pStyle w:val="ListParagraph"/>
              <w:numPr>
                <w:ilvl w:val="1"/>
                <w:numId w:val="13"/>
              </w:numPr>
            </w:pPr>
            <w:r>
              <w:t>Implement culturally safe and responsive solutions to prevent the uptake of tobacco use</w:t>
            </w:r>
            <w:r w:rsidR="00451DE4">
              <w:t>.</w:t>
            </w:r>
          </w:p>
          <w:p w14:paraId="0D1A9E8E" w14:textId="77777777" w:rsidR="00451DE4" w:rsidRDefault="00643053" w:rsidP="0069754A">
            <w:pPr>
              <w:pStyle w:val="ListParagraph"/>
              <w:numPr>
                <w:ilvl w:val="1"/>
                <w:numId w:val="13"/>
              </w:numPr>
            </w:pPr>
            <w:r>
              <w:lastRenderedPageBreak/>
              <w:t>Deliver targeted, needs-</w:t>
            </w:r>
            <w:proofErr w:type="gramStart"/>
            <w:r>
              <w:t>based</w:t>
            </w:r>
            <w:proofErr w:type="gramEnd"/>
            <w:r>
              <w:t xml:space="preserve"> and community-driven actions to prevent alcohol and other drug related harm</w:t>
            </w:r>
            <w:r w:rsidR="00451DE4">
              <w:t>.</w:t>
            </w:r>
          </w:p>
          <w:p w14:paraId="52F91F48" w14:textId="458EA9F3" w:rsidR="00B8080F" w:rsidRPr="00854BAB" w:rsidRDefault="00643053" w:rsidP="00451DE4">
            <w:pPr>
              <w:pStyle w:val="ListParagraph"/>
              <w:numPr>
                <w:ilvl w:val="1"/>
                <w:numId w:val="13"/>
              </w:numPr>
            </w:pPr>
            <w:r>
              <w:t xml:space="preserve">Deliver targeted, culturally </w:t>
            </w:r>
            <w:proofErr w:type="gramStart"/>
            <w:r>
              <w:t>safe</w:t>
            </w:r>
            <w:proofErr w:type="gramEnd"/>
            <w:r>
              <w:t xml:space="preserve"> and responsive injury prevention activities</w:t>
            </w:r>
            <w:r w:rsidR="00451DE4">
              <w:t>.</w:t>
            </w:r>
          </w:p>
        </w:tc>
      </w:tr>
      <w:tr w:rsidR="00B8080F" w14:paraId="2F257B86" w14:textId="77777777" w:rsidTr="00B80866">
        <w:tc>
          <w:tcPr>
            <w:tcW w:w="2353" w:type="dxa"/>
          </w:tcPr>
          <w:p w14:paraId="2321DE8B" w14:textId="4A67B328" w:rsidR="00854BAB" w:rsidRPr="00451DE4" w:rsidRDefault="00643053" w:rsidP="00854BAB">
            <w:pPr>
              <w:rPr>
                <w:b/>
                <w:bCs/>
              </w:rPr>
            </w:pPr>
            <w:r w:rsidRPr="00451DE4">
              <w:rPr>
                <w:b/>
                <w:bCs/>
              </w:rPr>
              <w:lastRenderedPageBreak/>
              <w:t>Priority 5:</w:t>
            </w:r>
          </w:p>
          <w:p w14:paraId="2B48EA57" w14:textId="6DC8D616" w:rsidR="00B8080F" w:rsidRPr="00F73362" w:rsidRDefault="00643053" w:rsidP="00394F81">
            <w:r>
              <w:t>Early intervention</w:t>
            </w:r>
          </w:p>
        </w:tc>
        <w:tc>
          <w:tcPr>
            <w:tcW w:w="8103" w:type="dxa"/>
          </w:tcPr>
          <w:p w14:paraId="1E12EF4B" w14:textId="77777777" w:rsidR="006B0C72" w:rsidRPr="00854BAB" w:rsidRDefault="006B0C72" w:rsidP="006B0C72">
            <w:pPr>
              <w:rPr>
                <w:rFonts w:cstheme="minorHAnsi"/>
                <w:b/>
                <w:bCs/>
                <w:szCs w:val="24"/>
              </w:rPr>
            </w:pPr>
            <w:r>
              <w:rPr>
                <w:rFonts w:cstheme="minorHAnsi"/>
                <w:b/>
                <w:bCs/>
                <w:szCs w:val="24"/>
              </w:rPr>
              <w:t>Objectives</w:t>
            </w:r>
            <w:r w:rsidRPr="00854BAB">
              <w:rPr>
                <w:rFonts w:cstheme="minorHAnsi"/>
                <w:b/>
                <w:bCs/>
                <w:szCs w:val="24"/>
              </w:rPr>
              <w:t>:</w:t>
            </w:r>
          </w:p>
          <w:p w14:paraId="22E537AD" w14:textId="77777777" w:rsidR="00451DE4" w:rsidRDefault="00643053" w:rsidP="0069754A">
            <w:pPr>
              <w:pStyle w:val="ListParagraph"/>
              <w:numPr>
                <w:ilvl w:val="1"/>
                <w:numId w:val="14"/>
              </w:numPr>
            </w:pPr>
            <w:r>
              <w:t>Increase the quality and uptake of health checks</w:t>
            </w:r>
            <w:r w:rsidR="00451DE4">
              <w:t>.</w:t>
            </w:r>
          </w:p>
          <w:p w14:paraId="336FEB67" w14:textId="77777777" w:rsidR="00451DE4" w:rsidRDefault="00643053" w:rsidP="0069754A">
            <w:pPr>
              <w:pStyle w:val="ListParagraph"/>
              <w:numPr>
                <w:ilvl w:val="1"/>
                <w:numId w:val="14"/>
              </w:numPr>
            </w:pPr>
            <w:r>
              <w:t>Deliver activities to improve oral health, particularly for children</w:t>
            </w:r>
            <w:r w:rsidR="00451DE4">
              <w:t>.</w:t>
            </w:r>
          </w:p>
          <w:p w14:paraId="42DD628E" w14:textId="77777777" w:rsidR="00451DE4" w:rsidRDefault="00643053" w:rsidP="0069754A">
            <w:pPr>
              <w:pStyle w:val="ListParagraph"/>
              <w:numPr>
                <w:ilvl w:val="1"/>
                <w:numId w:val="14"/>
              </w:numPr>
            </w:pPr>
            <w:r>
              <w:t>Enhance access to early intervention for chronic disease</w:t>
            </w:r>
            <w:r w:rsidR="00451DE4">
              <w:t>.</w:t>
            </w:r>
          </w:p>
          <w:p w14:paraId="4A57E35C" w14:textId="77777777" w:rsidR="00451DE4" w:rsidRDefault="00643053" w:rsidP="0069754A">
            <w:pPr>
              <w:pStyle w:val="ListParagraph"/>
              <w:numPr>
                <w:ilvl w:val="1"/>
                <w:numId w:val="14"/>
              </w:numPr>
            </w:pPr>
            <w:r>
              <w:t>Target early interventions to support cessation of tobacco use</w:t>
            </w:r>
            <w:r w:rsidR="00451DE4">
              <w:t>.</w:t>
            </w:r>
          </w:p>
          <w:p w14:paraId="34A56BEE" w14:textId="77777777" w:rsidR="00451DE4" w:rsidRDefault="00643053" w:rsidP="0069754A">
            <w:pPr>
              <w:pStyle w:val="ListParagraph"/>
              <w:numPr>
                <w:ilvl w:val="1"/>
                <w:numId w:val="14"/>
              </w:numPr>
            </w:pPr>
            <w:r>
              <w:t>Enhance the delivery of evidence-based sexual health screening activities at the community level, particularly for adolescents and young adult</w:t>
            </w:r>
            <w:r w:rsidR="00451DE4">
              <w:t>s.</w:t>
            </w:r>
          </w:p>
          <w:p w14:paraId="2752D0EA" w14:textId="5D8AE5F9" w:rsidR="00B8080F" w:rsidRPr="00854BAB" w:rsidRDefault="00643053" w:rsidP="0069754A">
            <w:pPr>
              <w:pStyle w:val="ListParagraph"/>
              <w:numPr>
                <w:ilvl w:val="1"/>
                <w:numId w:val="14"/>
              </w:numPr>
            </w:pPr>
            <w:r>
              <w:t>Deliver targeted action to improve cancer screening rates and care pathways for treatment</w:t>
            </w:r>
            <w:r w:rsidR="00451DE4">
              <w:t>.</w:t>
            </w:r>
          </w:p>
        </w:tc>
      </w:tr>
      <w:tr w:rsidR="00643053" w14:paraId="6C23515C" w14:textId="77777777" w:rsidTr="00B80866">
        <w:tc>
          <w:tcPr>
            <w:tcW w:w="2353" w:type="dxa"/>
          </w:tcPr>
          <w:p w14:paraId="7AD42B45" w14:textId="0750E42B" w:rsidR="00451DE4" w:rsidRPr="00451DE4" w:rsidRDefault="00643053" w:rsidP="00854BAB">
            <w:pPr>
              <w:rPr>
                <w:b/>
                <w:bCs/>
              </w:rPr>
            </w:pPr>
            <w:r w:rsidRPr="00451DE4">
              <w:rPr>
                <w:b/>
                <w:bCs/>
              </w:rPr>
              <w:t>Priority 6:</w:t>
            </w:r>
          </w:p>
          <w:p w14:paraId="04494498" w14:textId="76130B55" w:rsidR="00643053" w:rsidRDefault="00643053" w:rsidP="00643053">
            <w:r>
              <w:t>Social and emotional wellbeing and trauma-aware, healing-informed approaches</w:t>
            </w:r>
          </w:p>
        </w:tc>
        <w:tc>
          <w:tcPr>
            <w:tcW w:w="8103" w:type="dxa"/>
          </w:tcPr>
          <w:p w14:paraId="5772E4B0" w14:textId="77777777" w:rsidR="006B0C72" w:rsidRPr="00854BAB" w:rsidRDefault="006B0C72" w:rsidP="006B0C72">
            <w:pPr>
              <w:rPr>
                <w:rFonts w:cstheme="minorHAnsi"/>
                <w:b/>
                <w:bCs/>
                <w:szCs w:val="24"/>
              </w:rPr>
            </w:pPr>
            <w:r>
              <w:rPr>
                <w:rFonts w:cstheme="minorHAnsi"/>
                <w:b/>
                <w:bCs/>
                <w:szCs w:val="24"/>
              </w:rPr>
              <w:t>Objectives</w:t>
            </w:r>
            <w:r w:rsidRPr="00854BAB">
              <w:rPr>
                <w:rFonts w:cstheme="minorHAnsi"/>
                <w:b/>
                <w:bCs/>
                <w:szCs w:val="24"/>
              </w:rPr>
              <w:t>:</w:t>
            </w:r>
          </w:p>
          <w:p w14:paraId="07BCD3FA" w14:textId="51789435" w:rsidR="00451DE4" w:rsidRDefault="00643053" w:rsidP="0069754A">
            <w:pPr>
              <w:pStyle w:val="ListParagraph"/>
              <w:numPr>
                <w:ilvl w:val="0"/>
                <w:numId w:val="15"/>
              </w:numPr>
            </w:pPr>
            <w:r>
              <w:t>Update and implement a strategic approach for social and emotional wellbeing</w:t>
            </w:r>
            <w:r w:rsidR="00451DE4">
              <w:t>.</w:t>
            </w:r>
          </w:p>
          <w:p w14:paraId="528D616D" w14:textId="19DA97DD" w:rsidR="00451DE4" w:rsidRDefault="00643053" w:rsidP="0069754A">
            <w:pPr>
              <w:pStyle w:val="ListParagraph"/>
              <w:numPr>
                <w:ilvl w:val="0"/>
                <w:numId w:val="15"/>
              </w:numPr>
            </w:pPr>
            <w:r>
              <w:t>Support ACCHS to deliver social and emotional wellbeing services</w:t>
            </w:r>
            <w:r w:rsidR="00451DE4">
              <w:t>.</w:t>
            </w:r>
          </w:p>
          <w:p w14:paraId="66A134EF" w14:textId="7200AE42" w:rsidR="00451DE4" w:rsidRDefault="00643053" w:rsidP="0069754A">
            <w:pPr>
              <w:pStyle w:val="ListParagraph"/>
              <w:numPr>
                <w:ilvl w:val="0"/>
                <w:numId w:val="15"/>
              </w:numPr>
            </w:pPr>
            <w:r>
              <w:t>Support the work of Aboriginal and Torres Strait Islander organisations to provide leadership on healing and social and emotional wellbeing</w:t>
            </w:r>
            <w:r w:rsidR="00451DE4">
              <w:t>.</w:t>
            </w:r>
          </w:p>
          <w:p w14:paraId="09D9306C" w14:textId="1F2A03ED" w:rsidR="00643053" w:rsidRDefault="00643053" w:rsidP="0069754A">
            <w:pPr>
              <w:pStyle w:val="ListParagraph"/>
              <w:numPr>
                <w:ilvl w:val="0"/>
                <w:numId w:val="15"/>
              </w:numPr>
            </w:pPr>
            <w:r>
              <w:t>Implement training and other support across the whole health system to better understand and respond to social and emotional wellbeing in all aspects of life</w:t>
            </w:r>
            <w:r w:rsidR="00451DE4">
              <w:t>.</w:t>
            </w:r>
          </w:p>
        </w:tc>
      </w:tr>
      <w:tr w:rsidR="00B80866" w14:paraId="4059BC9A" w14:textId="77777777" w:rsidTr="00B80866">
        <w:tc>
          <w:tcPr>
            <w:tcW w:w="2353" w:type="dxa"/>
          </w:tcPr>
          <w:p w14:paraId="61DDF734" w14:textId="77777777" w:rsidR="00451DE4" w:rsidRPr="00451DE4" w:rsidRDefault="00B80866" w:rsidP="00854BAB">
            <w:pPr>
              <w:rPr>
                <w:b/>
                <w:bCs/>
              </w:rPr>
            </w:pPr>
            <w:r w:rsidRPr="00451DE4">
              <w:rPr>
                <w:b/>
                <w:bCs/>
              </w:rPr>
              <w:t xml:space="preserve">Priority 7: </w:t>
            </w:r>
          </w:p>
          <w:p w14:paraId="173A1933" w14:textId="5C3A48EC" w:rsidR="00B80866" w:rsidRDefault="00B80866" w:rsidP="00854BAB">
            <w:r>
              <w:t xml:space="preserve">Healthy environments, </w:t>
            </w:r>
            <w:proofErr w:type="gramStart"/>
            <w:r>
              <w:t>sustainability</w:t>
            </w:r>
            <w:proofErr w:type="gramEnd"/>
            <w:r>
              <w:t xml:space="preserve"> and preparedness</w:t>
            </w:r>
          </w:p>
        </w:tc>
        <w:tc>
          <w:tcPr>
            <w:tcW w:w="8103" w:type="dxa"/>
          </w:tcPr>
          <w:p w14:paraId="791A1A44" w14:textId="77777777" w:rsidR="00451DE4" w:rsidRDefault="00B80866" w:rsidP="0069754A">
            <w:pPr>
              <w:pStyle w:val="ListParagraph"/>
              <w:numPr>
                <w:ilvl w:val="0"/>
                <w:numId w:val="16"/>
              </w:numPr>
            </w:pPr>
            <w:r>
              <w:t>Support and grow the Aboriginal and Torres Strait Islander environmental health workforce</w:t>
            </w:r>
          </w:p>
          <w:p w14:paraId="6F1BCEBD" w14:textId="77777777" w:rsidR="00451DE4" w:rsidRDefault="00B80866" w:rsidP="0069754A">
            <w:pPr>
              <w:pStyle w:val="ListParagraph"/>
              <w:numPr>
                <w:ilvl w:val="0"/>
                <w:numId w:val="16"/>
              </w:numPr>
            </w:pPr>
            <w:r>
              <w:t>Support community driven housing and infrastructure solutions</w:t>
            </w:r>
          </w:p>
          <w:p w14:paraId="7E67BC79" w14:textId="6CB66697" w:rsidR="00451DE4" w:rsidRDefault="00B80866" w:rsidP="0069754A">
            <w:pPr>
              <w:pStyle w:val="ListParagraph"/>
              <w:numPr>
                <w:ilvl w:val="0"/>
                <w:numId w:val="16"/>
              </w:numPr>
            </w:pPr>
            <w:r>
              <w:t>Take action to improve food security</w:t>
            </w:r>
            <w:r w:rsidR="00451DE4">
              <w:t>.</w:t>
            </w:r>
          </w:p>
          <w:p w14:paraId="2AE578D8" w14:textId="2C8A99C8" w:rsidR="00B80866" w:rsidRDefault="00B80866" w:rsidP="0069754A">
            <w:pPr>
              <w:pStyle w:val="ListParagraph"/>
              <w:numPr>
                <w:ilvl w:val="0"/>
                <w:numId w:val="16"/>
              </w:numPr>
            </w:pPr>
            <w:r>
              <w:t xml:space="preserve">Support disaster and pandemic planning, </w:t>
            </w:r>
            <w:proofErr w:type="gramStart"/>
            <w:r>
              <w:t>preparedness</w:t>
            </w:r>
            <w:proofErr w:type="gramEnd"/>
            <w:r>
              <w:t xml:space="preserve"> and recovery at the national and community level</w:t>
            </w:r>
            <w:r w:rsidR="00451DE4">
              <w:t>.</w:t>
            </w:r>
          </w:p>
        </w:tc>
      </w:tr>
    </w:tbl>
    <w:p w14:paraId="06246677" w14:textId="5B3B472A" w:rsidR="002356B2" w:rsidRDefault="002356B2" w:rsidP="002356B2">
      <w:pPr>
        <w:pStyle w:val="Heading2"/>
      </w:pPr>
      <w:r w:rsidRPr="002356B2">
        <w:t>Improving the Health System</w:t>
      </w:r>
    </w:p>
    <w:tbl>
      <w:tblPr>
        <w:tblStyle w:val="TableGrid"/>
        <w:tblW w:w="0" w:type="auto"/>
        <w:tblLook w:val="04A0" w:firstRow="1" w:lastRow="0" w:firstColumn="1" w:lastColumn="0" w:noHBand="0" w:noVBand="1"/>
      </w:tblPr>
      <w:tblGrid>
        <w:gridCol w:w="2353"/>
        <w:gridCol w:w="8103"/>
      </w:tblGrid>
      <w:tr w:rsidR="002356B2" w14:paraId="72B4C1C6" w14:textId="77777777" w:rsidTr="002356B2">
        <w:trPr>
          <w:cnfStyle w:val="100000000000" w:firstRow="1" w:lastRow="0" w:firstColumn="0" w:lastColumn="0" w:oddVBand="0" w:evenVBand="0" w:oddHBand="0" w:evenHBand="0" w:firstRowFirstColumn="0" w:firstRowLastColumn="0" w:lastRowFirstColumn="0" w:lastRowLastColumn="0"/>
          <w:tblHeader/>
        </w:trPr>
        <w:tc>
          <w:tcPr>
            <w:tcW w:w="2353" w:type="dxa"/>
          </w:tcPr>
          <w:p w14:paraId="056C5F16" w14:textId="75B5B74C" w:rsidR="002356B2" w:rsidRPr="00451DE4" w:rsidRDefault="002356B2" w:rsidP="002356B2">
            <w:pPr>
              <w:rPr>
                <w:b w:val="0"/>
                <w:bCs/>
              </w:rPr>
            </w:pPr>
            <w:r w:rsidRPr="003F1488">
              <w:rPr>
                <w:bCs/>
              </w:rPr>
              <w:t>Priorit</w:t>
            </w:r>
            <w:r>
              <w:rPr>
                <w:bCs/>
              </w:rPr>
              <w:t>ies</w:t>
            </w:r>
          </w:p>
        </w:tc>
        <w:tc>
          <w:tcPr>
            <w:tcW w:w="8103" w:type="dxa"/>
          </w:tcPr>
          <w:p w14:paraId="2988731C" w14:textId="5745C316" w:rsidR="002356B2" w:rsidRDefault="002356B2" w:rsidP="002356B2">
            <w:pPr>
              <w:rPr>
                <w:rFonts w:cstheme="minorHAnsi"/>
                <w:b w:val="0"/>
                <w:bCs/>
                <w:szCs w:val="24"/>
              </w:rPr>
            </w:pPr>
            <w:r>
              <w:rPr>
                <w:rFonts w:cstheme="minorHAnsi"/>
                <w:bCs/>
                <w:szCs w:val="24"/>
              </w:rPr>
              <w:t>Objectives</w:t>
            </w:r>
          </w:p>
        </w:tc>
      </w:tr>
      <w:tr w:rsidR="00B80866" w14:paraId="0309B8B5" w14:textId="77777777" w:rsidTr="00B80866">
        <w:tc>
          <w:tcPr>
            <w:tcW w:w="2353" w:type="dxa"/>
          </w:tcPr>
          <w:p w14:paraId="50A0CF33" w14:textId="77777777" w:rsidR="00451DE4" w:rsidRPr="00451DE4" w:rsidRDefault="00B80866" w:rsidP="00854BAB">
            <w:pPr>
              <w:rPr>
                <w:b/>
                <w:bCs/>
              </w:rPr>
            </w:pPr>
            <w:r w:rsidRPr="00451DE4">
              <w:rPr>
                <w:b/>
                <w:bCs/>
              </w:rPr>
              <w:t xml:space="preserve">Priority 8: </w:t>
            </w:r>
          </w:p>
          <w:p w14:paraId="024A8776" w14:textId="717C31EE" w:rsidR="00B80866" w:rsidRDefault="00B80866" w:rsidP="00B80866">
            <w:r>
              <w:t>Identify and eliminate racism</w:t>
            </w:r>
          </w:p>
        </w:tc>
        <w:tc>
          <w:tcPr>
            <w:tcW w:w="8103" w:type="dxa"/>
          </w:tcPr>
          <w:p w14:paraId="6DBC28F9" w14:textId="77777777" w:rsidR="006B0C72" w:rsidRPr="00854BAB" w:rsidRDefault="006B0C72" w:rsidP="006B0C72">
            <w:pPr>
              <w:rPr>
                <w:rFonts w:cstheme="minorHAnsi"/>
                <w:b/>
                <w:bCs/>
                <w:szCs w:val="24"/>
              </w:rPr>
            </w:pPr>
            <w:r>
              <w:rPr>
                <w:rFonts w:cstheme="minorHAnsi"/>
                <w:b/>
                <w:bCs/>
                <w:szCs w:val="24"/>
              </w:rPr>
              <w:t>Objectives</w:t>
            </w:r>
            <w:r w:rsidRPr="00854BAB">
              <w:rPr>
                <w:rFonts w:cstheme="minorHAnsi"/>
                <w:b/>
                <w:bCs/>
                <w:szCs w:val="24"/>
              </w:rPr>
              <w:t>:</w:t>
            </w:r>
          </w:p>
          <w:p w14:paraId="46447DAC" w14:textId="10D8E911" w:rsidR="00451DE4" w:rsidRDefault="00B80866" w:rsidP="0069754A">
            <w:pPr>
              <w:pStyle w:val="ListParagraph"/>
              <w:numPr>
                <w:ilvl w:val="0"/>
                <w:numId w:val="17"/>
              </w:numPr>
            </w:pPr>
            <w:r>
              <w:t>Institutional racism across the health, disability and aged care systems is acknowledged, addressed, measured, and reported</w:t>
            </w:r>
            <w:r w:rsidR="00451DE4">
              <w:t>.</w:t>
            </w:r>
          </w:p>
          <w:p w14:paraId="618BF211" w14:textId="61B5A71D" w:rsidR="00451DE4" w:rsidRDefault="00B80866" w:rsidP="0069754A">
            <w:pPr>
              <w:pStyle w:val="ListParagraph"/>
              <w:numPr>
                <w:ilvl w:val="0"/>
                <w:numId w:val="17"/>
              </w:numPr>
            </w:pPr>
            <w:r>
              <w:t>Improve cultural safety training across mainstream health services and settings</w:t>
            </w:r>
            <w:r w:rsidR="00451DE4">
              <w:t>.</w:t>
            </w:r>
          </w:p>
          <w:p w14:paraId="6758E0E4" w14:textId="5BB2495F" w:rsidR="00451DE4" w:rsidRDefault="00B80866" w:rsidP="0069754A">
            <w:pPr>
              <w:pStyle w:val="ListParagraph"/>
              <w:numPr>
                <w:ilvl w:val="0"/>
                <w:numId w:val="17"/>
              </w:numPr>
            </w:pPr>
            <w:r>
              <w:t>Ensure racism complaints procedures are available and accessible</w:t>
            </w:r>
            <w:r w:rsidR="00451DE4">
              <w:t>.</w:t>
            </w:r>
          </w:p>
          <w:p w14:paraId="003B6E79" w14:textId="57B87D78" w:rsidR="00B80866" w:rsidRDefault="00B80866" w:rsidP="0069754A">
            <w:pPr>
              <w:pStyle w:val="ListParagraph"/>
              <w:numPr>
                <w:ilvl w:val="0"/>
                <w:numId w:val="17"/>
              </w:numPr>
            </w:pPr>
            <w:r>
              <w:t>Enhance data collection to improve measurement of racism and cultural safety across the health system</w:t>
            </w:r>
            <w:r w:rsidR="00451DE4">
              <w:t>.</w:t>
            </w:r>
          </w:p>
        </w:tc>
      </w:tr>
      <w:tr w:rsidR="00B80866" w14:paraId="5A2938C7" w14:textId="77777777" w:rsidTr="00B80866">
        <w:tc>
          <w:tcPr>
            <w:tcW w:w="2353" w:type="dxa"/>
          </w:tcPr>
          <w:p w14:paraId="6912C431" w14:textId="77777777" w:rsidR="00451DE4" w:rsidRPr="00451DE4" w:rsidRDefault="00B80866" w:rsidP="00854BAB">
            <w:pPr>
              <w:rPr>
                <w:b/>
                <w:bCs/>
              </w:rPr>
            </w:pPr>
            <w:r w:rsidRPr="00451DE4">
              <w:rPr>
                <w:b/>
                <w:bCs/>
              </w:rPr>
              <w:lastRenderedPageBreak/>
              <w:t xml:space="preserve">Priority 9: </w:t>
            </w:r>
          </w:p>
          <w:p w14:paraId="2DBB185D" w14:textId="2DE19427" w:rsidR="00B80866" w:rsidRDefault="00B80866" w:rsidP="00B80866">
            <w:r>
              <w:t>Access to person-centred and family-centred care</w:t>
            </w:r>
          </w:p>
        </w:tc>
        <w:tc>
          <w:tcPr>
            <w:tcW w:w="8103" w:type="dxa"/>
          </w:tcPr>
          <w:p w14:paraId="667CCE04" w14:textId="77777777" w:rsidR="006B0C72" w:rsidRPr="00854BAB" w:rsidRDefault="006B0C72" w:rsidP="006B0C72">
            <w:pPr>
              <w:rPr>
                <w:rFonts w:cstheme="minorHAnsi"/>
                <w:b/>
                <w:bCs/>
                <w:szCs w:val="24"/>
              </w:rPr>
            </w:pPr>
            <w:r>
              <w:rPr>
                <w:rFonts w:cstheme="minorHAnsi"/>
                <w:b/>
                <w:bCs/>
                <w:szCs w:val="24"/>
              </w:rPr>
              <w:t>Objectives</w:t>
            </w:r>
            <w:r w:rsidRPr="00854BAB">
              <w:rPr>
                <w:rFonts w:cstheme="minorHAnsi"/>
                <w:b/>
                <w:bCs/>
                <w:szCs w:val="24"/>
              </w:rPr>
              <w:t>:</w:t>
            </w:r>
          </w:p>
          <w:p w14:paraId="0AB08E3F" w14:textId="5BF349B7" w:rsidR="00451DE4" w:rsidRDefault="00B80866" w:rsidP="0069754A">
            <w:pPr>
              <w:pStyle w:val="ListParagraph"/>
              <w:numPr>
                <w:ilvl w:val="0"/>
                <w:numId w:val="18"/>
              </w:numPr>
            </w:pPr>
            <w:r>
              <w:t>Deliver flexible, culturally safe, place-</w:t>
            </w:r>
            <w:proofErr w:type="gramStart"/>
            <w:r>
              <w:t>based</w:t>
            </w:r>
            <w:proofErr w:type="gramEnd"/>
            <w:r>
              <w:t xml:space="preserve"> and person-centred healthcare across allied health, community health and primary care settings</w:t>
            </w:r>
            <w:r w:rsidR="00451DE4">
              <w:t>.</w:t>
            </w:r>
          </w:p>
          <w:p w14:paraId="07D43689" w14:textId="1F5FCF38" w:rsidR="00451DE4" w:rsidRDefault="00B80866" w:rsidP="0069754A">
            <w:pPr>
              <w:pStyle w:val="ListParagraph"/>
              <w:numPr>
                <w:ilvl w:val="0"/>
                <w:numId w:val="18"/>
              </w:numPr>
            </w:pPr>
            <w:r>
              <w:t xml:space="preserve">Ensure access to person-centred, culturally </w:t>
            </w:r>
            <w:proofErr w:type="gramStart"/>
            <w:r>
              <w:t>safe</w:t>
            </w:r>
            <w:proofErr w:type="gramEnd"/>
            <w:r>
              <w:t xml:space="preserve"> and responsive acute care</w:t>
            </w:r>
            <w:r w:rsidR="00451DE4">
              <w:t>.</w:t>
            </w:r>
          </w:p>
          <w:p w14:paraId="210D0861" w14:textId="399D53BD" w:rsidR="00451DE4" w:rsidRDefault="00B80866" w:rsidP="0069754A">
            <w:pPr>
              <w:pStyle w:val="ListParagraph"/>
              <w:numPr>
                <w:ilvl w:val="0"/>
                <w:numId w:val="18"/>
              </w:numPr>
            </w:pPr>
            <w:r>
              <w:t xml:space="preserve">Ensure access to telehealth, digital </w:t>
            </w:r>
            <w:proofErr w:type="gramStart"/>
            <w:r>
              <w:t>health</w:t>
            </w:r>
            <w:proofErr w:type="gramEnd"/>
            <w:r>
              <w:t xml:space="preserve"> and other technologies to enable better healthcare access and connection to services</w:t>
            </w:r>
            <w:r w:rsidR="00451DE4">
              <w:t>.</w:t>
            </w:r>
          </w:p>
          <w:p w14:paraId="540861C2" w14:textId="63A23C92" w:rsidR="00451DE4" w:rsidRDefault="00B80866" w:rsidP="0069754A">
            <w:pPr>
              <w:pStyle w:val="ListParagraph"/>
              <w:numPr>
                <w:ilvl w:val="0"/>
                <w:numId w:val="18"/>
              </w:numPr>
            </w:pPr>
            <w:r>
              <w:t>Enhance service linkages and integration for continuity and coordination of holistic care, including follow-up care and support services</w:t>
            </w:r>
            <w:r w:rsidR="00451DE4">
              <w:t>.</w:t>
            </w:r>
          </w:p>
          <w:p w14:paraId="6D309866" w14:textId="61FA8EBE" w:rsidR="00451DE4" w:rsidRDefault="00B80866" w:rsidP="0069754A">
            <w:pPr>
              <w:pStyle w:val="ListParagraph"/>
              <w:numPr>
                <w:ilvl w:val="0"/>
                <w:numId w:val="18"/>
              </w:numPr>
            </w:pPr>
            <w:r>
              <w:t>Continue to support improved access to subsidised medicines and the quality use of medicines</w:t>
            </w:r>
            <w:r w:rsidR="00451DE4">
              <w:t>.</w:t>
            </w:r>
          </w:p>
          <w:p w14:paraId="1CE4744B" w14:textId="644309D4" w:rsidR="00451DE4" w:rsidRDefault="00B80866" w:rsidP="0069754A">
            <w:pPr>
              <w:pStyle w:val="ListParagraph"/>
              <w:numPr>
                <w:ilvl w:val="0"/>
                <w:numId w:val="18"/>
              </w:numPr>
            </w:pPr>
            <w:r>
              <w:t>Enhance access to aged care services that integrate place-based, culturally safe, trauma-</w:t>
            </w:r>
            <w:proofErr w:type="gramStart"/>
            <w:r>
              <w:t>aware</w:t>
            </w:r>
            <w:proofErr w:type="gramEnd"/>
            <w:r>
              <w:t xml:space="preserve"> and healing-informed care</w:t>
            </w:r>
            <w:r w:rsidR="00451DE4">
              <w:t>.</w:t>
            </w:r>
          </w:p>
          <w:p w14:paraId="41F2D83A" w14:textId="7ADCFF0D" w:rsidR="00451DE4" w:rsidRDefault="00B80866" w:rsidP="0069754A">
            <w:pPr>
              <w:pStyle w:val="ListParagraph"/>
              <w:numPr>
                <w:ilvl w:val="0"/>
                <w:numId w:val="18"/>
              </w:numPr>
            </w:pPr>
            <w:r>
              <w:t>Improve access to responsive healthcare for people with disability</w:t>
            </w:r>
            <w:r w:rsidR="00451DE4">
              <w:t>.</w:t>
            </w:r>
          </w:p>
          <w:p w14:paraId="7DA265D3" w14:textId="1C5DF7AC" w:rsidR="00B80866" w:rsidRDefault="00B80866" w:rsidP="0069754A">
            <w:pPr>
              <w:pStyle w:val="ListParagraph"/>
              <w:numPr>
                <w:ilvl w:val="0"/>
                <w:numId w:val="18"/>
              </w:numPr>
            </w:pPr>
            <w:r>
              <w:t xml:space="preserve">Enhance access to place-based, culturally </w:t>
            </w:r>
            <w:proofErr w:type="gramStart"/>
            <w:r>
              <w:t>safe</w:t>
            </w:r>
            <w:proofErr w:type="gramEnd"/>
            <w:r>
              <w:t xml:space="preserve"> and responsive palliative care services</w:t>
            </w:r>
            <w:r w:rsidR="00451DE4">
              <w:t>.</w:t>
            </w:r>
          </w:p>
        </w:tc>
      </w:tr>
      <w:tr w:rsidR="00B80866" w14:paraId="2227E602" w14:textId="77777777" w:rsidTr="00B80866">
        <w:tc>
          <w:tcPr>
            <w:tcW w:w="2353" w:type="dxa"/>
          </w:tcPr>
          <w:p w14:paraId="06B94936" w14:textId="77777777" w:rsidR="00451DE4" w:rsidRPr="00451DE4" w:rsidRDefault="00B80866" w:rsidP="00854BAB">
            <w:pPr>
              <w:rPr>
                <w:b/>
                <w:bCs/>
              </w:rPr>
            </w:pPr>
            <w:r w:rsidRPr="00451DE4">
              <w:rPr>
                <w:b/>
                <w:bCs/>
              </w:rPr>
              <w:t xml:space="preserve">Priority 10: </w:t>
            </w:r>
          </w:p>
          <w:p w14:paraId="0E134C51" w14:textId="217C38B5" w:rsidR="00B80866" w:rsidRDefault="00B80866" w:rsidP="002356B2">
            <w:r>
              <w:t xml:space="preserve">Mental health and suicide prevention </w:t>
            </w:r>
          </w:p>
        </w:tc>
        <w:tc>
          <w:tcPr>
            <w:tcW w:w="8103" w:type="dxa"/>
          </w:tcPr>
          <w:p w14:paraId="5CF86F81" w14:textId="77777777" w:rsidR="006B0C72" w:rsidRPr="00854BAB" w:rsidRDefault="006B0C72" w:rsidP="006B0C72">
            <w:pPr>
              <w:rPr>
                <w:rFonts w:cstheme="minorHAnsi"/>
                <w:b/>
                <w:bCs/>
                <w:szCs w:val="24"/>
              </w:rPr>
            </w:pPr>
            <w:r>
              <w:rPr>
                <w:rFonts w:cstheme="minorHAnsi"/>
                <w:b/>
                <w:bCs/>
                <w:szCs w:val="24"/>
              </w:rPr>
              <w:t>Objectives</w:t>
            </w:r>
            <w:r w:rsidRPr="00854BAB">
              <w:rPr>
                <w:rFonts w:cstheme="minorHAnsi"/>
                <w:b/>
                <w:bCs/>
                <w:szCs w:val="24"/>
              </w:rPr>
              <w:t>:</w:t>
            </w:r>
          </w:p>
          <w:p w14:paraId="530D3067" w14:textId="77777777" w:rsidR="0069754A" w:rsidRDefault="00B80866" w:rsidP="00854BAB">
            <w:pPr>
              <w:pStyle w:val="ListParagraph"/>
              <w:numPr>
                <w:ilvl w:val="1"/>
                <w:numId w:val="24"/>
              </w:numPr>
            </w:pPr>
            <w:r w:rsidRPr="00451DE4">
              <w:t>Implement key reforms to Aboriginal and Torres Strait Islander mental</w:t>
            </w:r>
            <w:r w:rsidR="00050044">
              <w:t xml:space="preserve"> </w:t>
            </w:r>
            <w:r w:rsidRPr="00451DE4">
              <w:t>health and suicide prevention policy</w:t>
            </w:r>
            <w:r w:rsidR="0069754A">
              <w:t>.</w:t>
            </w:r>
          </w:p>
          <w:p w14:paraId="11DC6789" w14:textId="138F17BE" w:rsidR="0069754A" w:rsidRDefault="00B80866" w:rsidP="00854BAB">
            <w:pPr>
              <w:pStyle w:val="ListParagraph"/>
              <w:numPr>
                <w:ilvl w:val="1"/>
                <w:numId w:val="24"/>
              </w:numPr>
            </w:pPr>
            <w:r w:rsidRPr="00451DE4">
              <w:t>Strengthen the role of ACCHS to deliver and coordinate culturally safe and responsive mental health and suicide prevention services</w:t>
            </w:r>
            <w:r w:rsidR="0069754A">
              <w:t>.</w:t>
            </w:r>
          </w:p>
          <w:p w14:paraId="186B5F9C" w14:textId="738E9582" w:rsidR="0069754A" w:rsidRDefault="00B80866" w:rsidP="00854BAB">
            <w:pPr>
              <w:pStyle w:val="ListParagraph"/>
              <w:numPr>
                <w:ilvl w:val="1"/>
                <w:numId w:val="24"/>
              </w:numPr>
            </w:pPr>
            <w:r w:rsidRPr="00451DE4">
              <w:t>Embed integrated models of suicide prevention and mental health for continuity of care</w:t>
            </w:r>
            <w:r w:rsidR="0069754A">
              <w:t>.</w:t>
            </w:r>
          </w:p>
          <w:p w14:paraId="15636BB6" w14:textId="400A92FD" w:rsidR="00B80866" w:rsidRPr="00451DE4" w:rsidRDefault="00B80866" w:rsidP="00854BAB">
            <w:pPr>
              <w:pStyle w:val="ListParagraph"/>
              <w:numPr>
                <w:ilvl w:val="1"/>
                <w:numId w:val="24"/>
              </w:numPr>
            </w:pPr>
            <w:r w:rsidRPr="00451DE4">
              <w:t>Ensure Aboriginal and Torres Strait Islander people with lived experience are at the centre of the development and delivery of mental health and suicide prevention services</w:t>
            </w:r>
            <w:r w:rsidR="0069754A">
              <w:t>.</w:t>
            </w:r>
          </w:p>
        </w:tc>
      </w:tr>
    </w:tbl>
    <w:p w14:paraId="7CDC8AC7" w14:textId="3C759B18" w:rsidR="002356B2" w:rsidRDefault="002356B2" w:rsidP="002356B2">
      <w:pPr>
        <w:pStyle w:val="Heading2"/>
      </w:pPr>
      <w:r w:rsidRPr="002356B2">
        <w:t>Culturally informed evidence base</w:t>
      </w:r>
    </w:p>
    <w:tbl>
      <w:tblPr>
        <w:tblStyle w:val="TableGrid"/>
        <w:tblW w:w="0" w:type="auto"/>
        <w:tblLook w:val="04A0" w:firstRow="1" w:lastRow="0" w:firstColumn="1" w:lastColumn="0" w:noHBand="0" w:noVBand="1"/>
      </w:tblPr>
      <w:tblGrid>
        <w:gridCol w:w="2353"/>
        <w:gridCol w:w="8103"/>
      </w:tblGrid>
      <w:tr w:rsidR="002356B2" w14:paraId="6417FB9C" w14:textId="77777777" w:rsidTr="002356B2">
        <w:trPr>
          <w:cnfStyle w:val="100000000000" w:firstRow="1" w:lastRow="0" w:firstColumn="0" w:lastColumn="0" w:oddVBand="0" w:evenVBand="0" w:oddHBand="0" w:evenHBand="0" w:firstRowFirstColumn="0" w:firstRowLastColumn="0" w:lastRowFirstColumn="0" w:lastRowLastColumn="0"/>
          <w:tblHeader/>
        </w:trPr>
        <w:tc>
          <w:tcPr>
            <w:tcW w:w="2353" w:type="dxa"/>
          </w:tcPr>
          <w:p w14:paraId="5EB6CD39" w14:textId="14CA23A9" w:rsidR="002356B2" w:rsidRPr="0069754A" w:rsidRDefault="002356B2" w:rsidP="002356B2">
            <w:pPr>
              <w:rPr>
                <w:b w:val="0"/>
                <w:bCs/>
              </w:rPr>
            </w:pPr>
            <w:r w:rsidRPr="003F1488">
              <w:rPr>
                <w:bCs/>
              </w:rPr>
              <w:t>Priorit</w:t>
            </w:r>
            <w:r>
              <w:rPr>
                <w:bCs/>
              </w:rPr>
              <w:t>ies</w:t>
            </w:r>
          </w:p>
        </w:tc>
        <w:tc>
          <w:tcPr>
            <w:tcW w:w="8103" w:type="dxa"/>
          </w:tcPr>
          <w:p w14:paraId="25EBDA07" w14:textId="29C6CE82" w:rsidR="002356B2" w:rsidRDefault="002356B2" w:rsidP="002356B2">
            <w:pPr>
              <w:rPr>
                <w:rFonts w:cstheme="minorHAnsi"/>
                <w:b w:val="0"/>
                <w:bCs/>
                <w:szCs w:val="24"/>
              </w:rPr>
            </w:pPr>
            <w:r>
              <w:rPr>
                <w:rFonts w:cstheme="minorHAnsi"/>
                <w:bCs/>
                <w:szCs w:val="24"/>
              </w:rPr>
              <w:t>Objectives</w:t>
            </w:r>
          </w:p>
        </w:tc>
      </w:tr>
      <w:tr w:rsidR="00B80866" w14:paraId="5384823F" w14:textId="77777777" w:rsidTr="00B80866">
        <w:tc>
          <w:tcPr>
            <w:tcW w:w="2353" w:type="dxa"/>
          </w:tcPr>
          <w:p w14:paraId="2542D6B8" w14:textId="77777777" w:rsidR="0069754A" w:rsidRPr="0069754A" w:rsidRDefault="00B80866" w:rsidP="00854BAB">
            <w:pPr>
              <w:rPr>
                <w:b/>
                <w:bCs/>
              </w:rPr>
            </w:pPr>
            <w:r w:rsidRPr="0069754A">
              <w:rPr>
                <w:b/>
                <w:bCs/>
              </w:rPr>
              <w:t xml:space="preserve">Priority 11: </w:t>
            </w:r>
          </w:p>
          <w:p w14:paraId="46676970" w14:textId="232E7506" w:rsidR="00B80866" w:rsidRDefault="00B80866" w:rsidP="002356B2">
            <w:r>
              <w:t xml:space="preserve">Culturally informed and </w:t>
            </w:r>
            <w:proofErr w:type="gramStart"/>
            <w:r>
              <w:t>evidence based</w:t>
            </w:r>
            <w:proofErr w:type="gramEnd"/>
            <w:r>
              <w:t xml:space="preserve"> evaluation, research and practice</w:t>
            </w:r>
          </w:p>
        </w:tc>
        <w:tc>
          <w:tcPr>
            <w:tcW w:w="8103" w:type="dxa"/>
          </w:tcPr>
          <w:p w14:paraId="41DA91F6" w14:textId="77777777" w:rsidR="006B0C72" w:rsidRPr="00854BAB" w:rsidRDefault="006B0C72" w:rsidP="006B0C72">
            <w:pPr>
              <w:rPr>
                <w:rFonts w:cstheme="minorHAnsi"/>
                <w:b/>
                <w:bCs/>
                <w:szCs w:val="24"/>
              </w:rPr>
            </w:pPr>
            <w:r>
              <w:rPr>
                <w:rFonts w:cstheme="minorHAnsi"/>
                <w:b/>
                <w:bCs/>
                <w:szCs w:val="24"/>
              </w:rPr>
              <w:t>Objectives</w:t>
            </w:r>
            <w:r w:rsidRPr="00854BAB">
              <w:rPr>
                <w:rFonts w:cstheme="minorHAnsi"/>
                <w:b/>
                <w:bCs/>
                <w:szCs w:val="24"/>
              </w:rPr>
              <w:t>:</w:t>
            </w:r>
          </w:p>
          <w:p w14:paraId="4C486038" w14:textId="494400E3" w:rsidR="0069754A" w:rsidRDefault="00B80866" w:rsidP="00854BAB">
            <w:pPr>
              <w:pStyle w:val="ListParagraph"/>
              <w:numPr>
                <w:ilvl w:val="0"/>
                <w:numId w:val="25"/>
              </w:numPr>
            </w:pPr>
            <w:r>
              <w:t>Ensure research and evaluation are based on priorities identified by, and led by, Aboriginal and Torres Strait Islander researchers</w:t>
            </w:r>
            <w:r w:rsidR="0069754A">
              <w:t>.</w:t>
            </w:r>
          </w:p>
          <w:p w14:paraId="65B95F6F" w14:textId="452C22E8" w:rsidR="0069754A" w:rsidRDefault="00B80866" w:rsidP="00854BAB">
            <w:pPr>
              <w:pStyle w:val="ListParagraph"/>
              <w:numPr>
                <w:ilvl w:val="0"/>
                <w:numId w:val="25"/>
              </w:numPr>
            </w:pPr>
            <w:r>
              <w:t xml:space="preserve">Research and evaluation are conducted ethically in partnership with, and for the benefit of, Aboriginal and Torres Strait Islander people, organisations, </w:t>
            </w:r>
            <w:proofErr w:type="gramStart"/>
            <w:r>
              <w:t>communities</w:t>
            </w:r>
            <w:proofErr w:type="gramEnd"/>
            <w:r>
              <w:t xml:space="preserve"> and Nations</w:t>
            </w:r>
            <w:r w:rsidR="0069754A">
              <w:t>.</w:t>
            </w:r>
          </w:p>
          <w:p w14:paraId="0844D3F8" w14:textId="50E2DFCD" w:rsidR="00B80866" w:rsidRDefault="00B80866" w:rsidP="00854BAB">
            <w:pPr>
              <w:pStyle w:val="ListParagraph"/>
              <w:numPr>
                <w:ilvl w:val="0"/>
                <w:numId w:val="25"/>
              </w:numPr>
            </w:pPr>
            <w:r>
              <w:t>Harness emerging medical technology innovations, including genomics</w:t>
            </w:r>
            <w:r w:rsidR="0069754A">
              <w:t>.</w:t>
            </w:r>
          </w:p>
        </w:tc>
      </w:tr>
      <w:tr w:rsidR="00B80866" w14:paraId="3CBC2528" w14:textId="77777777" w:rsidTr="00B80866">
        <w:tc>
          <w:tcPr>
            <w:tcW w:w="2353" w:type="dxa"/>
          </w:tcPr>
          <w:p w14:paraId="0FEB16F1" w14:textId="77777777" w:rsidR="0069754A" w:rsidRPr="0069754A" w:rsidRDefault="00B80866" w:rsidP="00854BAB">
            <w:pPr>
              <w:rPr>
                <w:b/>
                <w:bCs/>
              </w:rPr>
            </w:pPr>
            <w:r w:rsidRPr="0069754A">
              <w:rPr>
                <w:b/>
                <w:bCs/>
              </w:rPr>
              <w:t xml:space="preserve">Priority 12: </w:t>
            </w:r>
          </w:p>
          <w:p w14:paraId="3F0C7328" w14:textId="0561B1B5" w:rsidR="00B80866" w:rsidRDefault="00B80866" w:rsidP="00854BAB">
            <w:r>
              <w:t>Shared access to data and information at a regional level</w:t>
            </w:r>
          </w:p>
        </w:tc>
        <w:tc>
          <w:tcPr>
            <w:tcW w:w="8103" w:type="dxa"/>
          </w:tcPr>
          <w:p w14:paraId="791E6BFF" w14:textId="77777777" w:rsidR="006B0C72" w:rsidRPr="00854BAB" w:rsidRDefault="006B0C72" w:rsidP="006B0C72">
            <w:pPr>
              <w:rPr>
                <w:rFonts w:cstheme="minorHAnsi"/>
                <w:b/>
                <w:bCs/>
                <w:szCs w:val="24"/>
              </w:rPr>
            </w:pPr>
            <w:r>
              <w:rPr>
                <w:rFonts w:cstheme="minorHAnsi"/>
                <w:b/>
                <w:bCs/>
                <w:szCs w:val="24"/>
              </w:rPr>
              <w:t>Objectives</w:t>
            </w:r>
            <w:r w:rsidRPr="00854BAB">
              <w:rPr>
                <w:rFonts w:cstheme="minorHAnsi"/>
                <w:b/>
                <w:bCs/>
                <w:szCs w:val="24"/>
              </w:rPr>
              <w:t>:</w:t>
            </w:r>
          </w:p>
          <w:p w14:paraId="56BA1F32" w14:textId="3D4B9768" w:rsidR="0069754A" w:rsidRDefault="00B80866" w:rsidP="00854BAB">
            <w:pPr>
              <w:pStyle w:val="ListParagraph"/>
              <w:numPr>
                <w:ilvl w:val="0"/>
                <w:numId w:val="26"/>
              </w:numPr>
            </w:pPr>
            <w:r>
              <w:t xml:space="preserve">Establish governance structures and partnerships to guide how Aboriginal and Torres Strait Islander health data is collected, </w:t>
            </w:r>
            <w:proofErr w:type="gramStart"/>
            <w:r>
              <w:t>shared</w:t>
            </w:r>
            <w:proofErr w:type="gramEnd"/>
            <w:r>
              <w:t xml:space="preserve"> and used, including at the regional level</w:t>
            </w:r>
            <w:r w:rsidR="0069754A">
              <w:t>.</w:t>
            </w:r>
          </w:p>
          <w:p w14:paraId="5BAAA656" w14:textId="17FC4D3F" w:rsidR="00B80866" w:rsidRDefault="00B80866" w:rsidP="00854BAB">
            <w:pPr>
              <w:pStyle w:val="ListParagraph"/>
              <w:numPr>
                <w:ilvl w:val="0"/>
                <w:numId w:val="26"/>
              </w:numPr>
            </w:pPr>
            <w:r>
              <w:lastRenderedPageBreak/>
              <w:t>Develop culturally relevant metrics to track health and wellbeing</w:t>
            </w:r>
            <w:r w:rsidR="0069754A">
              <w:t>.</w:t>
            </w:r>
          </w:p>
        </w:tc>
      </w:tr>
    </w:tbl>
    <w:p w14:paraId="14B76EA2" w14:textId="77777777" w:rsidR="00394F81" w:rsidRPr="002356B2" w:rsidRDefault="00394F81" w:rsidP="002356B2"/>
    <w:sectPr w:rsidR="00394F81" w:rsidRPr="002356B2" w:rsidSect="006E3E4D">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3C27A" w14:textId="77777777" w:rsidR="00AA3E31" w:rsidRDefault="00AA3E31" w:rsidP="00DB7347">
      <w:pPr>
        <w:spacing w:before="0" w:after="0" w:line="240" w:lineRule="auto"/>
      </w:pPr>
      <w:r>
        <w:separator/>
      </w:r>
    </w:p>
  </w:endnote>
  <w:endnote w:type="continuationSeparator" w:id="0">
    <w:p w14:paraId="01E49F5B" w14:textId="77777777" w:rsidR="00AA3E31" w:rsidRDefault="00AA3E31" w:rsidP="00DB73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BC766" w14:textId="77777777" w:rsidR="00AA3E31" w:rsidRDefault="00AA3E31" w:rsidP="00DB7347">
      <w:pPr>
        <w:spacing w:before="0" w:after="0" w:line="240" w:lineRule="auto"/>
      </w:pPr>
      <w:r>
        <w:separator/>
      </w:r>
    </w:p>
  </w:footnote>
  <w:footnote w:type="continuationSeparator" w:id="0">
    <w:p w14:paraId="416F3D4D" w14:textId="77777777" w:rsidR="00AA3E31" w:rsidRDefault="00AA3E31" w:rsidP="00DB73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BD547" w14:textId="6B634CB4" w:rsidR="000A5A98" w:rsidRDefault="00F10939">
    <w:pPr>
      <w:pStyle w:val="Header"/>
    </w:pPr>
    <w:r>
      <w:rPr>
        <w:noProof/>
        <w:lang w:eastAsia="en-AU"/>
      </w:rPr>
      <w:drawing>
        <wp:inline distT="0" distB="0" distL="0" distR="0" wp14:anchorId="5B8288B4" wp14:editId="6ECC074A">
          <wp:extent cx="6621780" cy="1100532"/>
          <wp:effectExtent l="0" t="0" r="7620" b="4445"/>
          <wp:docPr id="12" name="Picture 1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r="1581"/>
                  <a:stretch/>
                </pic:blipFill>
                <pic:spPr bwMode="auto">
                  <a:xfrm>
                    <a:off x="0" y="0"/>
                    <a:ext cx="6671447" cy="11087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6FFB"/>
    <w:multiLevelType w:val="hybridMultilevel"/>
    <w:tmpl w:val="761ED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63D04"/>
    <w:multiLevelType w:val="multilevel"/>
    <w:tmpl w:val="BB6E0F96"/>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A40A6"/>
    <w:multiLevelType w:val="hybridMultilevel"/>
    <w:tmpl w:val="2E3E5A96"/>
    <w:lvl w:ilvl="0" w:tplc="8BF005A0">
      <w:start w:val="1"/>
      <w:numFmt w:val="decimal"/>
      <w:lvlText w:val="8.%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B95316"/>
    <w:multiLevelType w:val="hybridMultilevel"/>
    <w:tmpl w:val="F3D27BEA"/>
    <w:lvl w:ilvl="0" w:tplc="DDC2E7A2">
      <w:start w:val="1"/>
      <w:numFmt w:val="decimal"/>
      <w:lvlText w:val="3.%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F323CC"/>
    <w:multiLevelType w:val="hybridMultilevel"/>
    <w:tmpl w:val="EB7C8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4A42E4"/>
    <w:multiLevelType w:val="hybridMultilevel"/>
    <w:tmpl w:val="BB4A9A90"/>
    <w:lvl w:ilvl="0" w:tplc="89EE173E">
      <w:start w:val="1"/>
      <w:numFmt w:val="decimal"/>
      <w:lvlText w:val="10.%1"/>
      <w:lvlJc w:val="left"/>
      <w:pPr>
        <w:tabs>
          <w:tab w:val="num" w:pos="0"/>
        </w:tabs>
        <w:ind w:left="227" w:hanging="22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8A3558"/>
    <w:multiLevelType w:val="multilevel"/>
    <w:tmpl w:val="4AD440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DA3B7A"/>
    <w:multiLevelType w:val="hybridMultilevel"/>
    <w:tmpl w:val="0BC6FC2E"/>
    <w:lvl w:ilvl="0" w:tplc="FC340976">
      <w:start w:val="1"/>
      <w:numFmt w:val="decimal"/>
      <w:lvlText w:val="12.%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487839"/>
    <w:multiLevelType w:val="multilevel"/>
    <w:tmpl w:val="247E4EA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FC3B18"/>
    <w:multiLevelType w:val="hybridMultilevel"/>
    <w:tmpl w:val="7F348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B53B67"/>
    <w:multiLevelType w:val="multilevel"/>
    <w:tmpl w:val="B71416AE"/>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1D094A"/>
    <w:multiLevelType w:val="multilevel"/>
    <w:tmpl w:val="ECAC441A"/>
    <w:lvl w:ilvl="0">
      <w:start w:val="10"/>
      <w:numFmt w:val="decimal"/>
      <w:lvlText w:val="%1.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1C0835"/>
    <w:multiLevelType w:val="hybridMultilevel"/>
    <w:tmpl w:val="7F28986E"/>
    <w:lvl w:ilvl="0" w:tplc="D16A4CD8">
      <w:start w:val="1"/>
      <w:numFmt w:val="decimal"/>
      <w:lvlText w:val="4.%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661712"/>
    <w:multiLevelType w:val="hybridMultilevel"/>
    <w:tmpl w:val="7E6C6A80"/>
    <w:lvl w:ilvl="0" w:tplc="9C108BE0">
      <w:start w:val="1"/>
      <w:numFmt w:val="decimal"/>
      <w:lvlText w:val="10.%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471C75"/>
    <w:multiLevelType w:val="hybridMultilevel"/>
    <w:tmpl w:val="DAB85FC6"/>
    <w:lvl w:ilvl="0" w:tplc="63A661F2">
      <w:start w:val="1"/>
      <w:numFmt w:val="decimal"/>
      <w:lvlText w:val="10.%1"/>
      <w:lvlJc w:val="left"/>
      <w:pPr>
        <w:tabs>
          <w:tab w:val="num" w:pos="0"/>
        </w:tabs>
        <w:ind w:left="227" w:hanging="22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BD1CB3"/>
    <w:multiLevelType w:val="hybridMultilevel"/>
    <w:tmpl w:val="4E2EB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907284"/>
    <w:multiLevelType w:val="multilevel"/>
    <w:tmpl w:val="A0BCD8F8"/>
    <w:lvl w:ilvl="0">
      <w:start w:val="3"/>
      <w:numFmt w:val="decimal"/>
      <w:lvlText w:val="%1"/>
      <w:lvlJc w:val="left"/>
      <w:pPr>
        <w:ind w:left="360" w:hanging="360"/>
      </w:pPr>
      <w:rPr>
        <w:rFonts w:hint="default"/>
      </w:rPr>
    </w:lvl>
    <w:lvl w:ilvl="1">
      <w:start w:val="1"/>
      <w:numFmt w:val="decimal"/>
      <w:lvlText w:val="3.%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E42BC9"/>
    <w:multiLevelType w:val="hybridMultilevel"/>
    <w:tmpl w:val="DA160C96"/>
    <w:lvl w:ilvl="0" w:tplc="91668D58">
      <w:start w:val="1"/>
      <w:numFmt w:val="decimal"/>
      <w:lvlText w:val="7.%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853450"/>
    <w:multiLevelType w:val="hybridMultilevel"/>
    <w:tmpl w:val="F552E9EE"/>
    <w:lvl w:ilvl="0" w:tplc="6F186B8A">
      <w:start w:val="1"/>
      <w:numFmt w:val="decimal"/>
      <w:lvlText w:val="6.%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DE5F90"/>
    <w:multiLevelType w:val="hybridMultilevel"/>
    <w:tmpl w:val="B010C512"/>
    <w:lvl w:ilvl="0" w:tplc="8D46569A">
      <w:start w:val="1"/>
      <w:numFmt w:val="decimal"/>
      <w:lvlText w:val="4.%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1E03E3"/>
    <w:multiLevelType w:val="hybridMultilevel"/>
    <w:tmpl w:val="BA221DC0"/>
    <w:lvl w:ilvl="0" w:tplc="D78824EC">
      <w:start w:val="1"/>
      <w:numFmt w:val="decimal"/>
      <w:lvlText w:val="11.%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9F7DE0"/>
    <w:multiLevelType w:val="hybridMultilevel"/>
    <w:tmpl w:val="A75C0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2C769F"/>
    <w:multiLevelType w:val="multilevel"/>
    <w:tmpl w:val="86E45D06"/>
    <w:lvl w:ilvl="0">
      <w:start w:val="10"/>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807CDF"/>
    <w:multiLevelType w:val="hybridMultilevel"/>
    <w:tmpl w:val="346EE81E"/>
    <w:lvl w:ilvl="0" w:tplc="1FEC21C6">
      <w:start w:val="1"/>
      <w:numFmt w:val="decimal"/>
      <w:lvlText w:val="9.%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C27D04"/>
    <w:multiLevelType w:val="multilevel"/>
    <w:tmpl w:val="6CA8D33C"/>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537BC5"/>
    <w:multiLevelType w:val="hybridMultilevel"/>
    <w:tmpl w:val="FE127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D70181"/>
    <w:multiLevelType w:val="hybridMultilevel"/>
    <w:tmpl w:val="D80E0AFA"/>
    <w:lvl w:ilvl="0" w:tplc="0C84A754">
      <w:start w:val="1"/>
      <w:numFmt w:val="decimal"/>
      <w:lvlText w:val="5.%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21"/>
  </w:num>
  <w:num w:numId="4">
    <w:abstractNumId w:val="9"/>
  </w:num>
  <w:num w:numId="5">
    <w:abstractNumId w:val="25"/>
  </w:num>
  <w:num w:numId="6">
    <w:abstractNumId w:val="8"/>
  </w:num>
  <w:num w:numId="7">
    <w:abstractNumId w:val="24"/>
  </w:num>
  <w:num w:numId="8">
    <w:abstractNumId w:val="3"/>
  </w:num>
  <w:num w:numId="9">
    <w:abstractNumId w:val="19"/>
  </w:num>
  <w:num w:numId="10">
    <w:abstractNumId w:val="12"/>
  </w:num>
  <w:num w:numId="11">
    <w:abstractNumId w:val="26"/>
  </w:num>
  <w:num w:numId="12">
    <w:abstractNumId w:val="16"/>
  </w:num>
  <w:num w:numId="13">
    <w:abstractNumId w:val="10"/>
  </w:num>
  <w:num w:numId="14">
    <w:abstractNumId w:val="1"/>
  </w:num>
  <w:num w:numId="15">
    <w:abstractNumId w:val="18"/>
  </w:num>
  <w:num w:numId="16">
    <w:abstractNumId w:val="17"/>
  </w:num>
  <w:num w:numId="17">
    <w:abstractNumId w:val="2"/>
  </w:num>
  <w:num w:numId="18">
    <w:abstractNumId w:val="23"/>
  </w:num>
  <w:num w:numId="19">
    <w:abstractNumId w:val="13"/>
  </w:num>
  <w:num w:numId="20">
    <w:abstractNumId w:val="11"/>
  </w:num>
  <w:num w:numId="21">
    <w:abstractNumId w:val="14"/>
  </w:num>
  <w:num w:numId="22">
    <w:abstractNumId w:val="5"/>
  </w:num>
  <w:num w:numId="23">
    <w:abstractNumId w:val="6"/>
  </w:num>
  <w:num w:numId="24">
    <w:abstractNumId w:val="22"/>
  </w:num>
  <w:num w:numId="25">
    <w:abstractNumId w:val="20"/>
  </w:num>
  <w:num w:numId="26">
    <w:abstractNumId w:val="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E2"/>
    <w:rsid w:val="00037751"/>
    <w:rsid w:val="0004167B"/>
    <w:rsid w:val="00050044"/>
    <w:rsid w:val="000A5A98"/>
    <w:rsid w:val="000F09A9"/>
    <w:rsid w:val="000F75E7"/>
    <w:rsid w:val="001F69F4"/>
    <w:rsid w:val="002356B2"/>
    <w:rsid w:val="00247C8E"/>
    <w:rsid w:val="00280050"/>
    <w:rsid w:val="002B1AD2"/>
    <w:rsid w:val="002C4926"/>
    <w:rsid w:val="002F5496"/>
    <w:rsid w:val="00302FCB"/>
    <w:rsid w:val="003674E2"/>
    <w:rsid w:val="00394F81"/>
    <w:rsid w:val="003A53DB"/>
    <w:rsid w:val="003F1488"/>
    <w:rsid w:val="00427EBD"/>
    <w:rsid w:val="00451DE4"/>
    <w:rsid w:val="00470775"/>
    <w:rsid w:val="004864A3"/>
    <w:rsid w:val="004B7304"/>
    <w:rsid w:val="005303BF"/>
    <w:rsid w:val="00586142"/>
    <w:rsid w:val="0059002A"/>
    <w:rsid w:val="00643053"/>
    <w:rsid w:val="0069754A"/>
    <w:rsid w:val="006B0C72"/>
    <w:rsid w:val="006C3D35"/>
    <w:rsid w:val="006D20D1"/>
    <w:rsid w:val="006E3E4D"/>
    <w:rsid w:val="007D3CAB"/>
    <w:rsid w:val="007E11D5"/>
    <w:rsid w:val="00854BAB"/>
    <w:rsid w:val="00931956"/>
    <w:rsid w:val="0099248D"/>
    <w:rsid w:val="00993143"/>
    <w:rsid w:val="00AA3E31"/>
    <w:rsid w:val="00B00F90"/>
    <w:rsid w:val="00B8080F"/>
    <w:rsid w:val="00B80866"/>
    <w:rsid w:val="00BA32AC"/>
    <w:rsid w:val="00C13020"/>
    <w:rsid w:val="00CF5D06"/>
    <w:rsid w:val="00D10D2C"/>
    <w:rsid w:val="00D64F75"/>
    <w:rsid w:val="00DA1B6B"/>
    <w:rsid w:val="00DB7347"/>
    <w:rsid w:val="00EA3577"/>
    <w:rsid w:val="00F10939"/>
    <w:rsid w:val="00F14D6C"/>
    <w:rsid w:val="00F26194"/>
    <w:rsid w:val="00F3645F"/>
    <w:rsid w:val="00F73362"/>
    <w:rsid w:val="00FC7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2BDE63"/>
  <w15:chartTrackingRefBased/>
  <w15:docId w15:val="{D2DE765E-8BA1-4BE0-B8EA-F3B4B86E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4E2"/>
    <w:pPr>
      <w:spacing w:before="120" w:after="120" w:line="276" w:lineRule="auto"/>
    </w:pPr>
    <w:rPr>
      <w:rFonts w:asciiTheme="minorHAnsi" w:hAnsiTheme="minorHAnsi" w:cstheme="minorBidi"/>
      <w:szCs w:val="22"/>
    </w:rPr>
  </w:style>
  <w:style w:type="paragraph" w:styleId="Heading1">
    <w:name w:val="heading 1"/>
    <w:basedOn w:val="Normal"/>
    <w:next w:val="Normal"/>
    <w:link w:val="Heading1Char"/>
    <w:uiPriority w:val="9"/>
    <w:qFormat/>
    <w:rsid w:val="00037751"/>
    <w:pPr>
      <w:keepNext/>
      <w:keepLines/>
      <w:spacing w:line="240" w:lineRule="auto"/>
      <w:outlineLvl w:val="0"/>
    </w:pPr>
    <w:rPr>
      <w:rFonts w:eastAsiaTheme="majorEastAsia" w:cstheme="majorBidi"/>
      <w:b/>
      <w:sz w:val="32"/>
      <w:szCs w:val="32"/>
    </w:rPr>
  </w:style>
  <w:style w:type="paragraph" w:styleId="Heading2">
    <w:name w:val="heading 2"/>
    <w:basedOn w:val="Heading1"/>
    <w:next w:val="Normal"/>
    <w:link w:val="Heading2Char"/>
    <w:uiPriority w:val="9"/>
    <w:unhideWhenUsed/>
    <w:qFormat/>
    <w:rsid w:val="007E11D5"/>
    <w:pPr>
      <w:outlineLvl w:val="1"/>
    </w:pPr>
    <w:rPr>
      <w:color w:val="2F5496" w:themeColor="accent1" w:themeShade="BF"/>
      <w:sz w:val="24"/>
      <w:szCs w:val="26"/>
    </w:rPr>
  </w:style>
  <w:style w:type="paragraph" w:styleId="Heading3">
    <w:name w:val="heading 3"/>
    <w:basedOn w:val="Normal"/>
    <w:next w:val="Normal"/>
    <w:link w:val="Heading3Char"/>
    <w:uiPriority w:val="9"/>
    <w:unhideWhenUsed/>
    <w:qFormat/>
    <w:rsid w:val="003674E2"/>
    <w:pPr>
      <w:keepNext/>
      <w:keepLines/>
      <w:spacing w:before="240" w:after="16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130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4E2"/>
    <w:rPr>
      <w:rFonts w:ascii="Segoe UI" w:hAnsi="Segoe UI" w:cs="Segoe UI"/>
      <w:sz w:val="18"/>
      <w:szCs w:val="18"/>
    </w:rPr>
  </w:style>
  <w:style w:type="character" w:customStyle="1" w:styleId="Heading1Char">
    <w:name w:val="Heading 1 Char"/>
    <w:basedOn w:val="DefaultParagraphFont"/>
    <w:link w:val="Heading1"/>
    <w:uiPriority w:val="9"/>
    <w:rsid w:val="00037751"/>
    <w:rPr>
      <w:rFonts w:asciiTheme="minorHAnsi" w:eastAsiaTheme="majorEastAsia" w:hAnsiTheme="minorHAnsi" w:cstheme="majorBidi"/>
      <w:b/>
      <w:sz w:val="32"/>
      <w:szCs w:val="32"/>
    </w:rPr>
  </w:style>
  <w:style w:type="character" w:customStyle="1" w:styleId="Heading3Char">
    <w:name w:val="Heading 3 Char"/>
    <w:basedOn w:val="DefaultParagraphFont"/>
    <w:link w:val="Heading3"/>
    <w:uiPriority w:val="9"/>
    <w:rsid w:val="003674E2"/>
    <w:rPr>
      <w:rFonts w:asciiTheme="minorHAnsi" w:eastAsiaTheme="majorEastAsia" w:hAnsiTheme="minorHAnsi" w:cstheme="majorBidi"/>
      <w:b/>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674E2"/>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rsid w:val="003674E2"/>
    <w:rPr>
      <w:rFonts w:asciiTheme="minorHAnsi" w:hAnsiTheme="minorHAnsi" w:cstheme="minorBidi"/>
      <w:szCs w:val="22"/>
    </w:rPr>
  </w:style>
  <w:style w:type="paragraph" w:styleId="Quote">
    <w:name w:val="Quote"/>
    <w:aliases w:val="Pullout"/>
    <w:basedOn w:val="IntenseQuote"/>
    <w:next w:val="Normal"/>
    <w:link w:val="QuoteChar"/>
    <w:uiPriority w:val="29"/>
    <w:qFormat/>
    <w:rsid w:val="003674E2"/>
    <w:pPr>
      <w:spacing w:before="200" w:after="160" w:line="240" w:lineRule="auto"/>
      <w:ind w:left="0" w:right="0"/>
      <w:jc w:val="both"/>
    </w:pPr>
    <w:rPr>
      <w:i w:val="0"/>
      <w:iCs w:val="0"/>
      <w:color w:val="1F4E79" w:themeColor="accent5" w:themeShade="80"/>
    </w:rPr>
  </w:style>
  <w:style w:type="character" w:customStyle="1" w:styleId="QuoteChar">
    <w:name w:val="Quote Char"/>
    <w:aliases w:val="Pullout Char"/>
    <w:basedOn w:val="DefaultParagraphFont"/>
    <w:link w:val="Quote"/>
    <w:uiPriority w:val="29"/>
    <w:rsid w:val="003674E2"/>
    <w:rPr>
      <w:rFonts w:asciiTheme="minorHAnsi" w:hAnsiTheme="minorHAnsi" w:cstheme="minorBidi"/>
      <w:color w:val="1F4E79" w:themeColor="accent5" w:themeShade="80"/>
      <w:szCs w:val="22"/>
    </w:rPr>
  </w:style>
  <w:style w:type="paragraph" w:styleId="IntenseQuote">
    <w:name w:val="Intense Quote"/>
    <w:basedOn w:val="Normal"/>
    <w:next w:val="Normal"/>
    <w:link w:val="IntenseQuoteChar"/>
    <w:uiPriority w:val="30"/>
    <w:qFormat/>
    <w:rsid w:val="003674E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674E2"/>
    <w:rPr>
      <w:rFonts w:asciiTheme="minorHAnsi" w:hAnsiTheme="minorHAnsi" w:cstheme="minorBidi"/>
      <w:i/>
      <w:iCs/>
      <w:color w:val="4472C4" w:themeColor="accent1"/>
      <w:szCs w:val="22"/>
    </w:rPr>
  </w:style>
  <w:style w:type="character" w:customStyle="1" w:styleId="Heading4Char">
    <w:name w:val="Heading 4 Char"/>
    <w:basedOn w:val="DefaultParagraphFont"/>
    <w:link w:val="Heading4"/>
    <w:uiPriority w:val="9"/>
    <w:rsid w:val="00C13020"/>
    <w:rPr>
      <w:rFonts w:asciiTheme="majorHAnsi" w:eastAsiaTheme="majorEastAsia" w:hAnsiTheme="majorHAnsi" w:cstheme="majorBidi"/>
      <w:i/>
      <w:iCs/>
      <w:color w:val="2F5496" w:themeColor="accent1" w:themeShade="BF"/>
      <w:szCs w:val="22"/>
    </w:rPr>
  </w:style>
  <w:style w:type="table" w:styleId="TableGrid">
    <w:name w:val="Table Grid"/>
    <w:basedOn w:val="TableNormal"/>
    <w:uiPriority w:val="39"/>
    <w:rsid w:val="003A53D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4"/>
      </w:rPr>
      <w:tblPr/>
      <w:tcPr>
        <w:shd w:val="clear" w:color="auto" w:fill="D9E2F3" w:themeFill="accent1" w:themeFillTint="33"/>
      </w:tcPr>
    </w:tblStylePr>
  </w:style>
  <w:style w:type="character" w:customStyle="1" w:styleId="Heading2Char">
    <w:name w:val="Heading 2 Char"/>
    <w:basedOn w:val="DefaultParagraphFont"/>
    <w:link w:val="Heading2"/>
    <w:uiPriority w:val="9"/>
    <w:rsid w:val="007E11D5"/>
    <w:rPr>
      <w:rFonts w:asciiTheme="minorHAnsi" w:eastAsiaTheme="majorEastAsia" w:hAnsiTheme="minorHAnsi" w:cstheme="majorBidi"/>
      <w:b/>
      <w:color w:val="2F5496" w:themeColor="accent1" w:themeShade="BF"/>
      <w:szCs w:val="26"/>
    </w:rPr>
  </w:style>
  <w:style w:type="paragraph" w:styleId="Header">
    <w:name w:val="header"/>
    <w:basedOn w:val="Normal"/>
    <w:link w:val="HeaderChar"/>
    <w:unhideWhenUsed/>
    <w:qFormat/>
    <w:rsid w:val="00DB7347"/>
    <w:pPr>
      <w:tabs>
        <w:tab w:val="center" w:pos="4513"/>
        <w:tab w:val="right" w:pos="9026"/>
      </w:tabs>
      <w:spacing w:before="0" w:after="0" w:line="240" w:lineRule="auto"/>
    </w:pPr>
  </w:style>
  <w:style w:type="character" w:customStyle="1" w:styleId="HeaderChar">
    <w:name w:val="Header Char"/>
    <w:basedOn w:val="DefaultParagraphFont"/>
    <w:link w:val="Header"/>
    <w:rsid w:val="00DB7347"/>
    <w:rPr>
      <w:rFonts w:asciiTheme="minorHAnsi" w:hAnsiTheme="minorHAnsi" w:cstheme="minorBidi"/>
      <w:szCs w:val="22"/>
    </w:rPr>
  </w:style>
  <w:style w:type="paragraph" w:styleId="Footer">
    <w:name w:val="footer"/>
    <w:basedOn w:val="Normal"/>
    <w:link w:val="FooterChar"/>
    <w:uiPriority w:val="99"/>
    <w:unhideWhenUsed/>
    <w:rsid w:val="00DB734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B7347"/>
    <w:rPr>
      <w:rFonts w:asciiTheme="minorHAnsi" w:hAnsiTheme="minorHAnsi" w:cstheme="minorBidi"/>
      <w:szCs w:val="22"/>
    </w:rPr>
  </w:style>
  <w:style w:type="paragraph" w:styleId="Subtitle">
    <w:name w:val="Subtitle"/>
    <w:next w:val="Normal"/>
    <w:link w:val="SubtitleChar"/>
    <w:qFormat/>
    <w:rsid w:val="00427EBD"/>
    <w:pPr>
      <w:numPr>
        <w:ilvl w:val="1"/>
      </w:numPr>
      <w:spacing w:before="120" w:after="60" w:line="240" w:lineRule="auto"/>
    </w:pPr>
    <w:rPr>
      <w:rFonts w:ascii="Arial" w:eastAsiaTheme="majorEastAsia" w:hAnsi="Arial" w:cstheme="majorBidi"/>
      <w:iCs/>
      <w:color w:val="3F4A75"/>
      <w:spacing w:val="15"/>
      <w:sz w:val="40"/>
    </w:rPr>
  </w:style>
  <w:style w:type="character" w:customStyle="1" w:styleId="SubtitleChar">
    <w:name w:val="Subtitle Char"/>
    <w:basedOn w:val="DefaultParagraphFont"/>
    <w:link w:val="Subtitle"/>
    <w:rsid w:val="00427EBD"/>
    <w:rPr>
      <w:rFonts w:ascii="Arial" w:eastAsiaTheme="majorEastAsia" w:hAnsi="Arial" w:cstheme="majorBidi"/>
      <w:iCs/>
      <w:color w:val="3F4A75"/>
      <w:spacing w:val="15"/>
      <w:sz w:val="40"/>
    </w:rPr>
  </w:style>
  <w:style w:type="paragraph" w:styleId="Title">
    <w:name w:val="Title"/>
    <w:next w:val="Normal"/>
    <w:link w:val="TitleChar"/>
    <w:qFormat/>
    <w:rsid w:val="00F10939"/>
    <w:pPr>
      <w:spacing w:before="120" w:after="120" w:line="240" w:lineRule="auto"/>
    </w:pPr>
    <w:rPr>
      <w:rFonts w:ascii="Arial" w:eastAsiaTheme="majorEastAsia" w:hAnsi="Arial" w:cstheme="majorBidi"/>
      <w:b/>
      <w:color w:val="3F4A75"/>
      <w:kern w:val="28"/>
      <w:sz w:val="32"/>
      <w:szCs w:val="52"/>
    </w:rPr>
  </w:style>
  <w:style w:type="character" w:customStyle="1" w:styleId="TitleChar">
    <w:name w:val="Title Char"/>
    <w:basedOn w:val="DefaultParagraphFont"/>
    <w:link w:val="Title"/>
    <w:rsid w:val="00F10939"/>
    <w:rPr>
      <w:rFonts w:ascii="Arial" w:eastAsiaTheme="majorEastAsia" w:hAnsi="Arial" w:cstheme="majorBidi"/>
      <w:b/>
      <w:color w:val="3F4A7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666DD-B22B-42EE-A72E-FC1548A03EB9}">
  <ds:schemaRefs>
    <ds:schemaRef ds:uri="http://schemas.microsoft.com/sharepoint/v3/contenttype/forms"/>
  </ds:schemaRefs>
</ds:datastoreItem>
</file>

<file path=customXml/itemProps2.xml><?xml version="1.0" encoding="utf-8"?>
<ds:datastoreItem xmlns:ds="http://schemas.openxmlformats.org/officeDocument/2006/customXml" ds:itemID="{AD2C49FF-1732-4B6A-8866-CEDA1054A1E9}">
  <ds:schemaRefs>
    <ds:schemaRef ds:uri="http://schemas.microsoft.com/office/2006/documentManagement/types"/>
    <ds:schemaRef ds:uri="http://purl.org/dc/terms/"/>
    <ds:schemaRef ds:uri="http://schemas.openxmlformats.org/package/2006/metadata/core-properties"/>
    <ds:schemaRef ds:uri="2af0ad07-0ce2-4345-92b0-b87809ef53a8"/>
    <ds:schemaRef ds:uri="http://purl.org/dc/dcmitype/"/>
    <ds:schemaRef ds:uri="http://schemas.microsoft.com/office/infopath/2007/PartnerControls"/>
    <ds:schemaRef ds:uri="http://purl.org/dc/elements/1.1/"/>
    <ds:schemaRef ds:uri="http://schemas.microsoft.com/office/2006/metadata/properties"/>
    <ds:schemaRef ds:uri="839094c7-44eb-41ba-bf13-17cd8e527726"/>
    <ds:schemaRef ds:uri="http://www.w3.org/XML/1998/namespace"/>
  </ds:schemaRefs>
</ds:datastoreItem>
</file>

<file path=customXml/itemProps3.xml><?xml version="1.0" encoding="utf-8"?>
<ds:datastoreItem xmlns:ds="http://schemas.openxmlformats.org/officeDocument/2006/customXml" ds:itemID="{447770C7-F9D0-4ED8-91E1-BA8C2D8F3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National Aboriginal and Torres Strait Islander Health Plan Brochure 2021–2031</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Aboriginal and Torres Strait Islander Health Plan Brochure 2021–2031</dc:title>
  <dc:subject>Aboriginal and Torres Strait Islander Health</dc:subject>
  <dc:creator>Australian Government Department of Health</dc:creator>
  <cp:keywords>Aboriginal and Torres Strait Islander Health; Indigenous health;</cp:keywords>
  <dc:description/>
  <cp:lastModifiedBy>MASCHKE, Elvia</cp:lastModifiedBy>
  <cp:revision>2</cp:revision>
  <dcterms:created xsi:type="dcterms:W3CDTF">2022-05-10T04:09:00Z</dcterms:created>
  <dcterms:modified xsi:type="dcterms:W3CDTF">2022-05-10T04:09:00Z</dcterms:modified>
</cp:coreProperties>
</file>