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1778"/>
        <w:rPr>
          <w:sz w:val="20"/>
        </w:rPr>
      </w:pPr>
      <w:r>
        <w:rPr>
          <w:sz w:val="20"/>
        </w:rPr>
        <w:drawing>
          <wp:inline distT="0" distB="0" distL="0" distR="0">
            <wp:extent cx="3721559" cy="900683"/>
            <wp:effectExtent l="0" t="0" r="0" b="0"/>
            <wp:docPr id="1" name="image1.png" descr="D:\Users\volgyk\AppData\Local\Temp\12\notesF43D01\DH_inline_black.jp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21559" cy="900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Title"/>
        <w:spacing w:before="101"/>
      </w:pPr>
      <w:r>
        <w:rPr/>
        <w:t>MEDICARE</w:t>
      </w:r>
      <w:r>
        <w:rPr>
          <w:spacing w:val="-7"/>
        </w:rPr>
        <w:t> </w:t>
      </w:r>
      <w:r>
        <w:rPr/>
        <w:t>FOLLOW-UP</w:t>
      </w:r>
      <w:r>
        <w:rPr>
          <w:spacing w:val="-5"/>
        </w:rPr>
        <w:t> </w:t>
      </w:r>
      <w:r>
        <w:rPr/>
        <w:t>ALLIED</w:t>
      </w:r>
      <w:r>
        <w:rPr>
          <w:spacing w:val="-5"/>
        </w:rPr>
        <w:t> </w:t>
      </w:r>
      <w:r>
        <w:rPr/>
        <w:t>HEALTH</w:t>
      </w:r>
      <w:r>
        <w:rPr>
          <w:spacing w:val="-5"/>
        </w:rPr>
        <w:t> </w:t>
      </w:r>
      <w:r>
        <w:rPr/>
        <w:t>SERVICES</w:t>
      </w:r>
      <w:r>
        <w:rPr>
          <w:spacing w:val="-8"/>
        </w:rPr>
        <w:t> </w:t>
      </w:r>
      <w:r>
        <w:rPr/>
        <w:t>FOR</w:t>
      </w:r>
      <w:r>
        <w:rPr>
          <w:spacing w:val="-6"/>
        </w:rPr>
        <w:t> </w:t>
      </w:r>
      <w:r>
        <w:rPr/>
        <w:t>PEOPLE OF ABORIGINAL AND TORRES STRAIT ISLANDER DESCENT (MBS ITEMS 81300-81360)</w:t>
      </w:r>
    </w:p>
    <w:p>
      <w:pPr>
        <w:pStyle w:val="Title"/>
        <w:ind w:left="3991" w:right="3849"/>
      </w:pPr>
      <w:r>
        <w:rPr/>
        <w:pict>
          <v:shape style="position:absolute;margin-left:65.880005pt;margin-top:20.928032pt;width:462.95pt;height:2.2pt;mso-position-horizontal-relative:page;mso-position-vertical-relative:paragraph;z-index:15728640" id="docshape4" coordorigin="1318,419" coordsize="9259,44" path="m10576,447l1318,447,1318,462,10576,462,10576,447xm10576,419l1318,419,1318,433,10576,433,10576,419xe" filled="true" fillcolor="#000000" stroked="false">
            <v:path arrowok="t"/>
            <v:fill type="solid"/>
            <w10:wrap type="none"/>
          </v:shape>
        </w:pict>
      </w:r>
      <w:r>
        <w:rPr/>
        <w:t>Fact </w:t>
      </w:r>
      <w:r>
        <w:rPr>
          <w:spacing w:val="-2"/>
        </w:rPr>
        <w:t>Sheet</w:t>
      </w:r>
    </w:p>
    <w:p>
      <w:pPr>
        <w:pStyle w:val="BodyText"/>
        <w:spacing w:before="5"/>
        <w:rPr>
          <w:rFonts w:ascii="Arial Rounded MT Bold"/>
          <w:sz w:val="19"/>
        </w:rPr>
      </w:pPr>
    </w:p>
    <w:p>
      <w:pPr>
        <w:spacing w:before="91"/>
        <w:ind w:left="220" w:right="145" w:firstLine="0"/>
        <w:jc w:val="left"/>
        <w:rPr>
          <w:i/>
          <w:sz w:val="20"/>
        </w:rPr>
      </w:pPr>
      <w:r>
        <w:rPr>
          <w:i/>
          <w:sz w:val="20"/>
        </w:rPr>
        <w:t>This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fact</w:t>
      </w:r>
      <w:r>
        <w:rPr>
          <w:i/>
          <w:spacing w:val="-2"/>
          <w:sz w:val="20"/>
        </w:rPr>
        <w:t> </w:t>
      </w:r>
      <w:r>
        <w:rPr>
          <w:i/>
          <w:sz w:val="20"/>
        </w:rPr>
        <w:t>sheet</w:t>
      </w:r>
      <w:r>
        <w:rPr>
          <w:i/>
          <w:spacing w:val="-1"/>
          <w:sz w:val="20"/>
        </w:rPr>
        <w:t> </w:t>
      </w:r>
      <w:r>
        <w:rPr>
          <w:i/>
          <w:sz w:val="20"/>
        </w:rPr>
        <w:t>must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be</w:t>
      </w:r>
      <w:r>
        <w:rPr>
          <w:i/>
          <w:spacing w:val="-2"/>
          <w:sz w:val="20"/>
        </w:rPr>
        <w:t> </w:t>
      </w:r>
      <w:r>
        <w:rPr>
          <w:i/>
          <w:sz w:val="20"/>
        </w:rPr>
        <w:t>read</w:t>
      </w:r>
      <w:r>
        <w:rPr>
          <w:i/>
          <w:spacing w:val="-1"/>
          <w:sz w:val="20"/>
        </w:rPr>
        <w:t> </w:t>
      </w:r>
      <w:r>
        <w:rPr>
          <w:i/>
          <w:sz w:val="20"/>
        </w:rPr>
        <w:t>in conjunction</w:t>
      </w:r>
      <w:r>
        <w:rPr>
          <w:i/>
          <w:spacing w:val="-1"/>
          <w:sz w:val="20"/>
        </w:rPr>
        <w:t> </w:t>
      </w:r>
      <w:r>
        <w:rPr>
          <w:i/>
          <w:sz w:val="20"/>
        </w:rPr>
        <w:t>with</w:t>
      </w:r>
      <w:r>
        <w:rPr>
          <w:i/>
          <w:spacing w:val="-2"/>
          <w:sz w:val="20"/>
        </w:rPr>
        <w:t> </w:t>
      </w:r>
      <w:r>
        <w:rPr>
          <w:i/>
          <w:sz w:val="20"/>
        </w:rPr>
        <w:t>the</w:t>
      </w:r>
      <w:r>
        <w:rPr>
          <w:i/>
          <w:spacing w:val="-2"/>
          <w:sz w:val="20"/>
        </w:rPr>
        <w:t> </w:t>
      </w:r>
      <w:r>
        <w:rPr>
          <w:i/>
          <w:sz w:val="20"/>
        </w:rPr>
        <w:t>item</w:t>
      </w:r>
      <w:r>
        <w:rPr>
          <w:i/>
          <w:spacing w:val="-2"/>
          <w:sz w:val="20"/>
        </w:rPr>
        <w:t> </w:t>
      </w:r>
      <w:r>
        <w:rPr>
          <w:i/>
          <w:sz w:val="20"/>
        </w:rPr>
        <w:t>descriptors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and</w:t>
      </w:r>
      <w:r>
        <w:rPr>
          <w:i/>
          <w:spacing w:val="-1"/>
          <w:sz w:val="20"/>
        </w:rPr>
        <w:t> </w:t>
      </w:r>
      <w:r>
        <w:rPr>
          <w:i/>
          <w:sz w:val="20"/>
        </w:rPr>
        <w:t>explanatory</w:t>
      </w:r>
      <w:r>
        <w:rPr>
          <w:i/>
          <w:spacing w:val="-2"/>
          <w:sz w:val="20"/>
        </w:rPr>
        <w:t> </w:t>
      </w:r>
      <w:r>
        <w:rPr>
          <w:i/>
          <w:sz w:val="20"/>
        </w:rPr>
        <w:t>notes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for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items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81300-</w:t>
      </w:r>
      <w:r>
        <w:rPr>
          <w:i/>
          <w:sz w:val="20"/>
        </w:rPr>
        <w:t> 81360 (as set out in the Medicare Benefits Schedule).</w:t>
      </w:r>
    </w:p>
    <w:p>
      <w:pPr>
        <w:pStyle w:val="BodyText"/>
        <w:spacing w:before="10"/>
        <w:rPr>
          <w:i/>
          <w:sz w:val="22"/>
        </w:rPr>
      </w:pPr>
    </w:p>
    <w:p>
      <w:pPr>
        <w:pStyle w:val="BodyText"/>
        <w:spacing w:line="261" w:lineRule="auto"/>
        <w:ind w:left="220" w:right="145"/>
      </w:pPr>
      <w:r>
        <w:rPr/>
        <w:t>MBS</w:t>
      </w:r>
      <w:r>
        <w:rPr>
          <w:spacing w:val="-3"/>
        </w:rPr>
        <w:t> </w:t>
      </w:r>
      <w:r>
        <w:rPr/>
        <w:t>Allied</w:t>
      </w:r>
      <w:r>
        <w:rPr>
          <w:spacing w:val="-3"/>
        </w:rPr>
        <w:t> </w:t>
      </w:r>
      <w:r>
        <w:rPr/>
        <w:t>health</w:t>
      </w:r>
      <w:r>
        <w:rPr>
          <w:spacing w:val="-3"/>
        </w:rPr>
        <w:t> </w:t>
      </w:r>
      <w:r>
        <w:rPr/>
        <w:t>items</w:t>
      </w:r>
      <w:r>
        <w:rPr>
          <w:spacing w:val="-3"/>
        </w:rPr>
        <w:t> </w:t>
      </w:r>
      <w:r>
        <w:rPr/>
        <w:t>81300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81360</w:t>
      </w:r>
      <w:r>
        <w:rPr>
          <w:spacing w:val="-3"/>
        </w:rPr>
        <w:t> </w:t>
      </w:r>
      <w:r>
        <w:rPr/>
        <w:t>are</w:t>
      </w:r>
      <w:r>
        <w:rPr>
          <w:spacing w:val="-4"/>
        </w:rPr>
        <w:t> </w:t>
      </w:r>
      <w:r>
        <w:rPr/>
        <w:t>available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people</w:t>
      </w:r>
      <w:r>
        <w:rPr>
          <w:spacing w:val="-3"/>
        </w:rPr>
        <w:t> </w:t>
      </w:r>
      <w:r>
        <w:rPr/>
        <w:t>of</w:t>
      </w:r>
      <w:r>
        <w:rPr>
          <w:spacing w:val="-5"/>
        </w:rPr>
        <w:t> </w:t>
      </w:r>
      <w:r>
        <w:rPr/>
        <w:t>Aboriginal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Torres Strait Islander descent, on referral from their GP following a health assessment.</w:t>
      </w:r>
    </w:p>
    <w:p>
      <w:pPr>
        <w:pStyle w:val="Heading1"/>
        <w:spacing w:before="219"/>
      </w:pPr>
      <w:r>
        <w:rPr/>
        <w:t>Components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follow-up </w:t>
      </w:r>
      <w:r>
        <w:rPr>
          <w:spacing w:val="-2"/>
        </w:rPr>
        <w:t>items</w:t>
      </w:r>
    </w:p>
    <w:p>
      <w:pPr>
        <w:pStyle w:val="BodyText"/>
        <w:spacing w:line="261" w:lineRule="auto" w:before="64"/>
        <w:ind w:left="220" w:right="145"/>
      </w:pPr>
      <w:r>
        <w:rPr/>
        <w:t>A maximum of five (5) allied health services are available per patient each calendar year. This</w:t>
      </w:r>
      <w:r>
        <w:rPr>
          <w:spacing w:val="-3"/>
        </w:rPr>
        <w:t> </w:t>
      </w:r>
      <w:r>
        <w:rPr/>
        <w:t>is</w:t>
      </w:r>
      <w:r>
        <w:rPr>
          <w:spacing w:val="-4"/>
        </w:rPr>
        <w:t> </w:t>
      </w:r>
      <w:r>
        <w:rPr/>
        <w:t>in</w:t>
      </w:r>
      <w:r>
        <w:rPr>
          <w:spacing w:val="-3"/>
        </w:rPr>
        <w:t> </w:t>
      </w:r>
      <w:r>
        <w:rPr/>
        <w:t>addition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allied</w:t>
      </w:r>
      <w:r>
        <w:rPr>
          <w:spacing w:val="-3"/>
        </w:rPr>
        <w:t> </w:t>
      </w:r>
      <w:r>
        <w:rPr/>
        <w:t>health</w:t>
      </w:r>
      <w:r>
        <w:rPr>
          <w:spacing w:val="-3"/>
        </w:rPr>
        <w:t> </w:t>
      </w:r>
      <w:r>
        <w:rPr/>
        <w:t>services</w:t>
      </w:r>
      <w:r>
        <w:rPr>
          <w:spacing w:val="-4"/>
        </w:rPr>
        <w:t> </w:t>
      </w:r>
      <w:r>
        <w:rPr/>
        <w:t>available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eligible</w:t>
      </w:r>
      <w:r>
        <w:rPr>
          <w:spacing w:val="-4"/>
        </w:rPr>
        <w:t> </w:t>
      </w:r>
      <w:r>
        <w:rPr/>
        <w:t>patients</w:t>
      </w:r>
      <w:r>
        <w:rPr>
          <w:spacing w:val="-3"/>
        </w:rPr>
        <w:t> </w:t>
      </w:r>
      <w:r>
        <w:rPr/>
        <w:t>with</w:t>
      </w:r>
      <w:r>
        <w:rPr>
          <w:spacing w:val="-3"/>
        </w:rPr>
        <w:t> </w:t>
      </w:r>
      <w:r>
        <w:rPr/>
        <w:t>chronic disease under MBS items 10950-10970.</w:t>
      </w:r>
    </w:p>
    <w:p>
      <w:pPr>
        <w:pStyle w:val="BodyText"/>
        <w:spacing w:before="9"/>
        <w:rPr>
          <w:sz w:val="25"/>
        </w:rPr>
      </w:pPr>
    </w:p>
    <w:p>
      <w:pPr>
        <w:pStyle w:val="BodyText"/>
        <w:spacing w:line="261" w:lineRule="auto" w:before="1"/>
        <w:ind w:left="220" w:right="145"/>
      </w:pPr>
      <w:r>
        <w:rPr/>
        <w:t>The five services can be provided by one eligible allied health professional (e.g. five physiotherapy</w:t>
      </w:r>
      <w:r>
        <w:rPr>
          <w:spacing w:val="-8"/>
        </w:rPr>
        <w:t> </w:t>
      </w:r>
      <w:r>
        <w:rPr/>
        <w:t>services)</w:t>
      </w:r>
      <w:r>
        <w:rPr>
          <w:spacing w:val="-4"/>
        </w:rPr>
        <w:t> </w:t>
      </w:r>
      <w:r>
        <w:rPr/>
        <w:t>or</w:t>
      </w:r>
      <w:r>
        <w:rPr>
          <w:spacing w:val="-3"/>
        </w:rPr>
        <w:t> </w:t>
      </w:r>
      <w:r>
        <w:rPr/>
        <w:t>a</w:t>
      </w:r>
      <w:r>
        <w:rPr>
          <w:spacing w:val="-5"/>
        </w:rPr>
        <w:t> </w:t>
      </w:r>
      <w:r>
        <w:rPr/>
        <w:t>combination</w:t>
      </w:r>
      <w:r>
        <w:rPr>
          <w:spacing w:val="-3"/>
        </w:rPr>
        <w:t> </w:t>
      </w:r>
      <w:r>
        <w:rPr/>
        <w:t>of</w:t>
      </w:r>
      <w:r>
        <w:rPr>
          <w:spacing w:val="-4"/>
        </w:rPr>
        <w:t> </w:t>
      </w:r>
      <w:r>
        <w:rPr/>
        <w:t>allied</w:t>
      </w:r>
      <w:r>
        <w:rPr>
          <w:spacing w:val="-2"/>
        </w:rPr>
        <w:t> </w:t>
      </w:r>
      <w:r>
        <w:rPr/>
        <w:t>health</w:t>
      </w:r>
      <w:r>
        <w:rPr>
          <w:spacing w:val="-3"/>
        </w:rPr>
        <w:t> </w:t>
      </w:r>
      <w:r>
        <w:rPr/>
        <w:t>professionals</w:t>
      </w:r>
      <w:r>
        <w:rPr>
          <w:spacing w:val="-3"/>
        </w:rPr>
        <w:t> </w:t>
      </w:r>
      <w:r>
        <w:rPr/>
        <w:t>(e.g.</w:t>
      </w:r>
      <w:r>
        <w:rPr>
          <w:spacing w:val="-1"/>
        </w:rPr>
        <w:t> </w:t>
      </w:r>
      <w:r>
        <w:rPr/>
        <w:t>one</w:t>
      </w:r>
      <w:r>
        <w:rPr>
          <w:spacing w:val="-4"/>
        </w:rPr>
        <w:t> </w:t>
      </w:r>
      <w:r>
        <w:rPr/>
        <w:t>dietetic,</w:t>
      </w:r>
      <w:r>
        <w:rPr>
          <w:spacing w:val="-3"/>
        </w:rPr>
        <w:t> </w:t>
      </w:r>
      <w:r>
        <w:rPr/>
        <w:t>two podiatry and two physiotherapy services). Services must be of at least 20 minutes duration and must be provided individually to the patient, in person, by the eligible health professional. A written report must be provided to the referring GP after the first and last service, or more often if required.</w:t>
      </w:r>
    </w:p>
    <w:p>
      <w:pPr>
        <w:pStyle w:val="Heading1"/>
        <w:spacing w:before="174"/>
      </w:pPr>
      <w:r>
        <w:rPr/>
        <w:t>Referral</w:t>
      </w:r>
      <w:r>
        <w:rPr>
          <w:spacing w:val="-6"/>
        </w:rPr>
        <w:t> </w:t>
      </w:r>
      <w:r>
        <w:rPr>
          <w:spacing w:val="-2"/>
        </w:rPr>
        <w:t>arrangements</w:t>
      </w:r>
    </w:p>
    <w:p>
      <w:pPr>
        <w:pStyle w:val="BodyText"/>
        <w:spacing w:line="261" w:lineRule="auto" w:before="61"/>
        <w:ind w:left="220" w:right="79"/>
      </w:pPr>
      <w:r>
        <w:rPr/>
        <w:t>To access follow-up allied health services, patients must be referred by their GP to the relevant</w:t>
      </w:r>
      <w:r>
        <w:rPr>
          <w:spacing w:val="-3"/>
        </w:rPr>
        <w:t> </w:t>
      </w:r>
      <w:r>
        <w:rPr/>
        <w:t>eligible</w:t>
      </w:r>
      <w:r>
        <w:rPr>
          <w:spacing w:val="-4"/>
        </w:rPr>
        <w:t> </w:t>
      </w:r>
      <w:r>
        <w:rPr/>
        <w:t>allied</w:t>
      </w:r>
      <w:r>
        <w:rPr>
          <w:spacing w:val="-3"/>
        </w:rPr>
        <w:t> </w:t>
      </w:r>
      <w:r>
        <w:rPr/>
        <w:t>health</w:t>
      </w:r>
      <w:r>
        <w:rPr>
          <w:spacing w:val="-3"/>
        </w:rPr>
        <w:t> </w:t>
      </w:r>
      <w:r>
        <w:rPr/>
        <w:t>professional(s)</w:t>
      </w:r>
      <w:r>
        <w:rPr>
          <w:spacing w:val="-3"/>
        </w:rPr>
        <w:t> </w:t>
      </w:r>
      <w:r>
        <w:rPr/>
        <w:t>using</w:t>
      </w:r>
      <w:r>
        <w:rPr>
          <w:spacing w:val="-3"/>
        </w:rPr>
        <w:t> </w:t>
      </w:r>
      <w:r>
        <w:rPr/>
        <w:t>a</w:t>
      </w:r>
      <w:r>
        <w:rPr>
          <w:spacing w:val="-4"/>
        </w:rPr>
        <w:t> </w:t>
      </w:r>
      <w:r>
        <w:rPr/>
        <w:t>Referral</w:t>
      </w:r>
      <w:r>
        <w:rPr>
          <w:spacing w:val="-3"/>
        </w:rPr>
        <w:t> </w:t>
      </w:r>
      <w:r>
        <w:rPr/>
        <w:t>form</w:t>
      </w:r>
      <w:r>
        <w:rPr>
          <w:spacing w:val="-3"/>
        </w:rPr>
        <w:t> </w:t>
      </w:r>
      <w:r>
        <w:rPr/>
        <w:t>for</w:t>
      </w:r>
      <w:r>
        <w:rPr>
          <w:spacing w:val="-4"/>
        </w:rPr>
        <w:t> </w:t>
      </w:r>
      <w:r>
        <w:rPr/>
        <w:t>follow-up</w:t>
      </w:r>
      <w:r>
        <w:rPr>
          <w:spacing w:val="-3"/>
        </w:rPr>
        <w:t> </w:t>
      </w:r>
      <w:r>
        <w:rPr/>
        <w:t>allied</w:t>
      </w:r>
      <w:r>
        <w:rPr>
          <w:spacing w:val="-3"/>
        </w:rPr>
        <w:t> </w:t>
      </w:r>
      <w:r>
        <w:rPr/>
        <w:t>health services under Medicare for people of Aboriginal and Torres Strait Islander descent. The GP is responsible for identifying which allied health services are appropriate for the patient.</w:t>
      </w:r>
    </w:p>
    <w:p>
      <w:pPr>
        <w:pStyle w:val="Heading1"/>
        <w:spacing w:before="173"/>
      </w:pPr>
      <w:r>
        <w:rPr/>
        <w:t>Eligible</w:t>
      </w:r>
      <w:r>
        <w:rPr>
          <w:spacing w:val="-4"/>
        </w:rPr>
        <w:t> </w:t>
      </w:r>
      <w:r>
        <w:rPr/>
        <w:t>allied</w:t>
      </w:r>
      <w:r>
        <w:rPr>
          <w:spacing w:val="-1"/>
        </w:rPr>
        <w:t> </w:t>
      </w:r>
      <w:r>
        <w:rPr/>
        <w:t>health</w:t>
      </w:r>
      <w:r>
        <w:rPr>
          <w:spacing w:val="-3"/>
        </w:rPr>
        <w:t> </w:t>
      </w:r>
      <w:r>
        <w:rPr>
          <w:spacing w:val="-2"/>
        </w:rPr>
        <w:t>professionals</w:t>
      </w:r>
    </w:p>
    <w:p>
      <w:pPr>
        <w:pStyle w:val="BodyText"/>
        <w:spacing w:before="3"/>
        <w:rPr>
          <w:rFonts w:ascii="Arial"/>
          <w:b/>
        </w:rPr>
      </w:pPr>
    </w:p>
    <w:tbl>
      <w:tblPr>
        <w:tblW w:w="0" w:type="auto"/>
        <w:jc w:val="left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29"/>
        <w:gridCol w:w="1303"/>
        <w:gridCol w:w="3233"/>
        <w:gridCol w:w="1304"/>
      </w:tblGrid>
      <w:tr>
        <w:trPr>
          <w:trHeight w:val="278" w:hRule="atLeast"/>
        </w:trPr>
        <w:tc>
          <w:tcPr>
            <w:tcW w:w="3229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58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Allied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Health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pacing w:val="-4"/>
                <w:sz w:val="24"/>
              </w:rPr>
              <w:t>Area</w:t>
            </w:r>
          </w:p>
        </w:tc>
        <w:tc>
          <w:tcPr>
            <w:tcW w:w="1303" w:type="dxa"/>
          </w:tcPr>
          <w:p>
            <w:pPr>
              <w:pStyle w:val="TableParagraph"/>
              <w:spacing w:line="258" w:lineRule="exact"/>
              <w:ind w:left="410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Item</w:t>
            </w:r>
          </w:p>
        </w:tc>
        <w:tc>
          <w:tcPr>
            <w:tcW w:w="3233" w:type="dxa"/>
          </w:tcPr>
          <w:p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Allied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Health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pacing w:val="-4"/>
                <w:sz w:val="24"/>
              </w:rPr>
              <w:t>Area</w:t>
            </w:r>
          </w:p>
        </w:tc>
        <w:tc>
          <w:tcPr>
            <w:tcW w:w="1304" w:type="dxa"/>
          </w:tcPr>
          <w:p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Item</w:t>
            </w:r>
          </w:p>
        </w:tc>
      </w:tr>
      <w:tr>
        <w:trPr>
          <w:trHeight w:val="275" w:hRule="atLeast"/>
        </w:trPr>
        <w:tc>
          <w:tcPr>
            <w:tcW w:w="3229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Aboriginal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Health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Worker</w:t>
            </w:r>
          </w:p>
        </w:tc>
        <w:tc>
          <w:tcPr>
            <w:tcW w:w="1303" w:type="dxa"/>
          </w:tcPr>
          <w:p>
            <w:pPr>
              <w:pStyle w:val="TableParagraph"/>
              <w:ind w:left="470"/>
              <w:rPr>
                <w:sz w:val="24"/>
              </w:rPr>
            </w:pPr>
            <w:r>
              <w:rPr>
                <w:spacing w:val="-2"/>
                <w:sz w:val="24"/>
              </w:rPr>
              <w:t>81300</w:t>
            </w:r>
          </w:p>
        </w:tc>
        <w:tc>
          <w:tcPr>
            <w:tcW w:w="323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Physiotherapist</w:t>
            </w:r>
          </w:p>
        </w:tc>
        <w:tc>
          <w:tcPr>
            <w:tcW w:w="1304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81335</w:t>
            </w:r>
          </w:p>
        </w:tc>
      </w:tr>
      <w:tr>
        <w:trPr>
          <w:trHeight w:val="275" w:hRule="atLeast"/>
        </w:trPr>
        <w:tc>
          <w:tcPr>
            <w:tcW w:w="3229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Diabetes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Educator</w:t>
            </w:r>
          </w:p>
        </w:tc>
        <w:tc>
          <w:tcPr>
            <w:tcW w:w="1303" w:type="dxa"/>
          </w:tcPr>
          <w:p>
            <w:pPr>
              <w:pStyle w:val="TableParagraph"/>
              <w:ind w:left="470"/>
              <w:rPr>
                <w:sz w:val="24"/>
              </w:rPr>
            </w:pPr>
            <w:r>
              <w:rPr>
                <w:spacing w:val="-2"/>
                <w:sz w:val="24"/>
              </w:rPr>
              <w:t>81305</w:t>
            </w:r>
          </w:p>
        </w:tc>
        <w:tc>
          <w:tcPr>
            <w:tcW w:w="323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Podiatrist</w:t>
            </w:r>
          </w:p>
        </w:tc>
        <w:tc>
          <w:tcPr>
            <w:tcW w:w="1304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81340</w:t>
            </w:r>
          </w:p>
        </w:tc>
      </w:tr>
      <w:tr>
        <w:trPr>
          <w:trHeight w:val="275" w:hRule="atLeast"/>
        </w:trPr>
        <w:tc>
          <w:tcPr>
            <w:tcW w:w="3229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Audiologist</w:t>
            </w:r>
          </w:p>
        </w:tc>
        <w:tc>
          <w:tcPr>
            <w:tcW w:w="1303" w:type="dxa"/>
          </w:tcPr>
          <w:p>
            <w:pPr>
              <w:pStyle w:val="TableParagraph"/>
              <w:ind w:left="470"/>
              <w:rPr>
                <w:sz w:val="24"/>
              </w:rPr>
            </w:pPr>
            <w:r>
              <w:rPr>
                <w:spacing w:val="-2"/>
                <w:sz w:val="24"/>
              </w:rPr>
              <w:t>81310</w:t>
            </w:r>
          </w:p>
        </w:tc>
        <w:tc>
          <w:tcPr>
            <w:tcW w:w="323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Chiropractor</w:t>
            </w:r>
          </w:p>
        </w:tc>
        <w:tc>
          <w:tcPr>
            <w:tcW w:w="1304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81345</w:t>
            </w:r>
          </w:p>
        </w:tc>
      </w:tr>
      <w:tr>
        <w:trPr>
          <w:trHeight w:val="276" w:hRule="atLeast"/>
        </w:trPr>
        <w:tc>
          <w:tcPr>
            <w:tcW w:w="3229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Exercise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Physiologist</w:t>
            </w:r>
          </w:p>
        </w:tc>
        <w:tc>
          <w:tcPr>
            <w:tcW w:w="1303" w:type="dxa"/>
          </w:tcPr>
          <w:p>
            <w:pPr>
              <w:pStyle w:val="TableParagraph"/>
              <w:ind w:left="470"/>
              <w:rPr>
                <w:sz w:val="24"/>
              </w:rPr>
            </w:pPr>
            <w:r>
              <w:rPr>
                <w:spacing w:val="-2"/>
                <w:sz w:val="24"/>
              </w:rPr>
              <w:t>81315</w:t>
            </w:r>
          </w:p>
        </w:tc>
        <w:tc>
          <w:tcPr>
            <w:tcW w:w="323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Osteopath</w:t>
            </w:r>
          </w:p>
        </w:tc>
        <w:tc>
          <w:tcPr>
            <w:tcW w:w="1304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81350</w:t>
            </w:r>
          </w:p>
        </w:tc>
      </w:tr>
      <w:tr>
        <w:trPr>
          <w:trHeight w:val="275" w:hRule="atLeast"/>
        </w:trPr>
        <w:tc>
          <w:tcPr>
            <w:tcW w:w="3229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Dietitian</w:t>
            </w:r>
          </w:p>
        </w:tc>
        <w:tc>
          <w:tcPr>
            <w:tcW w:w="1303" w:type="dxa"/>
          </w:tcPr>
          <w:p>
            <w:pPr>
              <w:pStyle w:val="TableParagraph"/>
              <w:ind w:left="470"/>
              <w:rPr>
                <w:sz w:val="24"/>
              </w:rPr>
            </w:pPr>
            <w:r>
              <w:rPr>
                <w:spacing w:val="-2"/>
                <w:sz w:val="24"/>
              </w:rPr>
              <w:t>81320</w:t>
            </w:r>
          </w:p>
        </w:tc>
        <w:tc>
          <w:tcPr>
            <w:tcW w:w="323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Psychologist</w:t>
            </w:r>
          </w:p>
        </w:tc>
        <w:tc>
          <w:tcPr>
            <w:tcW w:w="1304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81355</w:t>
            </w:r>
          </w:p>
        </w:tc>
      </w:tr>
      <w:tr>
        <w:trPr>
          <w:trHeight w:val="277" w:hRule="atLeast"/>
        </w:trPr>
        <w:tc>
          <w:tcPr>
            <w:tcW w:w="3229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Mental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Health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2"/>
                <w:sz w:val="24"/>
              </w:rPr>
              <w:t>Worker*</w:t>
            </w:r>
          </w:p>
        </w:tc>
        <w:tc>
          <w:tcPr>
            <w:tcW w:w="1303" w:type="dxa"/>
          </w:tcPr>
          <w:p>
            <w:pPr>
              <w:pStyle w:val="TableParagraph"/>
              <w:spacing w:line="258" w:lineRule="exact"/>
              <w:ind w:left="470"/>
              <w:rPr>
                <w:sz w:val="24"/>
              </w:rPr>
            </w:pPr>
            <w:r>
              <w:rPr>
                <w:spacing w:val="-2"/>
                <w:sz w:val="24"/>
              </w:rPr>
              <w:t>81325</w:t>
            </w:r>
          </w:p>
        </w:tc>
        <w:tc>
          <w:tcPr>
            <w:tcW w:w="3233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Speech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Pathologist</w:t>
            </w:r>
          </w:p>
        </w:tc>
        <w:tc>
          <w:tcPr>
            <w:tcW w:w="1304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81360</w:t>
            </w:r>
          </w:p>
        </w:tc>
      </w:tr>
      <w:tr>
        <w:trPr>
          <w:trHeight w:val="273" w:hRule="atLeast"/>
        </w:trPr>
        <w:tc>
          <w:tcPr>
            <w:tcW w:w="3229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sz w:val="24"/>
              </w:rPr>
              <w:t>Occupational</w:t>
            </w:r>
            <w:r>
              <w:rPr>
                <w:spacing w:val="-6"/>
                <w:sz w:val="24"/>
              </w:rPr>
              <w:t> </w:t>
            </w:r>
            <w:r>
              <w:rPr>
                <w:spacing w:val="-2"/>
                <w:sz w:val="24"/>
              </w:rPr>
              <w:t>Therapist</w:t>
            </w:r>
          </w:p>
        </w:tc>
        <w:tc>
          <w:tcPr>
            <w:tcW w:w="1303" w:type="dxa"/>
          </w:tcPr>
          <w:p>
            <w:pPr>
              <w:pStyle w:val="TableParagraph"/>
              <w:spacing w:line="253" w:lineRule="exact"/>
              <w:ind w:left="470"/>
              <w:rPr>
                <w:sz w:val="24"/>
              </w:rPr>
            </w:pPr>
            <w:r>
              <w:rPr>
                <w:spacing w:val="-2"/>
                <w:sz w:val="24"/>
              </w:rPr>
              <w:t>81330</w:t>
            </w:r>
          </w:p>
        </w:tc>
        <w:tc>
          <w:tcPr>
            <w:tcW w:w="3233" w:type="dxa"/>
            <w:tcBorders>
              <w:bottom w:val="single" w:sz="6" w:space="0" w:color="FEFEFE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1304" w:type="dxa"/>
            <w:tcBorders>
              <w:bottom w:val="single" w:sz="6" w:space="0" w:color="FEFEFE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</w:tbl>
    <w:p>
      <w:pPr>
        <w:spacing w:before="0"/>
        <w:ind w:left="220" w:right="0" w:firstLine="0"/>
        <w:jc w:val="left"/>
        <w:rPr>
          <w:i/>
          <w:sz w:val="24"/>
        </w:rPr>
      </w:pPr>
      <w:r>
        <w:rPr>
          <w:i/>
          <w:sz w:val="24"/>
        </w:rPr>
        <w:t>*including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mental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health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nurses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some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social</w:t>
      </w:r>
      <w:r>
        <w:rPr>
          <w:i/>
          <w:spacing w:val="1"/>
          <w:sz w:val="24"/>
        </w:rPr>
        <w:t> </w:t>
      </w:r>
      <w:r>
        <w:rPr>
          <w:i/>
          <w:spacing w:val="-2"/>
          <w:sz w:val="24"/>
        </w:rPr>
        <w:t>workers</w:t>
      </w:r>
    </w:p>
    <w:p>
      <w:pPr>
        <w:spacing w:after="0"/>
        <w:jc w:val="left"/>
        <w:rPr>
          <w:sz w:val="24"/>
        </w:rPr>
        <w:sectPr>
          <w:footerReference w:type="default" r:id="rId5"/>
          <w:type w:val="continuous"/>
          <w:pgSz w:w="11910" w:h="16840"/>
          <w:pgMar w:footer="1043" w:header="0" w:top="960" w:bottom="1240" w:left="1220" w:right="1360"/>
          <w:pgNumType w:start="1"/>
        </w:sectPr>
      </w:pPr>
    </w:p>
    <w:p>
      <w:pPr>
        <w:pStyle w:val="Heading1"/>
      </w:pPr>
      <w:r>
        <w:rPr/>
        <w:t>Restrictions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providing</w:t>
      </w:r>
      <w:r>
        <w:rPr>
          <w:spacing w:val="-1"/>
        </w:rPr>
        <w:t> </w:t>
      </w:r>
      <w:r>
        <w:rPr/>
        <w:t>the MBS</w:t>
      </w:r>
      <w:r>
        <w:rPr>
          <w:spacing w:val="-1"/>
        </w:rPr>
        <w:t> </w:t>
      </w:r>
      <w:r>
        <w:rPr/>
        <w:t>follow-up</w:t>
      </w:r>
      <w:r>
        <w:rPr>
          <w:spacing w:val="-1"/>
        </w:rPr>
        <w:t> </w:t>
      </w:r>
      <w:r>
        <w:rPr/>
        <w:t>allied</w:t>
      </w:r>
      <w:r>
        <w:rPr>
          <w:spacing w:val="-4"/>
        </w:rPr>
        <w:t> </w:t>
      </w:r>
      <w:r>
        <w:rPr/>
        <w:t>health </w:t>
      </w:r>
      <w:r>
        <w:rPr>
          <w:spacing w:val="-2"/>
        </w:rPr>
        <w:t>items</w:t>
      </w:r>
    </w:p>
    <w:p>
      <w:pPr>
        <w:pStyle w:val="ListParagraph"/>
        <w:numPr>
          <w:ilvl w:val="0"/>
          <w:numId w:val="1"/>
        </w:numPr>
        <w:tabs>
          <w:tab w:pos="933" w:val="left" w:leader="none"/>
          <w:tab w:pos="934" w:val="left" w:leader="none"/>
        </w:tabs>
        <w:spacing w:line="259" w:lineRule="auto" w:before="64" w:after="0"/>
        <w:ind w:left="933" w:right="140" w:hanging="356"/>
        <w:jc w:val="left"/>
        <w:rPr>
          <w:sz w:val="24"/>
        </w:rPr>
      </w:pPr>
      <w:r>
        <w:rPr>
          <w:sz w:val="24"/>
        </w:rPr>
        <w:t>Allied</w:t>
      </w:r>
      <w:r>
        <w:rPr>
          <w:spacing w:val="-4"/>
          <w:sz w:val="24"/>
        </w:rPr>
        <w:t> </w:t>
      </w:r>
      <w:r>
        <w:rPr>
          <w:sz w:val="24"/>
        </w:rPr>
        <w:t>health</w:t>
      </w:r>
      <w:r>
        <w:rPr>
          <w:spacing w:val="-4"/>
          <w:sz w:val="24"/>
        </w:rPr>
        <w:t> </w:t>
      </w:r>
      <w:r>
        <w:rPr>
          <w:sz w:val="24"/>
        </w:rPr>
        <w:t>professionals</w:t>
      </w:r>
      <w:r>
        <w:rPr>
          <w:spacing w:val="-4"/>
          <w:sz w:val="24"/>
        </w:rPr>
        <w:t> </w:t>
      </w:r>
      <w:r>
        <w:rPr>
          <w:sz w:val="24"/>
        </w:rPr>
        <w:t>must</w:t>
      </w:r>
      <w:r>
        <w:rPr>
          <w:spacing w:val="-4"/>
          <w:sz w:val="24"/>
        </w:rPr>
        <w:t> </w:t>
      </w:r>
      <w:r>
        <w:rPr>
          <w:sz w:val="24"/>
        </w:rPr>
        <w:t>meet</w:t>
      </w:r>
      <w:r>
        <w:rPr>
          <w:spacing w:val="-4"/>
          <w:sz w:val="24"/>
        </w:rPr>
        <w:t> </w:t>
      </w:r>
      <w:r>
        <w:rPr>
          <w:sz w:val="24"/>
        </w:rPr>
        <w:t>certain</w:t>
      </w:r>
      <w:r>
        <w:rPr>
          <w:spacing w:val="-4"/>
          <w:sz w:val="24"/>
        </w:rPr>
        <w:t> </w:t>
      </w:r>
      <w:r>
        <w:rPr>
          <w:sz w:val="24"/>
        </w:rPr>
        <w:t>eligibility</w:t>
      </w:r>
      <w:r>
        <w:rPr>
          <w:spacing w:val="-9"/>
          <w:sz w:val="24"/>
        </w:rPr>
        <w:t> </w:t>
      </w:r>
      <w:r>
        <w:rPr>
          <w:sz w:val="24"/>
        </w:rPr>
        <w:t>criteria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be</w:t>
      </w:r>
      <w:r>
        <w:rPr>
          <w:spacing w:val="-5"/>
          <w:sz w:val="24"/>
        </w:rPr>
        <w:t> </w:t>
      </w:r>
      <w:r>
        <w:rPr>
          <w:sz w:val="24"/>
        </w:rPr>
        <w:t>registered</w:t>
      </w:r>
      <w:r>
        <w:rPr>
          <w:spacing w:val="-4"/>
          <w:sz w:val="24"/>
        </w:rPr>
        <w:t> </w:t>
      </w:r>
      <w:r>
        <w:rPr>
          <w:sz w:val="24"/>
        </w:rPr>
        <w:t>with the Department of Human Services (Medicare) – phone 132 150.</w:t>
      </w:r>
    </w:p>
    <w:p>
      <w:pPr>
        <w:pStyle w:val="ListParagraph"/>
        <w:numPr>
          <w:ilvl w:val="0"/>
          <w:numId w:val="1"/>
        </w:numPr>
        <w:tabs>
          <w:tab w:pos="933" w:val="left" w:leader="none"/>
          <w:tab w:pos="934" w:val="left" w:leader="none"/>
        </w:tabs>
        <w:spacing w:line="240" w:lineRule="auto" w:before="91" w:after="0"/>
        <w:ind w:left="933" w:right="0" w:hanging="356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patient</w:t>
      </w:r>
      <w:r>
        <w:rPr>
          <w:spacing w:val="-1"/>
          <w:sz w:val="24"/>
        </w:rPr>
        <w:t> </w:t>
      </w:r>
      <w:r>
        <w:rPr>
          <w:sz w:val="24"/>
        </w:rPr>
        <w:t>must not</w:t>
      </w:r>
      <w:r>
        <w:rPr>
          <w:spacing w:val="-1"/>
          <w:sz w:val="24"/>
        </w:rPr>
        <w:t> </w:t>
      </w:r>
      <w:r>
        <w:rPr>
          <w:sz w:val="24"/>
        </w:rPr>
        <w:t>be an</w:t>
      </w:r>
      <w:r>
        <w:rPr>
          <w:spacing w:val="-1"/>
          <w:sz w:val="24"/>
        </w:rPr>
        <w:t> </w:t>
      </w:r>
      <w:r>
        <w:rPr>
          <w:sz w:val="24"/>
        </w:rPr>
        <w:t>admitted</w:t>
      </w:r>
      <w:r>
        <w:rPr>
          <w:spacing w:val="-1"/>
          <w:sz w:val="24"/>
        </w:rPr>
        <w:t> </w:t>
      </w:r>
      <w:r>
        <w:rPr>
          <w:sz w:val="24"/>
        </w:rPr>
        <w:t>patient of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hospital.</w:t>
      </w:r>
    </w:p>
    <w:p>
      <w:pPr>
        <w:pStyle w:val="ListParagraph"/>
        <w:numPr>
          <w:ilvl w:val="0"/>
          <w:numId w:val="1"/>
        </w:numPr>
        <w:tabs>
          <w:tab w:pos="933" w:val="left" w:leader="none"/>
          <w:tab w:pos="934" w:val="left" w:leader="none"/>
        </w:tabs>
        <w:spacing w:line="259" w:lineRule="auto" w:before="117" w:after="0"/>
        <w:ind w:left="933" w:right="663" w:hanging="356"/>
        <w:jc w:val="left"/>
        <w:rPr>
          <w:sz w:val="24"/>
        </w:rPr>
      </w:pPr>
      <w:r>
        <w:rPr>
          <w:sz w:val="24"/>
        </w:rPr>
        <w:t>Services cannot be claimed where the service is already funded by State or Commonwealth</w:t>
      </w:r>
      <w:r>
        <w:rPr>
          <w:spacing w:val="-4"/>
          <w:sz w:val="24"/>
        </w:rPr>
        <w:t> </w:t>
      </w:r>
      <w:r>
        <w:rPr>
          <w:sz w:val="24"/>
        </w:rPr>
        <w:t>governments</w:t>
      </w:r>
      <w:r>
        <w:rPr>
          <w:spacing w:val="-4"/>
          <w:sz w:val="24"/>
        </w:rPr>
        <w:t> </w:t>
      </w:r>
      <w:r>
        <w:rPr>
          <w:sz w:val="24"/>
        </w:rPr>
        <w:t>unless</w:t>
      </w:r>
      <w:r>
        <w:rPr>
          <w:spacing w:val="-4"/>
          <w:sz w:val="24"/>
        </w:rPr>
        <w:t> </w:t>
      </w:r>
      <w:r>
        <w:rPr>
          <w:sz w:val="24"/>
        </w:rPr>
        <w:t>an</w:t>
      </w:r>
      <w:r>
        <w:rPr>
          <w:spacing w:val="-4"/>
          <w:sz w:val="24"/>
        </w:rPr>
        <w:t> </w:t>
      </w:r>
      <w:r>
        <w:rPr>
          <w:sz w:val="24"/>
        </w:rPr>
        <w:t>exemption</w:t>
      </w:r>
      <w:r>
        <w:rPr>
          <w:spacing w:val="-4"/>
          <w:sz w:val="24"/>
        </w:rPr>
        <w:t> </w:t>
      </w:r>
      <w:r>
        <w:rPr>
          <w:sz w:val="24"/>
        </w:rPr>
        <w:t>under</w:t>
      </w:r>
      <w:r>
        <w:rPr>
          <w:spacing w:val="-6"/>
          <w:sz w:val="24"/>
        </w:rPr>
        <w:t> </w:t>
      </w:r>
      <w:r>
        <w:rPr>
          <w:sz w:val="24"/>
        </w:rPr>
        <w:t>subsection</w:t>
      </w:r>
      <w:r>
        <w:rPr>
          <w:spacing w:val="-4"/>
          <w:sz w:val="24"/>
        </w:rPr>
        <w:t> </w:t>
      </w:r>
      <w:r>
        <w:rPr>
          <w:sz w:val="24"/>
        </w:rPr>
        <w:t>19(2)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the Health Insurance Act 1973 has been granted.</w:t>
      </w:r>
    </w:p>
    <w:p>
      <w:pPr>
        <w:pStyle w:val="ListParagraph"/>
        <w:numPr>
          <w:ilvl w:val="0"/>
          <w:numId w:val="1"/>
        </w:numPr>
        <w:tabs>
          <w:tab w:pos="934" w:val="left" w:leader="none"/>
        </w:tabs>
        <w:spacing w:line="259" w:lineRule="auto" w:before="95" w:after="0"/>
        <w:ind w:left="933" w:right="575" w:hanging="356"/>
        <w:jc w:val="both"/>
        <w:rPr>
          <w:sz w:val="24"/>
        </w:rPr>
      </w:pPr>
      <w:r>
        <w:rPr>
          <w:sz w:val="24"/>
        </w:rPr>
        <w:t>It</w:t>
      </w:r>
      <w:r>
        <w:rPr>
          <w:spacing w:val="-3"/>
          <w:sz w:val="24"/>
        </w:rPr>
        <w:t> </w:t>
      </w:r>
      <w:r>
        <w:rPr>
          <w:sz w:val="24"/>
        </w:rPr>
        <w:t>is</w:t>
      </w:r>
      <w:r>
        <w:rPr>
          <w:spacing w:val="-4"/>
          <w:sz w:val="24"/>
        </w:rPr>
        <w:t> </w:t>
      </w:r>
      <w:r>
        <w:rPr>
          <w:sz w:val="24"/>
        </w:rPr>
        <w:t>not</w:t>
      </w:r>
      <w:r>
        <w:rPr>
          <w:spacing w:val="-3"/>
          <w:sz w:val="24"/>
        </w:rPr>
        <w:t> </w:t>
      </w:r>
      <w:r>
        <w:rPr>
          <w:sz w:val="24"/>
        </w:rPr>
        <w:t>necessary</w:t>
      </w:r>
      <w:r>
        <w:rPr>
          <w:spacing w:val="-6"/>
          <w:sz w:val="24"/>
        </w:rPr>
        <w:t> </w:t>
      </w:r>
      <w:r>
        <w:rPr>
          <w:sz w:val="24"/>
        </w:rPr>
        <w:t>for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medical</w:t>
      </w:r>
      <w:r>
        <w:rPr>
          <w:spacing w:val="-3"/>
          <w:sz w:val="24"/>
        </w:rPr>
        <w:t> </w:t>
      </w:r>
      <w:r>
        <w:rPr>
          <w:sz w:val="24"/>
        </w:rPr>
        <w:t>practitioner</w:t>
      </w:r>
      <w:r>
        <w:rPr>
          <w:spacing w:val="-3"/>
          <w:sz w:val="24"/>
        </w:rPr>
        <w:t> </w:t>
      </w:r>
      <w:r>
        <w:rPr>
          <w:sz w:val="24"/>
        </w:rPr>
        <w:t>to</w:t>
      </w:r>
      <w:r>
        <w:rPr>
          <w:spacing w:val="-3"/>
          <w:sz w:val="24"/>
        </w:rPr>
        <w:t> </w:t>
      </w:r>
      <w:r>
        <w:rPr>
          <w:sz w:val="24"/>
        </w:rPr>
        <w:t>claim</w:t>
      </w:r>
      <w:r>
        <w:rPr>
          <w:spacing w:val="-3"/>
          <w:sz w:val="24"/>
        </w:rPr>
        <w:t> </w:t>
      </w:r>
      <w:r>
        <w:rPr>
          <w:sz w:val="24"/>
        </w:rPr>
        <w:t>their</w:t>
      </w:r>
      <w:r>
        <w:rPr>
          <w:spacing w:val="-3"/>
          <w:sz w:val="24"/>
        </w:rPr>
        <w:t> </w:t>
      </w:r>
      <w:r>
        <w:rPr>
          <w:sz w:val="24"/>
        </w:rPr>
        <w:t>health</w:t>
      </w:r>
      <w:r>
        <w:rPr>
          <w:spacing w:val="-3"/>
          <w:sz w:val="24"/>
        </w:rPr>
        <w:t> </w:t>
      </w:r>
      <w:r>
        <w:rPr>
          <w:sz w:val="24"/>
        </w:rPr>
        <w:t>assessment</w:t>
      </w:r>
      <w:r>
        <w:rPr>
          <w:spacing w:val="-3"/>
          <w:sz w:val="24"/>
        </w:rPr>
        <w:t> </w:t>
      </w:r>
      <w:r>
        <w:rPr>
          <w:sz w:val="24"/>
        </w:rPr>
        <w:t>on Medicare</w:t>
      </w:r>
      <w:r>
        <w:rPr>
          <w:spacing w:val="-4"/>
          <w:sz w:val="24"/>
        </w:rPr>
        <w:t> </w:t>
      </w:r>
      <w:r>
        <w:rPr>
          <w:sz w:val="24"/>
        </w:rPr>
        <w:t>but</w:t>
      </w:r>
      <w:r>
        <w:rPr>
          <w:spacing w:val="-3"/>
          <w:sz w:val="24"/>
        </w:rPr>
        <w:t> </w:t>
      </w:r>
      <w:r>
        <w:rPr>
          <w:sz w:val="24"/>
        </w:rPr>
        <w:t>must</w:t>
      </w:r>
      <w:r>
        <w:rPr>
          <w:spacing w:val="-3"/>
          <w:sz w:val="24"/>
        </w:rPr>
        <w:t> </w:t>
      </w:r>
      <w:r>
        <w:rPr>
          <w:sz w:val="24"/>
        </w:rPr>
        <w:t>indicate</w:t>
      </w:r>
      <w:r>
        <w:rPr>
          <w:spacing w:val="-3"/>
          <w:sz w:val="24"/>
        </w:rPr>
        <w:t> </w:t>
      </w:r>
      <w:r>
        <w:rPr>
          <w:sz w:val="24"/>
        </w:rPr>
        <w:t>on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referral</w:t>
      </w:r>
      <w:r>
        <w:rPr>
          <w:spacing w:val="-3"/>
          <w:sz w:val="24"/>
        </w:rPr>
        <w:t> </w:t>
      </w:r>
      <w:r>
        <w:rPr>
          <w:sz w:val="24"/>
        </w:rPr>
        <w:t>form</w:t>
      </w:r>
      <w:r>
        <w:rPr>
          <w:spacing w:val="-3"/>
          <w:sz w:val="24"/>
        </w:rPr>
        <w:t> </w:t>
      </w:r>
      <w:r>
        <w:rPr>
          <w:sz w:val="24"/>
        </w:rPr>
        <w:t>that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health</w:t>
      </w:r>
      <w:r>
        <w:rPr>
          <w:spacing w:val="-3"/>
          <w:sz w:val="24"/>
        </w:rPr>
        <w:t> </w:t>
      </w:r>
      <w:r>
        <w:rPr>
          <w:sz w:val="24"/>
        </w:rPr>
        <w:t>assessment</w:t>
      </w:r>
      <w:r>
        <w:rPr>
          <w:spacing w:val="-3"/>
          <w:sz w:val="24"/>
        </w:rPr>
        <w:t> </w:t>
      </w:r>
      <w:r>
        <w:rPr>
          <w:sz w:val="24"/>
        </w:rPr>
        <w:t>has</w:t>
      </w:r>
      <w:r>
        <w:rPr>
          <w:spacing w:val="-4"/>
          <w:sz w:val="24"/>
        </w:rPr>
        <w:t> </w:t>
      </w:r>
      <w:r>
        <w:rPr>
          <w:sz w:val="24"/>
        </w:rPr>
        <w:t>been </w:t>
      </w:r>
      <w:r>
        <w:rPr>
          <w:spacing w:val="-2"/>
          <w:sz w:val="24"/>
        </w:rPr>
        <w:t>undertaken.</w:t>
      </w:r>
    </w:p>
    <w:p>
      <w:pPr>
        <w:pStyle w:val="Heading1"/>
        <w:spacing w:before="187"/>
      </w:pPr>
      <w:r>
        <w:rPr/>
        <w:t>Guidelines and </w:t>
      </w:r>
      <w:r>
        <w:rPr>
          <w:spacing w:val="-2"/>
        </w:rPr>
        <w:t>Resources</w:t>
      </w:r>
    </w:p>
    <w:p>
      <w:pPr>
        <w:pStyle w:val="BodyText"/>
        <w:spacing w:before="35"/>
        <w:ind w:left="220" w:right="145"/>
      </w:pPr>
      <w:r>
        <w:rPr/>
        <w:t>For</w:t>
      </w:r>
      <w:r>
        <w:rPr>
          <w:spacing w:val="-4"/>
        </w:rPr>
        <w:t> </w:t>
      </w:r>
      <w:r>
        <w:rPr/>
        <w:t>more</w:t>
      </w:r>
      <w:r>
        <w:rPr>
          <w:spacing w:val="-5"/>
        </w:rPr>
        <w:t> </w:t>
      </w:r>
      <w:r>
        <w:rPr/>
        <w:t>detailed</w:t>
      </w:r>
      <w:r>
        <w:rPr>
          <w:spacing w:val="-3"/>
        </w:rPr>
        <w:t> </w:t>
      </w:r>
      <w:r>
        <w:rPr/>
        <w:t>information</w:t>
      </w:r>
      <w:r>
        <w:rPr>
          <w:spacing w:val="-3"/>
        </w:rPr>
        <w:t> </w:t>
      </w:r>
      <w:r>
        <w:rPr/>
        <w:t>about</w:t>
      </w:r>
      <w:r>
        <w:rPr>
          <w:spacing w:val="-3"/>
        </w:rPr>
        <w:t> </w:t>
      </w:r>
      <w:r>
        <w:rPr/>
        <w:t>MBS</w:t>
      </w:r>
      <w:r>
        <w:rPr>
          <w:spacing w:val="-3"/>
        </w:rPr>
        <w:t> </w:t>
      </w:r>
      <w:r>
        <w:rPr/>
        <w:t>item</w:t>
      </w:r>
      <w:r>
        <w:rPr>
          <w:spacing w:val="-3"/>
        </w:rPr>
        <w:t> </w:t>
      </w:r>
      <w:r>
        <w:rPr/>
        <w:t>descriptors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explanatory</w:t>
      </w:r>
      <w:r>
        <w:rPr>
          <w:spacing w:val="-6"/>
        </w:rPr>
        <w:t> </w:t>
      </w:r>
      <w:r>
        <w:rPr/>
        <w:t>notes</w:t>
      </w:r>
      <w:r>
        <w:rPr>
          <w:spacing w:val="-3"/>
        </w:rPr>
        <w:t> </w:t>
      </w:r>
      <w:r>
        <w:rPr/>
        <w:t>visit</w:t>
      </w:r>
      <w:r>
        <w:rPr>
          <w:spacing w:val="-3"/>
        </w:rPr>
        <w:t> </w:t>
      </w:r>
      <w:r>
        <w:rPr/>
        <w:t>the Department of Health website at </w:t>
      </w:r>
      <w:hyperlink r:id="rId7">
        <w:r>
          <w:rPr>
            <w:color w:val="0000FF"/>
            <w:u w:val="single" w:color="0000FF"/>
          </w:rPr>
          <w:t>www.mbsonline.gov.au</w:t>
        </w:r>
      </w:hyperlink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220" w:right="145"/>
      </w:pPr>
      <w:r>
        <w:rPr/>
        <w:t>Further</w:t>
      </w:r>
      <w:r>
        <w:rPr>
          <w:spacing w:val="-5"/>
        </w:rPr>
        <w:t> </w:t>
      </w:r>
      <w:r>
        <w:rPr/>
        <w:t>information,</w:t>
      </w:r>
      <w:r>
        <w:rPr>
          <w:spacing w:val="-3"/>
        </w:rPr>
        <w:t> </w:t>
      </w:r>
      <w:r>
        <w:rPr/>
        <w:t>including</w:t>
      </w:r>
      <w:r>
        <w:rPr>
          <w:spacing w:val="-5"/>
        </w:rPr>
        <w:t> </w:t>
      </w:r>
      <w:r>
        <w:rPr/>
        <w:t>referral</w:t>
      </w:r>
      <w:r>
        <w:rPr>
          <w:spacing w:val="-3"/>
        </w:rPr>
        <w:t> </w:t>
      </w:r>
      <w:r>
        <w:rPr/>
        <w:t>forms,</w:t>
      </w:r>
      <w:r>
        <w:rPr>
          <w:spacing w:val="-3"/>
        </w:rPr>
        <w:t> </w:t>
      </w:r>
      <w:r>
        <w:rPr/>
        <w:t>is</w:t>
      </w:r>
      <w:r>
        <w:rPr>
          <w:spacing w:val="-3"/>
        </w:rPr>
        <w:t> </w:t>
      </w:r>
      <w:r>
        <w:rPr/>
        <w:t>available</w:t>
      </w:r>
      <w:r>
        <w:rPr>
          <w:spacing w:val="-2"/>
        </w:rPr>
        <w:t> </w:t>
      </w:r>
      <w:r>
        <w:rPr/>
        <w:t>on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Department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Health website at </w:t>
      </w:r>
      <w:hyperlink r:id="rId8">
        <w:r>
          <w:rPr>
            <w:color w:val="0000FF"/>
            <w:u w:val="single" w:color="0000FF"/>
          </w:rPr>
          <w:t>http://www.health.gov.au/mbsprimarycareitems</w:t>
        </w:r>
      </w:hyperlink>
    </w:p>
    <w:sectPr>
      <w:pgSz w:w="11910" w:h="16840"/>
      <w:pgMar w:header="0" w:footer="1043" w:top="900" w:bottom="1240" w:left="1220" w:right="1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Symbol">
    <w:altName w:val="Symbol"/>
    <w:charset w:val="2"/>
    <w:family w:val="roman"/>
    <w:pitch w:val="variable"/>
  </w:font>
  <w:font w:name="Arial Narrow">
    <w:altName w:val="Arial Narrow"/>
    <w:charset w:val="0"/>
    <w:family w:val="swiss"/>
    <w:pitch w:val="variable"/>
  </w:font>
  <w:font w:name="Arial Rounded MT Bold">
    <w:altName w:val="Arial Rounded MT Bold"/>
    <w:charset w:val="0"/>
    <w:family w:val="swiss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66.600006pt;margin-top:775.776001pt;width:462.25pt;height:2.2pt;mso-position-horizontal-relative:page;mso-position-vertical-relative:page;z-index:-15817728" id="docshape1" coordorigin="1332,15516" coordsize="9245,44" path="m10576,15544l5996,15544,5953,15544,1332,15544,1332,15559,5953,15559,5996,15559,10576,15559,10576,15544xm10576,15516l5996,15516,5953,15516,1332,15516,1332,15530,5953,15530,5996,15530,10576,15530,10576,15516xe" filled="true" fillcolor="#000000" stroked="false">
          <v:path arrowok="t"/>
          <v:fill type="solid"/>
          <w10:wrap type="none"/>
        </v:shape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71.024002pt;margin-top:777.036072pt;width:200.9pt;height:33pt;mso-position-horizontal-relative:page;mso-position-vertical-relative:page;z-index:-15817216" type="#_x0000_t202" id="docshape2" filled="false" stroked="false">
          <v:textbox inset="0,0,0,0">
            <w:txbxContent>
              <w:p>
                <w:pPr>
                  <w:spacing w:before="19"/>
                  <w:ind w:left="20" w:right="0" w:firstLine="0"/>
                  <w:jc w:val="left"/>
                  <w:rPr>
                    <w:rFonts w:ascii="Arial Narrow" w:hAnsi="Arial Narrow"/>
                    <w:sz w:val="18"/>
                  </w:rPr>
                </w:pPr>
                <w:r>
                  <w:rPr>
                    <w:rFonts w:ascii="Arial Narrow" w:hAnsi="Arial Narrow"/>
                    <w:sz w:val="18"/>
                  </w:rPr>
                  <w:t>Follow-up</w:t>
                </w:r>
                <w:r>
                  <w:rPr>
                    <w:rFonts w:ascii="Arial Narrow" w:hAnsi="Arial Narrow"/>
                    <w:spacing w:val="-6"/>
                    <w:sz w:val="18"/>
                  </w:rPr>
                  <w:t> </w:t>
                </w:r>
                <w:r>
                  <w:rPr>
                    <w:rFonts w:ascii="Arial Narrow" w:hAnsi="Arial Narrow"/>
                    <w:sz w:val="18"/>
                  </w:rPr>
                  <w:t>Allied</w:t>
                </w:r>
                <w:r>
                  <w:rPr>
                    <w:rFonts w:ascii="Arial Narrow" w:hAnsi="Arial Narrow"/>
                    <w:spacing w:val="-6"/>
                    <w:sz w:val="18"/>
                  </w:rPr>
                  <w:t> </w:t>
                </w:r>
                <w:r>
                  <w:rPr>
                    <w:rFonts w:ascii="Arial Narrow" w:hAnsi="Arial Narrow"/>
                    <w:sz w:val="18"/>
                  </w:rPr>
                  <w:t>Health</w:t>
                </w:r>
                <w:r>
                  <w:rPr>
                    <w:rFonts w:ascii="Arial Narrow" w:hAnsi="Arial Narrow"/>
                    <w:spacing w:val="-6"/>
                    <w:sz w:val="18"/>
                  </w:rPr>
                  <w:t> </w:t>
                </w:r>
                <w:r>
                  <w:rPr>
                    <w:rFonts w:ascii="Arial Narrow" w:hAnsi="Arial Narrow"/>
                    <w:sz w:val="18"/>
                  </w:rPr>
                  <w:t>Services</w:t>
                </w:r>
                <w:r>
                  <w:rPr>
                    <w:rFonts w:ascii="Arial Narrow" w:hAnsi="Arial Narrow"/>
                    <w:spacing w:val="-6"/>
                    <w:sz w:val="18"/>
                  </w:rPr>
                  <w:t> </w:t>
                </w:r>
                <w:r>
                  <w:rPr>
                    <w:rFonts w:ascii="Arial Narrow" w:hAnsi="Arial Narrow"/>
                    <w:sz w:val="18"/>
                  </w:rPr>
                  <w:t>for</w:t>
                </w:r>
                <w:r>
                  <w:rPr>
                    <w:rFonts w:ascii="Arial Narrow" w:hAnsi="Arial Narrow"/>
                    <w:spacing w:val="-3"/>
                    <w:sz w:val="18"/>
                  </w:rPr>
                  <w:t> </w:t>
                </w:r>
                <w:r>
                  <w:rPr>
                    <w:rFonts w:ascii="Arial Narrow" w:hAnsi="Arial Narrow"/>
                    <w:sz w:val="18"/>
                  </w:rPr>
                  <w:t>People</w:t>
                </w:r>
                <w:r>
                  <w:rPr>
                    <w:rFonts w:ascii="Arial Narrow" w:hAnsi="Arial Narrow"/>
                    <w:spacing w:val="-6"/>
                    <w:sz w:val="18"/>
                  </w:rPr>
                  <w:t> </w:t>
                </w:r>
                <w:r>
                  <w:rPr>
                    <w:rFonts w:ascii="Arial Narrow" w:hAnsi="Arial Narrow"/>
                    <w:sz w:val="18"/>
                  </w:rPr>
                  <w:t>of</w:t>
                </w:r>
                <w:r>
                  <w:rPr>
                    <w:rFonts w:ascii="Arial Narrow" w:hAnsi="Arial Narrow"/>
                    <w:spacing w:val="-6"/>
                    <w:sz w:val="18"/>
                  </w:rPr>
                  <w:t> </w:t>
                </w:r>
                <w:r>
                  <w:rPr>
                    <w:rFonts w:ascii="Arial Narrow" w:hAnsi="Arial Narrow"/>
                    <w:sz w:val="18"/>
                  </w:rPr>
                  <w:t>Aboriginal</w:t>
                </w:r>
                <w:r>
                  <w:rPr>
                    <w:rFonts w:ascii="Arial Narrow" w:hAnsi="Arial Narrow"/>
                    <w:spacing w:val="-5"/>
                    <w:sz w:val="18"/>
                  </w:rPr>
                  <w:t> </w:t>
                </w:r>
                <w:r>
                  <w:rPr>
                    <w:rFonts w:ascii="Arial Narrow" w:hAnsi="Arial Narrow"/>
                    <w:sz w:val="18"/>
                  </w:rPr>
                  <w:t>and Torres Strait Islander Descent – MBS items 81300-81360 October</w:t>
                </w:r>
                <w:r>
                  <w:rPr>
                    <w:rFonts w:ascii="Arial Narrow" w:hAnsi="Arial Narrow"/>
                    <w:spacing w:val="-4"/>
                    <w:sz w:val="18"/>
                  </w:rPr>
                  <w:t> </w:t>
                </w:r>
                <w:r>
                  <w:rPr>
                    <w:rFonts w:ascii="Arial Narrow" w:hAnsi="Arial Narrow"/>
                    <w:sz w:val="18"/>
                  </w:rPr>
                  <w:t>2013</w:t>
                </w:r>
              </w:p>
            </w:txbxContent>
          </v:textbox>
          <w10:wrap type="none"/>
        </v:shape>
      </w:pict>
    </w:r>
    <w:r>
      <w:rPr/>
      <w:pict>
        <v:shape style="position:absolute;margin-left:484.5pt;margin-top:777.036072pt;width:39.75pt;height:12.35pt;mso-position-horizontal-relative:page;mso-position-vertical-relative:page;z-index:-15816704" type="#_x0000_t202" id="docshape3" filled="false" stroked="false">
          <v:textbox inset="0,0,0,0">
            <w:txbxContent>
              <w:p>
                <w:pPr>
                  <w:spacing w:before="19"/>
                  <w:ind w:left="20" w:right="0" w:firstLine="0"/>
                  <w:jc w:val="left"/>
                  <w:rPr>
                    <w:rFonts w:ascii="Arial Narrow"/>
                    <w:sz w:val="18"/>
                  </w:rPr>
                </w:pPr>
                <w:r>
                  <w:rPr>
                    <w:rFonts w:ascii="Arial Narrow"/>
                    <w:sz w:val="18"/>
                  </w:rPr>
                  <w:t>Page</w:t>
                </w:r>
                <w:r>
                  <w:rPr>
                    <w:rFonts w:ascii="Arial Narrow"/>
                    <w:spacing w:val="-5"/>
                    <w:sz w:val="18"/>
                  </w:rPr>
                  <w:t> </w:t>
                </w:r>
                <w:r>
                  <w:rPr>
                    <w:rFonts w:ascii="Arial Narrow"/>
                    <w:sz w:val="18"/>
                  </w:rPr>
                  <w:fldChar w:fldCharType="begin"/>
                </w:r>
                <w:r>
                  <w:rPr>
                    <w:rFonts w:ascii="Arial Narrow"/>
                    <w:sz w:val="18"/>
                  </w:rPr>
                  <w:instrText> PAGE </w:instrText>
                </w:r>
                <w:r>
                  <w:rPr>
                    <w:rFonts w:ascii="Arial Narrow"/>
                    <w:sz w:val="18"/>
                  </w:rPr>
                  <w:fldChar w:fldCharType="separate"/>
                </w:r>
                <w:r>
                  <w:rPr>
                    <w:rFonts w:ascii="Arial Narrow"/>
                    <w:sz w:val="18"/>
                  </w:rPr>
                  <w:t>1</w:t>
                </w:r>
                <w:r>
                  <w:rPr>
                    <w:rFonts w:ascii="Arial Narrow"/>
                    <w:sz w:val="18"/>
                  </w:rPr>
                  <w:fldChar w:fldCharType="end"/>
                </w:r>
                <w:r>
                  <w:rPr>
                    <w:rFonts w:ascii="Arial Narrow"/>
                    <w:spacing w:val="-1"/>
                    <w:sz w:val="18"/>
                  </w:rPr>
                  <w:t> </w:t>
                </w:r>
                <w:r>
                  <w:rPr>
                    <w:rFonts w:ascii="Arial Narrow"/>
                    <w:sz w:val="18"/>
                  </w:rPr>
                  <w:t>of</w:t>
                </w:r>
                <w:r>
                  <w:rPr>
                    <w:rFonts w:ascii="Arial Narrow"/>
                    <w:spacing w:val="1"/>
                    <w:sz w:val="18"/>
                  </w:rPr>
                  <w:t> </w:t>
                </w:r>
                <w:r>
                  <w:rPr>
                    <w:rFonts w:ascii="Arial Narrow"/>
                    <w:spacing w:val="-10"/>
                    <w:sz w:val="18"/>
                  </w:rPr>
                  <w:fldChar w:fldCharType="begin"/>
                </w:r>
                <w:r>
                  <w:rPr>
                    <w:rFonts w:ascii="Arial Narrow"/>
                    <w:spacing w:val="-10"/>
                    <w:sz w:val="18"/>
                  </w:rPr>
                  <w:instrText> NUMPAGES </w:instrText>
                </w:r>
                <w:r>
                  <w:rPr>
                    <w:rFonts w:ascii="Arial Narrow"/>
                    <w:spacing w:val="-10"/>
                    <w:sz w:val="18"/>
                  </w:rPr>
                  <w:fldChar w:fldCharType="separate"/>
                </w:r>
                <w:r>
                  <w:rPr>
                    <w:rFonts w:ascii="Arial Narrow"/>
                    <w:spacing w:val="-10"/>
                    <w:sz w:val="18"/>
                  </w:rPr>
                  <w:t>2</w:t>
                </w:r>
                <w:r>
                  <w:rPr>
                    <w:rFonts w:ascii="Arial Narrow"/>
                    <w:spacing w:val="-10"/>
                    <w:sz w:val="18"/>
                  </w:rPr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"/>
      <w:lvlJc w:val="left"/>
      <w:pPr>
        <w:ind w:left="933" w:hanging="356"/>
      </w:pPr>
      <w:rPr>
        <w:rFonts w:hint="default" w:ascii="Symbol" w:hAnsi="Symbol" w:eastAsia="Symbol" w:cs="Symbol"/>
        <w:b w:val="0"/>
        <w:bCs w:val="0"/>
        <w:i w:val="0"/>
        <w:iCs w:val="0"/>
        <w:w w:val="99"/>
        <w:sz w:val="20"/>
        <w:szCs w:val="20"/>
        <w:lang w:val="en-au" w:eastAsia="en-US" w:bidi="ar-SA"/>
      </w:rPr>
    </w:lvl>
    <w:lvl w:ilvl="1">
      <w:start w:val="0"/>
      <w:numFmt w:val="bullet"/>
      <w:lvlText w:val="•"/>
      <w:lvlJc w:val="left"/>
      <w:pPr>
        <w:ind w:left="1778" w:hanging="356"/>
      </w:pPr>
      <w:rPr>
        <w:rFonts w:hint="default"/>
        <w:lang w:val="en-au" w:eastAsia="en-US" w:bidi="ar-SA"/>
      </w:rPr>
    </w:lvl>
    <w:lvl w:ilvl="2">
      <w:start w:val="0"/>
      <w:numFmt w:val="bullet"/>
      <w:lvlText w:val="•"/>
      <w:lvlJc w:val="left"/>
      <w:pPr>
        <w:ind w:left="2617" w:hanging="356"/>
      </w:pPr>
      <w:rPr>
        <w:rFonts w:hint="default"/>
        <w:lang w:val="en-au" w:eastAsia="en-US" w:bidi="ar-SA"/>
      </w:rPr>
    </w:lvl>
    <w:lvl w:ilvl="3">
      <w:start w:val="0"/>
      <w:numFmt w:val="bullet"/>
      <w:lvlText w:val="•"/>
      <w:lvlJc w:val="left"/>
      <w:pPr>
        <w:ind w:left="3455" w:hanging="356"/>
      </w:pPr>
      <w:rPr>
        <w:rFonts w:hint="default"/>
        <w:lang w:val="en-au" w:eastAsia="en-US" w:bidi="ar-SA"/>
      </w:rPr>
    </w:lvl>
    <w:lvl w:ilvl="4">
      <w:start w:val="0"/>
      <w:numFmt w:val="bullet"/>
      <w:lvlText w:val="•"/>
      <w:lvlJc w:val="left"/>
      <w:pPr>
        <w:ind w:left="4294" w:hanging="356"/>
      </w:pPr>
      <w:rPr>
        <w:rFonts w:hint="default"/>
        <w:lang w:val="en-au" w:eastAsia="en-US" w:bidi="ar-SA"/>
      </w:rPr>
    </w:lvl>
    <w:lvl w:ilvl="5">
      <w:start w:val="0"/>
      <w:numFmt w:val="bullet"/>
      <w:lvlText w:val="•"/>
      <w:lvlJc w:val="left"/>
      <w:pPr>
        <w:ind w:left="5133" w:hanging="356"/>
      </w:pPr>
      <w:rPr>
        <w:rFonts w:hint="default"/>
        <w:lang w:val="en-au" w:eastAsia="en-US" w:bidi="ar-SA"/>
      </w:rPr>
    </w:lvl>
    <w:lvl w:ilvl="6">
      <w:start w:val="0"/>
      <w:numFmt w:val="bullet"/>
      <w:lvlText w:val="•"/>
      <w:lvlJc w:val="left"/>
      <w:pPr>
        <w:ind w:left="5971" w:hanging="356"/>
      </w:pPr>
      <w:rPr>
        <w:rFonts w:hint="default"/>
        <w:lang w:val="en-au" w:eastAsia="en-US" w:bidi="ar-SA"/>
      </w:rPr>
    </w:lvl>
    <w:lvl w:ilvl="7">
      <w:start w:val="0"/>
      <w:numFmt w:val="bullet"/>
      <w:lvlText w:val="•"/>
      <w:lvlJc w:val="left"/>
      <w:pPr>
        <w:ind w:left="6810" w:hanging="356"/>
      </w:pPr>
      <w:rPr>
        <w:rFonts w:hint="default"/>
        <w:lang w:val="en-au" w:eastAsia="en-US" w:bidi="ar-SA"/>
      </w:rPr>
    </w:lvl>
    <w:lvl w:ilvl="8">
      <w:start w:val="0"/>
      <w:numFmt w:val="bullet"/>
      <w:lvlText w:val="•"/>
      <w:lvlJc w:val="left"/>
      <w:pPr>
        <w:ind w:left="7649" w:hanging="356"/>
      </w:pPr>
      <w:rPr>
        <w:rFonts w:hint="default"/>
        <w:lang w:val="en-au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au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au" w:eastAsia="en-US" w:bidi="ar-SA"/>
    </w:rPr>
  </w:style>
  <w:style w:styleId="Heading1" w:type="paragraph">
    <w:name w:val="Heading 1"/>
    <w:basedOn w:val="Normal"/>
    <w:uiPriority w:val="1"/>
    <w:qFormat/>
    <w:pPr>
      <w:spacing w:before="63"/>
      <w:ind w:left="220"/>
      <w:outlineLvl w:val="1"/>
    </w:pPr>
    <w:rPr>
      <w:rFonts w:ascii="Arial" w:hAnsi="Arial" w:eastAsia="Arial" w:cs="Arial"/>
      <w:b/>
      <w:bCs/>
      <w:sz w:val="24"/>
      <w:szCs w:val="24"/>
      <w:lang w:val="en-au" w:eastAsia="en-US" w:bidi="ar-SA"/>
    </w:rPr>
  </w:style>
  <w:style w:styleId="Title" w:type="paragraph">
    <w:name w:val="Title"/>
    <w:basedOn w:val="Normal"/>
    <w:uiPriority w:val="1"/>
    <w:qFormat/>
    <w:pPr>
      <w:ind w:left="247" w:right="107"/>
      <w:jc w:val="center"/>
    </w:pPr>
    <w:rPr>
      <w:rFonts w:ascii="Arial Rounded MT Bold" w:hAnsi="Arial Rounded MT Bold" w:eastAsia="Arial Rounded MT Bold" w:cs="Arial Rounded MT Bold"/>
      <w:sz w:val="28"/>
      <w:szCs w:val="28"/>
      <w:lang w:val="en-au" w:eastAsia="en-US" w:bidi="ar-SA"/>
    </w:rPr>
  </w:style>
  <w:style w:styleId="ListParagraph" w:type="paragraph">
    <w:name w:val="List Paragraph"/>
    <w:basedOn w:val="Normal"/>
    <w:uiPriority w:val="1"/>
    <w:qFormat/>
    <w:pPr>
      <w:spacing w:before="64"/>
      <w:ind w:left="933" w:hanging="356"/>
    </w:pPr>
    <w:rPr>
      <w:rFonts w:ascii="Times New Roman" w:hAnsi="Times New Roman" w:eastAsia="Times New Roman" w:cs="Times New Roman"/>
      <w:lang w:val="en-au" w:eastAsia="en-US" w:bidi="ar-SA"/>
    </w:rPr>
  </w:style>
  <w:style w:styleId="TableParagraph" w:type="paragraph">
    <w:name w:val="Table Paragraph"/>
    <w:basedOn w:val="Normal"/>
    <w:uiPriority w:val="1"/>
    <w:qFormat/>
    <w:pPr>
      <w:spacing w:line="256" w:lineRule="exact"/>
      <w:ind w:left="108"/>
    </w:pPr>
    <w:rPr>
      <w:rFonts w:ascii="Times New Roman" w:hAnsi="Times New Roman" w:eastAsia="Times New Roman" w:cs="Times New Roman"/>
      <w:lang w:val="en-a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hyperlink" Target="http://www.mbsonline.gov.au/" TargetMode="External"/><Relationship Id="rId8" Type="http://schemas.openxmlformats.org/officeDocument/2006/relationships/hyperlink" Target="http://www.health.gov.au/mbsprimarycareitems" TargetMode="External"/><Relationship Id="rId9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Australian Government Department of Health</dc:creator>
  <dc:subject>Aboriginal and Torres Strait Islander health</dc:subject>
  <dc:title>Follow-up allied health services for Aboriginal and Torres Strait Islander health check</dc:title>
  <dcterms:created xsi:type="dcterms:W3CDTF">2022-05-12T23:57:37Z</dcterms:created>
  <dcterms:modified xsi:type="dcterms:W3CDTF">2022-05-12T23:57:37Z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2014-04-29T00:00:00Z</vt:filetime>
  </property>
  <property fmtid="{D5CDD505-2E9C-101B-9397-08002B2CF9AE}" pid="3" name="LastSaved">
    <vt:filetime>2022-05-12T00:00:00Z</vt:filetime>
  </property>
</Properties>
</file>