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C33" w:rsidRPr="00BF7EA5" w:rsidRDefault="007E4C33" w:rsidP="007E4C33">
      <w:pPr>
        <w:pStyle w:val="Heading1"/>
        <w:rPr>
          <w:sz w:val="48"/>
          <w:szCs w:val="48"/>
        </w:rPr>
      </w:pPr>
      <w:bookmarkStart w:id="0" w:name="_GoBack"/>
      <w:bookmarkEnd w:id="0"/>
      <w:r w:rsidRPr="00BF7EA5">
        <w:rPr>
          <w:sz w:val="48"/>
          <w:szCs w:val="48"/>
        </w:rPr>
        <w:t>Aboriginal and Torres Strait Islander Advisory Group on COVID-19</w:t>
      </w:r>
    </w:p>
    <w:p w:rsidR="007E4C33" w:rsidRPr="00BF7EA5" w:rsidRDefault="00EA5720" w:rsidP="007E4C33">
      <w:pPr>
        <w:pStyle w:val="Heading1"/>
        <w:rPr>
          <w:b w:val="0"/>
          <w:bCs/>
          <w:color w:val="1B034F"/>
          <w:spacing w:val="-1"/>
          <w:sz w:val="28"/>
          <w:szCs w:val="28"/>
        </w:rPr>
      </w:pPr>
      <w:r>
        <w:rPr>
          <w:b w:val="0"/>
          <w:bCs/>
          <w:color w:val="1B034F"/>
          <w:spacing w:val="-1"/>
          <w:sz w:val="28"/>
          <w:szCs w:val="28"/>
        </w:rPr>
        <w:t xml:space="preserve">Communique Update: </w:t>
      </w:r>
      <w:r w:rsidR="00484498">
        <w:rPr>
          <w:b w:val="0"/>
          <w:bCs/>
          <w:color w:val="1B034F"/>
          <w:spacing w:val="-1"/>
          <w:sz w:val="28"/>
          <w:szCs w:val="28"/>
        </w:rPr>
        <w:t>1</w:t>
      </w:r>
      <w:r w:rsidR="00CE4371">
        <w:rPr>
          <w:b w:val="0"/>
          <w:bCs/>
          <w:color w:val="1B034F"/>
          <w:spacing w:val="-1"/>
          <w:sz w:val="28"/>
          <w:szCs w:val="28"/>
        </w:rPr>
        <w:t>5</w:t>
      </w:r>
      <w:r w:rsidR="00756EF1">
        <w:rPr>
          <w:b w:val="0"/>
          <w:bCs/>
          <w:color w:val="1B034F"/>
          <w:spacing w:val="-1"/>
          <w:sz w:val="28"/>
          <w:szCs w:val="28"/>
        </w:rPr>
        <w:t xml:space="preserve"> </w:t>
      </w:r>
      <w:r w:rsidR="001F23A3">
        <w:rPr>
          <w:b w:val="0"/>
          <w:bCs/>
          <w:color w:val="1B034F"/>
          <w:spacing w:val="-1"/>
          <w:sz w:val="28"/>
          <w:szCs w:val="28"/>
        </w:rPr>
        <w:t>October</w:t>
      </w:r>
      <w:r w:rsidR="001F23A3" w:rsidRPr="00BF7EA5">
        <w:rPr>
          <w:b w:val="0"/>
          <w:bCs/>
          <w:color w:val="1B034F"/>
          <w:spacing w:val="-1"/>
          <w:sz w:val="28"/>
          <w:szCs w:val="28"/>
        </w:rPr>
        <w:t xml:space="preserve"> </w:t>
      </w:r>
      <w:r w:rsidR="007E4C33" w:rsidRPr="00BF7EA5">
        <w:rPr>
          <w:b w:val="0"/>
          <w:bCs/>
          <w:color w:val="1B034F"/>
          <w:spacing w:val="-1"/>
          <w:sz w:val="28"/>
          <w:szCs w:val="28"/>
        </w:rPr>
        <w:t xml:space="preserve">2020 </w:t>
      </w:r>
    </w:p>
    <w:p w:rsidR="007E4C33" w:rsidRPr="00BF7EA5" w:rsidRDefault="007E4C33" w:rsidP="007E4C33"/>
    <w:p w:rsidR="00F70A1E" w:rsidRDefault="00F70A1E" w:rsidP="00E03070">
      <w:pPr>
        <w:pStyle w:val="NoSpacing"/>
      </w:pPr>
    </w:p>
    <w:p w:rsidR="007E4C33" w:rsidRPr="00E03070" w:rsidRDefault="00F70A1E" w:rsidP="00F4737A">
      <w:pPr>
        <w:jc w:val="both"/>
      </w:pPr>
      <w:r w:rsidRPr="00E03070">
        <w:t>The Aboriginal and Torres Strait Islander Advisory Group on COVID-19 (the Taskforce) convened in March 2020</w:t>
      </w:r>
      <w:r w:rsidR="004F019F">
        <w:t xml:space="preserve"> </w:t>
      </w:r>
      <w:r w:rsidRPr="00E03070">
        <w:t>to develop and deliver a National Management Plan to protect communities</w:t>
      </w:r>
      <w:r w:rsidR="00A6042E">
        <w:t>.</w:t>
      </w:r>
      <w:r w:rsidR="00182255">
        <w:t xml:space="preserve"> </w:t>
      </w:r>
      <w:r w:rsidR="00A6042E">
        <w:t>The Group also</w:t>
      </w:r>
      <w:r w:rsidR="00182255">
        <w:t xml:space="preserve"> ad</w:t>
      </w:r>
      <w:r w:rsidRPr="00E03070">
        <w:t>vise</w:t>
      </w:r>
      <w:r w:rsidR="00182255">
        <w:t>s</w:t>
      </w:r>
      <w:r w:rsidRPr="00E03070">
        <w:t xml:space="preserve"> on health issues related to COVID-19. Th</w:t>
      </w:r>
      <w:r w:rsidR="00A6042E">
        <w:t>is</w:t>
      </w:r>
      <w:r w:rsidRPr="00E03070">
        <w:t xml:space="preserve"> Taskforce is co-chaired by the National Aboriginal Community Controlled Health Organisation (NACCHO)</w:t>
      </w:r>
      <w:r w:rsidR="004F019F">
        <w:t>,</w:t>
      </w:r>
      <w:r w:rsidRPr="00E03070">
        <w:t xml:space="preserve"> and the Australian Government Department of Health. This communique provides an update on the</w:t>
      </w:r>
      <w:r w:rsidR="00F909D3">
        <w:t>i</w:t>
      </w:r>
      <w:r w:rsidR="00A6042E">
        <w:t>r</w:t>
      </w:r>
      <w:r w:rsidRPr="00E03070">
        <w:t xml:space="preserve"> work and current key focus</w:t>
      </w:r>
      <w:r w:rsidR="004F019F">
        <w:t xml:space="preserve"> areas</w:t>
      </w:r>
      <w:r w:rsidRPr="00E03070">
        <w:t>.</w:t>
      </w:r>
    </w:p>
    <w:p w:rsidR="007A4F12" w:rsidRPr="00E03070" w:rsidRDefault="00F70A1E" w:rsidP="0067092C">
      <w:r w:rsidRPr="00E03070">
        <w:rPr>
          <w:rFonts w:cs="Arial"/>
          <w:b/>
          <w:szCs w:val="22"/>
          <w:lang w:eastAsia="en-GB"/>
        </w:rPr>
        <w:t>Current status of coronavirus</w:t>
      </w:r>
    </w:p>
    <w:p w:rsidR="007A4F12" w:rsidRPr="008C6D38" w:rsidRDefault="007A4F12" w:rsidP="00F4737A">
      <w:pPr>
        <w:jc w:val="both"/>
      </w:pPr>
      <w:r w:rsidRPr="00484498">
        <w:t xml:space="preserve">As of </w:t>
      </w:r>
      <w:r w:rsidR="00352539" w:rsidRPr="00484498">
        <w:rPr>
          <w:iCs/>
        </w:rPr>
        <w:t>1</w:t>
      </w:r>
      <w:r w:rsidR="00484498" w:rsidRPr="00484498">
        <w:rPr>
          <w:iCs/>
        </w:rPr>
        <w:t>4</w:t>
      </w:r>
      <w:r w:rsidR="00F42EA9" w:rsidRPr="00484498">
        <w:rPr>
          <w:iCs/>
        </w:rPr>
        <w:t xml:space="preserve"> October 2020,</w:t>
      </w:r>
      <w:r w:rsidRPr="00484498">
        <w:rPr>
          <w:iCs/>
        </w:rPr>
        <w:t xml:space="preserve"> </w:t>
      </w:r>
      <w:r w:rsidRPr="00484498">
        <w:t xml:space="preserve">a total of </w:t>
      </w:r>
      <w:r w:rsidRPr="00484498">
        <w:rPr>
          <w:iCs/>
        </w:rPr>
        <w:t>2</w:t>
      </w:r>
      <w:r w:rsidR="00F42EA9" w:rsidRPr="00484498">
        <w:rPr>
          <w:iCs/>
        </w:rPr>
        <w:t>7,</w:t>
      </w:r>
      <w:r w:rsidR="00352539" w:rsidRPr="00484498">
        <w:rPr>
          <w:iCs/>
        </w:rPr>
        <w:t>3</w:t>
      </w:r>
      <w:r w:rsidR="00484498" w:rsidRPr="00484498">
        <w:rPr>
          <w:iCs/>
        </w:rPr>
        <w:t>41</w:t>
      </w:r>
      <w:r w:rsidR="00F42EA9" w:rsidRPr="00484498">
        <w:rPr>
          <w:iCs/>
        </w:rPr>
        <w:t xml:space="preserve"> </w:t>
      </w:r>
      <w:r w:rsidRPr="00484498">
        <w:t xml:space="preserve">cases of COVID-19 </w:t>
      </w:r>
      <w:r w:rsidR="006C6A5D" w:rsidRPr="00484498">
        <w:t xml:space="preserve">have been </w:t>
      </w:r>
      <w:r w:rsidRPr="00484498">
        <w:t>reported in Australia</w:t>
      </w:r>
      <w:r w:rsidR="00156321" w:rsidRPr="00484498">
        <w:t>. This includes</w:t>
      </w:r>
      <w:r w:rsidRPr="00484498">
        <w:t xml:space="preserve"> </w:t>
      </w:r>
      <w:r w:rsidR="00F42EA9" w:rsidRPr="00484498">
        <w:rPr>
          <w:iCs/>
        </w:rPr>
        <w:t>24,</w:t>
      </w:r>
      <w:r w:rsidR="00484498" w:rsidRPr="00484498">
        <w:rPr>
          <w:iCs/>
        </w:rPr>
        <w:t>896</w:t>
      </w:r>
      <w:r w:rsidR="00F42EA9" w:rsidRPr="00484498">
        <w:rPr>
          <w:iCs/>
        </w:rPr>
        <w:t xml:space="preserve"> </w:t>
      </w:r>
      <w:r w:rsidRPr="00484498">
        <w:t xml:space="preserve">recovered cases and </w:t>
      </w:r>
      <w:r w:rsidR="008C6D38" w:rsidRPr="00484498">
        <w:t xml:space="preserve">unfortunately </w:t>
      </w:r>
      <w:r w:rsidR="00484498" w:rsidRPr="00484498">
        <w:rPr>
          <w:iCs/>
        </w:rPr>
        <w:t>904</w:t>
      </w:r>
      <w:r w:rsidR="00F42EA9" w:rsidRPr="00484498">
        <w:rPr>
          <w:iCs/>
        </w:rPr>
        <w:t xml:space="preserve"> </w:t>
      </w:r>
      <w:r w:rsidRPr="00484498">
        <w:t xml:space="preserve">deaths. </w:t>
      </w:r>
      <w:r w:rsidR="00CD2038" w:rsidRPr="00484498">
        <w:t>Since 16</w:t>
      </w:r>
      <w:r w:rsidR="001F23A3" w:rsidRPr="00484498">
        <w:t> </w:t>
      </w:r>
      <w:r w:rsidR="00CD2038" w:rsidRPr="00484498">
        <w:t>September 2020, active case numbers</w:t>
      </w:r>
      <w:r w:rsidR="00CD2038" w:rsidRPr="0039486A">
        <w:t xml:space="preserve"> nationally </w:t>
      </w:r>
      <w:r w:rsidR="005C00A1">
        <w:t>continue</w:t>
      </w:r>
      <w:r w:rsidR="00CD2038" w:rsidRPr="0039486A">
        <w:t xml:space="preserve"> to decline</w:t>
      </w:r>
      <w:r w:rsidR="00156321">
        <w:t>.</w:t>
      </w:r>
      <w:r w:rsidR="00CD2038">
        <w:t xml:space="preserve"> </w:t>
      </w:r>
      <w:r w:rsidR="008505F6">
        <w:t xml:space="preserve">For further details </w:t>
      </w:r>
      <w:r w:rsidR="004A025B">
        <w:t xml:space="preserve">please </w:t>
      </w:r>
      <w:r w:rsidR="008505F6">
        <w:t>refer to the</w:t>
      </w:r>
      <w:r w:rsidR="004A025B">
        <w:t xml:space="preserve"> COVID-19</w:t>
      </w:r>
      <w:r w:rsidR="008505F6">
        <w:t xml:space="preserve"> </w:t>
      </w:r>
      <w:hyperlink r:id="rId11" w:history="1">
        <w:r w:rsidR="008505F6" w:rsidRPr="004A025B">
          <w:rPr>
            <w:rStyle w:val="Hyperlink"/>
          </w:rPr>
          <w:t>fortnightly national epidemiological report</w:t>
        </w:r>
      </w:hyperlink>
      <w:r w:rsidR="008505F6">
        <w:t xml:space="preserve"> or the </w:t>
      </w:r>
      <w:hyperlink r:id="rId12" w:anchor="at-a-glance" w:history="1">
        <w:r w:rsidR="008505F6" w:rsidRPr="004A025B">
          <w:rPr>
            <w:rStyle w:val="Hyperlink"/>
          </w:rPr>
          <w:t>COVID-19 current situation</w:t>
        </w:r>
      </w:hyperlink>
      <w:r w:rsidR="008505F6">
        <w:t xml:space="preserve"> which is updated daily</w:t>
      </w:r>
      <w:r w:rsidR="004A025B">
        <w:t>.</w:t>
      </w:r>
    </w:p>
    <w:p w:rsidR="00B91F2B" w:rsidRPr="0039486A" w:rsidRDefault="00B91F2B" w:rsidP="00F4737A">
      <w:pPr>
        <w:jc w:val="both"/>
      </w:pPr>
      <w:r w:rsidRPr="0067092C">
        <w:t xml:space="preserve">As at </w:t>
      </w:r>
      <w:r w:rsidR="00121931">
        <w:t>13</w:t>
      </w:r>
      <w:r w:rsidR="00410948">
        <w:t xml:space="preserve"> October 2020</w:t>
      </w:r>
      <w:r w:rsidRPr="0067092C">
        <w:t xml:space="preserve"> there have been </w:t>
      </w:r>
      <w:r w:rsidRPr="008530B3">
        <w:t>14</w:t>
      </w:r>
      <w:r w:rsidR="00121931" w:rsidRPr="008530B3">
        <w:t>6</w:t>
      </w:r>
      <w:r w:rsidR="00AC2091" w:rsidRPr="008530B3">
        <w:t xml:space="preserve"> </w:t>
      </w:r>
      <w:r w:rsidRPr="0067092C">
        <w:t xml:space="preserve">cases reported in Aboriginal and Torres Strait Islander people. </w:t>
      </w:r>
      <w:r w:rsidR="008505F6">
        <w:t xml:space="preserve">Approximately 80% </w:t>
      </w:r>
      <w:r w:rsidR="0020079F">
        <w:t xml:space="preserve">of </w:t>
      </w:r>
      <w:r w:rsidRPr="0067092C">
        <w:t xml:space="preserve">cases </w:t>
      </w:r>
      <w:r w:rsidR="0020079F">
        <w:t xml:space="preserve">were </w:t>
      </w:r>
      <w:r w:rsidRPr="0067092C">
        <w:t xml:space="preserve">reported as locally acquired. Of </w:t>
      </w:r>
      <w:r w:rsidR="00156321">
        <w:t>those</w:t>
      </w:r>
      <w:r w:rsidRPr="0067092C">
        <w:t xml:space="preserve">, </w:t>
      </w:r>
      <w:r w:rsidR="008505F6">
        <w:t>more than 75%</w:t>
      </w:r>
      <w:r w:rsidRPr="0067092C">
        <w:t xml:space="preserve"> were reported in </w:t>
      </w:r>
      <w:r w:rsidR="00282A9A">
        <w:t>m</w:t>
      </w:r>
      <w:r w:rsidR="00282A9A" w:rsidRPr="0067092C">
        <w:t xml:space="preserve">ajor </w:t>
      </w:r>
      <w:r w:rsidR="00282A9A">
        <w:t>c</w:t>
      </w:r>
      <w:r w:rsidR="00282A9A" w:rsidRPr="0067092C">
        <w:t>ities</w:t>
      </w:r>
      <w:r w:rsidR="00156321">
        <w:t>. A</w:t>
      </w:r>
      <w:r w:rsidR="008505F6">
        <w:t xml:space="preserve">pproximately 20% </w:t>
      </w:r>
      <w:r w:rsidRPr="0067092C">
        <w:t xml:space="preserve">were reported in </w:t>
      </w:r>
      <w:r w:rsidR="00282A9A">
        <w:t>i</w:t>
      </w:r>
      <w:r w:rsidRPr="0067092C">
        <w:t xml:space="preserve">nner or </w:t>
      </w:r>
      <w:r w:rsidR="00282A9A">
        <w:t>o</w:t>
      </w:r>
      <w:r w:rsidR="00282A9A" w:rsidRPr="0067092C">
        <w:t xml:space="preserve">uter </w:t>
      </w:r>
      <w:r w:rsidR="00282A9A">
        <w:t>r</w:t>
      </w:r>
      <w:r w:rsidR="00282A9A" w:rsidRPr="0067092C">
        <w:t xml:space="preserve">egional </w:t>
      </w:r>
      <w:r w:rsidRPr="0067092C">
        <w:t>Australia</w:t>
      </w:r>
      <w:r w:rsidR="00121931">
        <w:t>,</w:t>
      </w:r>
      <w:r w:rsidR="00BF6354">
        <w:t xml:space="preserve"> </w:t>
      </w:r>
      <w:r w:rsidRPr="0067092C">
        <w:t xml:space="preserve">1% reported in </w:t>
      </w:r>
      <w:r w:rsidR="00282A9A">
        <w:t>r</w:t>
      </w:r>
      <w:r w:rsidRPr="0067092C">
        <w:t>emote/</w:t>
      </w:r>
      <w:r w:rsidR="00282A9A">
        <w:t>v</w:t>
      </w:r>
      <w:r w:rsidR="00282A9A" w:rsidRPr="0067092C">
        <w:t xml:space="preserve">ery </w:t>
      </w:r>
      <w:r w:rsidR="00282A9A">
        <w:t>r</w:t>
      </w:r>
      <w:r w:rsidR="00282A9A" w:rsidRPr="0067092C">
        <w:t xml:space="preserve">emote </w:t>
      </w:r>
      <w:r w:rsidRPr="0067092C">
        <w:t xml:space="preserve">Australia and 4% were reported as </w:t>
      </w:r>
      <w:r w:rsidR="0020079F">
        <w:t>i</w:t>
      </w:r>
      <w:r w:rsidRPr="0067092C">
        <w:t xml:space="preserve">nterstate </w:t>
      </w:r>
      <w:r w:rsidR="0020079F">
        <w:t>t</w:t>
      </w:r>
      <w:r w:rsidR="0020079F" w:rsidRPr="0067092C">
        <w:t>ravel</w:t>
      </w:r>
      <w:r w:rsidRPr="0067092C">
        <w:t>.</w:t>
      </w:r>
      <w:r w:rsidR="00276FD6" w:rsidRPr="0067092C">
        <w:t xml:space="preserve"> </w:t>
      </w:r>
      <w:r w:rsidRPr="0067092C">
        <w:t>Approximately 2</w:t>
      </w:r>
      <w:r w:rsidR="00BF6354">
        <w:t>0</w:t>
      </w:r>
      <w:r w:rsidRPr="0067092C">
        <w:t>% of all cases are reported as being acquired overseas with</w:t>
      </w:r>
      <w:r w:rsidRPr="0039486A">
        <w:t xml:space="preserve"> </w:t>
      </w:r>
      <w:r w:rsidR="00BF6354">
        <w:t xml:space="preserve">approximately half of these </w:t>
      </w:r>
      <w:r w:rsidRPr="0039486A">
        <w:t>associated with cruise ships.</w:t>
      </w:r>
    </w:p>
    <w:p w:rsidR="00955180" w:rsidRPr="0039486A" w:rsidRDefault="00955180" w:rsidP="00F4737A">
      <w:pPr>
        <w:jc w:val="both"/>
      </w:pPr>
      <w:r w:rsidRPr="0067092C">
        <w:t>While still distressing, the strength of the Aboriginal and Torres Strait Islander response by communities, A</w:t>
      </w:r>
      <w:r w:rsidR="00783682">
        <w:t>boriginal Community Controlled Health Sector</w:t>
      </w:r>
      <w:r w:rsidRPr="0067092C">
        <w:t>, health services, and everyone in</w:t>
      </w:r>
      <w:r w:rsidR="002B5688">
        <w:t xml:space="preserve">volved shows in these numbers. </w:t>
      </w:r>
      <w:r w:rsidRPr="0067092C">
        <w:t xml:space="preserve">The </w:t>
      </w:r>
      <w:r w:rsidRPr="00484498">
        <w:rPr>
          <w:b/>
        </w:rPr>
        <w:t xml:space="preserve">number of cases among Aboriginal and Torres Strait Islander people </w:t>
      </w:r>
      <w:r w:rsidR="001F23A3" w:rsidRPr="00484498">
        <w:rPr>
          <w:b/>
        </w:rPr>
        <w:t xml:space="preserve">is </w:t>
      </w:r>
      <w:r w:rsidRPr="00484498">
        <w:rPr>
          <w:b/>
        </w:rPr>
        <w:t xml:space="preserve">six times lower </w:t>
      </w:r>
      <w:r w:rsidRPr="0067092C">
        <w:t xml:space="preserve">than if the population </w:t>
      </w:r>
      <w:r w:rsidR="004A025B">
        <w:t>was</w:t>
      </w:r>
      <w:r w:rsidRPr="0067092C">
        <w:t xml:space="preserve"> affected </w:t>
      </w:r>
      <w:r w:rsidR="00282A9A">
        <w:t>at the same rate as</w:t>
      </w:r>
      <w:r w:rsidR="002B5688">
        <w:t xml:space="preserve"> the rest of Australia. </w:t>
      </w:r>
      <w:r w:rsidRPr="0067092C">
        <w:t>Effort</w:t>
      </w:r>
      <w:r w:rsidR="00BF6354">
        <w:t>s</w:t>
      </w:r>
      <w:r w:rsidRPr="0067092C">
        <w:t xml:space="preserve"> to date </w:t>
      </w:r>
      <w:r w:rsidR="00BF6354">
        <w:t xml:space="preserve">to protect Aboriginal and Torres Strait Islander peoples </w:t>
      </w:r>
      <w:r w:rsidR="00CD2038">
        <w:lastRenderedPageBreak/>
        <w:t>are</w:t>
      </w:r>
      <w:r w:rsidRPr="0067092C">
        <w:t xml:space="preserve"> working</w:t>
      </w:r>
      <w:r w:rsidR="00156321">
        <w:t>.</w:t>
      </w:r>
      <w:r w:rsidR="00BF6354">
        <w:t xml:space="preserve"> </w:t>
      </w:r>
      <w:r w:rsidR="00156321">
        <w:t>H</w:t>
      </w:r>
      <w:r w:rsidR="00BF6354">
        <w:t>owever</w:t>
      </w:r>
      <w:r w:rsidR="00156321">
        <w:t>,</w:t>
      </w:r>
      <w:r w:rsidR="00BF6354">
        <w:t xml:space="preserve"> it is important to ensure that messaging continues to reach communities to </w:t>
      </w:r>
      <w:r w:rsidR="00CD2038">
        <w:t>promote the need to maintain public health measures</w:t>
      </w:r>
      <w:r w:rsidR="00156321">
        <w:t>.</w:t>
      </w:r>
    </w:p>
    <w:p w:rsidR="00CD2038" w:rsidRPr="0021286B" w:rsidRDefault="00121931" w:rsidP="0067092C">
      <w:pPr>
        <w:rPr>
          <w:b/>
        </w:rPr>
      </w:pPr>
      <w:r>
        <w:rPr>
          <w:b/>
        </w:rPr>
        <w:t>2020-21 Federal B</w:t>
      </w:r>
      <w:r w:rsidR="008B5A38">
        <w:rPr>
          <w:b/>
        </w:rPr>
        <w:t xml:space="preserve">udget, and </w:t>
      </w:r>
      <w:r w:rsidR="00CD2038" w:rsidRPr="0021286B">
        <w:rPr>
          <w:b/>
        </w:rPr>
        <w:t>Primary Care Response Measures</w:t>
      </w:r>
    </w:p>
    <w:p w:rsidR="008B5A38" w:rsidRPr="008B5A38" w:rsidRDefault="008B5A38" w:rsidP="008B5A38">
      <w:pPr>
        <w:jc w:val="both"/>
      </w:pPr>
      <w:r w:rsidRPr="008B5A38">
        <w:t xml:space="preserve">The 2020–21 Budget delivers a record $115.5 billion in 2020–21 and $467 billion over the forward estimates to deliver the essential health services Australians need under the Long Term National Health Plan. The 2020–21 Budget funds the Government’s ongoing health response under the Australian Health Sector Emergency Response Plan, extending initial key COVID-19 health initiatives. </w:t>
      </w:r>
      <w:r w:rsidR="00EA7003">
        <w:rPr>
          <w:rFonts w:cs="Arial"/>
          <w:szCs w:val="22"/>
        </w:rPr>
        <w:t>This includes Point of Care Testing, GP</w:t>
      </w:r>
      <w:r w:rsidR="002E2BA3">
        <w:rPr>
          <w:rFonts w:cs="Arial"/>
          <w:szCs w:val="22"/>
        </w:rPr>
        <w:t>-led</w:t>
      </w:r>
      <w:r w:rsidR="00EA7003">
        <w:rPr>
          <w:rFonts w:cs="Arial"/>
          <w:szCs w:val="22"/>
        </w:rPr>
        <w:t xml:space="preserve"> Respiratory Clinics and Medicare Benefits Schedule telehealth items.</w:t>
      </w:r>
    </w:p>
    <w:p w:rsidR="008B5A38" w:rsidRDefault="00EA7003" w:rsidP="00F4737A">
      <w:pPr>
        <w:jc w:val="both"/>
      </w:pPr>
      <w:r>
        <w:t xml:space="preserve">The </w:t>
      </w:r>
      <w:r w:rsidR="008B5A38" w:rsidRPr="008B5A38">
        <w:t xml:space="preserve">Budget </w:t>
      </w:r>
      <w:r>
        <w:t xml:space="preserve">also </w:t>
      </w:r>
      <w:r w:rsidR="008B5A38" w:rsidRPr="008B5A38">
        <w:t xml:space="preserve">provides $4 billion in </w:t>
      </w:r>
      <w:r w:rsidR="00A47D00">
        <w:t>Aboriginal and Torres Strait Islander</w:t>
      </w:r>
      <w:r w:rsidR="008B5A38" w:rsidRPr="008B5A38">
        <w:t xml:space="preserve"> health funding over the coming four years, including $975.5 million in 2020–21. It builds on </w:t>
      </w:r>
      <w:r w:rsidR="00121931">
        <w:t>the G</w:t>
      </w:r>
      <w:r>
        <w:t>overnment’s</w:t>
      </w:r>
      <w:r w:rsidR="008B5A38" w:rsidRPr="008B5A38">
        <w:t xml:space="preserve"> efforts to work in partnership with Aboriginal and Torres Strait Islander people to improve health outcomes.</w:t>
      </w:r>
    </w:p>
    <w:p w:rsidR="008B5A38" w:rsidRDefault="008B5A38" w:rsidP="008B5A38">
      <w:pPr>
        <w:jc w:val="both"/>
        <w:rPr>
          <w:rFonts w:cs="Arial"/>
          <w:szCs w:val="22"/>
        </w:rPr>
      </w:pPr>
      <w:r>
        <w:rPr>
          <w:rFonts w:cs="Arial"/>
          <w:szCs w:val="22"/>
        </w:rPr>
        <w:t xml:space="preserve">Please see the </w:t>
      </w:r>
      <w:hyperlink r:id="rId13" w:history="1">
        <w:r w:rsidRPr="00BF6354">
          <w:rPr>
            <w:rStyle w:val="Hyperlink"/>
            <w:rFonts w:cs="Arial"/>
            <w:szCs w:val="22"/>
          </w:rPr>
          <w:t>Prime Minister</w:t>
        </w:r>
        <w:r>
          <w:rPr>
            <w:rStyle w:val="Hyperlink"/>
            <w:rFonts w:cs="Arial"/>
            <w:szCs w:val="22"/>
          </w:rPr>
          <w:t>’</w:t>
        </w:r>
        <w:r w:rsidRPr="00BF6354">
          <w:rPr>
            <w:rStyle w:val="Hyperlink"/>
            <w:rFonts w:cs="Arial"/>
            <w:szCs w:val="22"/>
          </w:rPr>
          <w:t>s Media Release</w:t>
        </w:r>
      </w:hyperlink>
      <w:r>
        <w:rPr>
          <w:rFonts w:cs="Arial"/>
          <w:szCs w:val="22"/>
        </w:rPr>
        <w:t xml:space="preserve"> and </w:t>
      </w:r>
      <w:hyperlink r:id="rId14" w:anchor=":~:text=The%20Medicare%20Guarantee%20Fund%2C%20established,billion%20from%20last%20year's%20budget." w:history="1">
        <w:r w:rsidRPr="008B5A38">
          <w:rPr>
            <w:rStyle w:val="Hyperlink"/>
            <w:rFonts w:cs="Arial"/>
            <w:szCs w:val="22"/>
          </w:rPr>
          <w:t>Minister Hunt’s Media Release</w:t>
        </w:r>
      </w:hyperlink>
      <w:r>
        <w:rPr>
          <w:rFonts w:cs="Arial"/>
          <w:szCs w:val="22"/>
        </w:rPr>
        <w:t xml:space="preserve"> for more information.</w:t>
      </w:r>
    </w:p>
    <w:p w:rsidR="00CD2038" w:rsidRPr="0074650A" w:rsidRDefault="00CD2038" w:rsidP="00CD2038">
      <w:pPr>
        <w:rPr>
          <w:rFonts w:cs="Arial"/>
          <w:szCs w:val="22"/>
          <w:u w:val="single"/>
        </w:rPr>
      </w:pPr>
      <w:r w:rsidRPr="0074650A">
        <w:rPr>
          <w:rFonts w:cs="Arial"/>
          <w:szCs w:val="22"/>
          <w:u w:val="single"/>
        </w:rPr>
        <w:t>General Practice</w:t>
      </w:r>
      <w:r w:rsidR="002E2BA3">
        <w:rPr>
          <w:rFonts w:cs="Arial"/>
          <w:szCs w:val="22"/>
          <w:u w:val="single"/>
        </w:rPr>
        <w:t>-led</w:t>
      </w:r>
      <w:r w:rsidRPr="0074650A">
        <w:rPr>
          <w:rFonts w:cs="Arial"/>
          <w:szCs w:val="22"/>
          <w:u w:val="single"/>
        </w:rPr>
        <w:t xml:space="preserve"> Respiratory Clinics (GPRC</w:t>
      </w:r>
      <w:r w:rsidR="00575147">
        <w:rPr>
          <w:rFonts w:cs="Arial"/>
          <w:szCs w:val="22"/>
          <w:u w:val="single"/>
        </w:rPr>
        <w:t>s</w:t>
      </w:r>
      <w:r w:rsidRPr="0074650A">
        <w:rPr>
          <w:rFonts w:cs="Arial"/>
          <w:szCs w:val="22"/>
          <w:u w:val="single"/>
        </w:rPr>
        <w:t>)</w:t>
      </w:r>
    </w:p>
    <w:p w:rsidR="00897B7A" w:rsidRDefault="00897B7A" w:rsidP="00F4737A">
      <w:pPr>
        <w:jc w:val="both"/>
      </w:pPr>
      <w:r w:rsidRPr="00897B7A">
        <w:t>All 23 Aboriginal Community Controlled Health Service</w:t>
      </w:r>
      <w:r w:rsidRPr="00897B7A">
        <w:rPr>
          <w:strike/>
        </w:rPr>
        <w:t xml:space="preserve"> </w:t>
      </w:r>
      <w:r w:rsidRPr="00897B7A">
        <w:t xml:space="preserve">GPRCs are now open with the final site, </w:t>
      </w:r>
      <w:r w:rsidR="008B5A38">
        <w:t>Innisfail</w:t>
      </w:r>
      <w:r w:rsidRPr="00897B7A">
        <w:t xml:space="preserve">, opening </w:t>
      </w:r>
      <w:r w:rsidRPr="008B5A38">
        <w:t xml:space="preserve">on </w:t>
      </w:r>
      <w:r w:rsidR="008B5A38" w:rsidRPr="008B5A38">
        <w:t xml:space="preserve">6 October </w:t>
      </w:r>
      <w:r w:rsidRPr="008B5A38">
        <w:t>2020.</w:t>
      </w:r>
      <w:r w:rsidR="00575147" w:rsidRPr="008B5A38">
        <w:t xml:space="preserve"> </w:t>
      </w:r>
      <w:r w:rsidRPr="008B5A38">
        <w:t>The additional</w:t>
      </w:r>
      <w:r w:rsidRPr="00897B7A">
        <w:t xml:space="preserve"> funding announced by the Prime</w:t>
      </w:r>
      <w:r w:rsidR="00A47D00">
        <w:t> </w:t>
      </w:r>
      <w:r w:rsidR="00A47D00" w:rsidRPr="00897B7A">
        <w:t>Minister</w:t>
      </w:r>
      <w:r w:rsidRPr="00897B7A">
        <w:t xml:space="preserve"> </w:t>
      </w:r>
      <w:r w:rsidR="008B5A38">
        <w:t xml:space="preserve">on 18 September 2020 </w:t>
      </w:r>
      <w:r w:rsidR="00EA7003">
        <w:t xml:space="preserve">and </w:t>
      </w:r>
      <w:r w:rsidR="002E2BA3">
        <w:t>formalised</w:t>
      </w:r>
      <w:r w:rsidR="00EA7003">
        <w:t xml:space="preserve"> in the Budget </w:t>
      </w:r>
      <w:r w:rsidRPr="00897B7A">
        <w:t>provides these clinics with the option of remaining open until 31 March 2021.</w:t>
      </w:r>
      <w:r>
        <w:t> </w:t>
      </w:r>
    </w:p>
    <w:p w:rsidR="00996E87" w:rsidRPr="00897B7A" w:rsidRDefault="002E2BA3" w:rsidP="00F4737A">
      <w:pPr>
        <w:jc w:val="both"/>
      </w:pPr>
      <w:r>
        <w:t xml:space="preserve">This brings the </w:t>
      </w:r>
      <w:r w:rsidR="00996E87">
        <w:t xml:space="preserve">cumulative total of GPRCs across the country to 150. </w:t>
      </w:r>
    </w:p>
    <w:p w:rsidR="002B5688" w:rsidRPr="008A5E90" w:rsidRDefault="002B5688" w:rsidP="002B5688">
      <w:pPr>
        <w:rPr>
          <w:rFonts w:cs="Arial"/>
          <w:szCs w:val="22"/>
          <w:u w:val="single"/>
        </w:rPr>
      </w:pPr>
      <w:r w:rsidRPr="008A5E90">
        <w:rPr>
          <w:rFonts w:cs="Arial"/>
          <w:szCs w:val="22"/>
          <w:u w:val="single"/>
        </w:rPr>
        <w:t xml:space="preserve">Point of Care Testing (PoCT) Program </w:t>
      </w:r>
    </w:p>
    <w:p w:rsidR="002B5688" w:rsidRPr="00E03070" w:rsidRDefault="002B5688" w:rsidP="00484498">
      <w:pPr>
        <w:jc w:val="both"/>
        <w:rPr>
          <w:rFonts w:cs="Arial"/>
          <w:szCs w:val="22"/>
        </w:rPr>
      </w:pPr>
      <w:r w:rsidRPr="00E03070">
        <w:rPr>
          <w:rFonts w:cs="Arial"/>
          <w:szCs w:val="22"/>
        </w:rPr>
        <w:t>The Australian Government has</w:t>
      </w:r>
      <w:r w:rsidR="00FE65AA">
        <w:rPr>
          <w:rFonts w:cs="Arial"/>
          <w:szCs w:val="22"/>
        </w:rPr>
        <w:t xml:space="preserve"> provided support</w:t>
      </w:r>
      <w:r w:rsidRPr="00E03070">
        <w:rPr>
          <w:rFonts w:cs="Arial"/>
          <w:szCs w:val="22"/>
        </w:rPr>
        <w:t xml:space="preserve"> to establish a rapid COVID</w:t>
      </w:r>
      <w:r>
        <w:rPr>
          <w:rFonts w:cs="Arial"/>
          <w:szCs w:val="22"/>
        </w:rPr>
        <w:noBreakHyphen/>
      </w:r>
      <w:r w:rsidRPr="00E03070">
        <w:rPr>
          <w:rFonts w:cs="Arial"/>
          <w:szCs w:val="22"/>
        </w:rPr>
        <w:t xml:space="preserve">19 PCR PoCT Program for remote and rural Aboriginal and Torres Strait Islander communities. As at </w:t>
      </w:r>
      <w:r w:rsidR="00125655">
        <w:rPr>
          <w:rFonts w:cs="Arial"/>
          <w:szCs w:val="22"/>
        </w:rPr>
        <w:t>13 </w:t>
      </w:r>
      <w:r w:rsidR="00A47D00">
        <w:rPr>
          <w:rFonts w:cs="Arial"/>
          <w:szCs w:val="22"/>
        </w:rPr>
        <w:t xml:space="preserve">October </w:t>
      </w:r>
      <w:r w:rsidRPr="008530B3">
        <w:rPr>
          <w:rFonts w:cs="Arial"/>
          <w:szCs w:val="22"/>
        </w:rPr>
        <w:t>2020</w:t>
      </w:r>
      <w:r w:rsidRPr="00E03070">
        <w:rPr>
          <w:rFonts w:cs="Arial"/>
          <w:szCs w:val="22"/>
        </w:rPr>
        <w:t>, 86 PoCT sites have been approved and of those</w:t>
      </w:r>
      <w:r w:rsidR="00183F8B">
        <w:rPr>
          <w:rFonts w:cs="Arial"/>
          <w:szCs w:val="22"/>
        </w:rPr>
        <w:t>,</w:t>
      </w:r>
      <w:r w:rsidRPr="00E03070">
        <w:rPr>
          <w:rFonts w:cs="Arial"/>
          <w:szCs w:val="22"/>
        </w:rPr>
        <w:t xml:space="preserve"> </w:t>
      </w:r>
      <w:r w:rsidR="005C2869">
        <w:rPr>
          <w:rFonts w:cs="Arial"/>
          <w:szCs w:val="22"/>
        </w:rPr>
        <w:t>8</w:t>
      </w:r>
      <w:r w:rsidR="00A47D00">
        <w:rPr>
          <w:rFonts w:cs="Arial"/>
          <w:szCs w:val="22"/>
        </w:rPr>
        <w:t>1</w:t>
      </w:r>
      <w:r w:rsidRPr="00E03070">
        <w:rPr>
          <w:rFonts w:cs="Arial"/>
          <w:szCs w:val="22"/>
        </w:rPr>
        <w:t xml:space="preserve"> sites are active. </w:t>
      </w:r>
      <w:r w:rsidRPr="00E03070">
        <w:t xml:space="preserve">Over </w:t>
      </w:r>
      <w:r w:rsidR="00996E87" w:rsidRPr="008530B3">
        <w:t>4,</w:t>
      </w:r>
      <w:r w:rsidR="00A47D00" w:rsidRPr="008530B3">
        <w:t>7</w:t>
      </w:r>
      <w:r w:rsidR="005C2869" w:rsidRPr="008530B3">
        <w:t>00</w:t>
      </w:r>
      <w:r w:rsidRPr="008530B3">
        <w:t xml:space="preserve"> tests have been performed</w:t>
      </w:r>
      <w:r w:rsidR="00156321" w:rsidRPr="008530B3">
        <w:t xml:space="preserve">. Aboriginal and Torres Strait Islander people </w:t>
      </w:r>
      <w:r w:rsidR="00183F8B" w:rsidRPr="008530B3">
        <w:t>make up</w:t>
      </w:r>
      <w:r w:rsidRPr="008530B3">
        <w:t xml:space="preserve"> </w:t>
      </w:r>
      <w:r w:rsidR="00A47D00" w:rsidRPr="008530B3">
        <w:t>nearly</w:t>
      </w:r>
      <w:r w:rsidR="00A47D00">
        <w:t xml:space="preserve"> 57%</w:t>
      </w:r>
      <w:r w:rsidRPr="00E03070">
        <w:t xml:space="preserve"> of the test</w:t>
      </w:r>
      <w:r w:rsidR="00156321">
        <w:t>s,</w:t>
      </w:r>
      <w:r w:rsidRPr="00E03070">
        <w:t xml:space="preserve"> </w:t>
      </w:r>
      <w:r>
        <w:t>showing that the sites have been well-placed.</w:t>
      </w:r>
      <w:r w:rsidR="00484498">
        <w:t xml:space="preserve">  </w:t>
      </w:r>
      <w:r w:rsidRPr="00E03070">
        <w:rPr>
          <w:rFonts w:cs="Arial"/>
          <w:szCs w:val="22"/>
        </w:rPr>
        <w:t>The PoCT sites are:</w:t>
      </w:r>
    </w:p>
    <w:tbl>
      <w:tblPr>
        <w:tblStyle w:val="TableGrid"/>
        <w:tblW w:w="9351" w:type="dxa"/>
        <w:tblLook w:val="04A0" w:firstRow="1" w:lastRow="0" w:firstColumn="1" w:lastColumn="0" w:noHBand="0" w:noVBand="1"/>
      </w:tblPr>
      <w:tblGrid>
        <w:gridCol w:w="1697"/>
        <w:gridCol w:w="1811"/>
        <w:gridCol w:w="1449"/>
        <w:gridCol w:w="1472"/>
        <w:gridCol w:w="1329"/>
        <w:gridCol w:w="1593"/>
      </w:tblGrid>
      <w:tr w:rsidR="002B5688" w:rsidRPr="00E03070" w:rsidTr="00E3164A">
        <w:tc>
          <w:tcPr>
            <w:tcW w:w="1697" w:type="dxa"/>
          </w:tcPr>
          <w:p w:rsidR="002B5688" w:rsidRPr="00E03070" w:rsidRDefault="002B5688" w:rsidP="00EE52D8">
            <w:pPr>
              <w:pStyle w:val="Default"/>
              <w:rPr>
                <w:sz w:val="22"/>
                <w:szCs w:val="22"/>
              </w:rPr>
            </w:pPr>
            <w:r w:rsidRPr="00E03070">
              <w:rPr>
                <w:sz w:val="22"/>
                <w:szCs w:val="22"/>
              </w:rPr>
              <w:t xml:space="preserve">Northern Territory </w:t>
            </w:r>
          </w:p>
        </w:tc>
        <w:tc>
          <w:tcPr>
            <w:tcW w:w="1811" w:type="dxa"/>
          </w:tcPr>
          <w:p w:rsidR="002B5688" w:rsidRPr="00E03070" w:rsidRDefault="002B5688" w:rsidP="00EE52D8">
            <w:pPr>
              <w:pStyle w:val="Default"/>
              <w:rPr>
                <w:sz w:val="22"/>
                <w:szCs w:val="22"/>
              </w:rPr>
            </w:pPr>
            <w:r w:rsidRPr="00E03070">
              <w:rPr>
                <w:sz w:val="22"/>
                <w:szCs w:val="22"/>
              </w:rPr>
              <w:t xml:space="preserve">Western Australia </w:t>
            </w:r>
          </w:p>
        </w:tc>
        <w:tc>
          <w:tcPr>
            <w:tcW w:w="1449" w:type="dxa"/>
          </w:tcPr>
          <w:p w:rsidR="002B5688" w:rsidRPr="00E03070" w:rsidRDefault="002B5688" w:rsidP="00EE52D8">
            <w:pPr>
              <w:pStyle w:val="Default"/>
              <w:rPr>
                <w:sz w:val="22"/>
                <w:szCs w:val="22"/>
              </w:rPr>
            </w:pPr>
            <w:r w:rsidRPr="00E03070">
              <w:rPr>
                <w:sz w:val="22"/>
                <w:szCs w:val="22"/>
              </w:rPr>
              <w:t xml:space="preserve">South Australia </w:t>
            </w:r>
          </w:p>
        </w:tc>
        <w:tc>
          <w:tcPr>
            <w:tcW w:w="1472" w:type="dxa"/>
          </w:tcPr>
          <w:p w:rsidR="002B5688" w:rsidRPr="00E03070" w:rsidRDefault="002B5688" w:rsidP="00EE52D8">
            <w:pPr>
              <w:pStyle w:val="Default"/>
              <w:rPr>
                <w:sz w:val="22"/>
                <w:szCs w:val="22"/>
              </w:rPr>
            </w:pPr>
            <w:r w:rsidRPr="00E03070">
              <w:rPr>
                <w:sz w:val="22"/>
                <w:szCs w:val="22"/>
              </w:rPr>
              <w:t>New South Wales</w:t>
            </w:r>
          </w:p>
        </w:tc>
        <w:tc>
          <w:tcPr>
            <w:tcW w:w="1329" w:type="dxa"/>
          </w:tcPr>
          <w:p w:rsidR="002B5688" w:rsidRPr="00E03070" w:rsidRDefault="002B5688" w:rsidP="00EE52D8">
            <w:pPr>
              <w:pStyle w:val="Default"/>
              <w:rPr>
                <w:sz w:val="22"/>
                <w:szCs w:val="22"/>
              </w:rPr>
            </w:pPr>
            <w:r w:rsidRPr="00E03070">
              <w:rPr>
                <w:sz w:val="22"/>
                <w:szCs w:val="22"/>
              </w:rPr>
              <w:t xml:space="preserve">Victoria </w:t>
            </w:r>
          </w:p>
        </w:tc>
        <w:tc>
          <w:tcPr>
            <w:tcW w:w="1593" w:type="dxa"/>
          </w:tcPr>
          <w:p w:rsidR="002B5688" w:rsidRPr="00E03070" w:rsidRDefault="002B5688" w:rsidP="00EE52D8">
            <w:pPr>
              <w:pStyle w:val="Default"/>
              <w:rPr>
                <w:sz w:val="22"/>
                <w:szCs w:val="22"/>
              </w:rPr>
            </w:pPr>
            <w:r w:rsidRPr="00E03070">
              <w:rPr>
                <w:sz w:val="22"/>
                <w:szCs w:val="22"/>
              </w:rPr>
              <w:t>Queensland</w:t>
            </w:r>
          </w:p>
        </w:tc>
      </w:tr>
      <w:tr w:rsidR="002B5688" w:rsidRPr="00E03070" w:rsidTr="00E3164A">
        <w:tc>
          <w:tcPr>
            <w:tcW w:w="1697" w:type="dxa"/>
          </w:tcPr>
          <w:p w:rsidR="002B5688" w:rsidRPr="00E03070" w:rsidRDefault="002B5688" w:rsidP="00EE52D8">
            <w:r w:rsidRPr="00E03070">
              <w:t>Ali Curung</w:t>
            </w:r>
          </w:p>
          <w:p w:rsidR="002B5688" w:rsidRPr="00E03070" w:rsidRDefault="002B5688" w:rsidP="00EE52D8">
            <w:r w:rsidRPr="00E03070">
              <w:t>Alpurrurulam</w:t>
            </w:r>
          </w:p>
          <w:p w:rsidR="002B5688" w:rsidRPr="00E03070" w:rsidRDefault="002B5688" w:rsidP="00EE52D8">
            <w:r w:rsidRPr="00E03070">
              <w:t>Alyangula</w:t>
            </w:r>
          </w:p>
          <w:p w:rsidR="002B5688" w:rsidRPr="00E03070" w:rsidRDefault="002B5688" w:rsidP="00EE52D8">
            <w:r w:rsidRPr="00E03070">
              <w:lastRenderedPageBreak/>
              <w:t>Ampilatawatja</w:t>
            </w:r>
          </w:p>
          <w:p w:rsidR="002B5688" w:rsidRPr="00E03070" w:rsidRDefault="002B5688" w:rsidP="00EE52D8">
            <w:r w:rsidRPr="00E03070">
              <w:t>Borroloola</w:t>
            </w:r>
          </w:p>
          <w:p w:rsidR="002B5688" w:rsidRPr="00E03070" w:rsidRDefault="002B5688" w:rsidP="00EE52D8">
            <w:r w:rsidRPr="00E03070">
              <w:t>Bulman</w:t>
            </w:r>
          </w:p>
          <w:p w:rsidR="002B5688" w:rsidRPr="00A6653B" w:rsidRDefault="002B5688" w:rsidP="00EE52D8">
            <w:r w:rsidRPr="00A6653B">
              <w:t xml:space="preserve">Alice Springs </w:t>
            </w:r>
            <w:r w:rsidR="00E3164A">
              <w:t>–</w:t>
            </w:r>
            <w:r w:rsidRPr="00A6653B">
              <w:t xml:space="preserve"> </w:t>
            </w:r>
            <w:r w:rsidR="00E3164A">
              <w:t>(</w:t>
            </w:r>
            <w:r w:rsidRPr="00A6653B">
              <w:t>Congress</w:t>
            </w:r>
            <w:r w:rsidR="00E3164A">
              <w:t>)</w:t>
            </w:r>
          </w:p>
          <w:p w:rsidR="002B5688" w:rsidRPr="00E03070" w:rsidRDefault="002B5688" w:rsidP="00EE52D8">
            <w:r w:rsidRPr="00A6653B">
              <w:t>Daly River</w:t>
            </w:r>
          </w:p>
          <w:p w:rsidR="002B5688" w:rsidRPr="00E03070" w:rsidRDefault="002B5688" w:rsidP="00EE52D8">
            <w:r w:rsidRPr="00E03070">
              <w:t>Galiwin’ku</w:t>
            </w:r>
          </w:p>
          <w:p w:rsidR="002B5688" w:rsidRPr="00E03070" w:rsidRDefault="002B5688" w:rsidP="00EE52D8">
            <w:r w:rsidRPr="00E03070">
              <w:t>Gunbalanya</w:t>
            </w:r>
          </w:p>
          <w:p w:rsidR="002B5688" w:rsidRPr="00E03070" w:rsidRDefault="002B5688" w:rsidP="00EE52D8">
            <w:r w:rsidRPr="00E03070">
              <w:t>Julanimawu</w:t>
            </w:r>
          </w:p>
          <w:p w:rsidR="002B5688" w:rsidRPr="00E03070" w:rsidRDefault="002B5688" w:rsidP="00EE52D8">
            <w:r w:rsidRPr="00E03070">
              <w:t>Kalkarindji</w:t>
            </w:r>
          </w:p>
          <w:p w:rsidR="002B5688" w:rsidRPr="00E03070" w:rsidRDefault="002B5688" w:rsidP="00EE52D8">
            <w:r w:rsidRPr="00E03070">
              <w:t>Kintore</w:t>
            </w:r>
          </w:p>
          <w:p w:rsidR="002B5688" w:rsidRPr="00E03070" w:rsidRDefault="002B5688" w:rsidP="00EE52D8">
            <w:r w:rsidRPr="00E03070">
              <w:t>Laynhapuy</w:t>
            </w:r>
          </w:p>
          <w:p w:rsidR="002B5688" w:rsidRPr="00E03070" w:rsidRDefault="002B5688" w:rsidP="00EE52D8">
            <w:r w:rsidRPr="00E03070">
              <w:t>Maningrida</w:t>
            </w:r>
          </w:p>
          <w:p w:rsidR="002B5688" w:rsidRPr="00E03070" w:rsidRDefault="002B5688" w:rsidP="00EE52D8">
            <w:r w:rsidRPr="00E03070">
              <w:t>Milingimbi</w:t>
            </w:r>
          </w:p>
          <w:p w:rsidR="002B5688" w:rsidRPr="00E03070" w:rsidRDefault="002B5688" w:rsidP="00EE52D8">
            <w:r w:rsidRPr="00E03070">
              <w:t>Minyerri</w:t>
            </w:r>
          </w:p>
          <w:p w:rsidR="002B5688" w:rsidRPr="00E03070" w:rsidRDefault="002B5688" w:rsidP="00EE52D8">
            <w:r w:rsidRPr="00E03070">
              <w:t>Ngukurr</w:t>
            </w:r>
          </w:p>
          <w:p w:rsidR="002B5688" w:rsidRPr="00E03070" w:rsidRDefault="002B5688" w:rsidP="00EE52D8">
            <w:r w:rsidRPr="00E03070">
              <w:t>Numbulwar</w:t>
            </w:r>
          </w:p>
          <w:p w:rsidR="002B5688" w:rsidRPr="00E03070" w:rsidRDefault="002B5688" w:rsidP="00EE52D8">
            <w:r w:rsidRPr="00E03070">
              <w:t>Papunya</w:t>
            </w:r>
          </w:p>
          <w:p w:rsidR="002B5688" w:rsidRPr="00E03070" w:rsidRDefault="002B5688" w:rsidP="00EE52D8">
            <w:r w:rsidRPr="00E03070">
              <w:t>Ramingining</w:t>
            </w:r>
          </w:p>
          <w:p w:rsidR="002B5688" w:rsidRPr="00E03070" w:rsidRDefault="002B5688" w:rsidP="00EE52D8">
            <w:r w:rsidRPr="00E03070">
              <w:t>Tennant Creek</w:t>
            </w:r>
          </w:p>
          <w:p w:rsidR="002B5688" w:rsidRPr="00E03070" w:rsidRDefault="002B5688" w:rsidP="00EE52D8">
            <w:r w:rsidRPr="00E03070">
              <w:t>Timber Creek</w:t>
            </w:r>
          </w:p>
          <w:p w:rsidR="002B5688" w:rsidRPr="00E03070" w:rsidRDefault="002B5688" w:rsidP="00EE52D8">
            <w:r w:rsidRPr="00E03070">
              <w:t>Wadeye</w:t>
            </w:r>
          </w:p>
          <w:p w:rsidR="002B5688" w:rsidRPr="00E03070" w:rsidRDefault="002B5688" w:rsidP="00EE52D8">
            <w:r w:rsidRPr="00E03070">
              <w:t>Wugularr</w:t>
            </w:r>
          </w:p>
          <w:p w:rsidR="002B5688" w:rsidRPr="00E03070" w:rsidRDefault="002B5688" w:rsidP="00EE52D8">
            <w:r w:rsidRPr="00E03070">
              <w:t>Yarralin</w:t>
            </w:r>
          </w:p>
          <w:p w:rsidR="002B5688" w:rsidRPr="00E03070" w:rsidRDefault="002B5688" w:rsidP="00EE52D8">
            <w:r w:rsidRPr="00E03070">
              <w:t>Yuendumu</w:t>
            </w:r>
          </w:p>
          <w:p w:rsidR="002B5688" w:rsidRPr="00E03070" w:rsidRDefault="002B5688" w:rsidP="00EE52D8">
            <w:r w:rsidRPr="00E03070">
              <w:t>Yulara</w:t>
            </w:r>
          </w:p>
        </w:tc>
        <w:tc>
          <w:tcPr>
            <w:tcW w:w="1811" w:type="dxa"/>
          </w:tcPr>
          <w:p w:rsidR="002B5688" w:rsidRPr="00E03070" w:rsidRDefault="002B5688" w:rsidP="00EE52D8">
            <w:pPr>
              <w:rPr>
                <w:szCs w:val="22"/>
              </w:rPr>
            </w:pPr>
            <w:r w:rsidRPr="00E03070">
              <w:rPr>
                <w:szCs w:val="22"/>
              </w:rPr>
              <w:lastRenderedPageBreak/>
              <w:t>Balgo</w:t>
            </w:r>
          </w:p>
          <w:p w:rsidR="002B5688" w:rsidRPr="00E03070" w:rsidRDefault="002B5688" w:rsidP="00EE52D8">
            <w:pPr>
              <w:rPr>
                <w:szCs w:val="22"/>
              </w:rPr>
            </w:pPr>
            <w:r w:rsidRPr="00E03070">
              <w:rPr>
                <w:szCs w:val="22"/>
              </w:rPr>
              <w:t>Beagle Bay</w:t>
            </w:r>
          </w:p>
          <w:p w:rsidR="002B5688" w:rsidRPr="00E03070" w:rsidRDefault="002B5688" w:rsidP="00EE52D8">
            <w:pPr>
              <w:rPr>
                <w:szCs w:val="22"/>
              </w:rPr>
            </w:pPr>
            <w:r w:rsidRPr="00E03070">
              <w:rPr>
                <w:szCs w:val="22"/>
              </w:rPr>
              <w:t>Bidyadanga</w:t>
            </w:r>
          </w:p>
          <w:p w:rsidR="002B5688" w:rsidRPr="00E03070" w:rsidRDefault="002B5688" w:rsidP="00EE52D8">
            <w:pPr>
              <w:rPr>
                <w:szCs w:val="22"/>
              </w:rPr>
            </w:pPr>
            <w:r w:rsidRPr="00E03070">
              <w:rPr>
                <w:szCs w:val="22"/>
              </w:rPr>
              <w:lastRenderedPageBreak/>
              <w:t>Billiluna</w:t>
            </w:r>
          </w:p>
          <w:p w:rsidR="002B5688" w:rsidRPr="00E03070" w:rsidRDefault="002B5688" w:rsidP="00EE52D8">
            <w:pPr>
              <w:rPr>
                <w:szCs w:val="22"/>
              </w:rPr>
            </w:pPr>
            <w:r w:rsidRPr="00E03070">
              <w:rPr>
                <w:szCs w:val="22"/>
              </w:rPr>
              <w:t>Blackstone</w:t>
            </w:r>
          </w:p>
          <w:p w:rsidR="002B5688" w:rsidRDefault="002B5688" w:rsidP="00EE52D8">
            <w:pPr>
              <w:rPr>
                <w:szCs w:val="22"/>
              </w:rPr>
            </w:pPr>
            <w:r w:rsidRPr="00E03070">
              <w:rPr>
                <w:szCs w:val="22"/>
              </w:rPr>
              <w:t>Carnarvon</w:t>
            </w:r>
          </w:p>
          <w:p w:rsidR="002B5688" w:rsidRPr="00E03070" w:rsidRDefault="002B5688" w:rsidP="00EE52D8">
            <w:pPr>
              <w:rPr>
                <w:szCs w:val="22"/>
              </w:rPr>
            </w:pPr>
            <w:r w:rsidRPr="00E03070">
              <w:rPr>
                <w:szCs w:val="22"/>
              </w:rPr>
              <w:t>Derby</w:t>
            </w:r>
          </w:p>
          <w:p w:rsidR="002B5688" w:rsidRPr="00E03070" w:rsidRDefault="002B5688" w:rsidP="00EE52D8">
            <w:pPr>
              <w:rPr>
                <w:szCs w:val="22"/>
              </w:rPr>
            </w:pPr>
            <w:r w:rsidRPr="00E03070">
              <w:rPr>
                <w:szCs w:val="22"/>
              </w:rPr>
              <w:t xml:space="preserve">Fitzroy </w:t>
            </w:r>
            <w:r w:rsidR="00E3164A">
              <w:rPr>
                <w:szCs w:val="22"/>
              </w:rPr>
              <w:t>Crossing</w:t>
            </w:r>
          </w:p>
          <w:p w:rsidR="002B5688" w:rsidRPr="00E03070" w:rsidRDefault="002B5688" w:rsidP="00EE52D8">
            <w:pPr>
              <w:rPr>
                <w:szCs w:val="22"/>
              </w:rPr>
            </w:pPr>
            <w:r w:rsidRPr="00E03070">
              <w:rPr>
                <w:szCs w:val="22"/>
              </w:rPr>
              <w:t>Halls Creek</w:t>
            </w:r>
          </w:p>
          <w:p w:rsidR="002B5688" w:rsidRPr="00E03070" w:rsidRDefault="002B5688" w:rsidP="00EE52D8">
            <w:pPr>
              <w:rPr>
                <w:szCs w:val="22"/>
              </w:rPr>
            </w:pPr>
            <w:r w:rsidRPr="00E03070">
              <w:rPr>
                <w:szCs w:val="22"/>
              </w:rPr>
              <w:t>Jigalong</w:t>
            </w:r>
          </w:p>
          <w:p w:rsidR="002B5688" w:rsidRPr="00E03070" w:rsidRDefault="002B5688" w:rsidP="00EE52D8">
            <w:pPr>
              <w:rPr>
                <w:szCs w:val="22"/>
              </w:rPr>
            </w:pPr>
            <w:r w:rsidRPr="00E03070">
              <w:rPr>
                <w:szCs w:val="22"/>
              </w:rPr>
              <w:t>Kalgoorlie</w:t>
            </w:r>
          </w:p>
          <w:p w:rsidR="002B5688" w:rsidRPr="00E03070" w:rsidRDefault="002B5688" w:rsidP="00EE52D8">
            <w:pPr>
              <w:rPr>
                <w:szCs w:val="22"/>
              </w:rPr>
            </w:pPr>
            <w:r w:rsidRPr="00E03070">
              <w:rPr>
                <w:szCs w:val="22"/>
              </w:rPr>
              <w:t>Kalumburu</w:t>
            </w:r>
          </w:p>
          <w:p w:rsidR="002B5688" w:rsidRPr="00E03070" w:rsidRDefault="002B5688" w:rsidP="00EE52D8">
            <w:pPr>
              <w:rPr>
                <w:szCs w:val="22"/>
              </w:rPr>
            </w:pPr>
            <w:r w:rsidRPr="00E03070">
              <w:rPr>
                <w:szCs w:val="22"/>
              </w:rPr>
              <w:t>Kiwirrkurra</w:t>
            </w:r>
          </w:p>
          <w:p w:rsidR="002B5688" w:rsidRPr="00E03070" w:rsidRDefault="002B5688" w:rsidP="00EE52D8">
            <w:pPr>
              <w:rPr>
                <w:szCs w:val="22"/>
              </w:rPr>
            </w:pPr>
            <w:r w:rsidRPr="00E03070">
              <w:rPr>
                <w:szCs w:val="22"/>
              </w:rPr>
              <w:t>Kununurra</w:t>
            </w:r>
          </w:p>
          <w:p w:rsidR="002B5688" w:rsidRPr="00E03070" w:rsidRDefault="002B5688" w:rsidP="00EE52D8">
            <w:pPr>
              <w:rPr>
                <w:szCs w:val="22"/>
              </w:rPr>
            </w:pPr>
            <w:r w:rsidRPr="00E03070">
              <w:rPr>
                <w:szCs w:val="22"/>
              </w:rPr>
              <w:t>Laverton</w:t>
            </w:r>
          </w:p>
          <w:p w:rsidR="002B5688" w:rsidRPr="00E03070" w:rsidRDefault="002B5688" w:rsidP="00EE52D8">
            <w:pPr>
              <w:rPr>
                <w:szCs w:val="22"/>
              </w:rPr>
            </w:pPr>
            <w:r w:rsidRPr="00E03070">
              <w:rPr>
                <w:szCs w:val="22"/>
              </w:rPr>
              <w:t>Meekatharra</w:t>
            </w:r>
          </w:p>
          <w:p w:rsidR="002B5688" w:rsidRPr="00E03070" w:rsidRDefault="002B5688" w:rsidP="00EE52D8">
            <w:pPr>
              <w:rPr>
                <w:szCs w:val="22"/>
              </w:rPr>
            </w:pPr>
            <w:r w:rsidRPr="00E03070">
              <w:rPr>
                <w:szCs w:val="22"/>
              </w:rPr>
              <w:t>Mount Magnet</w:t>
            </w:r>
          </w:p>
          <w:p w:rsidR="002B5688" w:rsidRDefault="002B5688" w:rsidP="00EE52D8">
            <w:pPr>
              <w:rPr>
                <w:szCs w:val="22"/>
              </w:rPr>
            </w:pPr>
            <w:r w:rsidRPr="00A6653B">
              <w:rPr>
                <w:szCs w:val="22"/>
              </w:rPr>
              <w:t>Tjuntjuntjara</w:t>
            </w:r>
          </w:p>
          <w:p w:rsidR="002B5688" w:rsidRPr="00E03070" w:rsidRDefault="002B5688" w:rsidP="00EE52D8">
            <w:pPr>
              <w:rPr>
                <w:szCs w:val="22"/>
              </w:rPr>
            </w:pPr>
            <w:r w:rsidRPr="00E03070">
              <w:rPr>
                <w:szCs w:val="22"/>
              </w:rPr>
              <w:t>Warakurna</w:t>
            </w:r>
          </w:p>
          <w:p w:rsidR="002B5688" w:rsidRPr="00E03070" w:rsidRDefault="002B5688" w:rsidP="00EE52D8">
            <w:pPr>
              <w:rPr>
                <w:szCs w:val="22"/>
              </w:rPr>
            </w:pPr>
            <w:r w:rsidRPr="00E03070">
              <w:rPr>
                <w:szCs w:val="22"/>
              </w:rPr>
              <w:t>Warburton</w:t>
            </w:r>
          </w:p>
          <w:p w:rsidR="002B5688" w:rsidRPr="00E03070" w:rsidRDefault="002B5688" w:rsidP="00EE52D8">
            <w:pPr>
              <w:rPr>
                <w:szCs w:val="22"/>
              </w:rPr>
            </w:pPr>
            <w:r w:rsidRPr="00E03070">
              <w:rPr>
                <w:szCs w:val="22"/>
              </w:rPr>
              <w:t>Wiluna</w:t>
            </w:r>
          </w:p>
          <w:p w:rsidR="002B5688" w:rsidRPr="00E03070" w:rsidRDefault="002B5688" w:rsidP="00EE52D8">
            <w:pPr>
              <w:rPr>
                <w:szCs w:val="22"/>
              </w:rPr>
            </w:pPr>
          </w:p>
        </w:tc>
        <w:tc>
          <w:tcPr>
            <w:tcW w:w="1449" w:type="dxa"/>
          </w:tcPr>
          <w:p w:rsidR="002B5688" w:rsidRPr="00E03070" w:rsidRDefault="002B5688" w:rsidP="00EE52D8">
            <w:pPr>
              <w:rPr>
                <w:szCs w:val="22"/>
              </w:rPr>
            </w:pPr>
            <w:r w:rsidRPr="00E03070">
              <w:rPr>
                <w:szCs w:val="22"/>
              </w:rPr>
              <w:lastRenderedPageBreak/>
              <w:t>Amata Ceduna</w:t>
            </w:r>
          </w:p>
          <w:p w:rsidR="002B5688" w:rsidRPr="00E03070" w:rsidRDefault="002B5688" w:rsidP="00EE52D8">
            <w:pPr>
              <w:rPr>
                <w:szCs w:val="22"/>
              </w:rPr>
            </w:pPr>
            <w:r w:rsidRPr="00E03070">
              <w:rPr>
                <w:szCs w:val="22"/>
              </w:rPr>
              <w:lastRenderedPageBreak/>
              <w:t>Coober Pedy</w:t>
            </w:r>
          </w:p>
          <w:p w:rsidR="002B5688" w:rsidRPr="00E03070" w:rsidRDefault="002B5688" w:rsidP="00EE52D8">
            <w:pPr>
              <w:rPr>
                <w:szCs w:val="22"/>
              </w:rPr>
            </w:pPr>
            <w:r w:rsidRPr="00E03070">
              <w:rPr>
                <w:szCs w:val="22"/>
              </w:rPr>
              <w:t>Ernabella</w:t>
            </w:r>
          </w:p>
          <w:p w:rsidR="002B5688" w:rsidRPr="00E03070" w:rsidRDefault="002B5688" w:rsidP="00EE52D8">
            <w:pPr>
              <w:rPr>
                <w:szCs w:val="22"/>
              </w:rPr>
            </w:pPr>
            <w:r w:rsidRPr="00E03070">
              <w:rPr>
                <w:szCs w:val="22"/>
              </w:rPr>
              <w:t>Indulkana</w:t>
            </w:r>
          </w:p>
          <w:p w:rsidR="002B5688" w:rsidRPr="00E03070" w:rsidRDefault="002B5688" w:rsidP="00EE52D8">
            <w:pPr>
              <w:rPr>
                <w:szCs w:val="22"/>
              </w:rPr>
            </w:pPr>
            <w:r w:rsidRPr="00E03070">
              <w:rPr>
                <w:szCs w:val="22"/>
              </w:rPr>
              <w:t>Oak Valley</w:t>
            </w:r>
          </w:p>
          <w:p w:rsidR="002B5688" w:rsidRPr="00E03070" w:rsidRDefault="002B5688" w:rsidP="00EE52D8">
            <w:pPr>
              <w:rPr>
                <w:szCs w:val="22"/>
              </w:rPr>
            </w:pPr>
            <w:r w:rsidRPr="00E03070">
              <w:rPr>
                <w:szCs w:val="22"/>
              </w:rPr>
              <w:t>Port Augusta</w:t>
            </w:r>
          </w:p>
          <w:p w:rsidR="002B5688" w:rsidRPr="00E03070" w:rsidRDefault="002B5688" w:rsidP="00EE52D8">
            <w:pPr>
              <w:rPr>
                <w:szCs w:val="22"/>
              </w:rPr>
            </w:pPr>
            <w:r w:rsidRPr="00E03070">
              <w:rPr>
                <w:szCs w:val="22"/>
              </w:rPr>
              <w:t>Pipalyatjara</w:t>
            </w:r>
          </w:p>
          <w:p w:rsidR="002B5688" w:rsidRPr="00E03070" w:rsidRDefault="002B5688" w:rsidP="00EE52D8">
            <w:pPr>
              <w:rPr>
                <w:szCs w:val="22"/>
              </w:rPr>
            </w:pPr>
            <w:r w:rsidRPr="00E03070">
              <w:rPr>
                <w:szCs w:val="22"/>
              </w:rPr>
              <w:t>Yalata</w:t>
            </w:r>
          </w:p>
          <w:p w:rsidR="002B5688" w:rsidRPr="00E03070" w:rsidRDefault="002B5688" w:rsidP="00EE52D8">
            <w:pPr>
              <w:rPr>
                <w:szCs w:val="22"/>
              </w:rPr>
            </w:pPr>
          </w:p>
        </w:tc>
        <w:tc>
          <w:tcPr>
            <w:tcW w:w="1472" w:type="dxa"/>
          </w:tcPr>
          <w:p w:rsidR="002B5688" w:rsidRPr="00E03070" w:rsidRDefault="002B5688" w:rsidP="00EE52D8">
            <w:pPr>
              <w:rPr>
                <w:szCs w:val="22"/>
              </w:rPr>
            </w:pPr>
            <w:r w:rsidRPr="00E03070">
              <w:rPr>
                <w:szCs w:val="22"/>
              </w:rPr>
              <w:lastRenderedPageBreak/>
              <w:t>Broken</w:t>
            </w:r>
            <w:r>
              <w:rPr>
                <w:szCs w:val="22"/>
              </w:rPr>
              <w:t xml:space="preserve"> Hill</w:t>
            </w:r>
            <w:r w:rsidR="00E3164A">
              <w:rPr>
                <w:szCs w:val="22"/>
              </w:rPr>
              <w:t xml:space="preserve"> </w:t>
            </w:r>
            <w:r w:rsidRPr="00E03070">
              <w:rPr>
                <w:szCs w:val="22"/>
              </w:rPr>
              <w:t>Coomealla Moree</w:t>
            </w:r>
          </w:p>
          <w:p w:rsidR="002B5688" w:rsidRPr="00E03070" w:rsidRDefault="002B5688" w:rsidP="00EE52D8">
            <w:pPr>
              <w:rPr>
                <w:szCs w:val="22"/>
              </w:rPr>
            </w:pPr>
            <w:r w:rsidRPr="00E03070">
              <w:rPr>
                <w:szCs w:val="22"/>
              </w:rPr>
              <w:lastRenderedPageBreak/>
              <w:t>Narooma</w:t>
            </w:r>
          </w:p>
          <w:p w:rsidR="002B5688" w:rsidRPr="00E03070" w:rsidRDefault="002B5688" w:rsidP="00EE52D8">
            <w:pPr>
              <w:rPr>
                <w:szCs w:val="22"/>
              </w:rPr>
            </w:pPr>
            <w:r w:rsidRPr="00E03070">
              <w:rPr>
                <w:szCs w:val="22"/>
              </w:rPr>
              <w:t>Walgett</w:t>
            </w:r>
          </w:p>
          <w:p w:rsidR="002B5688" w:rsidRPr="00E03070" w:rsidRDefault="002B5688" w:rsidP="00EE52D8">
            <w:pPr>
              <w:rPr>
                <w:szCs w:val="22"/>
              </w:rPr>
            </w:pPr>
          </w:p>
        </w:tc>
        <w:tc>
          <w:tcPr>
            <w:tcW w:w="1329" w:type="dxa"/>
          </w:tcPr>
          <w:p w:rsidR="002B5688" w:rsidRPr="00E03070" w:rsidRDefault="002B5688" w:rsidP="00EE52D8">
            <w:pPr>
              <w:rPr>
                <w:szCs w:val="22"/>
              </w:rPr>
            </w:pPr>
            <w:r w:rsidRPr="00E03070">
              <w:rPr>
                <w:szCs w:val="22"/>
              </w:rPr>
              <w:lastRenderedPageBreak/>
              <w:t>Mildura</w:t>
            </w:r>
          </w:p>
          <w:p w:rsidR="002B5688" w:rsidRPr="00E03070" w:rsidRDefault="002B5688" w:rsidP="00EE52D8">
            <w:pPr>
              <w:rPr>
                <w:szCs w:val="22"/>
              </w:rPr>
            </w:pPr>
            <w:r w:rsidRPr="00E03070">
              <w:rPr>
                <w:szCs w:val="22"/>
              </w:rPr>
              <w:t>Mooroopna</w:t>
            </w:r>
          </w:p>
        </w:tc>
        <w:tc>
          <w:tcPr>
            <w:tcW w:w="1593" w:type="dxa"/>
          </w:tcPr>
          <w:p w:rsidR="002B5688" w:rsidRDefault="002B5688" w:rsidP="00EE52D8">
            <w:pPr>
              <w:rPr>
                <w:szCs w:val="22"/>
              </w:rPr>
            </w:pPr>
            <w:r w:rsidRPr="00E03070">
              <w:rPr>
                <w:szCs w:val="22"/>
              </w:rPr>
              <w:t>Aurukun</w:t>
            </w:r>
          </w:p>
          <w:p w:rsidR="002B5688" w:rsidRPr="00E03070" w:rsidRDefault="002B5688" w:rsidP="00EE52D8">
            <w:pPr>
              <w:rPr>
                <w:szCs w:val="22"/>
              </w:rPr>
            </w:pPr>
            <w:r w:rsidRPr="00E03070">
              <w:rPr>
                <w:szCs w:val="22"/>
              </w:rPr>
              <w:t>Badu</w:t>
            </w:r>
          </w:p>
          <w:p w:rsidR="002B5688" w:rsidRDefault="002B5688" w:rsidP="00EE52D8">
            <w:pPr>
              <w:rPr>
                <w:szCs w:val="22"/>
              </w:rPr>
            </w:pPr>
            <w:r w:rsidRPr="00E03070">
              <w:rPr>
                <w:szCs w:val="22"/>
              </w:rPr>
              <w:t xml:space="preserve">Boigu </w:t>
            </w:r>
          </w:p>
          <w:p w:rsidR="002B5688" w:rsidRDefault="002B5688" w:rsidP="00EE52D8">
            <w:pPr>
              <w:rPr>
                <w:szCs w:val="22"/>
              </w:rPr>
            </w:pPr>
            <w:r w:rsidRPr="00E03070">
              <w:rPr>
                <w:szCs w:val="22"/>
              </w:rPr>
              <w:lastRenderedPageBreak/>
              <w:t>Cooktown</w:t>
            </w:r>
          </w:p>
          <w:p w:rsidR="002B5688" w:rsidRPr="00E03070" w:rsidRDefault="002B5688" w:rsidP="00EE52D8">
            <w:pPr>
              <w:rPr>
                <w:szCs w:val="22"/>
              </w:rPr>
            </w:pPr>
            <w:r w:rsidRPr="00E03070">
              <w:rPr>
                <w:szCs w:val="22"/>
              </w:rPr>
              <w:t>Lockhart River</w:t>
            </w:r>
          </w:p>
          <w:p w:rsidR="002B5688" w:rsidRDefault="002B5688" w:rsidP="00EE52D8">
            <w:pPr>
              <w:rPr>
                <w:szCs w:val="22"/>
              </w:rPr>
            </w:pPr>
            <w:r w:rsidRPr="00E03070">
              <w:rPr>
                <w:szCs w:val="22"/>
              </w:rPr>
              <w:t>Pormpuraaw</w:t>
            </w:r>
          </w:p>
          <w:p w:rsidR="002B5688" w:rsidRPr="00E03070" w:rsidRDefault="002B5688" w:rsidP="00EE52D8">
            <w:pPr>
              <w:rPr>
                <w:szCs w:val="22"/>
              </w:rPr>
            </w:pPr>
            <w:r w:rsidRPr="00E03070">
              <w:rPr>
                <w:szCs w:val="22"/>
              </w:rPr>
              <w:t>Saibai</w:t>
            </w:r>
          </w:p>
          <w:p w:rsidR="002B5688" w:rsidRDefault="002B5688" w:rsidP="00EE52D8">
            <w:pPr>
              <w:rPr>
                <w:szCs w:val="22"/>
              </w:rPr>
            </w:pPr>
            <w:r w:rsidRPr="00E03070">
              <w:rPr>
                <w:szCs w:val="22"/>
              </w:rPr>
              <w:t>Weipa</w:t>
            </w:r>
          </w:p>
          <w:p w:rsidR="002B5688" w:rsidRPr="00E03070" w:rsidRDefault="002B5688" w:rsidP="00EE52D8">
            <w:pPr>
              <w:rPr>
                <w:szCs w:val="22"/>
              </w:rPr>
            </w:pPr>
            <w:r w:rsidRPr="00E03070">
              <w:rPr>
                <w:szCs w:val="22"/>
              </w:rPr>
              <w:t>Wuchopperen</w:t>
            </w:r>
          </w:p>
          <w:p w:rsidR="002B5688" w:rsidRPr="00E03070" w:rsidRDefault="002B5688" w:rsidP="00EE52D8">
            <w:pPr>
              <w:rPr>
                <w:szCs w:val="22"/>
              </w:rPr>
            </w:pPr>
          </w:p>
        </w:tc>
      </w:tr>
    </w:tbl>
    <w:p w:rsidR="005C2869" w:rsidRPr="005C2869" w:rsidRDefault="008B5A38" w:rsidP="008530B3">
      <w:pPr>
        <w:jc w:val="both"/>
        <w:rPr>
          <w:rFonts w:cs="Arial"/>
          <w:szCs w:val="22"/>
        </w:rPr>
      </w:pPr>
      <w:r>
        <w:rPr>
          <w:rFonts w:cs="Arial"/>
          <w:szCs w:val="22"/>
        </w:rPr>
        <w:lastRenderedPageBreak/>
        <w:t>Additional f</w:t>
      </w:r>
      <w:r w:rsidR="005C2869" w:rsidRPr="005C2869">
        <w:rPr>
          <w:rFonts w:cs="Arial"/>
          <w:szCs w:val="22"/>
        </w:rPr>
        <w:t xml:space="preserve">unding announced on 18 September </w:t>
      </w:r>
      <w:r w:rsidR="00484498">
        <w:rPr>
          <w:rFonts w:cs="Arial"/>
          <w:szCs w:val="22"/>
        </w:rPr>
        <w:t>will</w:t>
      </w:r>
      <w:r w:rsidR="005C2869" w:rsidRPr="005C2869">
        <w:rPr>
          <w:rFonts w:cs="Arial"/>
          <w:szCs w:val="22"/>
        </w:rPr>
        <w:t xml:space="preserve"> continue </w:t>
      </w:r>
      <w:r w:rsidR="00484498">
        <w:rPr>
          <w:rFonts w:cs="Arial"/>
          <w:szCs w:val="22"/>
        </w:rPr>
        <w:t>the PoCT program</w:t>
      </w:r>
      <w:r w:rsidR="005C2869" w:rsidRPr="005C2869">
        <w:rPr>
          <w:rFonts w:cs="Arial"/>
          <w:szCs w:val="22"/>
        </w:rPr>
        <w:t xml:space="preserve"> until 31</w:t>
      </w:r>
      <w:r w:rsidR="00347A31">
        <w:rPr>
          <w:rFonts w:cs="Arial"/>
          <w:szCs w:val="22"/>
        </w:rPr>
        <w:t> March </w:t>
      </w:r>
      <w:r w:rsidR="005C2869" w:rsidRPr="005C2869">
        <w:rPr>
          <w:rFonts w:cs="Arial"/>
          <w:szCs w:val="22"/>
        </w:rPr>
        <w:t>2021.</w:t>
      </w:r>
    </w:p>
    <w:p w:rsidR="002F5FCD" w:rsidRPr="005C2869" w:rsidRDefault="002F5FCD" w:rsidP="005C2869">
      <w:pPr>
        <w:keepNext/>
        <w:rPr>
          <w:b/>
        </w:rPr>
      </w:pPr>
      <w:r w:rsidRPr="005C2869">
        <w:rPr>
          <w:b/>
        </w:rPr>
        <w:t>Mental health and suicide prevention</w:t>
      </w:r>
    </w:p>
    <w:p w:rsidR="002F5FCD" w:rsidRPr="002F5FCD" w:rsidRDefault="002F5FCD" w:rsidP="008530B3">
      <w:pPr>
        <w:jc w:val="both"/>
        <w:rPr>
          <w:rFonts w:cs="Arial"/>
          <w:color w:val="000000"/>
          <w:szCs w:val="22"/>
          <w:shd w:val="clear" w:color="auto" w:fill="FFFFFF"/>
        </w:rPr>
      </w:pPr>
      <w:r w:rsidRPr="002F5FCD">
        <w:rPr>
          <w:rFonts w:cs="Arial"/>
          <w:color w:val="000000"/>
          <w:szCs w:val="22"/>
          <w:shd w:val="clear" w:color="auto" w:fill="FFFFFF"/>
        </w:rPr>
        <w:t>The COVID-19 pandemic has put pressure on the mental health and wellbeing of many Australians. The Taskforce has been pleased to receive updates about activities to support and protect mental health and wellbeing for all Australians, and continued to raise the importance of engaging with the ACCHO sector to provide cultural</w:t>
      </w:r>
      <w:r w:rsidR="00996E87">
        <w:rPr>
          <w:rFonts w:cs="Arial"/>
          <w:color w:val="000000"/>
          <w:szCs w:val="22"/>
          <w:shd w:val="clear" w:color="auto" w:fill="FFFFFF"/>
        </w:rPr>
        <w:t xml:space="preserve">ly safe mental health support. </w:t>
      </w:r>
      <w:r w:rsidRPr="002F5FCD">
        <w:rPr>
          <w:rFonts w:cs="Arial"/>
          <w:color w:val="000000"/>
          <w:szCs w:val="22"/>
          <w:shd w:val="clear" w:color="auto" w:fill="FFFFFF"/>
        </w:rPr>
        <w:t>Recent activities and announcements include:</w:t>
      </w:r>
    </w:p>
    <w:p w:rsidR="002F5FCD" w:rsidRPr="002F5FCD" w:rsidRDefault="002F5FCD" w:rsidP="002F5FCD">
      <w:pPr>
        <w:numPr>
          <w:ilvl w:val="0"/>
          <w:numId w:val="8"/>
        </w:numPr>
        <w:spacing w:line="252" w:lineRule="auto"/>
        <w:contextualSpacing/>
        <w:jc w:val="both"/>
        <w:rPr>
          <w:rFonts w:eastAsia="Times New Roman" w:cs="Arial"/>
          <w:szCs w:val="22"/>
        </w:rPr>
      </w:pPr>
      <w:r w:rsidRPr="002F5FCD">
        <w:rPr>
          <w:rFonts w:eastAsia="Times New Roman" w:cs="Arial"/>
          <w:szCs w:val="22"/>
        </w:rPr>
        <w:t xml:space="preserve">The launch and first release of data from the </w:t>
      </w:r>
      <w:r w:rsidR="00347A31">
        <w:rPr>
          <w:rFonts w:eastAsia="Times New Roman" w:cs="Arial"/>
          <w:szCs w:val="22"/>
        </w:rPr>
        <w:t>Australian Institute of Health and Welfare (</w:t>
      </w:r>
      <w:r w:rsidRPr="002F5FCD">
        <w:rPr>
          <w:rFonts w:eastAsia="Times New Roman" w:cs="Arial"/>
          <w:szCs w:val="22"/>
        </w:rPr>
        <w:t>AIHW</w:t>
      </w:r>
      <w:r w:rsidR="00347A31">
        <w:rPr>
          <w:rFonts w:eastAsia="Times New Roman" w:cs="Arial"/>
          <w:szCs w:val="22"/>
        </w:rPr>
        <w:t>)</w:t>
      </w:r>
      <w:r w:rsidRPr="002F5FCD">
        <w:rPr>
          <w:rFonts w:eastAsia="Times New Roman" w:cs="Arial"/>
          <w:szCs w:val="22"/>
        </w:rPr>
        <w:t xml:space="preserve"> national suicide and self-harm monitoring project</w:t>
      </w:r>
      <w:r w:rsidR="00347A31">
        <w:rPr>
          <w:rFonts w:eastAsia="Times New Roman" w:cs="Arial"/>
          <w:szCs w:val="22"/>
        </w:rPr>
        <w:t>;</w:t>
      </w:r>
    </w:p>
    <w:p w:rsidR="002F5FCD" w:rsidRPr="002F5FCD" w:rsidRDefault="002F5FCD" w:rsidP="002F5FCD">
      <w:pPr>
        <w:numPr>
          <w:ilvl w:val="0"/>
          <w:numId w:val="8"/>
        </w:numPr>
        <w:spacing w:line="252" w:lineRule="auto"/>
        <w:contextualSpacing/>
        <w:jc w:val="both"/>
        <w:rPr>
          <w:rFonts w:eastAsia="Times New Roman" w:cs="Arial"/>
          <w:szCs w:val="22"/>
        </w:rPr>
      </w:pPr>
      <w:r w:rsidRPr="002F5FCD">
        <w:rPr>
          <w:rFonts w:eastAsia="Times New Roman" w:cs="Arial"/>
          <w:szCs w:val="22"/>
        </w:rPr>
        <w:t xml:space="preserve">15 mental health hubs have recently opened in Victoria, with funding for 12 months.  Local public health networks have the responsibility of working with Victorian </w:t>
      </w:r>
      <w:r w:rsidR="005B0885">
        <w:rPr>
          <w:rFonts w:eastAsia="Times New Roman" w:cs="Arial"/>
          <w:szCs w:val="22"/>
        </w:rPr>
        <w:t xml:space="preserve">Aboriginal Community Controlled Health </w:t>
      </w:r>
      <w:r w:rsidR="00641EE9">
        <w:rPr>
          <w:rFonts w:eastAsia="Times New Roman" w:cs="Arial"/>
          <w:szCs w:val="22"/>
        </w:rPr>
        <w:t>Organisations</w:t>
      </w:r>
      <w:r w:rsidRPr="002F5FCD">
        <w:rPr>
          <w:rFonts w:eastAsia="Times New Roman" w:cs="Arial"/>
          <w:szCs w:val="22"/>
        </w:rPr>
        <w:t xml:space="preserve"> to ensure connections to usual</w:t>
      </w:r>
      <w:r w:rsidR="00347A31">
        <w:rPr>
          <w:rFonts w:eastAsia="Times New Roman" w:cs="Arial"/>
          <w:szCs w:val="22"/>
        </w:rPr>
        <w:t xml:space="preserve"> healthcare and cultural safety; and</w:t>
      </w:r>
    </w:p>
    <w:p w:rsidR="00FE65AA" w:rsidRDefault="002F5FCD" w:rsidP="0067092C">
      <w:pPr>
        <w:numPr>
          <w:ilvl w:val="0"/>
          <w:numId w:val="8"/>
        </w:numPr>
        <w:spacing w:line="252" w:lineRule="auto"/>
        <w:contextualSpacing/>
        <w:jc w:val="both"/>
        <w:rPr>
          <w:rFonts w:eastAsia="Times New Roman" w:cs="Arial"/>
          <w:szCs w:val="22"/>
        </w:rPr>
      </w:pPr>
      <w:r w:rsidRPr="002F5FCD">
        <w:rPr>
          <w:rFonts w:eastAsia="Times New Roman" w:cs="Arial"/>
          <w:szCs w:val="22"/>
        </w:rPr>
        <w:t xml:space="preserve">providing 10 additional Medicare subsidised therapy sessions for people subjected to further restrictions in areas impacted by the second wave of the COVID-19 pandemic.  </w:t>
      </w:r>
      <w:r w:rsidRPr="002F5FCD">
        <w:rPr>
          <w:rFonts w:eastAsia="Times New Roman" w:cs="Arial"/>
          <w:szCs w:val="22"/>
        </w:rPr>
        <w:lastRenderedPageBreak/>
        <w:t xml:space="preserve">This will allow people in eligible areas who have used their first 10 sessions to continue to receive mental health care from their psychologist, psychiatrist, GP or other eligible allied health worker.  </w:t>
      </w:r>
    </w:p>
    <w:p w:rsidR="00996E87" w:rsidRPr="00996E87" w:rsidRDefault="00996E87" w:rsidP="00996E87">
      <w:pPr>
        <w:spacing w:line="252" w:lineRule="auto"/>
        <w:ind w:left="720"/>
        <w:contextualSpacing/>
        <w:jc w:val="both"/>
        <w:rPr>
          <w:rFonts w:eastAsia="Times New Roman" w:cs="Arial"/>
          <w:szCs w:val="22"/>
        </w:rPr>
      </w:pPr>
    </w:p>
    <w:p w:rsidR="0081397B" w:rsidRPr="00996E87" w:rsidRDefault="002B5688" w:rsidP="0067092C">
      <w:pPr>
        <w:rPr>
          <w:rFonts w:cs="Arial"/>
          <w:b/>
          <w:szCs w:val="22"/>
        </w:rPr>
      </w:pPr>
      <w:r w:rsidRPr="00996E87">
        <w:rPr>
          <w:rFonts w:cs="Arial"/>
          <w:b/>
          <w:szCs w:val="22"/>
        </w:rPr>
        <w:t>Telehealth</w:t>
      </w:r>
    </w:p>
    <w:p w:rsidR="002B5688" w:rsidRDefault="00C22669" w:rsidP="008530B3">
      <w:pPr>
        <w:jc w:val="both"/>
        <w:rPr>
          <w:rFonts w:cs="Arial"/>
          <w:color w:val="000000"/>
          <w:szCs w:val="22"/>
          <w:shd w:val="clear" w:color="auto" w:fill="FFFFFF"/>
        </w:rPr>
      </w:pPr>
      <w:r>
        <w:rPr>
          <w:rFonts w:cs="Arial"/>
          <w:color w:val="000000"/>
          <w:szCs w:val="22"/>
          <w:shd w:val="clear" w:color="auto" w:fill="FFFFFF"/>
        </w:rPr>
        <w:t>The Australian Government announced the e</w:t>
      </w:r>
      <w:r w:rsidR="00FE65AA" w:rsidRPr="00FE65AA">
        <w:rPr>
          <w:rFonts w:cs="Arial"/>
          <w:color w:val="000000"/>
          <w:szCs w:val="22"/>
          <w:shd w:val="clear" w:color="auto" w:fill="FFFFFF"/>
        </w:rPr>
        <w:t xml:space="preserve">xtension of temporary COVID-19 MBS </w:t>
      </w:r>
      <w:r w:rsidR="00156321">
        <w:rPr>
          <w:rFonts w:cs="Arial"/>
          <w:color w:val="000000"/>
          <w:szCs w:val="22"/>
          <w:shd w:val="clear" w:color="auto" w:fill="FFFFFF"/>
        </w:rPr>
        <w:t xml:space="preserve">(Medicare Benefits Schedule) </w:t>
      </w:r>
      <w:r w:rsidR="00FE65AA" w:rsidRPr="00FE65AA">
        <w:rPr>
          <w:rFonts w:cs="Arial"/>
          <w:color w:val="000000"/>
          <w:szCs w:val="22"/>
          <w:shd w:val="clear" w:color="auto" w:fill="FFFFFF"/>
        </w:rPr>
        <w:t>and Primary Care Telehealth services</w:t>
      </w:r>
      <w:r w:rsidR="00156321">
        <w:rPr>
          <w:rFonts w:cs="Arial"/>
          <w:color w:val="000000"/>
          <w:szCs w:val="22"/>
          <w:shd w:val="clear" w:color="auto" w:fill="FFFFFF"/>
        </w:rPr>
        <w:t>. This shows</w:t>
      </w:r>
      <w:r w:rsidR="00FE65AA" w:rsidRPr="00FE65AA">
        <w:rPr>
          <w:rFonts w:cs="Arial"/>
          <w:color w:val="000000"/>
          <w:szCs w:val="22"/>
          <w:shd w:val="clear" w:color="auto" w:fill="FFFFFF"/>
        </w:rPr>
        <w:t xml:space="preserve"> a commitment to continue work</w:t>
      </w:r>
      <w:r w:rsidR="00183F8B">
        <w:rPr>
          <w:rFonts w:cs="Arial"/>
          <w:color w:val="000000"/>
          <w:szCs w:val="22"/>
          <w:shd w:val="clear" w:color="auto" w:fill="FFFFFF"/>
        </w:rPr>
        <w:t>ing</w:t>
      </w:r>
      <w:r w:rsidR="00FE65AA" w:rsidRPr="00FE65AA">
        <w:rPr>
          <w:rFonts w:cs="Arial"/>
          <w:color w:val="000000"/>
          <w:szCs w:val="22"/>
          <w:shd w:val="clear" w:color="auto" w:fill="FFFFFF"/>
        </w:rPr>
        <w:t xml:space="preserve"> with doctors and community on the best </w:t>
      </w:r>
      <w:r w:rsidR="00183F8B" w:rsidRPr="00FE65AA">
        <w:rPr>
          <w:rFonts w:cs="Arial"/>
          <w:color w:val="000000"/>
          <w:szCs w:val="22"/>
          <w:shd w:val="clear" w:color="auto" w:fill="FFFFFF"/>
        </w:rPr>
        <w:t>long-term</w:t>
      </w:r>
      <w:r w:rsidR="00FE65AA" w:rsidRPr="00FE65AA">
        <w:rPr>
          <w:rFonts w:cs="Arial"/>
          <w:color w:val="000000"/>
          <w:szCs w:val="22"/>
          <w:shd w:val="clear" w:color="auto" w:fill="FFFFFF"/>
        </w:rPr>
        <w:t xml:space="preserve"> arrangements</w:t>
      </w:r>
      <w:r w:rsidR="00B74657">
        <w:rPr>
          <w:rFonts w:cs="Arial"/>
          <w:color w:val="000000"/>
          <w:szCs w:val="22"/>
          <w:shd w:val="clear" w:color="auto" w:fill="FFFFFF"/>
        </w:rPr>
        <w:t xml:space="preserve">. This will </w:t>
      </w:r>
      <w:r w:rsidR="00FC3696">
        <w:rPr>
          <w:rFonts w:cs="Arial"/>
          <w:color w:val="000000"/>
          <w:szCs w:val="22"/>
          <w:shd w:val="clear" w:color="auto" w:fill="FFFFFF"/>
        </w:rPr>
        <w:t>further support Aboriginal and Torres Strait Islander people throughout COVID-19.</w:t>
      </w:r>
    </w:p>
    <w:p w:rsidR="00347A31" w:rsidRPr="00FE65AA" w:rsidRDefault="00347A31" w:rsidP="002B5688">
      <w:pPr>
        <w:rPr>
          <w:rFonts w:cs="Arial"/>
          <w:b/>
          <w:szCs w:val="22"/>
        </w:rPr>
      </w:pPr>
      <w:r>
        <w:rPr>
          <w:rFonts w:cs="Arial"/>
          <w:color w:val="000000"/>
          <w:szCs w:val="22"/>
          <w:shd w:val="clear" w:color="auto" w:fill="FFFFFF"/>
        </w:rPr>
        <w:t xml:space="preserve">Details are included in the Federal Budget </w:t>
      </w:r>
      <w:hyperlink r:id="rId15" w:history="1">
        <w:r w:rsidRPr="00347A31">
          <w:rPr>
            <w:rStyle w:val="Hyperlink"/>
            <w:rFonts w:cs="Arial"/>
            <w:szCs w:val="22"/>
            <w:shd w:val="clear" w:color="auto" w:fill="FFFFFF"/>
          </w:rPr>
          <w:t>factsheet</w:t>
        </w:r>
      </w:hyperlink>
      <w:r>
        <w:rPr>
          <w:rFonts w:cs="Arial"/>
          <w:color w:val="000000"/>
          <w:szCs w:val="22"/>
          <w:shd w:val="clear" w:color="auto" w:fill="FFFFFF"/>
        </w:rPr>
        <w:t xml:space="preserve"> and </w:t>
      </w:r>
      <w:r w:rsidRPr="002F5FCD">
        <w:rPr>
          <w:rFonts w:eastAsia="Times New Roman" w:cs="Arial"/>
          <w:szCs w:val="22"/>
        </w:rPr>
        <w:t xml:space="preserve">in Minister Hunt’s </w:t>
      </w:r>
      <w:r w:rsidRPr="00347A31">
        <w:rPr>
          <w:rStyle w:val="Hyperlink"/>
          <w:shd w:val="clear" w:color="auto" w:fill="FFFFFF"/>
        </w:rPr>
        <w:t xml:space="preserve">media </w:t>
      </w:r>
      <w:hyperlink r:id="rId16" w:history="1">
        <w:r w:rsidRPr="00347A31">
          <w:rPr>
            <w:rStyle w:val="Hyperlink"/>
            <w:shd w:val="clear" w:color="auto" w:fill="FFFFFF"/>
          </w:rPr>
          <w:t>release</w:t>
        </w:r>
      </w:hyperlink>
      <w:r>
        <w:rPr>
          <w:rStyle w:val="Hyperlink"/>
          <w:shd w:val="clear" w:color="auto" w:fill="FFFFFF"/>
        </w:rPr>
        <w:t>.</w:t>
      </w:r>
    </w:p>
    <w:p w:rsidR="002B5688" w:rsidRPr="00E03070" w:rsidRDefault="002B5688" w:rsidP="002B5688">
      <w:pPr>
        <w:rPr>
          <w:rFonts w:cs="Arial"/>
          <w:b/>
          <w:szCs w:val="22"/>
        </w:rPr>
      </w:pPr>
      <w:r w:rsidRPr="00E03070">
        <w:rPr>
          <w:rFonts w:cs="Arial"/>
          <w:b/>
          <w:szCs w:val="22"/>
        </w:rPr>
        <w:t xml:space="preserve">Release of remote community modelling </w:t>
      </w:r>
    </w:p>
    <w:p w:rsidR="002B5688" w:rsidRDefault="002B5688" w:rsidP="002B5688">
      <w:pPr>
        <w:jc w:val="both"/>
        <w:rPr>
          <w:rStyle w:val="Hyperlink"/>
          <w:rFonts w:cs="Arial"/>
          <w:szCs w:val="22"/>
        </w:rPr>
      </w:pPr>
      <w:r w:rsidRPr="00E03070">
        <w:t xml:space="preserve">The Minister for Health and Minister for Indigenous Australians </w:t>
      </w:r>
      <w:r>
        <w:t xml:space="preserve">have </w:t>
      </w:r>
      <w:r w:rsidR="008A5E90">
        <w:t xml:space="preserve">jointly </w:t>
      </w:r>
      <w:r w:rsidRPr="00E03070">
        <w:t>released the scenario of modelling of COVID-19 transmission for remote communities</w:t>
      </w:r>
      <w:r w:rsidR="00156321">
        <w:t>. They have also released</w:t>
      </w:r>
      <w:r w:rsidRPr="00E03070">
        <w:t xml:space="preserve"> the updated </w:t>
      </w:r>
      <w:hyperlink r:id="rId17" w:history="1">
        <w:r w:rsidRPr="00E03070">
          <w:rPr>
            <w:rStyle w:val="Hyperlink"/>
            <w:rFonts w:cs="Arial"/>
            <w:i/>
            <w:iCs/>
            <w:szCs w:val="22"/>
          </w:rPr>
          <w:t>National Guidance for remote Aboriginal and Torres Strait Islander Communities for COVID</w:t>
        </w:r>
        <w:r>
          <w:rPr>
            <w:rStyle w:val="Hyperlink"/>
            <w:rFonts w:cs="Arial"/>
            <w:i/>
            <w:iCs/>
            <w:szCs w:val="22"/>
          </w:rPr>
          <w:noBreakHyphen/>
        </w:r>
        <w:r w:rsidRPr="00E03070">
          <w:rPr>
            <w:rStyle w:val="Hyperlink"/>
            <w:rFonts w:cs="Arial"/>
            <w:i/>
            <w:iCs/>
            <w:szCs w:val="22"/>
          </w:rPr>
          <w:t>19</w:t>
        </w:r>
        <w:r w:rsidRPr="002B5688">
          <w:rPr>
            <w:rStyle w:val="Hyperlink"/>
            <w:rFonts w:cs="Arial"/>
            <w:szCs w:val="22"/>
            <w:u w:val="none"/>
          </w:rPr>
          <w:t>.</w:t>
        </w:r>
      </w:hyperlink>
    </w:p>
    <w:p w:rsidR="002B5688" w:rsidRDefault="002B5688" w:rsidP="002B5688">
      <w:pPr>
        <w:jc w:val="both"/>
        <w:rPr>
          <w:rFonts w:cs="Arial"/>
          <w:szCs w:val="22"/>
        </w:rPr>
      </w:pPr>
      <w:r w:rsidRPr="00E03070">
        <w:rPr>
          <w:rFonts w:cs="Arial"/>
          <w:szCs w:val="22"/>
        </w:rPr>
        <w:t>The Taskforce worked with the University of Melbourne and the Kirby Institute for Pandemic Modelling to develop the scenario modelling of COVID-19 transmission for remote and regional communities across Australia. The modelling was guided by the Taskforce to ensure the scenarios correctly reflected experiences on the ground as much as possible. Overall, the major findings of the modelling are:</w:t>
      </w:r>
    </w:p>
    <w:p w:rsidR="002B5688" w:rsidRPr="00E03070" w:rsidRDefault="002B5688" w:rsidP="002B5688">
      <w:pPr>
        <w:numPr>
          <w:ilvl w:val="0"/>
          <w:numId w:val="8"/>
        </w:numPr>
        <w:spacing w:line="252" w:lineRule="auto"/>
        <w:contextualSpacing/>
        <w:jc w:val="both"/>
        <w:rPr>
          <w:rFonts w:eastAsia="Times New Roman" w:cs="Arial"/>
          <w:szCs w:val="22"/>
        </w:rPr>
      </w:pPr>
      <w:r>
        <w:rPr>
          <w:rFonts w:eastAsia="Times New Roman" w:cs="Arial"/>
          <w:szCs w:val="22"/>
        </w:rPr>
        <w:t>a</w:t>
      </w:r>
      <w:r w:rsidRPr="00E03070">
        <w:rPr>
          <w:rFonts w:eastAsia="Times New Roman" w:cs="Arial"/>
          <w:szCs w:val="22"/>
        </w:rPr>
        <w:t>n uncontained outbreak in a remote community will spread rapidly, due to overcrowded housing, close mixing in groups, and between interconnected households;</w:t>
      </w:r>
    </w:p>
    <w:p w:rsidR="002B5688" w:rsidRPr="00E03070" w:rsidRDefault="002B5688" w:rsidP="002B5688">
      <w:pPr>
        <w:numPr>
          <w:ilvl w:val="0"/>
          <w:numId w:val="8"/>
        </w:numPr>
        <w:spacing w:line="252" w:lineRule="auto"/>
        <w:contextualSpacing/>
        <w:jc w:val="both"/>
        <w:rPr>
          <w:rFonts w:eastAsia="Times New Roman" w:cs="Arial"/>
          <w:szCs w:val="22"/>
        </w:rPr>
      </w:pPr>
      <w:r>
        <w:rPr>
          <w:rFonts w:eastAsia="Times New Roman" w:cs="Arial"/>
          <w:szCs w:val="22"/>
        </w:rPr>
        <w:t>e</w:t>
      </w:r>
      <w:r w:rsidRPr="00E03070">
        <w:rPr>
          <w:rFonts w:eastAsia="Times New Roman" w:cs="Arial"/>
          <w:szCs w:val="22"/>
        </w:rPr>
        <w:t>arly case detection with testing and rapid availability of test results (within two days) is critical;</w:t>
      </w:r>
    </w:p>
    <w:p w:rsidR="002B5688" w:rsidRPr="00E03070" w:rsidRDefault="002B5688" w:rsidP="002B5688">
      <w:pPr>
        <w:numPr>
          <w:ilvl w:val="0"/>
          <w:numId w:val="8"/>
        </w:numPr>
        <w:spacing w:line="252" w:lineRule="auto"/>
        <w:contextualSpacing/>
        <w:jc w:val="both"/>
        <w:rPr>
          <w:rFonts w:eastAsia="Times New Roman" w:cs="Arial"/>
          <w:szCs w:val="22"/>
        </w:rPr>
      </w:pPr>
      <w:r>
        <w:rPr>
          <w:rFonts w:eastAsia="Times New Roman" w:cs="Arial"/>
          <w:szCs w:val="22"/>
        </w:rPr>
        <w:t>e</w:t>
      </w:r>
      <w:r w:rsidRPr="00E03070">
        <w:rPr>
          <w:rFonts w:eastAsia="Times New Roman" w:cs="Arial"/>
          <w:szCs w:val="22"/>
        </w:rPr>
        <w:t>ffective isolation of cases and quarantine of contacts are essential for outbreak control;</w:t>
      </w:r>
    </w:p>
    <w:p w:rsidR="002B5688" w:rsidRPr="00E03070" w:rsidRDefault="002B5688" w:rsidP="002B5688">
      <w:pPr>
        <w:numPr>
          <w:ilvl w:val="0"/>
          <w:numId w:val="8"/>
        </w:numPr>
        <w:spacing w:line="252" w:lineRule="auto"/>
        <w:contextualSpacing/>
        <w:jc w:val="both"/>
        <w:rPr>
          <w:rFonts w:eastAsia="Times New Roman" w:cs="Arial"/>
          <w:szCs w:val="22"/>
        </w:rPr>
      </w:pPr>
      <w:r>
        <w:rPr>
          <w:rFonts w:eastAsia="Times New Roman" w:cs="Arial"/>
          <w:szCs w:val="22"/>
        </w:rPr>
        <w:t>p</w:t>
      </w:r>
      <w:r w:rsidRPr="00E03070">
        <w:rPr>
          <w:rFonts w:eastAsia="Times New Roman" w:cs="Arial"/>
          <w:szCs w:val="22"/>
        </w:rPr>
        <w:t>roactive testing of extended household members at baseline improves outbreak control, but only if results of tests are available within two days;</w:t>
      </w:r>
    </w:p>
    <w:p w:rsidR="002B5688" w:rsidRPr="00E03070" w:rsidRDefault="002B5688" w:rsidP="002B5688">
      <w:pPr>
        <w:numPr>
          <w:ilvl w:val="0"/>
          <w:numId w:val="8"/>
        </w:numPr>
        <w:spacing w:line="252" w:lineRule="auto"/>
        <w:contextualSpacing/>
        <w:jc w:val="both"/>
        <w:rPr>
          <w:rFonts w:eastAsia="Times New Roman" w:cs="Arial"/>
          <w:szCs w:val="22"/>
        </w:rPr>
      </w:pPr>
      <w:r>
        <w:rPr>
          <w:rFonts w:eastAsia="Times New Roman" w:cs="Arial"/>
          <w:szCs w:val="22"/>
        </w:rPr>
        <w:t>i</w:t>
      </w:r>
      <w:r w:rsidRPr="00E03070">
        <w:rPr>
          <w:rFonts w:eastAsia="Times New Roman" w:cs="Arial"/>
          <w:szCs w:val="22"/>
        </w:rPr>
        <w:t>mmediate stay at home orders (lockdown) for 14 days is a highly effective strategy to limit the size and duration of the outbreak</w:t>
      </w:r>
      <w:r w:rsidR="0061366F">
        <w:rPr>
          <w:rFonts w:eastAsia="Times New Roman" w:cs="Arial"/>
          <w:szCs w:val="22"/>
        </w:rPr>
        <w:t>. This will work</w:t>
      </w:r>
      <w:r w:rsidRPr="00E03070">
        <w:rPr>
          <w:rFonts w:eastAsia="Times New Roman" w:cs="Arial"/>
          <w:szCs w:val="22"/>
        </w:rPr>
        <w:t xml:space="preserve"> only if high compliance is maintained; and</w:t>
      </w:r>
    </w:p>
    <w:p w:rsidR="002B5688" w:rsidRDefault="002B5688" w:rsidP="002B5688">
      <w:pPr>
        <w:numPr>
          <w:ilvl w:val="0"/>
          <w:numId w:val="8"/>
        </w:numPr>
        <w:spacing w:line="252" w:lineRule="auto"/>
        <w:contextualSpacing/>
        <w:jc w:val="both"/>
        <w:rPr>
          <w:rFonts w:eastAsia="Times New Roman" w:cs="Arial"/>
          <w:szCs w:val="22"/>
        </w:rPr>
      </w:pPr>
      <w:r>
        <w:rPr>
          <w:rFonts w:eastAsia="Times New Roman" w:cs="Arial"/>
          <w:szCs w:val="22"/>
        </w:rPr>
        <w:lastRenderedPageBreak/>
        <w:t>c</w:t>
      </w:r>
      <w:r w:rsidRPr="00E03070">
        <w:rPr>
          <w:rFonts w:eastAsia="Times New Roman" w:cs="Arial"/>
          <w:szCs w:val="22"/>
        </w:rPr>
        <w:t>learance or exit testing of all those in quarantine or lockdown on day 12 (so that results are available by day 14)</w:t>
      </w:r>
      <w:r w:rsidR="00B35AE7">
        <w:rPr>
          <w:rFonts w:eastAsia="Times New Roman" w:cs="Arial"/>
          <w:szCs w:val="22"/>
        </w:rPr>
        <w:t xml:space="preserve">. This </w:t>
      </w:r>
      <w:r w:rsidRPr="00E03070">
        <w:rPr>
          <w:rFonts w:eastAsia="Times New Roman" w:cs="Arial"/>
          <w:szCs w:val="22"/>
        </w:rPr>
        <w:t xml:space="preserve">significantly reduces the likelihood of subsequent waves of infection and the total number of tests </w:t>
      </w:r>
      <w:r w:rsidR="00B35AE7">
        <w:rPr>
          <w:rFonts w:eastAsia="Times New Roman" w:cs="Arial"/>
          <w:szCs w:val="22"/>
        </w:rPr>
        <w:t>needed</w:t>
      </w:r>
      <w:r w:rsidR="00B35AE7" w:rsidRPr="00E03070">
        <w:rPr>
          <w:rFonts w:eastAsia="Times New Roman" w:cs="Arial"/>
          <w:szCs w:val="22"/>
        </w:rPr>
        <w:t xml:space="preserve"> </w:t>
      </w:r>
      <w:r w:rsidRPr="00E03070">
        <w:rPr>
          <w:rFonts w:eastAsia="Times New Roman" w:cs="Arial"/>
          <w:szCs w:val="22"/>
        </w:rPr>
        <w:t>during the outbreak.</w:t>
      </w:r>
    </w:p>
    <w:p w:rsidR="002B5688" w:rsidRPr="00E03070" w:rsidRDefault="002B5688" w:rsidP="002B5688">
      <w:pPr>
        <w:spacing w:line="252" w:lineRule="auto"/>
        <w:ind w:left="720"/>
        <w:contextualSpacing/>
        <w:jc w:val="both"/>
        <w:rPr>
          <w:rFonts w:eastAsia="Times New Roman" w:cs="Arial"/>
          <w:szCs w:val="22"/>
        </w:rPr>
      </w:pPr>
    </w:p>
    <w:p w:rsidR="00156321" w:rsidRDefault="002B5688" w:rsidP="002B5688">
      <w:pPr>
        <w:jc w:val="both"/>
      </w:pPr>
      <w:r w:rsidRPr="00E03070">
        <w:t xml:space="preserve">The findings above </w:t>
      </w:r>
      <w:r w:rsidR="00EB6303">
        <w:t>support</w:t>
      </w:r>
      <w:r w:rsidRPr="00E03070">
        <w:t xml:space="preserve"> the response to date</w:t>
      </w:r>
      <w:r w:rsidR="00156321">
        <w:t xml:space="preserve">. This </w:t>
      </w:r>
      <w:r w:rsidRPr="00E03070">
        <w:t>includes</w:t>
      </w:r>
      <w:r w:rsidR="00156321">
        <w:t>:</w:t>
      </w:r>
    </w:p>
    <w:p w:rsidR="00156321" w:rsidRDefault="002B5688" w:rsidP="002F5FF1">
      <w:pPr>
        <w:pStyle w:val="ListParagraph"/>
        <w:numPr>
          <w:ilvl w:val="0"/>
          <w:numId w:val="28"/>
        </w:numPr>
        <w:jc w:val="both"/>
      </w:pPr>
      <w:r w:rsidRPr="00E03070">
        <w:t>funding for remote community preparedness</w:t>
      </w:r>
      <w:r w:rsidR="009E4DA1">
        <w:t>;</w:t>
      </w:r>
    </w:p>
    <w:p w:rsidR="00156321" w:rsidRDefault="002B5688" w:rsidP="002F5FF1">
      <w:pPr>
        <w:pStyle w:val="ListParagraph"/>
        <w:numPr>
          <w:ilvl w:val="0"/>
          <w:numId w:val="28"/>
        </w:numPr>
        <w:jc w:val="both"/>
      </w:pPr>
      <w:r w:rsidRPr="00E03070">
        <w:t>support for early medical evacuations and retrievals</w:t>
      </w:r>
      <w:r w:rsidR="009E4DA1">
        <w:t>;</w:t>
      </w:r>
    </w:p>
    <w:p w:rsidR="00156321" w:rsidRDefault="002B5688" w:rsidP="002F5FF1">
      <w:pPr>
        <w:pStyle w:val="ListParagraph"/>
        <w:numPr>
          <w:ilvl w:val="0"/>
          <w:numId w:val="28"/>
        </w:numPr>
        <w:jc w:val="both"/>
      </w:pPr>
      <w:r w:rsidRPr="00E03070">
        <w:t>access to testing provided through point of care</w:t>
      </w:r>
      <w:r w:rsidR="009E4DA1">
        <w:t>; and</w:t>
      </w:r>
    </w:p>
    <w:p w:rsidR="00156321" w:rsidRDefault="002B5688" w:rsidP="002F5FF1">
      <w:pPr>
        <w:pStyle w:val="ListParagraph"/>
        <w:numPr>
          <w:ilvl w:val="0"/>
          <w:numId w:val="28"/>
        </w:numPr>
        <w:jc w:val="both"/>
      </w:pPr>
      <w:r w:rsidRPr="00E03070">
        <w:t xml:space="preserve">funding to the </w:t>
      </w:r>
      <w:r w:rsidR="002E2BA3">
        <w:t>ACCHO sector</w:t>
      </w:r>
      <w:r w:rsidRPr="00E03070">
        <w:t xml:space="preserve"> to facilitate culturally safe access to COVID-19 testing</w:t>
      </w:r>
      <w:r>
        <w:t xml:space="preserve">. </w:t>
      </w:r>
    </w:p>
    <w:p w:rsidR="002B5688" w:rsidRPr="00E03070" w:rsidRDefault="002B5688" w:rsidP="00156321">
      <w:pPr>
        <w:jc w:val="both"/>
      </w:pPr>
      <w:r>
        <w:t xml:space="preserve">These </w:t>
      </w:r>
      <w:r w:rsidRPr="00E03070">
        <w:t>measures</w:t>
      </w:r>
      <w:r>
        <w:t xml:space="preserve"> </w:t>
      </w:r>
      <w:r w:rsidRPr="00E03070">
        <w:t xml:space="preserve">aim to mitigate the risks for Aboriginal and Torres Strait Islander peoples. Further, these actions </w:t>
      </w:r>
      <w:r w:rsidR="00EB6303">
        <w:t>reflect</w:t>
      </w:r>
      <w:r w:rsidRPr="00E03070">
        <w:t xml:space="preserve"> the </w:t>
      </w:r>
      <w:r w:rsidR="00794136">
        <w:t xml:space="preserve">advice in </w:t>
      </w:r>
      <w:hyperlink r:id="rId18" w:anchor=":~:text=The%20Management%20Plan%20for%20Aboriginal,Strait%20Islander%20people%20and%20communities" w:history="1">
        <w:r w:rsidRPr="00156321">
          <w:rPr>
            <w:rStyle w:val="Hyperlink"/>
            <w:rFonts w:cs="Arial"/>
            <w:i/>
            <w:color w:val="auto"/>
            <w:szCs w:val="22"/>
          </w:rPr>
          <w:t>Management Plan for Aboriginal and Torres Strait Islander Populations</w:t>
        </w:r>
      </w:hyperlink>
      <w:r w:rsidRPr="002B5688">
        <w:t xml:space="preserve"> </w:t>
      </w:r>
      <w:r w:rsidRPr="00E03070">
        <w:t xml:space="preserve">and other national guidance documents. </w:t>
      </w:r>
    </w:p>
    <w:p w:rsidR="002B5688" w:rsidRDefault="002B5688" w:rsidP="002B5688">
      <w:pPr>
        <w:spacing w:line="252" w:lineRule="auto"/>
        <w:contextualSpacing/>
        <w:jc w:val="both"/>
        <w:rPr>
          <w:rFonts w:cs="Arial"/>
          <w:szCs w:val="22"/>
        </w:rPr>
      </w:pPr>
      <w:r w:rsidRPr="00E03070">
        <w:rPr>
          <w:rFonts w:cs="Arial"/>
          <w:szCs w:val="22"/>
        </w:rPr>
        <w:t xml:space="preserve">To assist remote community residents, leaders and health services, two documents have been developed to support locally-led responses: </w:t>
      </w:r>
    </w:p>
    <w:p w:rsidR="002B5688" w:rsidRPr="00E03070" w:rsidRDefault="002B5688" w:rsidP="002B5688">
      <w:pPr>
        <w:spacing w:line="252" w:lineRule="auto"/>
        <w:contextualSpacing/>
        <w:jc w:val="both"/>
        <w:rPr>
          <w:rFonts w:cs="Arial"/>
          <w:szCs w:val="22"/>
        </w:rPr>
      </w:pPr>
    </w:p>
    <w:p w:rsidR="002B5688" w:rsidRPr="00E03070" w:rsidRDefault="002B5688" w:rsidP="002B5688">
      <w:pPr>
        <w:numPr>
          <w:ilvl w:val="0"/>
          <w:numId w:val="9"/>
        </w:numPr>
        <w:spacing w:line="252" w:lineRule="auto"/>
        <w:contextualSpacing/>
        <w:jc w:val="both"/>
        <w:rPr>
          <w:rFonts w:eastAsia="Times New Roman" w:cs="Arial"/>
          <w:szCs w:val="22"/>
        </w:rPr>
      </w:pPr>
      <w:r>
        <w:rPr>
          <w:rFonts w:eastAsia="Times New Roman" w:cs="Arial"/>
          <w:szCs w:val="22"/>
        </w:rPr>
        <w:t>a</w:t>
      </w:r>
      <w:r w:rsidRPr="00E03070">
        <w:rPr>
          <w:rFonts w:eastAsia="Times New Roman" w:cs="Arial"/>
          <w:szCs w:val="22"/>
        </w:rPr>
        <w:t xml:space="preserve"> </w:t>
      </w:r>
      <w:hyperlink r:id="rId19" w:history="1">
        <w:r w:rsidRPr="00E03070">
          <w:rPr>
            <w:rStyle w:val="Hyperlink"/>
            <w:rFonts w:eastAsia="Times New Roman" w:cs="Arial"/>
            <w:szCs w:val="22"/>
          </w:rPr>
          <w:t>plain language summary</w:t>
        </w:r>
      </w:hyperlink>
      <w:r w:rsidRPr="00E03070">
        <w:rPr>
          <w:rFonts w:eastAsia="Times New Roman" w:cs="Arial"/>
          <w:szCs w:val="22"/>
        </w:rPr>
        <w:t xml:space="preserve"> of the research in the form of a PowerPoint presentation to support communit</w:t>
      </w:r>
      <w:r>
        <w:rPr>
          <w:rFonts w:eastAsia="Times New Roman" w:cs="Arial"/>
          <w:szCs w:val="22"/>
        </w:rPr>
        <w:t>y level discussion and planning;</w:t>
      </w:r>
      <w:r w:rsidRPr="00E03070">
        <w:rPr>
          <w:rFonts w:eastAsia="Times New Roman" w:cs="Arial"/>
          <w:szCs w:val="22"/>
        </w:rPr>
        <w:t xml:space="preserve"> and</w:t>
      </w:r>
    </w:p>
    <w:p w:rsidR="002B5688" w:rsidRPr="00E03070" w:rsidRDefault="002B5688" w:rsidP="002B5688">
      <w:pPr>
        <w:numPr>
          <w:ilvl w:val="0"/>
          <w:numId w:val="9"/>
        </w:numPr>
        <w:spacing w:line="252" w:lineRule="auto"/>
        <w:contextualSpacing/>
        <w:jc w:val="both"/>
        <w:rPr>
          <w:rFonts w:eastAsia="Times New Roman" w:cs="Arial"/>
          <w:szCs w:val="22"/>
        </w:rPr>
      </w:pPr>
      <w:r>
        <w:rPr>
          <w:rFonts w:eastAsia="Times New Roman" w:cs="Arial"/>
          <w:szCs w:val="22"/>
        </w:rPr>
        <w:t>m</w:t>
      </w:r>
      <w:r w:rsidRPr="00E03070">
        <w:rPr>
          <w:rFonts w:eastAsia="Times New Roman" w:cs="Arial"/>
          <w:szCs w:val="22"/>
        </w:rPr>
        <w:t xml:space="preserve">ore </w:t>
      </w:r>
      <w:hyperlink r:id="rId20" w:history="1">
        <w:r w:rsidRPr="00E03070">
          <w:rPr>
            <w:rStyle w:val="Hyperlink"/>
            <w:rFonts w:eastAsia="Times New Roman" w:cs="Arial"/>
            <w:szCs w:val="22"/>
          </w:rPr>
          <w:t>detailed information</w:t>
        </w:r>
      </w:hyperlink>
      <w:r w:rsidRPr="00E03070">
        <w:rPr>
          <w:rFonts w:eastAsia="Times New Roman" w:cs="Arial"/>
          <w:szCs w:val="22"/>
        </w:rPr>
        <w:t xml:space="preserve"> for public health and clinical staff. </w:t>
      </w:r>
    </w:p>
    <w:p w:rsidR="002B5688" w:rsidRDefault="002B5688" w:rsidP="002B5688">
      <w:pPr>
        <w:rPr>
          <w:rFonts w:cs="Arial"/>
          <w:szCs w:val="22"/>
          <w:u w:val="single"/>
        </w:rPr>
      </w:pPr>
    </w:p>
    <w:p w:rsidR="002B5688" w:rsidRPr="002B5688" w:rsidRDefault="002B5688" w:rsidP="001F23A3">
      <w:pPr>
        <w:keepNext/>
        <w:rPr>
          <w:rFonts w:cs="Arial"/>
          <w:b/>
          <w:szCs w:val="22"/>
        </w:rPr>
      </w:pPr>
      <w:r w:rsidRPr="002B5688">
        <w:rPr>
          <w:rFonts w:cs="Arial"/>
          <w:b/>
          <w:szCs w:val="22"/>
        </w:rPr>
        <w:t xml:space="preserve">COVID-19 </w:t>
      </w:r>
      <w:r w:rsidR="00A47D00">
        <w:rPr>
          <w:rFonts w:cs="Arial"/>
          <w:b/>
          <w:szCs w:val="22"/>
        </w:rPr>
        <w:t>Vaccine Strategy T</w:t>
      </w:r>
      <w:r w:rsidRPr="002B5688">
        <w:rPr>
          <w:rFonts w:cs="Arial"/>
          <w:b/>
          <w:szCs w:val="22"/>
        </w:rPr>
        <w:t>askforce overview</w:t>
      </w:r>
    </w:p>
    <w:p w:rsidR="002B5688" w:rsidRDefault="002B5688" w:rsidP="008530B3">
      <w:pPr>
        <w:jc w:val="both"/>
        <w:rPr>
          <w:rFonts w:eastAsia="Calibri"/>
        </w:rPr>
      </w:pPr>
      <w:r w:rsidRPr="002B5688">
        <w:rPr>
          <w:rFonts w:eastAsia="Calibri"/>
        </w:rPr>
        <w:t xml:space="preserve">The Australian Government </w:t>
      </w:r>
      <w:r w:rsidR="00484498">
        <w:rPr>
          <w:rFonts w:eastAsia="Calibri"/>
        </w:rPr>
        <w:t>has</w:t>
      </w:r>
      <w:r w:rsidRPr="002B5688">
        <w:rPr>
          <w:rFonts w:eastAsia="Calibri"/>
        </w:rPr>
        <w:t xml:space="preserve"> established a cross-department </w:t>
      </w:r>
      <w:r w:rsidR="00A47D00">
        <w:rPr>
          <w:rFonts w:eastAsia="Calibri"/>
        </w:rPr>
        <w:t>V</w:t>
      </w:r>
      <w:r w:rsidRPr="002B5688">
        <w:rPr>
          <w:rFonts w:eastAsia="Calibri"/>
        </w:rPr>
        <w:t xml:space="preserve">accine </w:t>
      </w:r>
      <w:r w:rsidR="00A47D00">
        <w:rPr>
          <w:rFonts w:eastAsia="Calibri"/>
        </w:rPr>
        <w:t>T</w:t>
      </w:r>
      <w:r w:rsidRPr="002B5688">
        <w:rPr>
          <w:rFonts w:eastAsia="Calibri"/>
        </w:rPr>
        <w:t xml:space="preserve">askforce to focus on development, securing access and distribution of any future COVID-19 vaccine. </w:t>
      </w:r>
      <w:r w:rsidR="00156321">
        <w:rPr>
          <w:rFonts w:eastAsia="Calibri"/>
        </w:rPr>
        <w:t>T</w:t>
      </w:r>
      <w:r w:rsidR="00A47D00">
        <w:rPr>
          <w:rFonts w:eastAsia="Calibri"/>
        </w:rPr>
        <w:t>he Vaccine T</w:t>
      </w:r>
      <w:r w:rsidRPr="002B5688">
        <w:rPr>
          <w:rFonts w:eastAsia="Calibri"/>
        </w:rPr>
        <w:t>askforce has, and will continue to engage with the Taskforce to ensure Aboriginal and Torres Strait Islander perspectives are included in all stages</w:t>
      </w:r>
      <w:r w:rsidR="00556E49">
        <w:rPr>
          <w:rFonts w:eastAsia="Calibri"/>
        </w:rPr>
        <w:t xml:space="preserve">. </w:t>
      </w:r>
      <w:r w:rsidR="00156321">
        <w:rPr>
          <w:rFonts w:eastAsia="Calibri"/>
        </w:rPr>
        <w:t>They will also ensure</w:t>
      </w:r>
      <w:r w:rsidRPr="002B5688">
        <w:rPr>
          <w:rFonts w:eastAsia="Calibri"/>
        </w:rPr>
        <w:t xml:space="preserve"> there is a formalised engagement with the Aboriginal and Torres Strait Islander health sector.</w:t>
      </w:r>
    </w:p>
    <w:p w:rsidR="00347A31" w:rsidRPr="002B5688" w:rsidRDefault="00347A31" w:rsidP="00484498">
      <w:pPr>
        <w:spacing w:after="240"/>
        <w:jc w:val="both"/>
        <w:rPr>
          <w:sz w:val="20"/>
          <w:szCs w:val="22"/>
        </w:rPr>
      </w:pPr>
      <w:r>
        <w:rPr>
          <w:rFonts w:eastAsia="Calibri"/>
        </w:rPr>
        <w:t xml:space="preserve">The Taskforce </w:t>
      </w:r>
      <w:r w:rsidR="00484498">
        <w:rPr>
          <w:rFonts w:eastAsia="Calibri"/>
        </w:rPr>
        <w:t>received</w:t>
      </w:r>
      <w:r>
        <w:rPr>
          <w:rFonts w:eastAsia="Calibri"/>
        </w:rPr>
        <w:t xml:space="preserve"> a further update from the </w:t>
      </w:r>
      <w:r w:rsidR="00A47D00">
        <w:rPr>
          <w:rFonts w:eastAsia="Calibri"/>
        </w:rPr>
        <w:t>V</w:t>
      </w:r>
      <w:r>
        <w:rPr>
          <w:rFonts w:eastAsia="Calibri"/>
        </w:rPr>
        <w:t xml:space="preserve">accine </w:t>
      </w:r>
      <w:r w:rsidR="00A47D00">
        <w:rPr>
          <w:rFonts w:eastAsia="Calibri"/>
        </w:rPr>
        <w:t>T</w:t>
      </w:r>
      <w:r>
        <w:rPr>
          <w:rFonts w:eastAsia="Calibri"/>
        </w:rPr>
        <w:t xml:space="preserve">askforce on 14 October. </w:t>
      </w:r>
    </w:p>
    <w:p w:rsidR="003F0984" w:rsidRPr="00E03070" w:rsidRDefault="003F0984" w:rsidP="003F0984">
      <w:pPr>
        <w:rPr>
          <w:rFonts w:cs="Arial"/>
          <w:b/>
          <w:szCs w:val="22"/>
        </w:rPr>
      </w:pPr>
      <w:r w:rsidRPr="00E03070">
        <w:rPr>
          <w:rFonts w:cs="Arial"/>
          <w:b/>
          <w:szCs w:val="22"/>
        </w:rPr>
        <w:t xml:space="preserve">Developing guidance for </w:t>
      </w:r>
      <w:r w:rsidR="00156321">
        <w:rPr>
          <w:rFonts w:cs="Arial"/>
          <w:b/>
          <w:szCs w:val="22"/>
        </w:rPr>
        <w:t>u</w:t>
      </w:r>
      <w:r w:rsidRPr="00E03070">
        <w:rPr>
          <w:rFonts w:cs="Arial"/>
          <w:b/>
          <w:szCs w:val="22"/>
        </w:rPr>
        <w:t>rban and regional communities</w:t>
      </w:r>
    </w:p>
    <w:p w:rsidR="002D1259" w:rsidRDefault="003F0984" w:rsidP="00F4737A">
      <w:pPr>
        <w:jc w:val="both"/>
        <w:rPr>
          <w:szCs w:val="22"/>
        </w:rPr>
      </w:pPr>
      <w:r w:rsidRPr="0067092C">
        <w:rPr>
          <w:szCs w:val="22"/>
        </w:rPr>
        <w:t>Th</w:t>
      </w:r>
      <w:r w:rsidR="0012011F" w:rsidRPr="0067092C">
        <w:rPr>
          <w:szCs w:val="22"/>
        </w:rPr>
        <w:t>is</w:t>
      </w:r>
      <w:r w:rsidRPr="0067092C">
        <w:rPr>
          <w:szCs w:val="22"/>
        </w:rPr>
        <w:t xml:space="preserve"> document </w:t>
      </w:r>
      <w:r w:rsidR="0012011F" w:rsidRPr="0067092C">
        <w:rPr>
          <w:szCs w:val="22"/>
        </w:rPr>
        <w:t xml:space="preserve">will </w:t>
      </w:r>
      <w:r w:rsidRPr="0067092C">
        <w:rPr>
          <w:szCs w:val="22"/>
        </w:rPr>
        <w:t>complement and expand on relevant aspects of</w:t>
      </w:r>
      <w:r w:rsidR="002D1259">
        <w:rPr>
          <w:szCs w:val="22"/>
        </w:rPr>
        <w:t>:</w:t>
      </w:r>
    </w:p>
    <w:p w:rsidR="002D1259" w:rsidRPr="002F5FF1" w:rsidRDefault="003F0984" w:rsidP="002F5FF1">
      <w:pPr>
        <w:pStyle w:val="ListParagraph"/>
        <w:numPr>
          <w:ilvl w:val="0"/>
          <w:numId w:val="29"/>
        </w:numPr>
        <w:jc w:val="both"/>
        <w:rPr>
          <w:b/>
          <w:szCs w:val="22"/>
        </w:rPr>
      </w:pPr>
      <w:r w:rsidRPr="0012335A">
        <w:rPr>
          <w:szCs w:val="22"/>
        </w:rPr>
        <w:t>the Communicable Diseases Network Australia (CDNA) Series of National Guidance for Public Health Units on COVID-19 (the COVID-19 SoNG)</w:t>
      </w:r>
    </w:p>
    <w:p w:rsidR="003F0984" w:rsidRPr="00A6042E" w:rsidRDefault="00A47D00" w:rsidP="002F5FF1">
      <w:pPr>
        <w:pStyle w:val="ListParagraph"/>
        <w:numPr>
          <w:ilvl w:val="0"/>
          <w:numId w:val="29"/>
        </w:numPr>
        <w:jc w:val="both"/>
        <w:rPr>
          <w:b/>
          <w:szCs w:val="22"/>
        </w:rPr>
      </w:pPr>
      <w:r>
        <w:rPr>
          <w:szCs w:val="22"/>
        </w:rPr>
        <w:lastRenderedPageBreak/>
        <w:t>the CDNA National Guidance for R</w:t>
      </w:r>
      <w:r w:rsidR="003F0984" w:rsidRPr="0012335A">
        <w:rPr>
          <w:szCs w:val="22"/>
        </w:rPr>
        <w:t>emote Aborigi</w:t>
      </w:r>
      <w:r>
        <w:rPr>
          <w:szCs w:val="22"/>
        </w:rPr>
        <w:t>nal and Torres Strait Islander C</w:t>
      </w:r>
      <w:r w:rsidR="003F0984" w:rsidRPr="0012335A">
        <w:rPr>
          <w:szCs w:val="22"/>
        </w:rPr>
        <w:t>ommunities for COVID-19.</w:t>
      </w:r>
    </w:p>
    <w:p w:rsidR="00A06E9A" w:rsidRPr="0067092C" w:rsidRDefault="00A06E9A" w:rsidP="00F4737A">
      <w:pPr>
        <w:jc w:val="both"/>
        <w:rPr>
          <w:szCs w:val="22"/>
        </w:rPr>
      </w:pPr>
      <w:r w:rsidRPr="0067092C">
        <w:rPr>
          <w:szCs w:val="22"/>
        </w:rPr>
        <w:t xml:space="preserve">On 12 August 2020 </w:t>
      </w:r>
      <w:r w:rsidR="00575147">
        <w:rPr>
          <w:szCs w:val="22"/>
        </w:rPr>
        <w:t xml:space="preserve">the </w:t>
      </w:r>
      <w:r w:rsidRPr="0067092C">
        <w:rPr>
          <w:szCs w:val="22"/>
        </w:rPr>
        <w:t>A</w:t>
      </w:r>
      <w:r w:rsidR="00575147">
        <w:rPr>
          <w:szCs w:val="22"/>
        </w:rPr>
        <w:t xml:space="preserve">ustralian </w:t>
      </w:r>
      <w:r w:rsidRPr="0067092C">
        <w:rPr>
          <w:szCs w:val="22"/>
        </w:rPr>
        <w:t>H</w:t>
      </w:r>
      <w:r w:rsidR="00575147">
        <w:rPr>
          <w:szCs w:val="22"/>
        </w:rPr>
        <w:t xml:space="preserve">ealth </w:t>
      </w:r>
      <w:r w:rsidRPr="0067092C">
        <w:rPr>
          <w:szCs w:val="22"/>
        </w:rPr>
        <w:t>P</w:t>
      </w:r>
      <w:r w:rsidR="00575147">
        <w:rPr>
          <w:szCs w:val="22"/>
        </w:rPr>
        <w:t xml:space="preserve">rotection </w:t>
      </w:r>
      <w:r w:rsidRPr="0067092C">
        <w:rPr>
          <w:szCs w:val="22"/>
        </w:rPr>
        <w:t>P</w:t>
      </w:r>
      <w:r w:rsidR="00575147">
        <w:rPr>
          <w:szCs w:val="22"/>
        </w:rPr>
        <w:t xml:space="preserve">rincipal </w:t>
      </w:r>
      <w:r w:rsidRPr="0067092C">
        <w:rPr>
          <w:szCs w:val="22"/>
        </w:rPr>
        <w:t>C</w:t>
      </w:r>
      <w:r w:rsidR="00575147">
        <w:rPr>
          <w:szCs w:val="22"/>
        </w:rPr>
        <w:t>ommittee (AHPPC)</w:t>
      </w:r>
      <w:r w:rsidRPr="0067092C">
        <w:rPr>
          <w:szCs w:val="22"/>
        </w:rPr>
        <w:t xml:space="preserve"> endorsed the National Guidance for </w:t>
      </w:r>
      <w:r w:rsidR="00A47D00">
        <w:rPr>
          <w:szCs w:val="22"/>
        </w:rPr>
        <w:t>R</w:t>
      </w:r>
      <w:r w:rsidRPr="0067092C">
        <w:rPr>
          <w:szCs w:val="22"/>
        </w:rPr>
        <w:t xml:space="preserve">emote </w:t>
      </w:r>
      <w:r w:rsidR="00A47D00">
        <w:rPr>
          <w:szCs w:val="22"/>
        </w:rPr>
        <w:t>C</w:t>
      </w:r>
      <w:r w:rsidRPr="0067092C">
        <w:rPr>
          <w:szCs w:val="22"/>
        </w:rPr>
        <w:t>ommunities</w:t>
      </w:r>
      <w:r w:rsidR="00156321">
        <w:rPr>
          <w:szCs w:val="22"/>
        </w:rPr>
        <w:t>.</w:t>
      </w:r>
      <w:r w:rsidR="00BF5AD3">
        <w:rPr>
          <w:szCs w:val="22"/>
        </w:rPr>
        <w:t xml:space="preserve"> The</w:t>
      </w:r>
      <w:r w:rsidR="00156321">
        <w:rPr>
          <w:szCs w:val="22"/>
        </w:rPr>
        <w:t xml:space="preserve"> AHPPC also</w:t>
      </w:r>
      <w:r w:rsidRPr="0067092C">
        <w:rPr>
          <w:szCs w:val="22"/>
        </w:rPr>
        <w:t xml:space="preserve"> suggested that similar guidance be developed for urban settings. </w:t>
      </w:r>
    </w:p>
    <w:p w:rsidR="00A06E9A" w:rsidRPr="00E03070" w:rsidRDefault="00A06E9A" w:rsidP="00F4737A">
      <w:pPr>
        <w:jc w:val="both"/>
      </w:pPr>
      <w:r w:rsidRPr="00E03070">
        <w:t>The Urban Guidance Working</w:t>
      </w:r>
      <w:r w:rsidR="005A698B" w:rsidRPr="00E03070">
        <w:t xml:space="preserve"> Group </w:t>
      </w:r>
      <w:r w:rsidR="00E15678">
        <w:t>recommends and has</w:t>
      </w:r>
      <w:r w:rsidR="005A698B" w:rsidRPr="00E03070">
        <w:t xml:space="preserve"> </w:t>
      </w:r>
      <w:r w:rsidRPr="00E03070">
        <w:t xml:space="preserve">agreed to develop a national guidance document for Aboriginal and Torres Strait Islander people living in urban </w:t>
      </w:r>
      <w:r w:rsidRPr="00E03070">
        <w:rPr>
          <w:u w:val="single"/>
        </w:rPr>
        <w:t>and</w:t>
      </w:r>
      <w:r w:rsidRPr="00E03070">
        <w:t xml:space="preserve"> regional settings. The Working Group is developing a principles</w:t>
      </w:r>
      <w:r w:rsidR="00156321">
        <w:t>-</w:t>
      </w:r>
      <w:r w:rsidRPr="00E03070">
        <w:t xml:space="preserve">based guidance document for the Aboriginal and Torres Strait Islander Community Controlled Sector and public health units that focus on both urban and regional settings. </w:t>
      </w:r>
      <w:r w:rsidR="00330EB9">
        <w:t>J</w:t>
      </w:r>
      <w:r w:rsidRPr="00E03070">
        <w:t>urisdictional experiences of managing outbreaks in urban and regional settings (</w:t>
      </w:r>
      <w:r w:rsidR="008A5E90">
        <w:t xml:space="preserve">e.g. </w:t>
      </w:r>
      <w:r w:rsidRPr="00E03070">
        <w:t>Melbourne and regional Victoria, Brisbane, Sydney)</w:t>
      </w:r>
      <w:r w:rsidR="00330EB9">
        <w:t xml:space="preserve"> will inform this work</w:t>
      </w:r>
      <w:r w:rsidRPr="00E03070">
        <w:t>. Once the Taskforce</w:t>
      </w:r>
      <w:r w:rsidR="00092777">
        <w:t xml:space="preserve"> endorses this</w:t>
      </w:r>
      <w:r w:rsidR="00156321">
        <w:t>,</w:t>
      </w:r>
      <w:r w:rsidRPr="00E03070">
        <w:t xml:space="preserve"> </w:t>
      </w:r>
      <w:r w:rsidR="00092777">
        <w:t xml:space="preserve">it </w:t>
      </w:r>
      <w:r w:rsidRPr="00E03070">
        <w:t>will be provided to AHPPC for endorsement.</w:t>
      </w:r>
    </w:p>
    <w:p w:rsidR="003428EA" w:rsidRPr="00E03070" w:rsidRDefault="003428EA" w:rsidP="003428EA">
      <w:pPr>
        <w:rPr>
          <w:rFonts w:cs="Arial"/>
          <w:b/>
          <w:bCs/>
          <w:szCs w:val="22"/>
        </w:rPr>
      </w:pPr>
      <w:r w:rsidRPr="00E03070">
        <w:rPr>
          <w:rFonts w:cs="Arial"/>
          <w:b/>
          <w:bCs/>
          <w:szCs w:val="22"/>
        </w:rPr>
        <w:t>National Surveillance Plan</w:t>
      </w:r>
    </w:p>
    <w:p w:rsidR="00955180" w:rsidRPr="00897B7A" w:rsidRDefault="003428EA" w:rsidP="00F4737A">
      <w:pPr>
        <w:jc w:val="both"/>
      </w:pPr>
      <w:r w:rsidRPr="00E03070">
        <w:t xml:space="preserve">The </w:t>
      </w:r>
      <w:hyperlink r:id="rId21" w:history="1">
        <w:r w:rsidRPr="00E03070">
          <w:rPr>
            <w:rStyle w:val="Hyperlink"/>
            <w:rFonts w:cs="Arial"/>
            <w:i/>
            <w:iCs/>
            <w:color w:val="auto"/>
            <w:szCs w:val="22"/>
          </w:rPr>
          <w:t>Australian National Disease Surveillance Plan for COVID-19</w:t>
        </w:r>
      </w:hyperlink>
      <w:r w:rsidRPr="00E03070">
        <w:t xml:space="preserve"> describes a national approach to the ongoing, systematic collection, analysis and interpretation of health-related data</w:t>
      </w:r>
      <w:r w:rsidR="00092777">
        <w:t xml:space="preserve">. This </w:t>
      </w:r>
      <w:r w:rsidR="005C00A1">
        <w:t>plan will help</w:t>
      </w:r>
      <w:r w:rsidRPr="00E03070">
        <w:t xml:space="preserve"> to inform public health measures for control of COVID</w:t>
      </w:r>
      <w:r w:rsidRPr="00E03070">
        <w:noBreakHyphen/>
        <w:t>19 in Australia</w:t>
      </w:r>
      <w:r w:rsidR="005C00A1">
        <w:t xml:space="preserve">, containing </w:t>
      </w:r>
      <w:r w:rsidRPr="00E03070">
        <w:t>key considerations for Aboriginal and Torres Strait Islander populations</w:t>
      </w:r>
      <w:r w:rsidR="00156321">
        <w:t>. However</w:t>
      </w:r>
      <w:r w:rsidRPr="00E03070">
        <w:t xml:space="preserve">, the </w:t>
      </w:r>
      <w:r w:rsidR="00A47D00">
        <w:t>Taskforce</w:t>
      </w:r>
      <w:r w:rsidRPr="00E03070">
        <w:t xml:space="preserve"> has identified a need to develop more detailed and targeted considerations for Aboriginal and Torres Strait Islander people </w:t>
      </w:r>
      <w:r w:rsidR="006A6B1E">
        <w:t>to</w:t>
      </w:r>
      <w:r w:rsidR="006A6B1E" w:rsidRPr="00E03070">
        <w:t xml:space="preserve"> </w:t>
      </w:r>
      <w:r w:rsidRPr="00E03070">
        <w:t xml:space="preserve">incorporate into the plan. The </w:t>
      </w:r>
      <w:r w:rsidR="002376EC">
        <w:t>Taskforce</w:t>
      </w:r>
      <w:r w:rsidRPr="00E03070">
        <w:t xml:space="preserve"> established the Surveillance Plan Working Group to ensure the National Plan</w:t>
      </w:r>
      <w:r w:rsidR="00156321">
        <w:t xml:space="preserve"> </w:t>
      </w:r>
      <w:r w:rsidR="00EF0AF5">
        <w:t xml:space="preserve">collects, analyses and reports </w:t>
      </w:r>
      <w:r w:rsidR="00156321">
        <w:t>data</w:t>
      </w:r>
      <w:r w:rsidRPr="00E03070">
        <w:t xml:space="preserve"> </w:t>
      </w:r>
      <w:r w:rsidR="008C6D38">
        <w:t>in a culturally appropriate way</w:t>
      </w:r>
      <w:r w:rsidR="00723E34">
        <w:t>.</w:t>
      </w:r>
    </w:p>
    <w:p w:rsidR="002B5688" w:rsidRPr="002B5688" w:rsidRDefault="002B5688" w:rsidP="002B5688">
      <w:pPr>
        <w:rPr>
          <w:rFonts w:cs="Arial"/>
          <w:b/>
          <w:szCs w:val="22"/>
        </w:rPr>
      </w:pPr>
      <w:r w:rsidRPr="002B5688">
        <w:rPr>
          <w:rFonts w:cs="Arial"/>
          <w:b/>
          <w:szCs w:val="22"/>
        </w:rPr>
        <w:t>A</w:t>
      </w:r>
      <w:r>
        <w:rPr>
          <w:rFonts w:cs="Arial"/>
          <w:b/>
          <w:szCs w:val="22"/>
        </w:rPr>
        <w:t>BSTUDY boarding school students</w:t>
      </w:r>
    </w:p>
    <w:p w:rsidR="002B5688" w:rsidRPr="005C5808" w:rsidRDefault="008A5E90" w:rsidP="002B5688">
      <w:pPr>
        <w:jc w:val="both"/>
        <w:rPr>
          <w:szCs w:val="22"/>
        </w:rPr>
      </w:pPr>
      <w:r>
        <w:rPr>
          <w:rFonts w:cs="Arial"/>
          <w:szCs w:val="22"/>
        </w:rPr>
        <w:t xml:space="preserve">The </w:t>
      </w:r>
      <w:r w:rsidR="002B5688" w:rsidRPr="0036420D">
        <w:rPr>
          <w:rFonts w:cs="Arial"/>
          <w:szCs w:val="22"/>
        </w:rPr>
        <w:t xml:space="preserve">Department of Social Services (DSS) provided </w:t>
      </w:r>
      <w:r>
        <w:rPr>
          <w:rFonts w:cs="Arial"/>
          <w:szCs w:val="22"/>
        </w:rPr>
        <w:t xml:space="preserve">the Taskforce with </w:t>
      </w:r>
      <w:r w:rsidR="002B5688" w:rsidRPr="0036420D">
        <w:rPr>
          <w:rFonts w:cs="Arial"/>
          <w:szCs w:val="22"/>
        </w:rPr>
        <w:t>an overview regarding safe travel plans for ABSTUDY boarding school students</w:t>
      </w:r>
      <w:r w:rsidR="002B5688">
        <w:rPr>
          <w:rFonts w:cs="Arial"/>
          <w:szCs w:val="22"/>
        </w:rPr>
        <w:t>.</w:t>
      </w:r>
      <w:r w:rsidR="00C32677">
        <w:rPr>
          <w:rFonts w:cs="Arial"/>
          <w:szCs w:val="22"/>
        </w:rPr>
        <w:t xml:space="preserve"> Safe travel plans </w:t>
      </w:r>
      <w:r w:rsidR="0085244F">
        <w:rPr>
          <w:rFonts w:cs="Arial"/>
          <w:szCs w:val="22"/>
        </w:rPr>
        <w:t>have been</w:t>
      </w:r>
      <w:r w:rsidR="00C32677">
        <w:rPr>
          <w:rFonts w:cs="Arial"/>
          <w:szCs w:val="22"/>
        </w:rPr>
        <w:t xml:space="preserve"> a requirement of ABSTUDY </w:t>
      </w:r>
      <w:r w:rsidR="0085244F">
        <w:rPr>
          <w:rFonts w:cs="Arial"/>
          <w:szCs w:val="22"/>
        </w:rPr>
        <w:t>since before</w:t>
      </w:r>
      <w:r w:rsidR="00C32677">
        <w:rPr>
          <w:rFonts w:cs="Arial"/>
          <w:szCs w:val="22"/>
        </w:rPr>
        <w:t xml:space="preserve"> COVID-19</w:t>
      </w:r>
      <w:r w:rsidR="005C00A1">
        <w:rPr>
          <w:rFonts w:cs="Arial"/>
          <w:szCs w:val="22"/>
        </w:rPr>
        <w:t xml:space="preserve"> </w:t>
      </w:r>
      <w:r w:rsidR="005C00A1" w:rsidRPr="00876EE8">
        <w:rPr>
          <w:rFonts w:cs="Arial"/>
          <w:szCs w:val="22"/>
        </w:rPr>
        <w:t>so that they can travel safely to and from school</w:t>
      </w:r>
      <w:r w:rsidR="00156321">
        <w:rPr>
          <w:rFonts w:cs="Arial"/>
          <w:szCs w:val="22"/>
        </w:rPr>
        <w:t xml:space="preserve">. This </w:t>
      </w:r>
      <w:r w:rsidR="005C00A1">
        <w:rPr>
          <w:rFonts w:cs="Arial"/>
          <w:szCs w:val="22"/>
        </w:rPr>
        <w:t>ensures</w:t>
      </w:r>
      <w:r w:rsidR="00C32677">
        <w:rPr>
          <w:rFonts w:cs="Arial"/>
          <w:szCs w:val="22"/>
        </w:rPr>
        <w:t xml:space="preserve"> that students </w:t>
      </w:r>
      <w:r w:rsidR="0085244F">
        <w:rPr>
          <w:rFonts w:cs="Arial"/>
          <w:szCs w:val="22"/>
        </w:rPr>
        <w:t xml:space="preserve">and schools </w:t>
      </w:r>
      <w:r w:rsidR="00C32677">
        <w:rPr>
          <w:rFonts w:cs="Arial"/>
          <w:szCs w:val="22"/>
        </w:rPr>
        <w:t>have clear travel plans, contingencies fo</w:t>
      </w:r>
      <w:r w:rsidR="00C32677" w:rsidRPr="005C00A1">
        <w:rPr>
          <w:rFonts w:cs="Arial"/>
          <w:szCs w:val="22"/>
        </w:rPr>
        <w:t xml:space="preserve">r interrupted travel and </w:t>
      </w:r>
      <w:r w:rsidR="0085244F" w:rsidRPr="005C00A1">
        <w:rPr>
          <w:rFonts w:cs="Arial"/>
          <w:szCs w:val="22"/>
        </w:rPr>
        <w:t xml:space="preserve">key </w:t>
      </w:r>
      <w:r w:rsidR="00C32677" w:rsidRPr="005C00A1">
        <w:rPr>
          <w:rFonts w:cs="Arial"/>
          <w:szCs w:val="22"/>
        </w:rPr>
        <w:t xml:space="preserve">contact </w:t>
      </w:r>
      <w:r w:rsidR="00092777" w:rsidRPr="005C00A1">
        <w:rPr>
          <w:rFonts w:cs="Arial"/>
          <w:szCs w:val="22"/>
        </w:rPr>
        <w:t>details</w:t>
      </w:r>
      <w:r w:rsidR="0085244F" w:rsidRPr="005C00A1">
        <w:rPr>
          <w:rFonts w:cs="Arial"/>
          <w:szCs w:val="22"/>
        </w:rPr>
        <w:t>. The</w:t>
      </w:r>
      <w:r w:rsidR="0085244F">
        <w:rPr>
          <w:rFonts w:cs="Arial"/>
          <w:szCs w:val="22"/>
        </w:rPr>
        <w:t xml:space="preserve"> travel uncertainties of COVID-19 </w:t>
      </w:r>
      <w:r w:rsidR="0085244F" w:rsidRPr="0085244F">
        <w:rPr>
          <w:rFonts w:cs="Arial"/>
          <w:szCs w:val="22"/>
        </w:rPr>
        <w:t xml:space="preserve">and </w:t>
      </w:r>
      <w:r w:rsidR="0085244F">
        <w:rPr>
          <w:rFonts w:cs="Arial"/>
          <w:szCs w:val="22"/>
        </w:rPr>
        <w:t>changing border requirements provide</w:t>
      </w:r>
      <w:r w:rsidR="00330EB9">
        <w:rPr>
          <w:rFonts w:cs="Arial"/>
          <w:szCs w:val="22"/>
        </w:rPr>
        <w:t>s</w:t>
      </w:r>
      <w:r w:rsidR="0085244F">
        <w:rPr>
          <w:rFonts w:cs="Arial"/>
          <w:szCs w:val="22"/>
        </w:rPr>
        <w:t xml:space="preserve"> a sharpened focus on the need for comprehensive safe travel plans.</w:t>
      </w:r>
      <w:r w:rsidR="00C32677">
        <w:rPr>
          <w:rFonts w:cs="Arial"/>
          <w:szCs w:val="22"/>
        </w:rPr>
        <w:t xml:space="preserve"> </w:t>
      </w:r>
      <w:r w:rsidR="002B5688" w:rsidRPr="0036420D">
        <w:rPr>
          <w:szCs w:val="22"/>
        </w:rPr>
        <w:t xml:space="preserve">DSS </w:t>
      </w:r>
      <w:r w:rsidR="002B5688">
        <w:rPr>
          <w:szCs w:val="22"/>
        </w:rPr>
        <w:t>advised that they have</w:t>
      </w:r>
      <w:r w:rsidR="002B5688" w:rsidRPr="0036420D">
        <w:rPr>
          <w:szCs w:val="22"/>
        </w:rPr>
        <w:t xml:space="preserve"> been working closely with Services Australia to provide early data to </w:t>
      </w:r>
      <w:r w:rsidR="002B5688">
        <w:rPr>
          <w:szCs w:val="22"/>
        </w:rPr>
        <w:t>states and t</w:t>
      </w:r>
      <w:r w:rsidR="002B5688" w:rsidRPr="0036420D">
        <w:rPr>
          <w:szCs w:val="22"/>
        </w:rPr>
        <w:t>erritories as school holidays are approaching</w:t>
      </w:r>
      <w:r w:rsidR="00156321">
        <w:rPr>
          <w:szCs w:val="22"/>
        </w:rPr>
        <w:t>. This includes</w:t>
      </w:r>
      <w:r w:rsidR="002B5688" w:rsidRPr="0036420D">
        <w:rPr>
          <w:szCs w:val="22"/>
        </w:rPr>
        <w:t xml:space="preserve"> </w:t>
      </w:r>
      <w:r w:rsidR="00156321">
        <w:rPr>
          <w:szCs w:val="22"/>
        </w:rPr>
        <w:t xml:space="preserve">details </w:t>
      </w:r>
      <w:r w:rsidR="00156321">
        <w:rPr>
          <w:szCs w:val="22"/>
        </w:rPr>
        <w:lastRenderedPageBreak/>
        <w:t xml:space="preserve">about </w:t>
      </w:r>
      <w:r w:rsidR="002B5688" w:rsidRPr="0036420D">
        <w:rPr>
          <w:szCs w:val="22"/>
        </w:rPr>
        <w:t xml:space="preserve">the students and </w:t>
      </w:r>
      <w:r w:rsidR="00156321">
        <w:rPr>
          <w:szCs w:val="22"/>
        </w:rPr>
        <w:t>their travel plans</w:t>
      </w:r>
      <w:r w:rsidR="002B5688">
        <w:rPr>
          <w:szCs w:val="22"/>
        </w:rPr>
        <w:t>. Information was also provided to the Taskforce on</w:t>
      </w:r>
      <w:r w:rsidR="002B5688" w:rsidRPr="005C5808">
        <w:rPr>
          <w:szCs w:val="22"/>
        </w:rPr>
        <w:t xml:space="preserve"> the numbers of students that Services Australia manages the travel bookings for. </w:t>
      </w:r>
    </w:p>
    <w:p w:rsidR="002B5688" w:rsidRPr="002B5688" w:rsidRDefault="002B5688" w:rsidP="002B5688">
      <w:pPr>
        <w:jc w:val="both"/>
        <w:rPr>
          <w:rFonts w:eastAsia="Times New Roman"/>
          <w:szCs w:val="22"/>
        </w:rPr>
      </w:pPr>
      <w:r>
        <w:rPr>
          <w:rFonts w:eastAsia="Times New Roman"/>
          <w:szCs w:val="22"/>
        </w:rPr>
        <w:t xml:space="preserve">This information will assist members to support relevant communities and provide further understanding </w:t>
      </w:r>
      <w:r w:rsidR="00156321">
        <w:rPr>
          <w:rFonts w:eastAsia="Times New Roman"/>
          <w:szCs w:val="22"/>
        </w:rPr>
        <w:t xml:space="preserve">around </w:t>
      </w:r>
      <w:r>
        <w:rPr>
          <w:rFonts w:eastAsia="Times New Roman"/>
          <w:szCs w:val="22"/>
        </w:rPr>
        <w:t>the</w:t>
      </w:r>
      <w:r w:rsidR="00156321">
        <w:rPr>
          <w:rFonts w:eastAsia="Times New Roman"/>
          <w:szCs w:val="22"/>
        </w:rPr>
        <w:t xml:space="preserve"> </w:t>
      </w:r>
      <w:r>
        <w:rPr>
          <w:rFonts w:eastAsia="Times New Roman"/>
          <w:szCs w:val="22"/>
        </w:rPr>
        <w:t>boarding school students returning to their jurisdiction.</w:t>
      </w:r>
    </w:p>
    <w:p w:rsidR="001F755F" w:rsidRPr="000F4CBD" w:rsidRDefault="001F755F" w:rsidP="003F0984">
      <w:pPr>
        <w:rPr>
          <w:rFonts w:cs="Arial"/>
          <w:b/>
          <w:szCs w:val="22"/>
        </w:rPr>
      </w:pPr>
      <w:r w:rsidRPr="000F4CBD">
        <w:rPr>
          <w:rFonts w:cs="Arial"/>
          <w:b/>
          <w:szCs w:val="22"/>
        </w:rPr>
        <w:t xml:space="preserve">Other </w:t>
      </w:r>
      <w:r w:rsidR="000F4CBD" w:rsidRPr="000F4CBD">
        <w:rPr>
          <w:rFonts w:cs="Arial"/>
          <w:b/>
          <w:szCs w:val="22"/>
        </w:rPr>
        <w:t xml:space="preserve">related </w:t>
      </w:r>
      <w:r w:rsidRPr="000F4CBD">
        <w:rPr>
          <w:rFonts w:cs="Arial"/>
          <w:b/>
          <w:szCs w:val="22"/>
        </w:rPr>
        <w:t>news</w:t>
      </w:r>
    </w:p>
    <w:p w:rsidR="00156321" w:rsidRDefault="00955180" w:rsidP="00F4737A">
      <w:pPr>
        <w:jc w:val="both"/>
        <w:rPr>
          <w:rFonts w:cs="Arial"/>
          <w:szCs w:val="22"/>
        </w:rPr>
      </w:pPr>
      <w:r w:rsidRPr="00DB74CB">
        <w:rPr>
          <w:rFonts w:cs="Arial"/>
          <w:szCs w:val="22"/>
        </w:rPr>
        <w:t xml:space="preserve">One of the key strengths of the Taskforce </w:t>
      </w:r>
      <w:r w:rsidR="0021286B">
        <w:rPr>
          <w:rFonts w:cs="Arial"/>
          <w:szCs w:val="22"/>
        </w:rPr>
        <w:t>has been</w:t>
      </w:r>
      <w:r w:rsidRPr="00DB74CB">
        <w:rPr>
          <w:rFonts w:cs="Arial"/>
          <w:szCs w:val="22"/>
        </w:rPr>
        <w:t xml:space="preserve"> raising new and emerging issues</w:t>
      </w:r>
      <w:r w:rsidR="0021286B">
        <w:rPr>
          <w:rFonts w:cs="Arial"/>
          <w:szCs w:val="22"/>
        </w:rPr>
        <w:t xml:space="preserve"> and sharing current response strategies.</w:t>
      </w:r>
      <w:r w:rsidRPr="00DB74CB">
        <w:rPr>
          <w:rFonts w:cs="Arial"/>
          <w:szCs w:val="22"/>
        </w:rPr>
        <w:t xml:space="preserve"> The </w:t>
      </w:r>
      <w:r w:rsidR="008530B3">
        <w:rPr>
          <w:rFonts w:cs="Arial"/>
          <w:szCs w:val="22"/>
        </w:rPr>
        <w:t>T</w:t>
      </w:r>
      <w:r w:rsidRPr="00DB74CB">
        <w:rPr>
          <w:rFonts w:cs="Arial"/>
          <w:szCs w:val="22"/>
        </w:rPr>
        <w:t xml:space="preserve">askforce </w:t>
      </w:r>
      <w:r w:rsidR="00092777">
        <w:rPr>
          <w:rFonts w:cs="Arial"/>
          <w:szCs w:val="22"/>
        </w:rPr>
        <w:t>receives</w:t>
      </w:r>
      <w:r w:rsidR="0021286B">
        <w:rPr>
          <w:rFonts w:cs="Arial"/>
          <w:szCs w:val="22"/>
        </w:rPr>
        <w:t xml:space="preserve"> </w:t>
      </w:r>
      <w:r w:rsidRPr="00DB74CB">
        <w:rPr>
          <w:rFonts w:cs="Arial"/>
          <w:szCs w:val="22"/>
        </w:rPr>
        <w:t xml:space="preserve">weekly updates </w:t>
      </w:r>
      <w:r w:rsidR="0021286B">
        <w:rPr>
          <w:rFonts w:cs="Arial"/>
          <w:szCs w:val="22"/>
        </w:rPr>
        <w:t>from</w:t>
      </w:r>
      <w:r w:rsidRPr="00DB74CB">
        <w:rPr>
          <w:rFonts w:cs="Arial"/>
          <w:szCs w:val="22"/>
        </w:rPr>
        <w:t xml:space="preserve"> </w:t>
      </w:r>
      <w:r w:rsidR="0021286B">
        <w:rPr>
          <w:rFonts w:cs="Arial"/>
          <w:szCs w:val="22"/>
        </w:rPr>
        <w:t>Victoria regarding the current outbreak, as well as updates from other jurisdictions on relevant issues</w:t>
      </w:r>
      <w:r w:rsidRPr="00DB74CB">
        <w:rPr>
          <w:rFonts w:cs="Arial"/>
          <w:szCs w:val="22"/>
        </w:rPr>
        <w:t xml:space="preserve">. </w:t>
      </w:r>
    </w:p>
    <w:p w:rsidR="001A249A" w:rsidRPr="00F15264" w:rsidRDefault="00DB74CB" w:rsidP="00F4737A">
      <w:pPr>
        <w:jc w:val="both"/>
        <w:rPr>
          <w:rFonts w:cs="Arial"/>
          <w:szCs w:val="22"/>
        </w:rPr>
      </w:pPr>
      <w:r w:rsidRPr="00F15264">
        <w:rPr>
          <w:rFonts w:cs="Arial"/>
          <w:szCs w:val="22"/>
        </w:rPr>
        <w:t xml:space="preserve">The </w:t>
      </w:r>
      <w:r w:rsidR="002376EC">
        <w:rPr>
          <w:rFonts w:cs="Arial"/>
          <w:szCs w:val="22"/>
        </w:rPr>
        <w:t>Australian Government</w:t>
      </w:r>
      <w:r w:rsidRPr="00F15264">
        <w:rPr>
          <w:rFonts w:cs="Arial"/>
          <w:szCs w:val="22"/>
        </w:rPr>
        <w:t xml:space="preserve"> Department of Health’s </w:t>
      </w:r>
      <w:r w:rsidRPr="0021286B">
        <w:rPr>
          <w:rFonts w:cs="Arial"/>
          <w:szCs w:val="22"/>
          <w:u w:val="single"/>
        </w:rPr>
        <w:t>Mental Health D</w:t>
      </w:r>
      <w:r w:rsidR="00955180" w:rsidRPr="0021286B">
        <w:rPr>
          <w:rFonts w:cs="Arial"/>
          <w:szCs w:val="22"/>
          <w:u w:val="single"/>
        </w:rPr>
        <w:t>ivision</w:t>
      </w:r>
      <w:r w:rsidRPr="0021286B">
        <w:rPr>
          <w:rFonts w:cs="Arial"/>
          <w:szCs w:val="22"/>
          <w:u w:val="single"/>
        </w:rPr>
        <w:t xml:space="preserve"> </w:t>
      </w:r>
      <w:r w:rsidR="0021286B" w:rsidRPr="0021286B">
        <w:rPr>
          <w:rFonts w:cs="Arial"/>
          <w:szCs w:val="22"/>
          <w:u w:val="single"/>
        </w:rPr>
        <w:t xml:space="preserve">recently updated the </w:t>
      </w:r>
      <w:r w:rsidR="00575147" w:rsidRPr="0021286B">
        <w:rPr>
          <w:rFonts w:cs="Arial"/>
          <w:szCs w:val="22"/>
          <w:u w:val="single"/>
        </w:rPr>
        <w:t>Taskforce</w:t>
      </w:r>
      <w:r w:rsidR="00BA662E">
        <w:rPr>
          <w:rFonts w:cs="Arial"/>
          <w:szCs w:val="22"/>
          <w:u w:val="single"/>
        </w:rPr>
        <w:t>.</w:t>
      </w:r>
      <w:r w:rsidR="00BA662E">
        <w:rPr>
          <w:rFonts w:cs="Arial"/>
          <w:szCs w:val="22"/>
        </w:rPr>
        <w:t xml:space="preserve"> This follows the </w:t>
      </w:r>
      <w:r w:rsidR="001A249A" w:rsidRPr="00F15264">
        <w:rPr>
          <w:rFonts w:cs="Arial"/>
          <w:szCs w:val="22"/>
        </w:rPr>
        <w:t xml:space="preserve">Prime Minister </w:t>
      </w:r>
      <w:r w:rsidRPr="00F15264">
        <w:rPr>
          <w:rFonts w:cs="Arial"/>
          <w:szCs w:val="22"/>
        </w:rPr>
        <w:t>announcing</w:t>
      </w:r>
      <w:r w:rsidR="001A249A" w:rsidRPr="00F15264">
        <w:rPr>
          <w:rFonts w:cs="Arial"/>
          <w:szCs w:val="22"/>
        </w:rPr>
        <w:t xml:space="preserve"> $12 million </w:t>
      </w:r>
      <w:r w:rsidRPr="00F15264">
        <w:rPr>
          <w:rFonts w:cs="Arial"/>
          <w:szCs w:val="22"/>
        </w:rPr>
        <w:t xml:space="preserve">on 6 August 2020 </w:t>
      </w:r>
      <w:r w:rsidR="001A249A" w:rsidRPr="00F15264">
        <w:rPr>
          <w:rFonts w:cs="Arial"/>
          <w:szCs w:val="22"/>
        </w:rPr>
        <w:t xml:space="preserve">to support </w:t>
      </w:r>
      <w:r w:rsidRPr="00F15264">
        <w:rPr>
          <w:rFonts w:cs="Arial"/>
          <w:szCs w:val="22"/>
        </w:rPr>
        <w:t>existing</w:t>
      </w:r>
      <w:r w:rsidR="001A249A" w:rsidRPr="00F15264">
        <w:rPr>
          <w:rFonts w:cs="Arial"/>
          <w:szCs w:val="22"/>
        </w:rPr>
        <w:t xml:space="preserve"> </w:t>
      </w:r>
      <w:r w:rsidRPr="00F15264">
        <w:rPr>
          <w:rFonts w:cs="Arial"/>
          <w:szCs w:val="22"/>
        </w:rPr>
        <w:t xml:space="preserve">mental health </w:t>
      </w:r>
      <w:r w:rsidR="001A249A" w:rsidRPr="00F15264">
        <w:rPr>
          <w:rFonts w:cs="Arial"/>
          <w:szCs w:val="22"/>
        </w:rPr>
        <w:t>services</w:t>
      </w:r>
      <w:r w:rsidRPr="00F15264">
        <w:rPr>
          <w:rFonts w:cs="Arial"/>
          <w:szCs w:val="22"/>
        </w:rPr>
        <w:t xml:space="preserve"> such as:</w:t>
      </w:r>
    </w:p>
    <w:p w:rsidR="001A249A" w:rsidRPr="00DB74CB" w:rsidRDefault="002376EC" w:rsidP="00F4737A">
      <w:pPr>
        <w:pStyle w:val="ListParagraph"/>
        <w:numPr>
          <w:ilvl w:val="0"/>
          <w:numId w:val="18"/>
        </w:numPr>
        <w:jc w:val="both"/>
        <w:rPr>
          <w:rFonts w:cs="Arial"/>
          <w:szCs w:val="22"/>
        </w:rPr>
      </w:pPr>
      <w:r>
        <w:rPr>
          <w:rFonts w:cs="Arial"/>
          <w:szCs w:val="22"/>
        </w:rPr>
        <w:t>$5 million for H</w:t>
      </w:r>
      <w:r w:rsidR="001A249A" w:rsidRPr="00DB74CB">
        <w:rPr>
          <w:rFonts w:cs="Arial"/>
          <w:szCs w:val="22"/>
        </w:rPr>
        <w:t xml:space="preserve">eadspace for assertive </w:t>
      </w:r>
      <w:r w:rsidR="00DB74CB" w:rsidRPr="00DB74CB">
        <w:rPr>
          <w:rFonts w:cs="Arial"/>
          <w:szCs w:val="22"/>
        </w:rPr>
        <w:t>outreach</w:t>
      </w:r>
      <w:r w:rsidR="00F545A8">
        <w:rPr>
          <w:rFonts w:cs="Arial"/>
          <w:szCs w:val="22"/>
        </w:rPr>
        <w:t>,</w:t>
      </w:r>
      <w:r w:rsidR="00DB74CB" w:rsidRPr="00DB74CB">
        <w:rPr>
          <w:rFonts w:cs="Arial"/>
          <w:szCs w:val="22"/>
        </w:rPr>
        <w:t xml:space="preserve"> particularly year 11 </w:t>
      </w:r>
      <w:r w:rsidR="001A249A" w:rsidRPr="00DB74CB">
        <w:rPr>
          <w:rFonts w:cs="Arial"/>
          <w:szCs w:val="22"/>
        </w:rPr>
        <w:t>and 12 students</w:t>
      </w:r>
    </w:p>
    <w:p w:rsidR="001A249A" w:rsidRPr="00DB74CB" w:rsidRDefault="001A249A" w:rsidP="00F4737A">
      <w:pPr>
        <w:pStyle w:val="ListParagraph"/>
        <w:numPr>
          <w:ilvl w:val="0"/>
          <w:numId w:val="18"/>
        </w:numPr>
        <w:jc w:val="both"/>
        <w:rPr>
          <w:rFonts w:cs="Arial"/>
          <w:szCs w:val="22"/>
        </w:rPr>
      </w:pPr>
      <w:r w:rsidRPr="00DB74CB">
        <w:rPr>
          <w:rFonts w:cs="Arial"/>
          <w:szCs w:val="22"/>
        </w:rPr>
        <w:t>$2.5 million for Beyo</w:t>
      </w:r>
      <w:r w:rsidR="00DB74CB" w:rsidRPr="00DB74CB">
        <w:rPr>
          <w:rFonts w:cs="Arial"/>
          <w:szCs w:val="22"/>
        </w:rPr>
        <w:t>nd Blue to extend live webchat to operate 24/7</w:t>
      </w:r>
    </w:p>
    <w:p w:rsidR="00DB74CB" w:rsidRPr="00DB74CB" w:rsidRDefault="00DB74CB" w:rsidP="00F4737A">
      <w:pPr>
        <w:pStyle w:val="ListParagraph"/>
        <w:numPr>
          <w:ilvl w:val="0"/>
          <w:numId w:val="18"/>
        </w:numPr>
        <w:jc w:val="both"/>
        <w:rPr>
          <w:rFonts w:cs="Arial"/>
          <w:szCs w:val="22"/>
        </w:rPr>
      </w:pPr>
      <w:r w:rsidRPr="00DB74CB">
        <w:rPr>
          <w:rFonts w:cs="Arial"/>
          <w:szCs w:val="22"/>
        </w:rPr>
        <w:t>$2.5 million for Lifeline</w:t>
      </w:r>
    </w:p>
    <w:p w:rsidR="00092777" w:rsidRDefault="00DB74CB" w:rsidP="00F4737A">
      <w:pPr>
        <w:pStyle w:val="ListParagraph"/>
        <w:numPr>
          <w:ilvl w:val="0"/>
          <w:numId w:val="18"/>
        </w:numPr>
        <w:jc w:val="both"/>
        <w:rPr>
          <w:rFonts w:cs="Arial"/>
          <w:szCs w:val="22"/>
        </w:rPr>
      </w:pPr>
      <w:r w:rsidRPr="00DB74CB">
        <w:rPr>
          <w:rFonts w:cs="Arial"/>
          <w:szCs w:val="22"/>
        </w:rPr>
        <w:t xml:space="preserve">$2 million for Kids </w:t>
      </w:r>
      <w:r w:rsidR="00F545A8">
        <w:rPr>
          <w:rFonts w:cs="Arial"/>
          <w:szCs w:val="22"/>
        </w:rPr>
        <w:t>Help</w:t>
      </w:r>
      <w:r w:rsidR="005E0ED8">
        <w:rPr>
          <w:rFonts w:cs="Arial"/>
          <w:szCs w:val="22"/>
        </w:rPr>
        <w:t>l</w:t>
      </w:r>
      <w:r w:rsidRPr="00DB74CB">
        <w:rPr>
          <w:rFonts w:cs="Arial"/>
          <w:szCs w:val="22"/>
        </w:rPr>
        <w:t>ine</w:t>
      </w:r>
    </w:p>
    <w:p w:rsidR="001A249A" w:rsidRPr="00A6042E" w:rsidRDefault="00092777" w:rsidP="00120F02">
      <w:pPr>
        <w:pStyle w:val="ListParagraph"/>
        <w:numPr>
          <w:ilvl w:val="0"/>
          <w:numId w:val="18"/>
        </w:numPr>
        <w:jc w:val="both"/>
        <w:rPr>
          <w:rFonts w:cs="Arial"/>
          <w:szCs w:val="22"/>
        </w:rPr>
      </w:pPr>
      <w:r>
        <w:rPr>
          <w:rFonts w:cs="Arial"/>
          <w:szCs w:val="22"/>
        </w:rPr>
        <w:t>A</w:t>
      </w:r>
      <w:r w:rsidR="00156321" w:rsidRPr="0012335A">
        <w:rPr>
          <w:rFonts w:cs="Arial"/>
          <w:szCs w:val="22"/>
        </w:rPr>
        <w:t xml:space="preserve">dditional </w:t>
      </w:r>
      <w:r w:rsidR="00F15264" w:rsidRPr="0012335A">
        <w:rPr>
          <w:rFonts w:cs="Arial"/>
          <w:szCs w:val="22"/>
        </w:rPr>
        <w:t>$5 million for specialised phone support services – eating disorders and LGBT</w:t>
      </w:r>
      <w:r w:rsidR="002E2BA3">
        <w:rPr>
          <w:rFonts w:cs="Arial"/>
          <w:szCs w:val="22"/>
        </w:rPr>
        <w:t>I</w:t>
      </w:r>
      <w:r w:rsidR="002376EC">
        <w:rPr>
          <w:rFonts w:cs="Arial"/>
          <w:szCs w:val="22"/>
        </w:rPr>
        <w:t>Q</w:t>
      </w:r>
      <w:r w:rsidR="00F15264" w:rsidRPr="0012335A">
        <w:rPr>
          <w:rFonts w:cs="Arial"/>
          <w:szCs w:val="22"/>
        </w:rPr>
        <w:t>+ support services</w:t>
      </w:r>
      <w:r w:rsidR="00F545A8">
        <w:rPr>
          <w:rFonts w:cs="Arial"/>
          <w:szCs w:val="22"/>
        </w:rPr>
        <w:t>,</w:t>
      </w:r>
      <w:r w:rsidR="00F15264" w:rsidRPr="0012335A">
        <w:rPr>
          <w:rFonts w:cs="Arial"/>
          <w:szCs w:val="22"/>
        </w:rPr>
        <w:t xml:space="preserve"> mainly focused on Victoria but available nationally. </w:t>
      </w:r>
    </w:p>
    <w:p w:rsidR="00B546D4" w:rsidRPr="00B546D4" w:rsidRDefault="00955180" w:rsidP="00F4737A">
      <w:pPr>
        <w:jc w:val="both"/>
        <w:rPr>
          <w:rFonts w:ascii="Times New Roman" w:hAnsi="Times New Roman"/>
        </w:rPr>
      </w:pPr>
      <w:r w:rsidRPr="0021286B">
        <w:rPr>
          <w:rFonts w:cs="Arial"/>
          <w:szCs w:val="22"/>
          <w:u w:val="single"/>
        </w:rPr>
        <w:t>D</w:t>
      </w:r>
      <w:r w:rsidR="00B546D4" w:rsidRPr="0021286B">
        <w:rPr>
          <w:rFonts w:cs="Arial"/>
          <w:szCs w:val="22"/>
          <w:u w:val="single"/>
        </w:rPr>
        <w:t xml:space="preserve">epartment </w:t>
      </w:r>
      <w:r w:rsidRPr="0021286B">
        <w:rPr>
          <w:rFonts w:cs="Arial"/>
          <w:szCs w:val="22"/>
          <w:u w:val="single"/>
        </w:rPr>
        <w:t>o</w:t>
      </w:r>
      <w:r w:rsidR="00B546D4" w:rsidRPr="0021286B">
        <w:rPr>
          <w:rFonts w:cs="Arial"/>
          <w:szCs w:val="22"/>
          <w:u w:val="single"/>
        </w:rPr>
        <w:t xml:space="preserve">f </w:t>
      </w:r>
      <w:r w:rsidRPr="0021286B">
        <w:rPr>
          <w:rFonts w:cs="Arial"/>
          <w:szCs w:val="22"/>
          <w:u w:val="single"/>
        </w:rPr>
        <w:t>H</w:t>
      </w:r>
      <w:r w:rsidR="00B546D4" w:rsidRPr="0021286B">
        <w:rPr>
          <w:rFonts w:cs="Arial"/>
          <w:szCs w:val="22"/>
          <w:u w:val="single"/>
        </w:rPr>
        <w:t>ealth</w:t>
      </w:r>
      <w:r w:rsidR="003957F6">
        <w:rPr>
          <w:rFonts w:cs="Arial"/>
          <w:szCs w:val="22"/>
          <w:u w:val="single"/>
        </w:rPr>
        <w:t>’s</w:t>
      </w:r>
      <w:r w:rsidRPr="0021286B">
        <w:rPr>
          <w:rFonts w:cs="Arial"/>
          <w:szCs w:val="22"/>
          <w:u w:val="single"/>
        </w:rPr>
        <w:t xml:space="preserve"> Victorian aged care response</w:t>
      </w:r>
      <w:r w:rsidR="00B546D4" w:rsidRPr="0021286B">
        <w:rPr>
          <w:rFonts w:cs="Arial"/>
          <w:szCs w:val="22"/>
          <w:u w:val="single"/>
        </w:rPr>
        <w:t xml:space="preserve"> (VACRC)</w:t>
      </w:r>
      <w:r w:rsidRPr="00120F02">
        <w:rPr>
          <w:rFonts w:cs="Arial"/>
          <w:szCs w:val="22"/>
        </w:rPr>
        <w:t xml:space="preserve"> team</w:t>
      </w:r>
      <w:r w:rsidR="00B546D4" w:rsidRPr="000F4CBD">
        <w:rPr>
          <w:rFonts w:cs="Arial"/>
          <w:szCs w:val="22"/>
        </w:rPr>
        <w:t xml:space="preserve"> provided an overview of </w:t>
      </w:r>
      <w:r w:rsidR="008530B3">
        <w:rPr>
          <w:rFonts w:cs="Arial"/>
          <w:szCs w:val="22"/>
        </w:rPr>
        <w:t>their</w:t>
      </w:r>
      <w:r w:rsidR="0021286B">
        <w:rPr>
          <w:rFonts w:cs="Arial"/>
          <w:szCs w:val="22"/>
        </w:rPr>
        <w:t xml:space="preserve"> team</w:t>
      </w:r>
      <w:r w:rsidR="00156321">
        <w:rPr>
          <w:rFonts w:cs="Arial"/>
          <w:szCs w:val="22"/>
        </w:rPr>
        <w:t>’</w:t>
      </w:r>
      <w:r w:rsidR="0021286B">
        <w:rPr>
          <w:rFonts w:cs="Arial"/>
          <w:szCs w:val="22"/>
        </w:rPr>
        <w:t>s responsibilities and key learnings to date</w:t>
      </w:r>
      <w:r w:rsidR="00AA639C">
        <w:rPr>
          <w:rFonts w:cs="Arial"/>
          <w:szCs w:val="22"/>
        </w:rPr>
        <w:t xml:space="preserve">. They also advised on </w:t>
      </w:r>
      <w:r w:rsidR="0021286B">
        <w:rPr>
          <w:rFonts w:cs="Arial"/>
          <w:szCs w:val="22"/>
        </w:rPr>
        <w:t xml:space="preserve">how these lessons may translate to a response if </w:t>
      </w:r>
      <w:r w:rsidR="00575147">
        <w:rPr>
          <w:rFonts w:cs="Arial"/>
          <w:szCs w:val="22"/>
        </w:rPr>
        <w:t>there</w:t>
      </w:r>
      <w:r w:rsidR="0021286B">
        <w:rPr>
          <w:rFonts w:cs="Arial"/>
          <w:szCs w:val="22"/>
        </w:rPr>
        <w:t xml:space="preserve"> is an outbreak in </w:t>
      </w:r>
      <w:r w:rsidR="00575147">
        <w:rPr>
          <w:rFonts w:cs="Arial"/>
          <w:szCs w:val="22"/>
        </w:rPr>
        <w:t>a</w:t>
      </w:r>
      <w:r w:rsidR="0021286B">
        <w:rPr>
          <w:rFonts w:cs="Arial"/>
          <w:szCs w:val="22"/>
        </w:rPr>
        <w:t xml:space="preserve"> remote Aboriginal </w:t>
      </w:r>
      <w:r w:rsidR="002376EC">
        <w:rPr>
          <w:rFonts w:cs="Arial"/>
          <w:szCs w:val="22"/>
        </w:rPr>
        <w:t xml:space="preserve">or Torres Strait Islander </w:t>
      </w:r>
      <w:r w:rsidR="00F545A8">
        <w:rPr>
          <w:rFonts w:cs="Arial"/>
          <w:szCs w:val="22"/>
        </w:rPr>
        <w:t>community</w:t>
      </w:r>
      <w:r w:rsidR="0021286B">
        <w:rPr>
          <w:rFonts w:cs="Arial"/>
          <w:szCs w:val="22"/>
        </w:rPr>
        <w:t>.</w:t>
      </w:r>
    </w:p>
    <w:p w:rsidR="00B546D4" w:rsidRPr="00B546D4" w:rsidRDefault="00B546D4" w:rsidP="00B546D4">
      <w:pPr>
        <w:spacing w:line="252" w:lineRule="auto"/>
      </w:pPr>
      <w:r w:rsidRPr="00B546D4">
        <w:t>Key learnings include</w:t>
      </w:r>
      <w:r w:rsidR="008A5E90">
        <w:t xml:space="preserve"> the importance of</w:t>
      </w:r>
      <w:r w:rsidRPr="00B546D4">
        <w:t>:</w:t>
      </w:r>
    </w:p>
    <w:p w:rsidR="00D00DE9" w:rsidRDefault="00B546D4" w:rsidP="00F4737A">
      <w:pPr>
        <w:pStyle w:val="ListParagraph"/>
        <w:numPr>
          <w:ilvl w:val="0"/>
          <w:numId w:val="20"/>
        </w:numPr>
        <w:spacing w:line="252" w:lineRule="auto"/>
        <w:jc w:val="both"/>
      </w:pPr>
      <w:r w:rsidRPr="00B546D4">
        <w:rPr>
          <w:b/>
          <w:bCs/>
        </w:rPr>
        <w:t>Good preparation</w:t>
      </w:r>
      <w:r w:rsidRPr="00B546D4">
        <w:t xml:space="preserve"> with a tested outbreak management plan; </w:t>
      </w:r>
    </w:p>
    <w:p w:rsidR="00B546D4" w:rsidRPr="00B546D4" w:rsidRDefault="00B546D4" w:rsidP="00F4737A">
      <w:pPr>
        <w:pStyle w:val="ListParagraph"/>
        <w:numPr>
          <w:ilvl w:val="0"/>
          <w:numId w:val="20"/>
        </w:numPr>
        <w:spacing w:line="252" w:lineRule="auto"/>
        <w:jc w:val="both"/>
      </w:pPr>
      <w:r w:rsidRPr="00B546D4">
        <w:rPr>
          <w:b/>
          <w:bCs/>
        </w:rPr>
        <w:t>Strong leadership</w:t>
      </w:r>
      <w:r w:rsidRPr="00B546D4">
        <w:t xml:space="preserve"> providing staff confidence and trust of families</w:t>
      </w:r>
      <w:r w:rsidR="00F4737A">
        <w:t>;</w:t>
      </w:r>
    </w:p>
    <w:p w:rsidR="00D00DE9" w:rsidRPr="00B546D4" w:rsidRDefault="00D00DE9" w:rsidP="00D00DE9">
      <w:pPr>
        <w:pStyle w:val="ListParagraph"/>
        <w:numPr>
          <w:ilvl w:val="0"/>
          <w:numId w:val="20"/>
        </w:numPr>
        <w:spacing w:line="252" w:lineRule="auto"/>
        <w:jc w:val="both"/>
      </w:pPr>
      <w:r w:rsidRPr="00B546D4">
        <w:rPr>
          <w:b/>
          <w:bCs/>
        </w:rPr>
        <w:t>Infection control</w:t>
      </w:r>
      <w:r w:rsidRPr="00B546D4">
        <w:t xml:space="preserve"> </w:t>
      </w:r>
      <w:r>
        <w:t xml:space="preserve">– a </w:t>
      </w:r>
      <w:r w:rsidRPr="00B546D4">
        <w:t>clear plan for cohorting residents, PPE training and induction</w:t>
      </w:r>
      <w:r>
        <w:t>; and</w:t>
      </w:r>
    </w:p>
    <w:p w:rsidR="00D00DE9" w:rsidRPr="00B546D4" w:rsidRDefault="00D00DE9" w:rsidP="00D00DE9">
      <w:pPr>
        <w:pStyle w:val="ListParagraph"/>
        <w:numPr>
          <w:ilvl w:val="0"/>
          <w:numId w:val="20"/>
        </w:numPr>
        <w:spacing w:line="252" w:lineRule="auto"/>
        <w:jc w:val="both"/>
      </w:pPr>
      <w:r>
        <w:rPr>
          <w:b/>
        </w:rPr>
        <w:t>G</w:t>
      </w:r>
      <w:r w:rsidRPr="005E2AAF">
        <w:rPr>
          <w:b/>
        </w:rPr>
        <w:t>ood relationships</w:t>
      </w:r>
      <w:r w:rsidRPr="00B546D4">
        <w:t xml:space="preserve"> </w:t>
      </w:r>
      <w:r w:rsidRPr="005E2AAF">
        <w:rPr>
          <w:b/>
        </w:rPr>
        <w:t>and communication channels</w:t>
      </w:r>
      <w:r w:rsidRPr="00B546D4">
        <w:t xml:space="preserve"> with health services </w:t>
      </w:r>
      <w:r>
        <w:t>for</w:t>
      </w:r>
      <w:r w:rsidRPr="00B546D4">
        <w:t xml:space="preserve"> families</w:t>
      </w:r>
      <w:r>
        <w:t>, residents and everyone involved.</w:t>
      </w:r>
    </w:p>
    <w:p w:rsidR="00B546D4" w:rsidRPr="00B546D4" w:rsidRDefault="00B546D4" w:rsidP="00B546D4">
      <w:pPr>
        <w:spacing w:line="252" w:lineRule="auto"/>
      </w:pPr>
      <w:r w:rsidRPr="00B546D4">
        <w:t xml:space="preserve">Key consideration for an outbreak in a remote Aboriginal </w:t>
      </w:r>
      <w:r w:rsidR="002376EC">
        <w:t xml:space="preserve">or Torres Strait Islander </w:t>
      </w:r>
      <w:r w:rsidRPr="00B546D4">
        <w:t xml:space="preserve">community </w:t>
      </w:r>
      <w:r w:rsidR="00575147">
        <w:t>may</w:t>
      </w:r>
      <w:r w:rsidR="00575147" w:rsidRPr="00B546D4">
        <w:t xml:space="preserve"> </w:t>
      </w:r>
      <w:r w:rsidRPr="00B546D4">
        <w:t>be:</w:t>
      </w:r>
    </w:p>
    <w:p w:rsidR="00B546D4" w:rsidRPr="000F4CBD" w:rsidRDefault="00B546D4" w:rsidP="00F4737A">
      <w:pPr>
        <w:pStyle w:val="ListParagraph"/>
        <w:numPr>
          <w:ilvl w:val="0"/>
          <w:numId w:val="21"/>
        </w:numPr>
        <w:spacing w:line="252" w:lineRule="auto"/>
        <w:jc w:val="both"/>
        <w:rPr>
          <w:b/>
          <w:bCs/>
        </w:rPr>
      </w:pPr>
      <w:r w:rsidRPr="000F4CBD">
        <w:rPr>
          <w:b/>
          <w:bCs/>
        </w:rPr>
        <w:t xml:space="preserve">Communication </w:t>
      </w:r>
      <w:r w:rsidRPr="00B546D4">
        <w:t xml:space="preserve">– with the community </w:t>
      </w:r>
      <w:r w:rsidR="008A5E90">
        <w:t xml:space="preserve">and </w:t>
      </w:r>
      <w:r w:rsidRPr="00B546D4">
        <w:t>home health care providers</w:t>
      </w:r>
      <w:r w:rsidR="00F4737A">
        <w:t>;</w:t>
      </w:r>
    </w:p>
    <w:p w:rsidR="00B546D4" w:rsidRPr="000F4CBD" w:rsidRDefault="00B546D4" w:rsidP="00F4737A">
      <w:pPr>
        <w:pStyle w:val="ListParagraph"/>
        <w:numPr>
          <w:ilvl w:val="0"/>
          <w:numId w:val="21"/>
        </w:numPr>
        <w:spacing w:line="252" w:lineRule="auto"/>
        <w:jc w:val="both"/>
        <w:rPr>
          <w:b/>
          <w:bCs/>
        </w:rPr>
      </w:pPr>
      <w:r w:rsidRPr="00B546D4">
        <w:lastRenderedPageBreak/>
        <w:t>where would the</w:t>
      </w:r>
      <w:r w:rsidRPr="000F4CBD">
        <w:rPr>
          <w:b/>
          <w:bCs/>
        </w:rPr>
        <w:t xml:space="preserve"> surge workforce </w:t>
      </w:r>
      <w:r w:rsidRPr="00B546D4">
        <w:t>come from? How would they be inducted to provide</w:t>
      </w:r>
      <w:r w:rsidRPr="000F4CBD">
        <w:rPr>
          <w:b/>
          <w:bCs/>
        </w:rPr>
        <w:t xml:space="preserve"> culturally safe care?</w:t>
      </w:r>
      <w:r w:rsidR="00F4737A">
        <w:rPr>
          <w:b/>
          <w:bCs/>
        </w:rPr>
        <w:t xml:space="preserve">; </w:t>
      </w:r>
      <w:r w:rsidR="00F4737A" w:rsidRPr="00F4737A">
        <w:rPr>
          <w:bCs/>
        </w:rPr>
        <w:t>and</w:t>
      </w:r>
    </w:p>
    <w:p w:rsidR="00B546D4" w:rsidRPr="000F4CBD" w:rsidRDefault="00B546D4" w:rsidP="00F4737A">
      <w:pPr>
        <w:pStyle w:val="ListParagraph"/>
        <w:numPr>
          <w:ilvl w:val="0"/>
          <w:numId w:val="21"/>
        </w:numPr>
        <w:spacing w:line="252" w:lineRule="auto"/>
        <w:jc w:val="both"/>
        <w:rPr>
          <w:b/>
          <w:bCs/>
        </w:rPr>
      </w:pPr>
      <w:r w:rsidRPr="000F4CBD">
        <w:rPr>
          <w:b/>
          <w:bCs/>
        </w:rPr>
        <w:t xml:space="preserve">Operation of </w:t>
      </w:r>
      <w:r w:rsidR="008A5E90">
        <w:rPr>
          <w:b/>
          <w:bCs/>
        </w:rPr>
        <w:t xml:space="preserve">‘normal’ </w:t>
      </w:r>
      <w:r w:rsidRPr="000F4CBD">
        <w:rPr>
          <w:b/>
          <w:bCs/>
        </w:rPr>
        <w:t xml:space="preserve">services, </w:t>
      </w:r>
      <w:r w:rsidRPr="00B546D4">
        <w:t xml:space="preserve">when the majority of staff are not </w:t>
      </w:r>
      <w:r w:rsidR="008A5E90">
        <w:t>’</w:t>
      </w:r>
      <w:r w:rsidRPr="00B546D4">
        <w:t>your own</w:t>
      </w:r>
      <w:r w:rsidR="008A5E90">
        <w:t>’</w:t>
      </w:r>
      <w:r w:rsidR="000F4CBD">
        <w:t>.</w:t>
      </w:r>
    </w:p>
    <w:sectPr w:rsidR="00B546D4" w:rsidRPr="000F4CBD" w:rsidSect="00BF5C53">
      <w:headerReference w:type="default" r:id="rId22"/>
      <w:footerReference w:type="default" r:id="rId23"/>
      <w:headerReference w:type="first" r:id="rId24"/>
      <w:pgSz w:w="11906" w:h="16838"/>
      <w:pgMar w:top="1985"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61705" w16cex:dateUtc="2020-05-25T00:05:00Z"/>
  <w16cex:commentExtensible w16cex:durableId="227618A9" w16cex:dateUtc="2020-05-25T00:12:00Z"/>
  <w16cex:commentExtensible w16cex:durableId="2276190D" w16cex:dateUtc="2020-05-25T00:14:00Z"/>
  <w16cex:commentExtensible w16cex:durableId="2276176E" w16cex:dateUtc="2020-05-25T00:07:00Z"/>
  <w16cex:commentExtensible w16cex:durableId="22761822" w16cex:dateUtc="2020-05-25T00:10:00Z"/>
  <w16cex:commentExtensible w16cex:durableId="22761843" w16cex:dateUtc="2020-05-25T00:11:00Z"/>
  <w16cex:commentExtensible w16cex:durableId="22761818" w16cex:dateUtc="2020-05-25T00:10:00Z"/>
  <w16cex:commentExtensible w16cex:durableId="227615F4" w16cex:dateUtc="2020-05-25T0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64AC40" w16cid:durableId="22761705"/>
  <w16cid:commentId w16cid:paraId="6294DEAB" w16cid:durableId="227618A9"/>
  <w16cid:commentId w16cid:paraId="7E9792CC" w16cid:durableId="2276190D"/>
  <w16cid:commentId w16cid:paraId="05621B94" w16cid:durableId="2276176E"/>
  <w16cid:commentId w16cid:paraId="31377181" w16cid:durableId="22761822"/>
  <w16cid:commentId w16cid:paraId="4AA8CDED" w16cid:durableId="22761843"/>
  <w16cid:commentId w16cid:paraId="0F4B27B1" w16cid:durableId="22761818"/>
  <w16cid:commentId w16cid:paraId="61BB653D" w16cid:durableId="227615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A2B" w:rsidRDefault="00C77A2B" w:rsidP="00F22912">
      <w:pPr>
        <w:spacing w:after="0" w:line="240" w:lineRule="auto"/>
      </w:pPr>
      <w:r>
        <w:separator/>
      </w:r>
    </w:p>
  </w:endnote>
  <w:endnote w:type="continuationSeparator" w:id="0">
    <w:p w:rsidR="00C77A2B" w:rsidRDefault="00C77A2B" w:rsidP="00F22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C53" w:rsidRDefault="00CF7E84" w:rsidP="00BF5C53">
    <w:pPr>
      <w:pStyle w:val="Footer"/>
      <w:jc w:val="center"/>
    </w:pPr>
    <w:sdt>
      <w:sdtPr>
        <w:id w:val="713544659"/>
        <w:docPartObj>
          <w:docPartGallery w:val="Page Numbers (Bottom of Page)"/>
          <w:docPartUnique/>
        </w:docPartObj>
      </w:sdtPr>
      <w:sdtEndPr>
        <w:rPr>
          <w:b/>
          <w:noProof/>
          <w:sz w:val="20"/>
          <w:szCs w:val="20"/>
        </w:rPr>
      </w:sdtEndPr>
      <w:sdtContent>
        <w:r w:rsidR="00BF5C53" w:rsidRPr="00BF5C53">
          <w:rPr>
            <w:b/>
            <w:sz w:val="20"/>
            <w:szCs w:val="20"/>
          </w:rPr>
          <w:fldChar w:fldCharType="begin"/>
        </w:r>
        <w:r w:rsidR="00BF5C53" w:rsidRPr="00BF5C53">
          <w:rPr>
            <w:b/>
            <w:sz w:val="20"/>
            <w:szCs w:val="20"/>
          </w:rPr>
          <w:instrText xml:space="preserve"> PAGE   \* MERGEFORMAT </w:instrText>
        </w:r>
        <w:r w:rsidR="00BF5C53" w:rsidRPr="00BF5C53">
          <w:rPr>
            <w:b/>
            <w:sz w:val="20"/>
            <w:szCs w:val="20"/>
          </w:rPr>
          <w:fldChar w:fldCharType="separate"/>
        </w:r>
        <w:r>
          <w:rPr>
            <w:b/>
            <w:noProof/>
            <w:sz w:val="20"/>
            <w:szCs w:val="20"/>
          </w:rPr>
          <w:t>6</w:t>
        </w:r>
        <w:r w:rsidR="00BF5C53" w:rsidRPr="00BF5C53">
          <w:rPr>
            <w:b/>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A2B" w:rsidRDefault="00C77A2B" w:rsidP="00F22912">
      <w:pPr>
        <w:spacing w:after="0" w:line="240" w:lineRule="auto"/>
      </w:pPr>
      <w:r>
        <w:separator/>
      </w:r>
    </w:p>
  </w:footnote>
  <w:footnote w:type="continuationSeparator" w:id="0">
    <w:p w:rsidR="00C77A2B" w:rsidRDefault="00C77A2B" w:rsidP="00F22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C53" w:rsidRPr="00BF5C53" w:rsidRDefault="00BF5C53" w:rsidP="00BF5C53">
    <w:pPr>
      <w:pStyle w:val="Footer"/>
      <w:jc w:val="center"/>
      <w:rPr>
        <w:b/>
        <w:sz w:val="20"/>
        <w:szCs w:val="20"/>
      </w:rPr>
    </w:pPr>
    <w:r>
      <w:rPr>
        <w:noProof/>
        <w:lang w:eastAsia="en-AU"/>
      </w:rPr>
      <w:drawing>
        <wp:anchor distT="0" distB="0" distL="114300" distR="114300" simplePos="0" relativeHeight="251659264" behindDoc="1" locked="1" layoutInCell="1" allowOverlap="1" wp14:anchorId="48961E26" wp14:editId="420F8161">
          <wp:simplePos x="0" y="0"/>
          <wp:positionH relativeFrom="page">
            <wp:align>left</wp:align>
          </wp:positionH>
          <wp:positionV relativeFrom="page">
            <wp:align>top</wp:align>
          </wp:positionV>
          <wp:extent cx="7558405" cy="10691495"/>
          <wp:effectExtent l="0" t="0" r="4445"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00032_Indigenous_letterhead_factsheet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8" cy="1069199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912" w:rsidRDefault="00F22912">
    <w:pPr>
      <w:pStyle w:val="Header"/>
    </w:pPr>
    <w:r>
      <w:rPr>
        <w:noProof/>
        <w:lang w:eastAsia="en-AU"/>
      </w:rPr>
      <w:drawing>
        <wp:anchor distT="0" distB="0" distL="114300" distR="114300" simplePos="0" relativeHeight="251658240" behindDoc="1" locked="1" layoutInCell="1" allowOverlap="1" wp14:anchorId="67E33D74" wp14:editId="13B97578">
          <wp:simplePos x="914400" y="447152"/>
          <wp:positionH relativeFrom="page">
            <wp:align>center</wp:align>
          </wp:positionH>
          <wp:positionV relativeFrom="page">
            <wp:align>top</wp:align>
          </wp:positionV>
          <wp:extent cx="7558405" cy="10691495"/>
          <wp:effectExtent l="0" t="0" r="4445"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0032_Indigenous_letterhead_factshee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8"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653C7"/>
    <w:multiLevelType w:val="hybridMultilevel"/>
    <w:tmpl w:val="7B2CE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EC5D52"/>
    <w:multiLevelType w:val="hybridMultilevel"/>
    <w:tmpl w:val="C4D6CF1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 w15:restartNumberingAfterBreak="0">
    <w:nsid w:val="1CDC64AF"/>
    <w:multiLevelType w:val="hybridMultilevel"/>
    <w:tmpl w:val="D69003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CE360FA"/>
    <w:multiLevelType w:val="hybridMultilevel"/>
    <w:tmpl w:val="05946AB0"/>
    <w:lvl w:ilvl="0" w:tplc="9C6C779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8D5396F"/>
    <w:multiLevelType w:val="hybridMultilevel"/>
    <w:tmpl w:val="1A34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6D38F9"/>
    <w:multiLevelType w:val="hybridMultilevel"/>
    <w:tmpl w:val="CA8A8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753698"/>
    <w:multiLevelType w:val="hybridMultilevel"/>
    <w:tmpl w:val="FA52C54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3115765"/>
    <w:multiLevelType w:val="hybridMultilevel"/>
    <w:tmpl w:val="04A6D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334103"/>
    <w:multiLevelType w:val="hybridMultilevel"/>
    <w:tmpl w:val="AB50A4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AC37E0C"/>
    <w:multiLevelType w:val="hybridMultilevel"/>
    <w:tmpl w:val="B9C8C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D43903"/>
    <w:multiLevelType w:val="hybridMultilevel"/>
    <w:tmpl w:val="CB064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382849"/>
    <w:multiLevelType w:val="hybridMultilevel"/>
    <w:tmpl w:val="47D4015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B652320"/>
    <w:multiLevelType w:val="hybridMultilevel"/>
    <w:tmpl w:val="DE085750"/>
    <w:lvl w:ilvl="0" w:tplc="0C09000F">
      <w:start w:val="1"/>
      <w:numFmt w:val="decimal"/>
      <w:lvlText w:val="%1."/>
      <w:lvlJc w:val="left"/>
      <w:pPr>
        <w:ind w:left="720" w:hanging="360"/>
      </w:pPr>
    </w:lvl>
    <w:lvl w:ilvl="1" w:tplc="F926C902">
      <w:start w:val="1"/>
      <w:numFmt w:val="bullet"/>
      <w:lvlText w:val="-"/>
      <w:lvlJc w:val="left"/>
      <w:pPr>
        <w:ind w:left="1440" w:hanging="360"/>
      </w:pPr>
      <w:rPr>
        <w:rFonts w:ascii="Calibri" w:eastAsia="Calibri" w:hAnsi="Calibri" w:cs="Calibri"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50D2504B"/>
    <w:multiLevelType w:val="hybridMultilevel"/>
    <w:tmpl w:val="155A6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AB4190"/>
    <w:multiLevelType w:val="hybridMultilevel"/>
    <w:tmpl w:val="E3ACF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B13600"/>
    <w:multiLevelType w:val="hybridMultilevel"/>
    <w:tmpl w:val="A9B050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C1D18D2"/>
    <w:multiLevelType w:val="hybridMultilevel"/>
    <w:tmpl w:val="CE648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791DDF"/>
    <w:multiLevelType w:val="hybridMultilevel"/>
    <w:tmpl w:val="3B627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135D36"/>
    <w:multiLevelType w:val="hybridMultilevel"/>
    <w:tmpl w:val="761A270C"/>
    <w:lvl w:ilvl="0" w:tplc="0EFC59B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7178E9"/>
    <w:multiLevelType w:val="hybridMultilevel"/>
    <w:tmpl w:val="A60EE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22675C"/>
    <w:multiLevelType w:val="hybridMultilevel"/>
    <w:tmpl w:val="F98C3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EB6EBE"/>
    <w:multiLevelType w:val="hybridMultilevel"/>
    <w:tmpl w:val="80BC4810"/>
    <w:lvl w:ilvl="0" w:tplc="8580EE2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69DC6F41"/>
    <w:multiLevelType w:val="hybridMultilevel"/>
    <w:tmpl w:val="9AA2D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B67379"/>
    <w:multiLevelType w:val="hybridMultilevel"/>
    <w:tmpl w:val="6D70BC5C"/>
    <w:lvl w:ilvl="0" w:tplc="BF2818C2">
      <w:start w:val="1"/>
      <w:numFmt w:val="bullet"/>
      <w:lvlText w:val=""/>
      <w:lvlJc w:val="left"/>
      <w:pPr>
        <w:ind w:left="720" w:hanging="360"/>
      </w:pPr>
      <w:rPr>
        <w:rFonts w:ascii="Symbol" w:hAnsi="Symbol" w:hint="default"/>
        <w:b w:val="0"/>
      </w:rPr>
    </w:lvl>
    <w:lvl w:ilvl="1" w:tplc="3DE851FE">
      <w:start w:val="1"/>
      <w:numFmt w:val="lowerLetter"/>
      <w:lvlText w:val="%2."/>
      <w:lvlJc w:val="left"/>
      <w:pPr>
        <w:ind w:left="1440" w:hanging="360"/>
      </w:pPr>
    </w:lvl>
    <w:lvl w:ilvl="2" w:tplc="135AC346">
      <w:start w:val="1"/>
      <w:numFmt w:val="lowerRoman"/>
      <w:lvlText w:val="%3."/>
      <w:lvlJc w:val="right"/>
      <w:pPr>
        <w:ind w:left="2160" w:hanging="180"/>
      </w:pPr>
    </w:lvl>
    <w:lvl w:ilvl="3" w:tplc="F05A3A1C">
      <w:start w:val="1"/>
      <w:numFmt w:val="decimal"/>
      <w:lvlText w:val="%4."/>
      <w:lvlJc w:val="left"/>
      <w:pPr>
        <w:ind w:left="2880" w:hanging="360"/>
      </w:pPr>
    </w:lvl>
    <w:lvl w:ilvl="4" w:tplc="C71E4F70">
      <w:start w:val="1"/>
      <w:numFmt w:val="lowerLetter"/>
      <w:lvlText w:val="%5."/>
      <w:lvlJc w:val="left"/>
      <w:pPr>
        <w:ind w:left="3600" w:hanging="360"/>
      </w:pPr>
    </w:lvl>
    <w:lvl w:ilvl="5" w:tplc="F9945B78">
      <w:start w:val="1"/>
      <w:numFmt w:val="lowerRoman"/>
      <w:lvlText w:val="%6."/>
      <w:lvlJc w:val="right"/>
      <w:pPr>
        <w:ind w:left="4320" w:hanging="180"/>
      </w:pPr>
    </w:lvl>
    <w:lvl w:ilvl="6" w:tplc="A0E29C8E">
      <w:start w:val="1"/>
      <w:numFmt w:val="decimal"/>
      <w:lvlText w:val="%7."/>
      <w:lvlJc w:val="left"/>
      <w:pPr>
        <w:ind w:left="5040" w:hanging="360"/>
      </w:pPr>
    </w:lvl>
    <w:lvl w:ilvl="7" w:tplc="8E42181A">
      <w:start w:val="1"/>
      <w:numFmt w:val="lowerLetter"/>
      <w:lvlText w:val="%8."/>
      <w:lvlJc w:val="left"/>
      <w:pPr>
        <w:ind w:left="5760" w:hanging="360"/>
      </w:pPr>
    </w:lvl>
    <w:lvl w:ilvl="8" w:tplc="0FC67BCC">
      <w:start w:val="1"/>
      <w:numFmt w:val="lowerRoman"/>
      <w:lvlText w:val="%9."/>
      <w:lvlJc w:val="right"/>
      <w:pPr>
        <w:ind w:left="6480" w:hanging="180"/>
      </w:pPr>
    </w:lvl>
  </w:abstractNum>
  <w:abstractNum w:abstractNumId="24" w15:restartNumberingAfterBreak="0">
    <w:nsid w:val="76DB75A7"/>
    <w:multiLevelType w:val="hybridMultilevel"/>
    <w:tmpl w:val="D4F66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8C6C01"/>
    <w:multiLevelType w:val="hybridMultilevel"/>
    <w:tmpl w:val="9DBA7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A6A1785"/>
    <w:multiLevelType w:val="hybridMultilevel"/>
    <w:tmpl w:val="EA1276D4"/>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A9C791B"/>
    <w:multiLevelType w:val="hybridMultilevel"/>
    <w:tmpl w:val="86784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4"/>
  </w:num>
  <w:num w:numId="4">
    <w:abstractNumId w:val="10"/>
  </w:num>
  <w:num w:numId="5">
    <w:abstractNumId w:val="0"/>
  </w:num>
  <w:num w:numId="6">
    <w:abstractNumId w:val="13"/>
  </w:num>
  <w:num w:numId="7">
    <w:abstractNumId w:val="5"/>
  </w:num>
  <w:num w:numId="8">
    <w:abstractNumId w:val="8"/>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7"/>
  </w:num>
  <w:num w:numId="12">
    <w:abstractNumId w:val="20"/>
  </w:num>
  <w:num w:numId="13">
    <w:abstractNumId w:val="26"/>
  </w:num>
  <w:num w:numId="14">
    <w:abstractNumId w:val="6"/>
  </w:num>
  <w:num w:numId="15">
    <w:abstractNumId w:val="17"/>
  </w:num>
  <w:num w:numId="16">
    <w:abstractNumId w:val="25"/>
  </w:num>
  <w:num w:numId="17">
    <w:abstractNumId w:val="11"/>
  </w:num>
  <w:num w:numId="18">
    <w:abstractNumId w:val="15"/>
  </w:num>
  <w:num w:numId="19">
    <w:abstractNumId w:val="21"/>
  </w:num>
  <w:num w:numId="20">
    <w:abstractNumId w:val="19"/>
  </w:num>
  <w:num w:numId="21">
    <w:abstractNumId w:val="22"/>
  </w:num>
  <w:num w:numId="22">
    <w:abstractNumId w:val="27"/>
  </w:num>
  <w:num w:numId="2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9"/>
  </w:num>
  <w:num w:numId="26">
    <w:abstractNumId w:val="21"/>
  </w:num>
  <w:num w:numId="27">
    <w:abstractNumId w:val="2"/>
  </w:num>
  <w:num w:numId="28">
    <w:abstractNumId w:val="24"/>
  </w:num>
  <w:num w:numId="29">
    <w:abstractNumId w:val="1"/>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12"/>
    <w:rsid w:val="00000070"/>
    <w:rsid w:val="00000AF6"/>
    <w:rsid w:val="00006F4E"/>
    <w:rsid w:val="00013591"/>
    <w:rsid w:val="000141EF"/>
    <w:rsid w:val="0001444F"/>
    <w:rsid w:val="000145D4"/>
    <w:rsid w:val="0001506A"/>
    <w:rsid w:val="000321CD"/>
    <w:rsid w:val="00037249"/>
    <w:rsid w:val="00063B5D"/>
    <w:rsid w:val="00071732"/>
    <w:rsid w:val="000762EA"/>
    <w:rsid w:val="00083F31"/>
    <w:rsid w:val="00092777"/>
    <w:rsid w:val="000A42A3"/>
    <w:rsid w:val="000B7C79"/>
    <w:rsid w:val="000C4891"/>
    <w:rsid w:val="000F0668"/>
    <w:rsid w:val="000F4CBD"/>
    <w:rsid w:val="00112109"/>
    <w:rsid w:val="0012011F"/>
    <w:rsid w:val="00120F02"/>
    <w:rsid w:val="00121931"/>
    <w:rsid w:val="0012335A"/>
    <w:rsid w:val="00125655"/>
    <w:rsid w:val="00126F7E"/>
    <w:rsid w:val="00135356"/>
    <w:rsid w:val="0013780A"/>
    <w:rsid w:val="00147DDD"/>
    <w:rsid w:val="00156321"/>
    <w:rsid w:val="001615ED"/>
    <w:rsid w:val="00182255"/>
    <w:rsid w:val="00183F8B"/>
    <w:rsid w:val="00184E4E"/>
    <w:rsid w:val="001A0DD2"/>
    <w:rsid w:val="001A249A"/>
    <w:rsid w:val="001A561C"/>
    <w:rsid w:val="001A7BA4"/>
    <w:rsid w:val="001C137E"/>
    <w:rsid w:val="001D2492"/>
    <w:rsid w:val="001D772A"/>
    <w:rsid w:val="001E65D4"/>
    <w:rsid w:val="001F23A3"/>
    <w:rsid w:val="001F755F"/>
    <w:rsid w:val="0020079F"/>
    <w:rsid w:val="002022E0"/>
    <w:rsid w:val="002061DA"/>
    <w:rsid w:val="0021286B"/>
    <w:rsid w:val="0021619D"/>
    <w:rsid w:val="00233162"/>
    <w:rsid w:val="002376EC"/>
    <w:rsid w:val="002419AB"/>
    <w:rsid w:val="002543D2"/>
    <w:rsid w:val="00267CB5"/>
    <w:rsid w:val="00276FD6"/>
    <w:rsid w:val="00280050"/>
    <w:rsid w:val="00281807"/>
    <w:rsid w:val="00282A9A"/>
    <w:rsid w:val="002850AE"/>
    <w:rsid w:val="002A4412"/>
    <w:rsid w:val="002B5688"/>
    <w:rsid w:val="002D1259"/>
    <w:rsid w:val="002D25F5"/>
    <w:rsid w:val="002E04B4"/>
    <w:rsid w:val="002E2BA3"/>
    <w:rsid w:val="002F31B4"/>
    <w:rsid w:val="002F5FCD"/>
    <w:rsid w:val="002F5FF1"/>
    <w:rsid w:val="00317865"/>
    <w:rsid w:val="00330EB9"/>
    <w:rsid w:val="00334409"/>
    <w:rsid w:val="0033691F"/>
    <w:rsid w:val="003428EA"/>
    <w:rsid w:val="00347899"/>
    <w:rsid w:val="00347A31"/>
    <w:rsid w:val="00352539"/>
    <w:rsid w:val="0035580D"/>
    <w:rsid w:val="0036420D"/>
    <w:rsid w:val="0038056C"/>
    <w:rsid w:val="0038404A"/>
    <w:rsid w:val="0039486A"/>
    <w:rsid w:val="003957F6"/>
    <w:rsid w:val="003B5CB7"/>
    <w:rsid w:val="003D4117"/>
    <w:rsid w:val="003F0011"/>
    <w:rsid w:val="003F0984"/>
    <w:rsid w:val="003F6706"/>
    <w:rsid w:val="004001AB"/>
    <w:rsid w:val="00402CAA"/>
    <w:rsid w:val="00410948"/>
    <w:rsid w:val="004200DE"/>
    <w:rsid w:val="0043148A"/>
    <w:rsid w:val="00434555"/>
    <w:rsid w:val="00463D4A"/>
    <w:rsid w:val="00480EE6"/>
    <w:rsid w:val="00484498"/>
    <w:rsid w:val="00492ABB"/>
    <w:rsid w:val="004930C2"/>
    <w:rsid w:val="00495B20"/>
    <w:rsid w:val="004A025B"/>
    <w:rsid w:val="004A532A"/>
    <w:rsid w:val="004B0162"/>
    <w:rsid w:val="004B18A5"/>
    <w:rsid w:val="004D271A"/>
    <w:rsid w:val="004E043D"/>
    <w:rsid w:val="004E4E40"/>
    <w:rsid w:val="004E6E7E"/>
    <w:rsid w:val="004F019F"/>
    <w:rsid w:val="004F47D9"/>
    <w:rsid w:val="00511134"/>
    <w:rsid w:val="005171EA"/>
    <w:rsid w:val="005251A0"/>
    <w:rsid w:val="0053073C"/>
    <w:rsid w:val="00533204"/>
    <w:rsid w:val="00535933"/>
    <w:rsid w:val="00544EE9"/>
    <w:rsid w:val="00556E49"/>
    <w:rsid w:val="00575147"/>
    <w:rsid w:val="00597DE4"/>
    <w:rsid w:val="005A6791"/>
    <w:rsid w:val="005A698B"/>
    <w:rsid w:val="005B0885"/>
    <w:rsid w:val="005B7098"/>
    <w:rsid w:val="005C00A1"/>
    <w:rsid w:val="005C2869"/>
    <w:rsid w:val="005C5808"/>
    <w:rsid w:val="005D0B4B"/>
    <w:rsid w:val="005D5767"/>
    <w:rsid w:val="005E0ED8"/>
    <w:rsid w:val="00605E30"/>
    <w:rsid w:val="0061366F"/>
    <w:rsid w:val="00641EE9"/>
    <w:rsid w:val="00642163"/>
    <w:rsid w:val="00652378"/>
    <w:rsid w:val="0065566D"/>
    <w:rsid w:val="006579B7"/>
    <w:rsid w:val="0067092C"/>
    <w:rsid w:val="006A6B1E"/>
    <w:rsid w:val="006B3F12"/>
    <w:rsid w:val="006C6A5D"/>
    <w:rsid w:val="006D139B"/>
    <w:rsid w:val="006D3C1D"/>
    <w:rsid w:val="006E1532"/>
    <w:rsid w:val="006E34C4"/>
    <w:rsid w:val="006E3A94"/>
    <w:rsid w:val="00723E34"/>
    <w:rsid w:val="007369C0"/>
    <w:rsid w:val="0074650A"/>
    <w:rsid w:val="00753DC0"/>
    <w:rsid w:val="00756EF1"/>
    <w:rsid w:val="00766478"/>
    <w:rsid w:val="00767C86"/>
    <w:rsid w:val="00783682"/>
    <w:rsid w:val="00786B63"/>
    <w:rsid w:val="00793483"/>
    <w:rsid w:val="00794136"/>
    <w:rsid w:val="007A4F12"/>
    <w:rsid w:val="007D4ED7"/>
    <w:rsid w:val="007D50BA"/>
    <w:rsid w:val="007E4C33"/>
    <w:rsid w:val="007F2A96"/>
    <w:rsid w:val="008034F1"/>
    <w:rsid w:val="0081397B"/>
    <w:rsid w:val="00830161"/>
    <w:rsid w:val="00833098"/>
    <w:rsid w:val="008505F6"/>
    <w:rsid w:val="0085244F"/>
    <w:rsid w:val="008530B3"/>
    <w:rsid w:val="0087579E"/>
    <w:rsid w:val="008818F8"/>
    <w:rsid w:val="00885249"/>
    <w:rsid w:val="00887F08"/>
    <w:rsid w:val="0089037B"/>
    <w:rsid w:val="00896BD3"/>
    <w:rsid w:val="00897B7A"/>
    <w:rsid w:val="008A5E90"/>
    <w:rsid w:val="008B48C8"/>
    <w:rsid w:val="008B5A38"/>
    <w:rsid w:val="008C3B7B"/>
    <w:rsid w:val="008C6D38"/>
    <w:rsid w:val="008E6BEF"/>
    <w:rsid w:val="008F134D"/>
    <w:rsid w:val="008F5093"/>
    <w:rsid w:val="008F6674"/>
    <w:rsid w:val="008F7AFB"/>
    <w:rsid w:val="00903F45"/>
    <w:rsid w:val="00921073"/>
    <w:rsid w:val="00937F82"/>
    <w:rsid w:val="00944B4F"/>
    <w:rsid w:val="00955180"/>
    <w:rsid w:val="00972139"/>
    <w:rsid w:val="00996E87"/>
    <w:rsid w:val="009A6432"/>
    <w:rsid w:val="009C367F"/>
    <w:rsid w:val="009C4AC8"/>
    <w:rsid w:val="009E4DA1"/>
    <w:rsid w:val="009F0DCC"/>
    <w:rsid w:val="00A02AD3"/>
    <w:rsid w:val="00A06E9A"/>
    <w:rsid w:val="00A17819"/>
    <w:rsid w:val="00A47D00"/>
    <w:rsid w:val="00A5663A"/>
    <w:rsid w:val="00A6042E"/>
    <w:rsid w:val="00A6653B"/>
    <w:rsid w:val="00A71C6E"/>
    <w:rsid w:val="00A742E4"/>
    <w:rsid w:val="00AA639C"/>
    <w:rsid w:val="00AB3470"/>
    <w:rsid w:val="00AC190B"/>
    <w:rsid w:val="00AC2091"/>
    <w:rsid w:val="00AD465E"/>
    <w:rsid w:val="00AE56E0"/>
    <w:rsid w:val="00B05A63"/>
    <w:rsid w:val="00B101C5"/>
    <w:rsid w:val="00B35AE7"/>
    <w:rsid w:val="00B451FB"/>
    <w:rsid w:val="00B478CA"/>
    <w:rsid w:val="00B546D4"/>
    <w:rsid w:val="00B623CE"/>
    <w:rsid w:val="00B7442E"/>
    <w:rsid w:val="00B74657"/>
    <w:rsid w:val="00B91F2B"/>
    <w:rsid w:val="00BA662E"/>
    <w:rsid w:val="00BC05BB"/>
    <w:rsid w:val="00BD1CF2"/>
    <w:rsid w:val="00BD6EAF"/>
    <w:rsid w:val="00BE13C2"/>
    <w:rsid w:val="00BF5AD3"/>
    <w:rsid w:val="00BF5C53"/>
    <w:rsid w:val="00BF6354"/>
    <w:rsid w:val="00BF7EA5"/>
    <w:rsid w:val="00C07974"/>
    <w:rsid w:val="00C11739"/>
    <w:rsid w:val="00C17BBA"/>
    <w:rsid w:val="00C22669"/>
    <w:rsid w:val="00C32677"/>
    <w:rsid w:val="00C352D5"/>
    <w:rsid w:val="00C3799E"/>
    <w:rsid w:val="00C45BF7"/>
    <w:rsid w:val="00C55A1A"/>
    <w:rsid w:val="00C642DE"/>
    <w:rsid w:val="00C77819"/>
    <w:rsid w:val="00C77A2B"/>
    <w:rsid w:val="00C82C6C"/>
    <w:rsid w:val="00CA3123"/>
    <w:rsid w:val="00CD2038"/>
    <w:rsid w:val="00CD2ADF"/>
    <w:rsid w:val="00CD5B78"/>
    <w:rsid w:val="00CE4371"/>
    <w:rsid w:val="00CF7E84"/>
    <w:rsid w:val="00D00DE9"/>
    <w:rsid w:val="00D02C95"/>
    <w:rsid w:val="00D0345D"/>
    <w:rsid w:val="00D21151"/>
    <w:rsid w:val="00D360B2"/>
    <w:rsid w:val="00D433FD"/>
    <w:rsid w:val="00D60A7C"/>
    <w:rsid w:val="00D76EA8"/>
    <w:rsid w:val="00D776B9"/>
    <w:rsid w:val="00D92AF5"/>
    <w:rsid w:val="00D95311"/>
    <w:rsid w:val="00DB74CB"/>
    <w:rsid w:val="00DC36AD"/>
    <w:rsid w:val="00DC78C1"/>
    <w:rsid w:val="00DD3405"/>
    <w:rsid w:val="00DE3128"/>
    <w:rsid w:val="00E025CA"/>
    <w:rsid w:val="00E03070"/>
    <w:rsid w:val="00E06287"/>
    <w:rsid w:val="00E06BE3"/>
    <w:rsid w:val="00E15678"/>
    <w:rsid w:val="00E177F9"/>
    <w:rsid w:val="00E248C6"/>
    <w:rsid w:val="00E252AD"/>
    <w:rsid w:val="00E3164A"/>
    <w:rsid w:val="00E44740"/>
    <w:rsid w:val="00E556AF"/>
    <w:rsid w:val="00E70911"/>
    <w:rsid w:val="00E74F4A"/>
    <w:rsid w:val="00E77BE7"/>
    <w:rsid w:val="00EA5720"/>
    <w:rsid w:val="00EA7003"/>
    <w:rsid w:val="00EB6303"/>
    <w:rsid w:val="00EB715B"/>
    <w:rsid w:val="00ED6CD1"/>
    <w:rsid w:val="00EF0AF5"/>
    <w:rsid w:val="00EF263C"/>
    <w:rsid w:val="00F004AA"/>
    <w:rsid w:val="00F04A45"/>
    <w:rsid w:val="00F14D6C"/>
    <w:rsid w:val="00F15264"/>
    <w:rsid w:val="00F22912"/>
    <w:rsid w:val="00F34726"/>
    <w:rsid w:val="00F36D2A"/>
    <w:rsid w:val="00F4035E"/>
    <w:rsid w:val="00F42EA9"/>
    <w:rsid w:val="00F4737A"/>
    <w:rsid w:val="00F545A8"/>
    <w:rsid w:val="00F64CFF"/>
    <w:rsid w:val="00F656F6"/>
    <w:rsid w:val="00F70A1E"/>
    <w:rsid w:val="00F773A4"/>
    <w:rsid w:val="00F774B8"/>
    <w:rsid w:val="00F83AAF"/>
    <w:rsid w:val="00F909D3"/>
    <w:rsid w:val="00FA0993"/>
    <w:rsid w:val="00FA0E3B"/>
    <w:rsid w:val="00FC32FB"/>
    <w:rsid w:val="00FC3696"/>
    <w:rsid w:val="00FD2618"/>
    <w:rsid w:val="00FE65AA"/>
    <w:rsid w:val="00FF0331"/>
    <w:rsid w:val="00FF5B5A"/>
    <w:rsid w:val="00FF64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F228197-9EF9-40C9-83A3-86B28C3E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C53"/>
    <w:rPr>
      <w:rFonts w:ascii="Arial" w:hAnsi="Arial"/>
      <w:sz w:val="22"/>
    </w:rPr>
  </w:style>
  <w:style w:type="paragraph" w:styleId="Heading1">
    <w:name w:val="heading 1"/>
    <w:basedOn w:val="Normal"/>
    <w:next w:val="Normal"/>
    <w:link w:val="Heading1Char"/>
    <w:uiPriority w:val="9"/>
    <w:qFormat/>
    <w:rsid w:val="00BF5C53"/>
    <w:pPr>
      <w:spacing w:before="240" w:after="0" w:line="240" w:lineRule="auto"/>
      <w:outlineLvl w:val="0"/>
    </w:pPr>
    <w:rPr>
      <w:rFonts w:cs="Arial"/>
      <w:b/>
      <w:sz w:val="72"/>
      <w:szCs w:val="72"/>
    </w:rPr>
  </w:style>
  <w:style w:type="paragraph" w:styleId="Heading2">
    <w:name w:val="heading 2"/>
    <w:basedOn w:val="Normal"/>
    <w:next w:val="Normal"/>
    <w:link w:val="Heading2Char"/>
    <w:uiPriority w:val="9"/>
    <w:unhideWhenUsed/>
    <w:qFormat/>
    <w:rsid w:val="00F22912"/>
    <w:pPr>
      <w:spacing w:after="960"/>
      <w:outlineLvl w:val="1"/>
    </w:pPr>
    <w:rPr>
      <w:rFonts w:cs="Arial"/>
      <w:b/>
      <w:sz w:val="48"/>
      <w:szCs w:val="48"/>
    </w:rPr>
  </w:style>
  <w:style w:type="paragraph" w:styleId="Heading3">
    <w:name w:val="heading 3"/>
    <w:next w:val="Normal"/>
    <w:link w:val="Heading3Char"/>
    <w:uiPriority w:val="9"/>
    <w:unhideWhenUsed/>
    <w:qFormat/>
    <w:rsid w:val="00F22912"/>
    <w:pPr>
      <w:keepNext/>
      <w:keepLines/>
      <w:spacing w:before="40"/>
      <w:outlineLvl w:val="2"/>
    </w:pPr>
    <w:rPr>
      <w:rFonts w:ascii="Arial" w:eastAsiaTheme="majorEastAsia" w:hAnsi="Arial" w:cs="Arial"/>
      <w:b/>
      <w:sz w:val="32"/>
      <w:szCs w:val="32"/>
    </w:rPr>
  </w:style>
  <w:style w:type="paragraph" w:styleId="Heading4">
    <w:name w:val="heading 4"/>
    <w:next w:val="Normal"/>
    <w:link w:val="Heading4Char"/>
    <w:uiPriority w:val="9"/>
    <w:unhideWhenUsed/>
    <w:qFormat/>
    <w:rsid w:val="00BF5C53"/>
    <w:pPr>
      <w:keepNext/>
      <w:keepLines/>
      <w:spacing w:before="40" w:after="0"/>
      <w:outlineLvl w:val="3"/>
    </w:pPr>
    <w:rPr>
      <w:rFonts w:ascii="Arial" w:eastAsiaTheme="majorEastAsia" w:hAnsi="Arial" w:cs="Arial"/>
      <w:b/>
      <w:iCs/>
    </w:rPr>
  </w:style>
  <w:style w:type="paragraph" w:styleId="Heading5">
    <w:name w:val="heading 5"/>
    <w:basedOn w:val="Normal"/>
    <w:next w:val="Normal"/>
    <w:link w:val="Heading5Char"/>
    <w:uiPriority w:val="9"/>
    <w:unhideWhenUsed/>
    <w:qFormat/>
    <w:rsid w:val="00BF5C53"/>
    <w:pPr>
      <w:keepNext/>
      <w:keepLines/>
      <w:spacing w:before="40" w:after="0"/>
      <w:outlineLvl w:val="4"/>
    </w:pPr>
    <w:rPr>
      <w:rFonts w:eastAsiaTheme="majorEastAsia"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9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912"/>
  </w:style>
  <w:style w:type="paragraph" w:styleId="Footer">
    <w:name w:val="footer"/>
    <w:basedOn w:val="Normal"/>
    <w:link w:val="FooterChar"/>
    <w:uiPriority w:val="99"/>
    <w:unhideWhenUsed/>
    <w:rsid w:val="00F229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912"/>
  </w:style>
  <w:style w:type="character" w:customStyle="1" w:styleId="Heading1Char">
    <w:name w:val="Heading 1 Char"/>
    <w:basedOn w:val="DefaultParagraphFont"/>
    <w:link w:val="Heading1"/>
    <w:uiPriority w:val="9"/>
    <w:rsid w:val="00BF5C53"/>
    <w:rPr>
      <w:rFonts w:ascii="Arial" w:hAnsi="Arial" w:cs="Arial"/>
      <w:b/>
      <w:sz w:val="72"/>
      <w:szCs w:val="72"/>
    </w:rPr>
  </w:style>
  <w:style w:type="character" w:customStyle="1" w:styleId="Heading2Char">
    <w:name w:val="Heading 2 Char"/>
    <w:basedOn w:val="DefaultParagraphFont"/>
    <w:link w:val="Heading2"/>
    <w:uiPriority w:val="9"/>
    <w:rsid w:val="00F22912"/>
    <w:rPr>
      <w:rFonts w:ascii="Arial" w:hAnsi="Arial" w:cs="Arial"/>
      <w:b/>
      <w:sz w:val="48"/>
      <w:szCs w:val="48"/>
    </w:rPr>
  </w:style>
  <w:style w:type="character" w:customStyle="1" w:styleId="Heading3Char">
    <w:name w:val="Heading 3 Char"/>
    <w:basedOn w:val="DefaultParagraphFont"/>
    <w:link w:val="Heading3"/>
    <w:uiPriority w:val="9"/>
    <w:rsid w:val="00F22912"/>
    <w:rPr>
      <w:rFonts w:ascii="Arial" w:eastAsiaTheme="majorEastAsia" w:hAnsi="Arial" w:cs="Arial"/>
      <w:b/>
      <w:sz w:val="32"/>
      <w:szCs w:val="32"/>
    </w:rPr>
  </w:style>
  <w:style w:type="character" w:customStyle="1" w:styleId="Heading4Char">
    <w:name w:val="Heading 4 Char"/>
    <w:basedOn w:val="DefaultParagraphFont"/>
    <w:link w:val="Heading4"/>
    <w:uiPriority w:val="9"/>
    <w:rsid w:val="00BF5C53"/>
    <w:rPr>
      <w:rFonts w:ascii="Arial" w:eastAsiaTheme="majorEastAsia" w:hAnsi="Arial" w:cs="Arial"/>
      <w:b/>
      <w:iCs/>
    </w:rPr>
  </w:style>
  <w:style w:type="paragraph" w:styleId="ListParagraph">
    <w:name w:val="List Paragraph"/>
    <w:aliases w:val="Bullet text,Bulleted Para,Bullets,CV text,Dot pt,F5 List Paragraph,FooterText,L,List Paragraph1,List Paragraph11,List Paragraph111,List Paragraph2,Medium Grid 1 - Accent 21,NFP GP Bulleted List,Numbered Paragraph,Recommendation,Table text"/>
    <w:basedOn w:val="Normal"/>
    <w:link w:val="ListParagraphChar"/>
    <w:uiPriority w:val="34"/>
    <w:qFormat/>
    <w:rsid w:val="00BF5C53"/>
    <w:pPr>
      <w:ind w:left="720"/>
      <w:contextualSpacing/>
    </w:pPr>
  </w:style>
  <w:style w:type="character" w:customStyle="1" w:styleId="Heading5Char">
    <w:name w:val="Heading 5 Char"/>
    <w:basedOn w:val="DefaultParagraphFont"/>
    <w:link w:val="Heading5"/>
    <w:uiPriority w:val="9"/>
    <w:rsid w:val="00BF5C53"/>
    <w:rPr>
      <w:rFonts w:ascii="Arial" w:eastAsiaTheme="majorEastAsia" w:hAnsi="Arial" w:cs="Arial"/>
      <w:i/>
      <w:sz w:val="22"/>
    </w:rPr>
  </w:style>
  <w:style w:type="paragraph" w:styleId="NormalWeb">
    <w:name w:val="Normal (Web)"/>
    <w:basedOn w:val="Normal"/>
    <w:uiPriority w:val="99"/>
    <w:unhideWhenUsed/>
    <w:rsid w:val="00BF7EA5"/>
    <w:pPr>
      <w:spacing w:before="100" w:beforeAutospacing="1" w:after="100" w:afterAutospacing="1" w:line="240" w:lineRule="auto"/>
    </w:pPr>
    <w:rPr>
      <w:rFonts w:ascii="Times New Roman" w:eastAsia="Times New Roman" w:hAnsi="Times New Roman"/>
      <w:sz w:val="24"/>
      <w:lang w:eastAsia="en-GB"/>
    </w:rPr>
  </w:style>
  <w:style w:type="character" w:styleId="CommentReference">
    <w:name w:val="annotation reference"/>
    <w:basedOn w:val="DefaultParagraphFont"/>
    <w:uiPriority w:val="99"/>
    <w:semiHidden/>
    <w:unhideWhenUsed/>
    <w:rsid w:val="00B451FB"/>
    <w:rPr>
      <w:sz w:val="16"/>
      <w:szCs w:val="16"/>
    </w:rPr>
  </w:style>
  <w:style w:type="paragraph" w:styleId="CommentText">
    <w:name w:val="annotation text"/>
    <w:basedOn w:val="Normal"/>
    <w:link w:val="CommentTextChar"/>
    <w:uiPriority w:val="99"/>
    <w:semiHidden/>
    <w:unhideWhenUsed/>
    <w:rsid w:val="00B451FB"/>
    <w:pPr>
      <w:spacing w:line="240" w:lineRule="auto"/>
    </w:pPr>
    <w:rPr>
      <w:sz w:val="20"/>
      <w:szCs w:val="20"/>
    </w:rPr>
  </w:style>
  <w:style w:type="character" w:customStyle="1" w:styleId="CommentTextChar">
    <w:name w:val="Comment Text Char"/>
    <w:basedOn w:val="DefaultParagraphFont"/>
    <w:link w:val="CommentText"/>
    <w:uiPriority w:val="99"/>
    <w:semiHidden/>
    <w:rsid w:val="00B451F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451FB"/>
    <w:rPr>
      <w:b/>
      <w:bCs/>
    </w:rPr>
  </w:style>
  <w:style w:type="character" w:customStyle="1" w:styleId="CommentSubjectChar">
    <w:name w:val="Comment Subject Char"/>
    <w:basedOn w:val="CommentTextChar"/>
    <w:link w:val="CommentSubject"/>
    <w:uiPriority w:val="99"/>
    <w:semiHidden/>
    <w:rsid w:val="00B451FB"/>
    <w:rPr>
      <w:rFonts w:ascii="Arial" w:hAnsi="Arial"/>
      <w:b/>
      <w:bCs/>
      <w:sz w:val="20"/>
      <w:szCs w:val="20"/>
    </w:rPr>
  </w:style>
  <w:style w:type="paragraph" w:styleId="BalloonText">
    <w:name w:val="Balloon Text"/>
    <w:basedOn w:val="Normal"/>
    <w:link w:val="BalloonTextChar"/>
    <w:uiPriority w:val="99"/>
    <w:semiHidden/>
    <w:unhideWhenUsed/>
    <w:rsid w:val="00B451FB"/>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451FB"/>
    <w:rPr>
      <w:sz w:val="18"/>
      <w:szCs w:val="18"/>
    </w:rPr>
  </w:style>
  <w:style w:type="character" w:styleId="Hyperlink">
    <w:name w:val="Hyperlink"/>
    <w:basedOn w:val="DefaultParagraphFont"/>
    <w:uiPriority w:val="99"/>
    <w:unhideWhenUsed/>
    <w:rsid w:val="001C137E"/>
    <w:rPr>
      <w:color w:val="0563C1" w:themeColor="hyperlink"/>
      <w:u w:val="single"/>
    </w:rPr>
  </w:style>
  <w:style w:type="character" w:customStyle="1" w:styleId="UnresolvedMention1">
    <w:name w:val="Unresolved Mention1"/>
    <w:basedOn w:val="DefaultParagraphFont"/>
    <w:uiPriority w:val="99"/>
    <w:semiHidden/>
    <w:unhideWhenUsed/>
    <w:rsid w:val="001C137E"/>
    <w:rPr>
      <w:color w:val="605E5C"/>
      <w:shd w:val="clear" w:color="auto" w:fill="E1DFDD"/>
    </w:rPr>
  </w:style>
  <w:style w:type="character" w:styleId="FollowedHyperlink">
    <w:name w:val="FollowedHyperlink"/>
    <w:basedOn w:val="DefaultParagraphFont"/>
    <w:uiPriority w:val="99"/>
    <w:semiHidden/>
    <w:unhideWhenUsed/>
    <w:rsid w:val="002543D2"/>
    <w:rPr>
      <w:color w:val="954F72" w:themeColor="followedHyperlink"/>
      <w:u w:val="single"/>
    </w:rPr>
  </w:style>
  <w:style w:type="character" w:customStyle="1" w:styleId="UnresolvedMention">
    <w:name w:val="Unresolved Mention"/>
    <w:basedOn w:val="DefaultParagraphFont"/>
    <w:uiPriority w:val="99"/>
    <w:semiHidden/>
    <w:unhideWhenUsed/>
    <w:rsid w:val="00063B5D"/>
    <w:rPr>
      <w:color w:val="605E5C"/>
      <w:shd w:val="clear" w:color="auto" w:fill="E1DFDD"/>
    </w:rPr>
  </w:style>
  <w:style w:type="paragraph" w:customStyle="1" w:styleId="Default">
    <w:name w:val="Default"/>
    <w:rsid w:val="00F70A1E"/>
    <w:pPr>
      <w:autoSpaceDE w:val="0"/>
      <w:autoSpaceDN w:val="0"/>
      <w:adjustRightInd w:val="0"/>
      <w:spacing w:after="0" w:line="240" w:lineRule="auto"/>
    </w:pPr>
    <w:rPr>
      <w:rFonts w:ascii="Arial" w:hAnsi="Arial" w:cs="Arial"/>
      <w:color w:val="000000"/>
    </w:rPr>
  </w:style>
  <w:style w:type="table" w:styleId="TableGrid">
    <w:name w:val="Table Grid"/>
    <w:basedOn w:val="TableNormal"/>
    <w:uiPriority w:val="39"/>
    <w:rsid w:val="00161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3070"/>
    <w:pPr>
      <w:spacing w:after="0" w:line="240" w:lineRule="auto"/>
    </w:pPr>
    <w:rPr>
      <w:rFonts w:ascii="Arial" w:hAnsi="Arial"/>
      <w:sz w:val="22"/>
    </w:rPr>
  </w:style>
  <w:style w:type="paragraph" w:styleId="BodyText">
    <w:name w:val="Body Text"/>
    <w:link w:val="BodyTextChar"/>
    <w:uiPriority w:val="99"/>
    <w:qFormat/>
    <w:rsid w:val="00F83AAF"/>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83AAF"/>
    <w:rPr>
      <w:rFonts w:ascii="Arial" w:eastAsia="Times New Roman" w:hAnsi="Arial"/>
      <w:sz w:val="22"/>
      <w:szCs w:val="22"/>
    </w:rPr>
  </w:style>
  <w:style w:type="character" w:customStyle="1" w:styleId="ListParagraphChar">
    <w:name w:val="List Paragraph Char"/>
    <w:aliases w:val="Bullet text Char,Bulleted Para Char,Bullets Char,CV text Char,Dot pt Char,F5 List Paragraph Char,FooterText Char,L Char,List Paragraph1 Char,List Paragraph11 Char,List Paragraph111 Char,List Paragraph2 Char,NFP GP Bulleted List Char"/>
    <w:basedOn w:val="DefaultParagraphFont"/>
    <w:link w:val="ListParagraph"/>
    <w:uiPriority w:val="34"/>
    <w:locked/>
    <w:rsid w:val="00B546D4"/>
    <w:rPr>
      <w:rFonts w:ascii="Arial" w:hAnsi="Arial"/>
      <w:sz w:val="22"/>
    </w:rPr>
  </w:style>
  <w:style w:type="paragraph" w:styleId="Revision">
    <w:name w:val="Revision"/>
    <w:hidden/>
    <w:uiPriority w:val="99"/>
    <w:semiHidden/>
    <w:rsid w:val="00575147"/>
    <w:pPr>
      <w:spacing w:after="0" w:line="24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43726">
      <w:bodyDiv w:val="1"/>
      <w:marLeft w:val="0"/>
      <w:marRight w:val="0"/>
      <w:marTop w:val="0"/>
      <w:marBottom w:val="0"/>
      <w:divBdr>
        <w:top w:val="none" w:sz="0" w:space="0" w:color="auto"/>
        <w:left w:val="none" w:sz="0" w:space="0" w:color="auto"/>
        <w:bottom w:val="none" w:sz="0" w:space="0" w:color="auto"/>
        <w:right w:val="none" w:sz="0" w:space="0" w:color="auto"/>
      </w:divBdr>
    </w:div>
    <w:div w:id="109983619">
      <w:bodyDiv w:val="1"/>
      <w:marLeft w:val="0"/>
      <w:marRight w:val="0"/>
      <w:marTop w:val="0"/>
      <w:marBottom w:val="0"/>
      <w:divBdr>
        <w:top w:val="none" w:sz="0" w:space="0" w:color="auto"/>
        <w:left w:val="none" w:sz="0" w:space="0" w:color="auto"/>
        <w:bottom w:val="none" w:sz="0" w:space="0" w:color="auto"/>
        <w:right w:val="none" w:sz="0" w:space="0" w:color="auto"/>
      </w:divBdr>
    </w:div>
    <w:div w:id="187915183">
      <w:bodyDiv w:val="1"/>
      <w:marLeft w:val="0"/>
      <w:marRight w:val="0"/>
      <w:marTop w:val="0"/>
      <w:marBottom w:val="0"/>
      <w:divBdr>
        <w:top w:val="none" w:sz="0" w:space="0" w:color="auto"/>
        <w:left w:val="none" w:sz="0" w:space="0" w:color="auto"/>
        <w:bottom w:val="none" w:sz="0" w:space="0" w:color="auto"/>
        <w:right w:val="none" w:sz="0" w:space="0" w:color="auto"/>
      </w:divBdr>
    </w:div>
    <w:div w:id="192423870">
      <w:bodyDiv w:val="1"/>
      <w:marLeft w:val="0"/>
      <w:marRight w:val="0"/>
      <w:marTop w:val="0"/>
      <w:marBottom w:val="0"/>
      <w:divBdr>
        <w:top w:val="none" w:sz="0" w:space="0" w:color="auto"/>
        <w:left w:val="none" w:sz="0" w:space="0" w:color="auto"/>
        <w:bottom w:val="none" w:sz="0" w:space="0" w:color="auto"/>
        <w:right w:val="none" w:sz="0" w:space="0" w:color="auto"/>
      </w:divBdr>
      <w:divsChild>
        <w:div w:id="54746089">
          <w:marLeft w:val="0"/>
          <w:marRight w:val="0"/>
          <w:marTop w:val="0"/>
          <w:marBottom w:val="0"/>
          <w:divBdr>
            <w:top w:val="none" w:sz="0" w:space="0" w:color="auto"/>
            <w:left w:val="none" w:sz="0" w:space="0" w:color="auto"/>
            <w:bottom w:val="none" w:sz="0" w:space="0" w:color="auto"/>
            <w:right w:val="none" w:sz="0" w:space="0" w:color="auto"/>
          </w:divBdr>
          <w:divsChild>
            <w:div w:id="1437363338">
              <w:marLeft w:val="0"/>
              <w:marRight w:val="0"/>
              <w:marTop w:val="0"/>
              <w:marBottom w:val="0"/>
              <w:divBdr>
                <w:top w:val="none" w:sz="0" w:space="0" w:color="auto"/>
                <w:left w:val="none" w:sz="0" w:space="0" w:color="auto"/>
                <w:bottom w:val="none" w:sz="0" w:space="0" w:color="auto"/>
                <w:right w:val="none" w:sz="0" w:space="0" w:color="auto"/>
              </w:divBdr>
              <w:divsChild>
                <w:div w:id="326442765">
                  <w:marLeft w:val="3"/>
                  <w:marRight w:val="3"/>
                  <w:marTop w:val="0"/>
                  <w:marBottom w:val="0"/>
                  <w:divBdr>
                    <w:top w:val="none" w:sz="0" w:space="0" w:color="auto"/>
                    <w:left w:val="none" w:sz="0" w:space="0" w:color="auto"/>
                    <w:bottom w:val="none" w:sz="0" w:space="0" w:color="auto"/>
                    <w:right w:val="none" w:sz="0" w:space="0" w:color="auto"/>
                  </w:divBdr>
                </w:div>
              </w:divsChild>
            </w:div>
          </w:divsChild>
        </w:div>
      </w:divsChild>
    </w:div>
    <w:div w:id="236088512">
      <w:bodyDiv w:val="1"/>
      <w:marLeft w:val="0"/>
      <w:marRight w:val="0"/>
      <w:marTop w:val="0"/>
      <w:marBottom w:val="0"/>
      <w:divBdr>
        <w:top w:val="none" w:sz="0" w:space="0" w:color="auto"/>
        <w:left w:val="none" w:sz="0" w:space="0" w:color="auto"/>
        <w:bottom w:val="none" w:sz="0" w:space="0" w:color="auto"/>
        <w:right w:val="none" w:sz="0" w:space="0" w:color="auto"/>
      </w:divBdr>
    </w:div>
    <w:div w:id="329455816">
      <w:bodyDiv w:val="1"/>
      <w:marLeft w:val="0"/>
      <w:marRight w:val="0"/>
      <w:marTop w:val="0"/>
      <w:marBottom w:val="0"/>
      <w:divBdr>
        <w:top w:val="none" w:sz="0" w:space="0" w:color="auto"/>
        <w:left w:val="none" w:sz="0" w:space="0" w:color="auto"/>
        <w:bottom w:val="none" w:sz="0" w:space="0" w:color="auto"/>
        <w:right w:val="none" w:sz="0" w:space="0" w:color="auto"/>
      </w:divBdr>
    </w:div>
    <w:div w:id="336807920">
      <w:bodyDiv w:val="1"/>
      <w:marLeft w:val="0"/>
      <w:marRight w:val="0"/>
      <w:marTop w:val="0"/>
      <w:marBottom w:val="0"/>
      <w:divBdr>
        <w:top w:val="none" w:sz="0" w:space="0" w:color="auto"/>
        <w:left w:val="none" w:sz="0" w:space="0" w:color="auto"/>
        <w:bottom w:val="none" w:sz="0" w:space="0" w:color="auto"/>
        <w:right w:val="none" w:sz="0" w:space="0" w:color="auto"/>
      </w:divBdr>
    </w:div>
    <w:div w:id="376703064">
      <w:bodyDiv w:val="1"/>
      <w:marLeft w:val="0"/>
      <w:marRight w:val="0"/>
      <w:marTop w:val="0"/>
      <w:marBottom w:val="0"/>
      <w:divBdr>
        <w:top w:val="none" w:sz="0" w:space="0" w:color="auto"/>
        <w:left w:val="none" w:sz="0" w:space="0" w:color="auto"/>
        <w:bottom w:val="none" w:sz="0" w:space="0" w:color="auto"/>
        <w:right w:val="none" w:sz="0" w:space="0" w:color="auto"/>
      </w:divBdr>
      <w:divsChild>
        <w:div w:id="2052728038">
          <w:marLeft w:val="0"/>
          <w:marRight w:val="0"/>
          <w:marTop w:val="0"/>
          <w:marBottom w:val="0"/>
          <w:divBdr>
            <w:top w:val="none" w:sz="0" w:space="0" w:color="auto"/>
            <w:left w:val="none" w:sz="0" w:space="0" w:color="auto"/>
            <w:bottom w:val="none" w:sz="0" w:space="0" w:color="auto"/>
            <w:right w:val="none" w:sz="0" w:space="0" w:color="auto"/>
          </w:divBdr>
          <w:divsChild>
            <w:div w:id="919482558">
              <w:marLeft w:val="0"/>
              <w:marRight w:val="0"/>
              <w:marTop w:val="0"/>
              <w:marBottom w:val="0"/>
              <w:divBdr>
                <w:top w:val="none" w:sz="0" w:space="0" w:color="auto"/>
                <w:left w:val="none" w:sz="0" w:space="0" w:color="auto"/>
                <w:bottom w:val="none" w:sz="0" w:space="0" w:color="auto"/>
                <w:right w:val="none" w:sz="0" w:space="0" w:color="auto"/>
              </w:divBdr>
              <w:divsChild>
                <w:div w:id="7459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722258">
      <w:bodyDiv w:val="1"/>
      <w:marLeft w:val="0"/>
      <w:marRight w:val="0"/>
      <w:marTop w:val="0"/>
      <w:marBottom w:val="0"/>
      <w:divBdr>
        <w:top w:val="none" w:sz="0" w:space="0" w:color="auto"/>
        <w:left w:val="none" w:sz="0" w:space="0" w:color="auto"/>
        <w:bottom w:val="none" w:sz="0" w:space="0" w:color="auto"/>
        <w:right w:val="none" w:sz="0" w:space="0" w:color="auto"/>
      </w:divBdr>
    </w:div>
    <w:div w:id="494229620">
      <w:bodyDiv w:val="1"/>
      <w:marLeft w:val="0"/>
      <w:marRight w:val="0"/>
      <w:marTop w:val="0"/>
      <w:marBottom w:val="0"/>
      <w:divBdr>
        <w:top w:val="none" w:sz="0" w:space="0" w:color="auto"/>
        <w:left w:val="none" w:sz="0" w:space="0" w:color="auto"/>
        <w:bottom w:val="none" w:sz="0" w:space="0" w:color="auto"/>
        <w:right w:val="none" w:sz="0" w:space="0" w:color="auto"/>
      </w:divBdr>
    </w:div>
    <w:div w:id="572354004">
      <w:bodyDiv w:val="1"/>
      <w:marLeft w:val="0"/>
      <w:marRight w:val="0"/>
      <w:marTop w:val="0"/>
      <w:marBottom w:val="0"/>
      <w:divBdr>
        <w:top w:val="none" w:sz="0" w:space="0" w:color="auto"/>
        <w:left w:val="none" w:sz="0" w:space="0" w:color="auto"/>
        <w:bottom w:val="none" w:sz="0" w:space="0" w:color="auto"/>
        <w:right w:val="none" w:sz="0" w:space="0" w:color="auto"/>
      </w:divBdr>
    </w:div>
    <w:div w:id="604924908">
      <w:bodyDiv w:val="1"/>
      <w:marLeft w:val="0"/>
      <w:marRight w:val="0"/>
      <w:marTop w:val="0"/>
      <w:marBottom w:val="0"/>
      <w:divBdr>
        <w:top w:val="none" w:sz="0" w:space="0" w:color="auto"/>
        <w:left w:val="none" w:sz="0" w:space="0" w:color="auto"/>
        <w:bottom w:val="none" w:sz="0" w:space="0" w:color="auto"/>
        <w:right w:val="none" w:sz="0" w:space="0" w:color="auto"/>
      </w:divBdr>
    </w:div>
    <w:div w:id="629165231">
      <w:bodyDiv w:val="1"/>
      <w:marLeft w:val="0"/>
      <w:marRight w:val="0"/>
      <w:marTop w:val="0"/>
      <w:marBottom w:val="0"/>
      <w:divBdr>
        <w:top w:val="none" w:sz="0" w:space="0" w:color="auto"/>
        <w:left w:val="none" w:sz="0" w:space="0" w:color="auto"/>
        <w:bottom w:val="none" w:sz="0" w:space="0" w:color="auto"/>
        <w:right w:val="none" w:sz="0" w:space="0" w:color="auto"/>
      </w:divBdr>
    </w:div>
    <w:div w:id="928585419">
      <w:bodyDiv w:val="1"/>
      <w:marLeft w:val="0"/>
      <w:marRight w:val="0"/>
      <w:marTop w:val="0"/>
      <w:marBottom w:val="0"/>
      <w:divBdr>
        <w:top w:val="none" w:sz="0" w:space="0" w:color="auto"/>
        <w:left w:val="none" w:sz="0" w:space="0" w:color="auto"/>
        <w:bottom w:val="none" w:sz="0" w:space="0" w:color="auto"/>
        <w:right w:val="none" w:sz="0" w:space="0" w:color="auto"/>
      </w:divBdr>
    </w:div>
    <w:div w:id="953946576">
      <w:bodyDiv w:val="1"/>
      <w:marLeft w:val="0"/>
      <w:marRight w:val="0"/>
      <w:marTop w:val="0"/>
      <w:marBottom w:val="0"/>
      <w:divBdr>
        <w:top w:val="none" w:sz="0" w:space="0" w:color="auto"/>
        <w:left w:val="none" w:sz="0" w:space="0" w:color="auto"/>
        <w:bottom w:val="none" w:sz="0" w:space="0" w:color="auto"/>
        <w:right w:val="none" w:sz="0" w:space="0" w:color="auto"/>
      </w:divBdr>
    </w:div>
    <w:div w:id="1139417812">
      <w:bodyDiv w:val="1"/>
      <w:marLeft w:val="0"/>
      <w:marRight w:val="0"/>
      <w:marTop w:val="0"/>
      <w:marBottom w:val="0"/>
      <w:divBdr>
        <w:top w:val="none" w:sz="0" w:space="0" w:color="auto"/>
        <w:left w:val="none" w:sz="0" w:space="0" w:color="auto"/>
        <w:bottom w:val="none" w:sz="0" w:space="0" w:color="auto"/>
        <w:right w:val="none" w:sz="0" w:space="0" w:color="auto"/>
      </w:divBdr>
    </w:div>
    <w:div w:id="1169635889">
      <w:bodyDiv w:val="1"/>
      <w:marLeft w:val="0"/>
      <w:marRight w:val="0"/>
      <w:marTop w:val="0"/>
      <w:marBottom w:val="0"/>
      <w:divBdr>
        <w:top w:val="none" w:sz="0" w:space="0" w:color="auto"/>
        <w:left w:val="none" w:sz="0" w:space="0" w:color="auto"/>
        <w:bottom w:val="none" w:sz="0" w:space="0" w:color="auto"/>
        <w:right w:val="none" w:sz="0" w:space="0" w:color="auto"/>
      </w:divBdr>
    </w:div>
    <w:div w:id="1175537009">
      <w:bodyDiv w:val="1"/>
      <w:marLeft w:val="0"/>
      <w:marRight w:val="0"/>
      <w:marTop w:val="0"/>
      <w:marBottom w:val="0"/>
      <w:divBdr>
        <w:top w:val="none" w:sz="0" w:space="0" w:color="auto"/>
        <w:left w:val="none" w:sz="0" w:space="0" w:color="auto"/>
        <w:bottom w:val="none" w:sz="0" w:space="0" w:color="auto"/>
        <w:right w:val="none" w:sz="0" w:space="0" w:color="auto"/>
      </w:divBdr>
    </w:div>
    <w:div w:id="1355882858">
      <w:bodyDiv w:val="1"/>
      <w:marLeft w:val="0"/>
      <w:marRight w:val="0"/>
      <w:marTop w:val="0"/>
      <w:marBottom w:val="0"/>
      <w:divBdr>
        <w:top w:val="none" w:sz="0" w:space="0" w:color="auto"/>
        <w:left w:val="none" w:sz="0" w:space="0" w:color="auto"/>
        <w:bottom w:val="none" w:sz="0" w:space="0" w:color="auto"/>
        <w:right w:val="none" w:sz="0" w:space="0" w:color="auto"/>
      </w:divBdr>
    </w:div>
    <w:div w:id="1523975225">
      <w:bodyDiv w:val="1"/>
      <w:marLeft w:val="0"/>
      <w:marRight w:val="0"/>
      <w:marTop w:val="0"/>
      <w:marBottom w:val="0"/>
      <w:divBdr>
        <w:top w:val="none" w:sz="0" w:space="0" w:color="auto"/>
        <w:left w:val="none" w:sz="0" w:space="0" w:color="auto"/>
        <w:bottom w:val="none" w:sz="0" w:space="0" w:color="auto"/>
        <w:right w:val="none" w:sz="0" w:space="0" w:color="auto"/>
      </w:divBdr>
    </w:div>
    <w:div w:id="1614361982">
      <w:bodyDiv w:val="1"/>
      <w:marLeft w:val="0"/>
      <w:marRight w:val="0"/>
      <w:marTop w:val="0"/>
      <w:marBottom w:val="0"/>
      <w:divBdr>
        <w:top w:val="none" w:sz="0" w:space="0" w:color="auto"/>
        <w:left w:val="none" w:sz="0" w:space="0" w:color="auto"/>
        <w:bottom w:val="none" w:sz="0" w:space="0" w:color="auto"/>
        <w:right w:val="none" w:sz="0" w:space="0" w:color="auto"/>
      </w:divBdr>
    </w:div>
    <w:div w:id="1874611481">
      <w:bodyDiv w:val="1"/>
      <w:marLeft w:val="0"/>
      <w:marRight w:val="0"/>
      <w:marTop w:val="0"/>
      <w:marBottom w:val="0"/>
      <w:divBdr>
        <w:top w:val="none" w:sz="0" w:space="0" w:color="auto"/>
        <w:left w:val="none" w:sz="0" w:space="0" w:color="auto"/>
        <w:bottom w:val="none" w:sz="0" w:space="0" w:color="auto"/>
        <w:right w:val="none" w:sz="0" w:space="0" w:color="auto"/>
      </w:divBdr>
    </w:div>
    <w:div w:id="1899588451">
      <w:bodyDiv w:val="1"/>
      <w:marLeft w:val="0"/>
      <w:marRight w:val="0"/>
      <w:marTop w:val="0"/>
      <w:marBottom w:val="0"/>
      <w:divBdr>
        <w:top w:val="none" w:sz="0" w:space="0" w:color="auto"/>
        <w:left w:val="none" w:sz="0" w:space="0" w:color="auto"/>
        <w:bottom w:val="none" w:sz="0" w:space="0" w:color="auto"/>
        <w:right w:val="none" w:sz="0" w:space="0" w:color="auto"/>
      </w:divBdr>
    </w:div>
    <w:div w:id="1933080493">
      <w:bodyDiv w:val="1"/>
      <w:marLeft w:val="0"/>
      <w:marRight w:val="0"/>
      <w:marTop w:val="0"/>
      <w:marBottom w:val="0"/>
      <w:divBdr>
        <w:top w:val="none" w:sz="0" w:space="0" w:color="auto"/>
        <w:left w:val="none" w:sz="0" w:space="0" w:color="auto"/>
        <w:bottom w:val="none" w:sz="0" w:space="0" w:color="auto"/>
        <w:right w:val="none" w:sz="0" w:space="0" w:color="auto"/>
      </w:divBdr>
    </w:div>
    <w:div w:id="2046708256">
      <w:bodyDiv w:val="1"/>
      <w:marLeft w:val="0"/>
      <w:marRight w:val="0"/>
      <w:marTop w:val="0"/>
      <w:marBottom w:val="0"/>
      <w:divBdr>
        <w:top w:val="none" w:sz="0" w:space="0" w:color="auto"/>
        <w:left w:val="none" w:sz="0" w:space="0" w:color="auto"/>
        <w:bottom w:val="none" w:sz="0" w:space="0" w:color="auto"/>
        <w:right w:val="none" w:sz="0" w:space="0" w:color="auto"/>
      </w:divBdr>
    </w:div>
    <w:div w:id="211493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m.gov.au/media/2-billion-extend-critical-health-services-across-australia" TargetMode="External"/><Relationship Id="rId18" Type="http://schemas.openxmlformats.org/officeDocument/2006/relationships/hyperlink" Target="https://www.health.gov.au/resources/publications/management-plan-for-aboriginal-and-torres-strait-islander-population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health.gov.au/resources/publications/australian-national-disease-surveillance-plan-for-covid-19" TargetMode="External"/><Relationship Id="rId7" Type="http://schemas.openxmlformats.org/officeDocument/2006/relationships/settings" Target="settings.xml"/><Relationship Id="rId12" Type="http://schemas.openxmlformats.org/officeDocument/2006/relationships/hyperlink" Target="https://www.health.gov.au/news/health-alerts/novel-coronavirus-2019-ncov-health-alert/coronavirus-covid-19-current-situation-and-case-numbers" TargetMode="External"/><Relationship Id="rId17" Type="http://schemas.openxmlformats.org/officeDocument/2006/relationships/hyperlink" Target="https://www.health.gov.au/resources/publications/cdna-national-guidance-for-remote-aboriginal-and-torres-strait-islander-communities-for-covid-19"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alth.gov.au/ministers/the-hon-greg-hunt-mp/media/additional-covid-19-mental-health-support" TargetMode="External"/><Relationship Id="rId20" Type="http://schemas.openxmlformats.org/officeDocument/2006/relationships/hyperlink" Target="https://www.health.gov.au/resources/publications/covid-19-testing-and-response-strategies-in-regional-and-remote-indigenous-communities-key-messages-for-health-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1.health.gov.au/internet/main/publishing.nsf/Content/novel_coronavirus_2019_ncov_weekly_epidemiology_reports_australia_2020.htm"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health.gov.au/sites/default/files/documents/2020/10/budget-2020-21-prioritising-mental-health-and-telehealth-covid-19-pandemic-response-budget-2020-21-prioritising-mental-health-and-telehealth-covid-19-pandemic-response.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health.gov.au/resources/publications/impact-of-covid-19-in-remote-and-regional-settings"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ministers/the-hon-greg-hunt-mp/media/budget-2020-21-record-health-and-aged-care-investment-under-australias-covid-19-pandemic-plan" TargetMode="External"/><Relationship Id="rId22" Type="http://schemas.openxmlformats.org/officeDocument/2006/relationships/header" Target="header1.xml"/><Relationship Id="rId30"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9CC48DCDFA1C4CB48191B5D97C82FC" ma:contentTypeVersion="10" ma:contentTypeDescription="Create a new document." ma:contentTypeScope="" ma:versionID="7b93844daaba9204a5fb472175cc6a55">
  <xsd:schema xmlns:xsd="http://www.w3.org/2001/XMLSchema" xmlns:xs="http://www.w3.org/2001/XMLSchema" xmlns:p="http://schemas.microsoft.com/office/2006/metadata/properties" xmlns:ns2="c061ff70-1890-4dd4-887c-93987013d545" xmlns:ns3="1c1a02ed-10d4-487e-8b68-e952c812b57c" targetNamespace="http://schemas.microsoft.com/office/2006/metadata/properties" ma:root="true" ma:fieldsID="24a37bb575af423b17072c9614ed0a0a" ns2:_="" ns3:_="">
    <xsd:import namespace="c061ff70-1890-4dd4-887c-93987013d545"/>
    <xsd:import namespace="1c1a02ed-10d4-487e-8b68-e952c812b5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1ff70-1890-4dd4-887c-93987013d5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a02ed-10d4-487e-8b68-e952c812b57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EF500-F894-4CB1-B10F-F8375E1E8034}">
  <ds:schemaRefs>
    <ds:schemaRef ds:uri="http://purl.org/dc/dcmitype/"/>
    <ds:schemaRef ds:uri="http://schemas.microsoft.com/office/infopath/2007/PartnerControls"/>
    <ds:schemaRef ds:uri="http://purl.org/dc/elements/1.1/"/>
    <ds:schemaRef ds:uri="http://schemas.microsoft.com/office/2006/metadata/properties"/>
    <ds:schemaRef ds:uri="1c1a02ed-10d4-487e-8b68-e952c812b57c"/>
    <ds:schemaRef ds:uri="http://schemas.microsoft.com/office/2006/documentManagement/types"/>
    <ds:schemaRef ds:uri="c061ff70-1890-4dd4-887c-93987013d545"/>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DAFF6345-E02D-454C-A762-160A157A91BB}">
  <ds:schemaRefs>
    <ds:schemaRef ds:uri="http://schemas.microsoft.com/sharepoint/v3/contenttype/forms"/>
  </ds:schemaRefs>
</ds:datastoreItem>
</file>

<file path=customXml/itemProps3.xml><?xml version="1.0" encoding="utf-8"?>
<ds:datastoreItem xmlns:ds="http://schemas.openxmlformats.org/officeDocument/2006/customXml" ds:itemID="{DA1C1BFC-EC21-43E1-9E4E-7814CDB40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1ff70-1890-4dd4-887c-93987013d545"/>
    <ds:schemaRef ds:uri="1c1a02ed-10d4-487e-8b68-e952c812b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85B81E-9A1C-4B3F-813C-9F4935FDA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2482</Words>
  <Characters>14150</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Hood, Jodi</dc:creator>
  <cp:keywords/>
  <dc:description/>
  <cp:lastModifiedBy>DULOVIC, Ivana</cp:lastModifiedBy>
  <cp:revision>2</cp:revision>
  <cp:lastPrinted>2020-05-25T06:48:00Z</cp:lastPrinted>
  <dcterms:created xsi:type="dcterms:W3CDTF">2020-10-21T22:48:00Z</dcterms:created>
  <dcterms:modified xsi:type="dcterms:W3CDTF">2020-10-21T22:48:00Z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0x010100859CC48DCDFA1C4CB48191B5D97C82FC</vt:lpwstr>
  </property>
</Properties>
</file>