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B463" w14:textId="77777777" w:rsidR="003437EE" w:rsidRPr="00BF7EA5" w:rsidRDefault="003437EE" w:rsidP="003437EE">
      <w:pPr>
        <w:pStyle w:val="Heading1"/>
        <w:rPr>
          <w:sz w:val="48"/>
          <w:szCs w:val="48"/>
        </w:rPr>
      </w:pPr>
      <w:r>
        <w:rPr>
          <w:sz w:val="48"/>
          <w:szCs w:val="48"/>
        </w:rPr>
        <w:br/>
      </w:r>
      <w:r w:rsidRPr="00BF7EA5">
        <w:rPr>
          <w:sz w:val="48"/>
          <w:szCs w:val="48"/>
        </w:rPr>
        <w:t>Aboriginal and Torres Strait Islander Advisory Group on COVID-19</w:t>
      </w:r>
    </w:p>
    <w:p w14:paraId="7B0B2110" w14:textId="77777777" w:rsidR="003437EE" w:rsidRPr="00BF7EA5" w:rsidRDefault="003437EE" w:rsidP="003437EE">
      <w:pPr>
        <w:pStyle w:val="Heading1"/>
        <w:rPr>
          <w:b w:val="0"/>
          <w:bCs/>
          <w:color w:val="1B034F"/>
          <w:spacing w:val="-1"/>
          <w:sz w:val="28"/>
          <w:szCs w:val="28"/>
        </w:rPr>
      </w:pPr>
      <w:r>
        <w:rPr>
          <w:b w:val="0"/>
          <w:bCs/>
          <w:color w:val="1B034F"/>
          <w:spacing w:val="-1"/>
          <w:sz w:val="28"/>
          <w:szCs w:val="28"/>
        </w:rPr>
        <w:t xml:space="preserve">Communique Update: </w:t>
      </w:r>
      <w:r w:rsidR="00C604B2">
        <w:rPr>
          <w:b w:val="0"/>
          <w:bCs/>
          <w:color w:val="1B034F"/>
          <w:spacing w:val="-1"/>
          <w:sz w:val="28"/>
          <w:szCs w:val="28"/>
        </w:rPr>
        <w:t>15 July 2021</w:t>
      </w:r>
    </w:p>
    <w:p w14:paraId="7500609D" w14:textId="77777777" w:rsidR="003437EE" w:rsidRPr="00BF7EA5" w:rsidRDefault="003437EE" w:rsidP="003437EE"/>
    <w:p w14:paraId="2A876657" w14:textId="77777777" w:rsidR="00C604B2" w:rsidRPr="004F7C44" w:rsidRDefault="003437EE" w:rsidP="00C604B2">
      <w:pPr>
        <w:spacing w:line="240" w:lineRule="auto"/>
        <w:rPr>
          <w:rFonts w:eastAsia="Calibri" w:cs="Arial"/>
          <w:szCs w:val="22"/>
        </w:rPr>
      </w:pPr>
      <w:r>
        <w:rPr>
          <w:rFonts w:eastAsiaTheme="majorEastAsia" w:cs="Arial"/>
          <w:b/>
          <w:sz w:val="32"/>
          <w:szCs w:val="32"/>
        </w:rPr>
        <w:br/>
      </w:r>
      <w:r w:rsidR="00C604B2" w:rsidRPr="004F7C44">
        <w:rPr>
          <w:rFonts w:cs="Arial"/>
          <w:szCs w:val="22"/>
        </w:rPr>
        <w:t xml:space="preserve">The </w:t>
      </w:r>
      <w:hyperlink r:id="rId7">
        <w:r w:rsidR="00C604B2" w:rsidRPr="004F7C44">
          <w:rPr>
            <w:rStyle w:val="Hyperlink"/>
            <w:rFonts w:cs="Arial"/>
            <w:szCs w:val="22"/>
          </w:rPr>
          <w:t>Aboriginal and Torres Strait Islander Advisory Group on COVID-19</w:t>
        </w:r>
      </w:hyperlink>
      <w:r w:rsidR="00C604B2" w:rsidRPr="004F7C44">
        <w:rPr>
          <w:rFonts w:cs="Arial"/>
          <w:szCs w:val="22"/>
        </w:rPr>
        <w:t xml:space="preserve"> (Advisory Group) was formed in March 2020 to develop and deliver a National Management Plan to protect communities. The Advisory Group also advises on health issues related to COVID-19 pandemic response and the vaccine rollout. It is co-chaired by the National Aboriginal Community Controlled Health Organisation (NACCHO), and the National COVID Vaccine Taskforce. </w:t>
      </w:r>
      <w:r w:rsidR="00C604B2" w:rsidRPr="004F7C44">
        <w:rPr>
          <w:rFonts w:eastAsia="Calibri" w:cs="Arial"/>
          <w:szCs w:val="22"/>
        </w:rPr>
        <w:t>This communique provides an update on their work and current key focus areas.</w:t>
      </w:r>
    </w:p>
    <w:p w14:paraId="276DE276" w14:textId="77777777" w:rsidR="00C604B2" w:rsidRPr="004F7C44" w:rsidRDefault="00C604B2" w:rsidP="00C604B2">
      <w:pPr>
        <w:spacing w:line="240" w:lineRule="auto"/>
        <w:rPr>
          <w:rFonts w:cs="Arial"/>
          <w:b/>
          <w:bCs/>
          <w:szCs w:val="22"/>
        </w:rPr>
      </w:pPr>
      <w:r w:rsidRPr="004F7C44">
        <w:rPr>
          <w:rFonts w:cs="Arial"/>
          <w:b/>
          <w:bCs/>
          <w:szCs w:val="22"/>
        </w:rPr>
        <w:t>Pfizer vaccine roll out</w:t>
      </w:r>
    </w:p>
    <w:p w14:paraId="3D958DF4" w14:textId="77777777" w:rsidR="00C604B2" w:rsidRPr="004F7C44" w:rsidRDefault="00C604B2" w:rsidP="00C604B2">
      <w:pPr>
        <w:spacing w:line="240" w:lineRule="auto"/>
        <w:rPr>
          <w:rFonts w:cs="Arial"/>
          <w:szCs w:val="22"/>
        </w:rPr>
      </w:pPr>
      <w:r w:rsidRPr="004F7C44">
        <w:rPr>
          <w:rFonts w:cs="Arial"/>
          <w:szCs w:val="22"/>
        </w:rPr>
        <w:t xml:space="preserve">The Advisory Group is continuing to prioritise rolling out Pfizer vaccines to eligible Aboriginal and Torres Strait Islander people. As of 2 July, all Aboriginal Community Controlled Health Services (ACCHS) who have indicated they wished to administer Pfizer vaccine have now been onboarded. Over 140 ACCHS sites will be administering Pfizer vaccines with a number collaborating with </w:t>
      </w:r>
      <w:r>
        <w:rPr>
          <w:rFonts w:cs="Arial"/>
          <w:szCs w:val="22"/>
        </w:rPr>
        <w:t>s</w:t>
      </w:r>
      <w:r w:rsidRPr="004F7C44">
        <w:rPr>
          <w:rFonts w:cs="Arial"/>
          <w:szCs w:val="22"/>
        </w:rPr>
        <w:t xml:space="preserve">tate and </w:t>
      </w:r>
      <w:r>
        <w:rPr>
          <w:rFonts w:cs="Arial"/>
          <w:szCs w:val="22"/>
        </w:rPr>
        <w:t>t</w:t>
      </w:r>
      <w:r w:rsidRPr="004F7C44">
        <w:rPr>
          <w:rFonts w:cs="Arial"/>
          <w:szCs w:val="22"/>
        </w:rPr>
        <w:t xml:space="preserve">erritory </w:t>
      </w:r>
      <w:r>
        <w:rPr>
          <w:rFonts w:cs="Arial"/>
          <w:szCs w:val="22"/>
        </w:rPr>
        <w:t xml:space="preserve">government clinics </w:t>
      </w:r>
      <w:r w:rsidRPr="004F7C44">
        <w:rPr>
          <w:rFonts w:cs="Arial"/>
          <w:szCs w:val="22"/>
        </w:rPr>
        <w:t>or the Royal Flying Doctor Service (RFDS) to reach some of our most remote and vulnerable in the community.</w:t>
      </w:r>
    </w:p>
    <w:p w14:paraId="2D738F40" w14:textId="77777777" w:rsidR="00C05F37" w:rsidRDefault="00C604B2" w:rsidP="00C05F37">
      <w:pPr>
        <w:spacing w:after="0" w:line="240" w:lineRule="auto"/>
        <w:rPr>
          <w:rFonts w:cs="Arial"/>
          <w:szCs w:val="22"/>
        </w:rPr>
      </w:pPr>
      <w:r w:rsidRPr="00C05F37">
        <w:rPr>
          <w:rFonts w:cs="Arial"/>
          <w:szCs w:val="22"/>
        </w:rPr>
        <w:t>The Advisory Group continues to drive the importance of access to COVID vaccines through ACCHS and the primary health care sector as critical for improving vaccine coverage among Aboriginal and Torres Strait Islander peoples across the country. The importance of primary care involvement in the vaccine roll-out has been highlighted by a number of recent stories.</w:t>
      </w:r>
    </w:p>
    <w:p w14:paraId="454B5A46" w14:textId="77777777" w:rsidR="00C604B2" w:rsidRPr="00C05F37" w:rsidRDefault="00C604B2" w:rsidP="00C05F37">
      <w:pPr>
        <w:spacing w:after="0" w:line="240" w:lineRule="auto"/>
        <w:rPr>
          <w:rFonts w:eastAsiaTheme="minorEastAsia" w:cs="Arial"/>
          <w:color w:val="000000" w:themeColor="text1"/>
          <w:szCs w:val="22"/>
        </w:rPr>
      </w:pPr>
      <w:r w:rsidRPr="00C05F37">
        <w:rPr>
          <w:rFonts w:cs="Arial"/>
          <w:szCs w:val="22"/>
        </w:rPr>
        <w:t xml:space="preserve"> </w:t>
      </w:r>
    </w:p>
    <w:p w14:paraId="76D308F7" w14:textId="77777777" w:rsidR="00C05F37" w:rsidRDefault="00C05F37" w:rsidP="00E6480B">
      <w:pPr>
        <w:pStyle w:val="ListParagraph"/>
        <w:numPr>
          <w:ilvl w:val="0"/>
          <w:numId w:val="3"/>
        </w:numPr>
        <w:spacing w:after="240" w:line="240" w:lineRule="auto"/>
        <w:contextualSpacing w:val="0"/>
        <w:rPr>
          <w:rFonts w:eastAsia="Calibri" w:cs="Arial"/>
          <w:color w:val="000000" w:themeColor="text1"/>
          <w:szCs w:val="22"/>
        </w:rPr>
      </w:pPr>
      <w:r w:rsidRPr="00C05F37">
        <w:rPr>
          <w:rFonts w:eastAsia="Calibri" w:cs="Arial"/>
          <w:color w:val="000000" w:themeColor="text1"/>
          <w:szCs w:val="22"/>
        </w:rPr>
        <w:t xml:space="preserve">The Department, in partnership with the Victorian Government and the Victorian Aboriginal Community Controlled Health Organisation (VACCHO), expedited the rollout of Pfizer to three ACCHS within Victoria to enhance access to the Pfizer vaccine ahead of the main program. As part of the expedited rollout for Victoria, Mallee District Aboriginal Services (MDAS) in Mildura commenced administering Pfizer vaccine on 18 June 2021. </w:t>
      </w:r>
    </w:p>
    <w:p w14:paraId="190BEE42" w14:textId="77777777" w:rsidR="00C05F37" w:rsidRPr="004F7C44" w:rsidRDefault="00C05F37" w:rsidP="00E6480B">
      <w:pPr>
        <w:pStyle w:val="ListParagraph"/>
        <w:numPr>
          <w:ilvl w:val="0"/>
          <w:numId w:val="3"/>
        </w:numPr>
        <w:spacing w:after="240" w:line="240" w:lineRule="auto"/>
        <w:contextualSpacing w:val="0"/>
        <w:rPr>
          <w:rFonts w:eastAsia="Calibri" w:cs="Arial"/>
          <w:color w:val="000000" w:themeColor="text1"/>
          <w:szCs w:val="22"/>
        </w:rPr>
      </w:pPr>
      <w:r w:rsidRPr="004F7C44">
        <w:rPr>
          <w:rFonts w:eastAsia="Calibri" w:cs="Arial"/>
          <w:color w:val="000000" w:themeColor="text1"/>
          <w:szCs w:val="22"/>
        </w:rPr>
        <w:t xml:space="preserve">On 1 July, ABC News reported strong uptake of COVID-19 vaccines in the remote NT area of </w:t>
      </w:r>
      <w:hyperlink r:id="rId8">
        <w:proofErr w:type="spellStart"/>
        <w:r w:rsidRPr="004F7C44">
          <w:rPr>
            <w:rStyle w:val="Hyperlink"/>
            <w:rFonts w:eastAsia="Calibri" w:cs="Arial"/>
            <w:szCs w:val="22"/>
          </w:rPr>
          <w:t>Utju</w:t>
        </w:r>
        <w:proofErr w:type="spellEnd"/>
      </w:hyperlink>
      <w:r w:rsidRPr="004F7C44">
        <w:rPr>
          <w:rFonts w:eastAsia="Calibri" w:cs="Arial"/>
          <w:color w:val="000000" w:themeColor="text1"/>
          <w:szCs w:val="22"/>
        </w:rPr>
        <w:t xml:space="preserve"> with almost all eligible people having received their first dose. </w:t>
      </w:r>
    </w:p>
    <w:p w14:paraId="79C01DA2" w14:textId="77777777" w:rsidR="00C604B2" w:rsidRPr="006B41AA" w:rsidRDefault="00C604B2" w:rsidP="00E6480B">
      <w:pPr>
        <w:pStyle w:val="ListParagraph"/>
        <w:numPr>
          <w:ilvl w:val="0"/>
          <w:numId w:val="3"/>
        </w:numPr>
        <w:spacing w:after="240" w:line="240" w:lineRule="auto"/>
        <w:contextualSpacing w:val="0"/>
        <w:rPr>
          <w:rFonts w:cs="Arial"/>
          <w:color w:val="000000" w:themeColor="text1"/>
          <w:szCs w:val="22"/>
        </w:rPr>
      </w:pPr>
      <w:r w:rsidRPr="004F7C44">
        <w:rPr>
          <w:rFonts w:eastAsiaTheme="minorEastAsia" w:cs="Arial"/>
          <w:color w:val="000000" w:themeColor="text1"/>
          <w:szCs w:val="22"/>
        </w:rPr>
        <w:t>On</w:t>
      </w:r>
      <w:r w:rsidRPr="004F7C44">
        <w:rPr>
          <w:rFonts w:eastAsia="Calibri" w:cs="Arial"/>
          <w:color w:val="000000" w:themeColor="text1"/>
          <w:szCs w:val="22"/>
        </w:rPr>
        <w:t xml:space="preserve"> 4 July, </w:t>
      </w:r>
      <w:proofErr w:type="spellStart"/>
      <w:r w:rsidRPr="004F7C44">
        <w:rPr>
          <w:rFonts w:eastAsia="Calibri" w:cs="Arial"/>
          <w:color w:val="000000" w:themeColor="text1"/>
          <w:szCs w:val="22"/>
        </w:rPr>
        <w:t>Mala’la</w:t>
      </w:r>
      <w:proofErr w:type="spellEnd"/>
      <w:r w:rsidRPr="004F7C44">
        <w:rPr>
          <w:rFonts w:eastAsia="Calibri" w:cs="Arial"/>
          <w:color w:val="000000" w:themeColor="text1"/>
          <w:szCs w:val="22"/>
        </w:rPr>
        <w:t xml:space="preserve"> Health Service Aboriginal Corporation shared on Facebook that Maningrida vaccinated </w:t>
      </w:r>
      <w:hyperlink r:id="rId9">
        <w:r w:rsidRPr="004F7C44">
          <w:rPr>
            <w:rStyle w:val="Hyperlink"/>
            <w:rFonts w:eastAsia="Calibri" w:cs="Arial"/>
            <w:szCs w:val="22"/>
          </w:rPr>
          <w:t>453 people</w:t>
        </w:r>
      </w:hyperlink>
      <w:r w:rsidRPr="004F7C44">
        <w:rPr>
          <w:rFonts w:eastAsia="Calibri" w:cs="Arial"/>
          <w:color w:val="000000" w:themeColor="text1"/>
          <w:szCs w:val="22"/>
        </w:rPr>
        <w:t>, which broke the record for the most COVID-19 vaccines being administered in one day by any vaccination hub in the NT.</w:t>
      </w:r>
      <w:r>
        <w:rPr>
          <w:rFonts w:eastAsia="Calibri" w:cs="Arial"/>
          <w:color w:val="000000" w:themeColor="text1"/>
          <w:szCs w:val="22"/>
        </w:rPr>
        <w:t xml:space="preserve"> This service went on to vaccinate more than 1300 residents over the week.</w:t>
      </w:r>
    </w:p>
    <w:p w14:paraId="5A3DD0E0" w14:textId="77777777" w:rsidR="00C604B2" w:rsidRPr="00C05F37" w:rsidRDefault="00C604B2" w:rsidP="00E6480B">
      <w:pPr>
        <w:pStyle w:val="ListParagraph"/>
        <w:numPr>
          <w:ilvl w:val="0"/>
          <w:numId w:val="2"/>
        </w:numPr>
        <w:spacing w:after="240" w:line="240" w:lineRule="auto"/>
        <w:contextualSpacing w:val="0"/>
        <w:rPr>
          <w:rFonts w:eastAsiaTheme="minorEastAsia" w:cs="Arial"/>
          <w:color w:val="000000" w:themeColor="text1"/>
          <w:szCs w:val="22"/>
        </w:rPr>
      </w:pPr>
      <w:r w:rsidRPr="004F7C44">
        <w:rPr>
          <w:rFonts w:eastAsia="Calibri" w:cs="Arial"/>
          <w:color w:val="000000" w:themeColor="text1"/>
          <w:szCs w:val="22"/>
        </w:rPr>
        <w:t xml:space="preserve">NT Health has reported that bookings for COVID-19 vaccines in the </w:t>
      </w:r>
      <w:hyperlink r:id="rId10">
        <w:r w:rsidRPr="004F7C44">
          <w:rPr>
            <w:rStyle w:val="Hyperlink"/>
            <w:rFonts w:eastAsia="Calibri" w:cs="Arial"/>
            <w:szCs w:val="22"/>
          </w:rPr>
          <w:t>Katherine region</w:t>
        </w:r>
      </w:hyperlink>
      <w:r w:rsidRPr="004F7C44">
        <w:rPr>
          <w:rFonts w:eastAsia="Calibri" w:cs="Arial"/>
          <w:color w:val="000000" w:themeColor="text1"/>
          <w:szCs w:val="22"/>
        </w:rPr>
        <w:t xml:space="preserve"> are on the rise with 35.8% of the population having received their first dose and 15.8% of the population having received their second dose.</w:t>
      </w:r>
    </w:p>
    <w:p w14:paraId="1083197D" w14:textId="77777777" w:rsidR="00C05F37" w:rsidRPr="00C05F37" w:rsidRDefault="00C05F37" w:rsidP="00E6480B">
      <w:pPr>
        <w:pStyle w:val="ListParagraph"/>
        <w:numPr>
          <w:ilvl w:val="0"/>
          <w:numId w:val="3"/>
        </w:numPr>
        <w:spacing w:after="240" w:line="240" w:lineRule="auto"/>
        <w:contextualSpacing w:val="0"/>
        <w:rPr>
          <w:rFonts w:eastAsia="Calibri" w:cs="Arial"/>
          <w:color w:val="000000" w:themeColor="text1"/>
          <w:szCs w:val="22"/>
        </w:rPr>
      </w:pPr>
      <w:r w:rsidRPr="00C05F37">
        <w:rPr>
          <w:rFonts w:eastAsia="Calibri" w:cs="Arial"/>
          <w:color w:val="000000" w:themeColor="text1"/>
          <w:szCs w:val="22"/>
        </w:rPr>
        <w:t xml:space="preserve">The Royal Flying Doctor Service has started administering Pfizer in the </w:t>
      </w:r>
      <w:hyperlink r:id="rId11" w:history="1">
        <w:proofErr w:type="spellStart"/>
        <w:r w:rsidRPr="00E6480B">
          <w:rPr>
            <w:rStyle w:val="Hyperlink"/>
            <w:rFonts w:eastAsia="Calibri" w:cs="Arial"/>
            <w:szCs w:val="22"/>
          </w:rPr>
          <w:t>Ngaanyatjarra</w:t>
        </w:r>
        <w:proofErr w:type="spellEnd"/>
        <w:r w:rsidRPr="00E6480B">
          <w:rPr>
            <w:rStyle w:val="Hyperlink"/>
            <w:rFonts w:eastAsia="Calibri" w:cs="Arial"/>
            <w:szCs w:val="22"/>
          </w:rPr>
          <w:t>-Giles (NG) Lands</w:t>
        </w:r>
      </w:hyperlink>
      <w:r w:rsidRPr="00C05F37">
        <w:rPr>
          <w:rFonts w:eastAsia="Calibri" w:cs="Arial"/>
          <w:color w:val="000000" w:themeColor="text1"/>
          <w:szCs w:val="22"/>
        </w:rPr>
        <w:t xml:space="preserve"> (very remote WA) in partnership </w:t>
      </w:r>
      <w:proofErr w:type="spellStart"/>
      <w:r w:rsidRPr="00E6480B">
        <w:rPr>
          <w:rFonts w:eastAsia="Calibri" w:cs="Arial"/>
          <w:color w:val="000000" w:themeColor="text1"/>
          <w:szCs w:val="22"/>
        </w:rPr>
        <w:t>Ngaanyatjarra</w:t>
      </w:r>
      <w:proofErr w:type="spellEnd"/>
      <w:r w:rsidRPr="00E6480B">
        <w:rPr>
          <w:rFonts w:eastAsia="Calibri" w:cs="Arial"/>
          <w:color w:val="000000" w:themeColor="text1"/>
          <w:szCs w:val="22"/>
        </w:rPr>
        <w:t xml:space="preserve"> </w:t>
      </w:r>
      <w:r w:rsidRPr="00E6480B">
        <w:rPr>
          <w:rFonts w:eastAsia="Calibri" w:cs="Arial"/>
          <w:color w:val="000000" w:themeColor="text1"/>
          <w:szCs w:val="22"/>
        </w:rPr>
        <w:lastRenderedPageBreak/>
        <w:t>Health Service</w:t>
      </w:r>
      <w:r w:rsidRPr="00C05F37">
        <w:rPr>
          <w:rFonts w:eastAsia="Calibri" w:cs="Arial"/>
          <w:color w:val="000000" w:themeColor="text1"/>
          <w:szCs w:val="22"/>
        </w:rPr>
        <w:t xml:space="preserve"> and communities.   Roughly 4,000 people across 11 communities and surrounding homelands will be vaccinated over a 4-6 week period.</w:t>
      </w:r>
    </w:p>
    <w:p w14:paraId="10758A68" w14:textId="77777777" w:rsidR="00C604B2" w:rsidRPr="004F7C44" w:rsidRDefault="00C604B2" w:rsidP="00C604B2">
      <w:pPr>
        <w:spacing w:after="0" w:line="240" w:lineRule="auto"/>
        <w:rPr>
          <w:rFonts w:eastAsia="Calibri" w:cs="Arial"/>
          <w:color w:val="000000" w:themeColor="text1"/>
          <w:szCs w:val="22"/>
        </w:rPr>
      </w:pPr>
    </w:p>
    <w:p w14:paraId="084B81E4" w14:textId="77777777" w:rsidR="00C604B2" w:rsidRDefault="00C604B2" w:rsidP="00C604B2">
      <w:pPr>
        <w:spacing w:after="0" w:line="240" w:lineRule="auto"/>
        <w:rPr>
          <w:rFonts w:cs="Arial"/>
          <w:szCs w:val="22"/>
        </w:rPr>
      </w:pPr>
      <w:r w:rsidRPr="004F7C44">
        <w:rPr>
          <w:rFonts w:cs="Arial"/>
          <w:szCs w:val="22"/>
        </w:rPr>
        <w:t xml:space="preserve">Great vaccination stories are taking place right around Australia, and we will share more in the next communique. </w:t>
      </w:r>
    </w:p>
    <w:p w14:paraId="53C2AD97" w14:textId="77777777" w:rsidR="00C604B2" w:rsidRPr="004F7C44" w:rsidRDefault="00C604B2" w:rsidP="00C604B2">
      <w:pPr>
        <w:spacing w:after="0" w:line="240" w:lineRule="auto"/>
        <w:rPr>
          <w:rFonts w:cs="Arial"/>
          <w:szCs w:val="22"/>
        </w:rPr>
      </w:pPr>
    </w:p>
    <w:p w14:paraId="6E8A68AC" w14:textId="77777777" w:rsidR="00C604B2" w:rsidRDefault="00C604B2" w:rsidP="00C604B2">
      <w:pPr>
        <w:spacing w:line="240" w:lineRule="auto"/>
        <w:rPr>
          <w:rFonts w:cs="Arial"/>
          <w:szCs w:val="22"/>
        </w:rPr>
      </w:pPr>
      <w:r w:rsidRPr="004F7C44">
        <w:rPr>
          <w:rFonts w:cs="Arial"/>
          <w:szCs w:val="22"/>
        </w:rPr>
        <w:t xml:space="preserve">Aboriginal and Torres Strait Islander people over 16 years of age remain a priority population for COVID-19 vaccination.  To book your COVID vaccination, contact your health clinic or find a vaccination site near you through the </w:t>
      </w:r>
      <w:hyperlink r:id="rId12">
        <w:r w:rsidRPr="004F7C44">
          <w:rPr>
            <w:rStyle w:val="Hyperlink"/>
            <w:rFonts w:cs="Arial"/>
            <w:szCs w:val="22"/>
          </w:rPr>
          <w:t>Clinic Finder</w:t>
        </w:r>
      </w:hyperlink>
      <w:r w:rsidRPr="004F7C44">
        <w:rPr>
          <w:rFonts w:cs="Arial"/>
          <w:szCs w:val="22"/>
        </w:rPr>
        <w:t xml:space="preserve">. </w:t>
      </w:r>
    </w:p>
    <w:p w14:paraId="4EDE8120" w14:textId="77777777" w:rsidR="00C604B2" w:rsidRPr="006B41AA" w:rsidRDefault="00C604B2" w:rsidP="00C604B2">
      <w:pPr>
        <w:spacing w:line="240" w:lineRule="auto"/>
        <w:rPr>
          <w:rFonts w:cs="Arial"/>
          <w:szCs w:val="22"/>
        </w:rPr>
      </w:pPr>
      <w:r w:rsidRPr="004F7C44">
        <w:rPr>
          <w:rFonts w:cs="Arial"/>
          <w:b/>
          <w:bCs/>
          <w:szCs w:val="22"/>
        </w:rPr>
        <w:t>The Advisory Group welcomes the decisions announced following the recent National Cabinet meetings:</w:t>
      </w:r>
    </w:p>
    <w:p w14:paraId="490C7F2B" w14:textId="77777777" w:rsidR="00C604B2" w:rsidRPr="004F7C44" w:rsidRDefault="00C604B2" w:rsidP="00C604B2">
      <w:pPr>
        <w:spacing w:line="240" w:lineRule="auto"/>
        <w:rPr>
          <w:rFonts w:cs="Arial"/>
          <w:szCs w:val="22"/>
          <w:lang w:val="en-US"/>
        </w:rPr>
      </w:pPr>
      <w:r w:rsidRPr="004F7C44">
        <w:rPr>
          <w:rFonts w:cs="Arial"/>
          <w:szCs w:val="22"/>
        </w:rPr>
        <w:t>National Cabinet met on 28 June 2021 to discuss Australia’s COVID-19 response, recent outbreaks of COVID-19 and the Australian COVID-19 Vaccine Strategy</w:t>
      </w:r>
      <w:r>
        <w:rPr>
          <w:rFonts w:cs="Arial"/>
          <w:szCs w:val="22"/>
        </w:rPr>
        <w:t xml:space="preserve"> including making it mandatory for all aged care workers to have their first vaccine dose by mid-September</w:t>
      </w:r>
      <w:r w:rsidRPr="004F7C44">
        <w:rPr>
          <w:rFonts w:cs="Arial"/>
          <w:szCs w:val="22"/>
        </w:rPr>
        <w:t>. ACCHS continue their collaboration with the Commonwealth, State</w:t>
      </w:r>
      <w:r>
        <w:rPr>
          <w:rFonts w:cs="Arial"/>
          <w:szCs w:val="22"/>
        </w:rPr>
        <w:t>s</w:t>
      </w:r>
      <w:r w:rsidRPr="004F7C44">
        <w:rPr>
          <w:rFonts w:cs="Arial"/>
          <w:szCs w:val="22"/>
        </w:rPr>
        <w:t xml:space="preserve"> and Territories and individual providers to support vaccinations of Aged Care Workers. Additional information regarding the meeting can be found</w:t>
      </w:r>
      <w:r w:rsidRPr="004F7C44">
        <w:rPr>
          <w:rStyle w:val="normaltextrun1"/>
          <w:rFonts w:eastAsia="MS Mincho" w:cs="Arial"/>
          <w:szCs w:val="22"/>
          <w:lang w:val="en-US"/>
        </w:rPr>
        <w:t xml:space="preserve"> </w:t>
      </w:r>
      <w:hyperlink r:id="rId13">
        <w:r w:rsidRPr="004F7C44">
          <w:rPr>
            <w:rStyle w:val="Hyperlink"/>
            <w:rFonts w:eastAsia="MS Mincho" w:cs="Arial"/>
            <w:szCs w:val="22"/>
            <w:lang w:val="en-US"/>
          </w:rPr>
          <w:t>here</w:t>
        </w:r>
      </w:hyperlink>
      <w:r w:rsidRPr="004F7C44">
        <w:rPr>
          <w:rStyle w:val="normaltextrun1"/>
          <w:rFonts w:eastAsia="MS Mincho" w:cs="Arial"/>
          <w:szCs w:val="22"/>
          <w:lang w:val="en-US"/>
        </w:rPr>
        <w:t xml:space="preserve">. </w:t>
      </w:r>
    </w:p>
    <w:p w14:paraId="7F776697" w14:textId="77777777" w:rsidR="00C604B2" w:rsidRPr="004F7C44" w:rsidRDefault="00C604B2" w:rsidP="00C604B2">
      <w:pPr>
        <w:pStyle w:val="Style1"/>
        <w:spacing w:after="200"/>
        <w:ind w:left="0" w:firstLine="0"/>
        <w:jc w:val="both"/>
        <w:rPr>
          <w:rStyle w:val="normaltextrun1"/>
          <w:rFonts w:ascii="Arial" w:hAnsi="Arial" w:cs="Arial"/>
          <w:sz w:val="22"/>
          <w:szCs w:val="22"/>
          <w:lang w:val="en-US"/>
        </w:rPr>
      </w:pPr>
      <w:r w:rsidRPr="004F7C44">
        <w:rPr>
          <w:rStyle w:val="normaltextrun1"/>
          <w:rFonts w:ascii="Arial" w:hAnsi="Arial" w:cs="Arial"/>
          <w:sz w:val="22"/>
          <w:szCs w:val="22"/>
          <w:lang w:val="en-US"/>
        </w:rPr>
        <w:t xml:space="preserve">National Cabinet met again on 2 July </w:t>
      </w:r>
      <w:r>
        <w:rPr>
          <w:rStyle w:val="normaltextrun1"/>
          <w:rFonts w:ascii="Arial" w:hAnsi="Arial" w:cs="Arial"/>
          <w:sz w:val="22"/>
          <w:szCs w:val="22"/>
          <w:lang w:val="en-US"/>
        </w:rPr>
        <w:t xml:space="preserve">2021 </w:t>
      </w:r>
      <w:r w:rsidRPr="004F7C44">
        <w:rPr>
          <w:rStyle w:val="normaltextrun1"/>
          <w:rFonts w:ascii="Arial" w:hAnsi="Arial" w:cs="Arial"/>
          <w:sz w:val="22"/>
          <w:szCs w:val="22"/>
          <w:lang w:val="en-US"/>
        </w:rPr>
        <w:t>to discuss Australia's COVID-19 response, recent outbreaks of COVID-19 and the Australian COVID-19 Vaccine Strategy</w:t>
      </w:r>
      <w:r>
        <w:rPr>
          <w:rStyle w:val="normaltextrun1"/>
          <w:rFonts w:ascii="Arial" w:hAnsi="Arial" w:cs="Arial"/>
          <w:sz w:val="22"/>
          <w:szCs w:val="22"/>
          <w:lang w:val="en-US"/>
        </w:rPr>
        <w:t>. At this meeting</w:t>
      </w:r>
      <w:r w:rsidRPr="004F7C44">
        <w:rPr>
          <w:rStyle w:val="normaltextrun1"/>
          <w:rFonts w:ascii="Arial" w:hAnsi="Arial" w:cs="Arial"/>
          <w:sz w:val="22"/>
          <w:szCs w:val="22"/>
          <w:lang w:val="en-US"/>
        </w:rPr>
        <w:t xml:space="preserve"> National Cabinet agreed to formulate a </w:t>
      </w:r>
      <w:hyperlink r:id="rId14" w:history="1">
        <w:r w:rsidRPr="004F7C44">
          <w:rPr>
            <w:rStyle w:val="Hyperlink"/>
            <w:rFonts w:ascii="Arial" w:hAnsi="Arial" w:cs="Arial"/>
            <w:sz w:val="22"/>
            <w:szCs w:val="22"/>
            <w:lang w:val="en-US"/>
          </w:rPr>
          <w:t>National Plan</w:t>
        </w:r>
      </w:hyperlink>
      <w:r w:rsidRPr="004F7C44">
        <w:rPr>
          <w:rStyle w:val="normaltextrun1"/>
          <w:rFonts w:ascii="Arial" w:hAnsi="Arial" w:cs="Arial"/>
          <w:sz w:val="22"/>
          <w:szCs w:val="22"/>
          <w:lang w:val="en-US"/>
        </w:rPr>
        <w:t xml:space="preserve"> to transition from pre to post vaccination stages. </w:t>
      </w:r>
      <w:r w:rsidRPr="004F7C44">
        <w:rPr>
          <w:rStyle w:val="normaltextrun1"/>
          <w:rFonts w:ascii="Arial" w:eastAsia="MS Mincho" w:hAnsi="Arial" w:cs="Arial"/>
          <w:sz w:val="22"/>
          <w:szCs w:val="22"/>
          <w:lang w:val="en-US"/>
        </w:rPr>
        <w:t xml:space="preserve">Additional information regarding the meeting can be found </w:t>
      </w:r>
      <w:hyperlink r:id="rId15" w:history="1">
        <w:r w:rsidRPr="004F7C44">
          <w:rPr>
            <w:rStyle w:val="Hyperlink"/>
            <w:rFonts w:ascii="Arial" w:eastAsia="MS Mincho" w:hAnsi="Arial" w:cs="Arial"/>
            <w:sz w:val="22"/>
            <w:szCs w:val="22"/>
            <w:lang w:val="en-US"/>
          </w:rPr>
          <w:t>here.</w:t>
        </w:r>
      </w:hyperlink>
      <w:r w:rsidRPr="004F7C44">
        <w:rPr>
          <w:rStyle w:val="normaltextrun1"/>
          <w:rFonts w:ascii="Arial" w:eastAsia="MS Mincho" w:hAnsi="Arial" w:cs="Arial"/>
          <w:sz w:val="22"/>
          <w:szCs w:val="22"/>
          <w:lang w:val="en-US"/>
        </w:rPr>
        <w:t xml:space="preserve"> </w:t>
      </w:r>
    </w:p>
    <w:p w14:paraId="22A7A41F" w14:textId="77777777" w:rsidR="00C604B2" w:rsidRPr="006B41AA" w:rsidRDefault="00C604B2" w:rsidP="00C604B2">
      <w:pPr>
        <w:pStyle w:val="Style1"/>
        <w:ind w:left="0" w:firstLine="0"/>
        <w:jc w:val="both"/>
        <w:rPr>
          <w:rStyle w:val="normaltextrun1"/>
          <w:rFonts w:ascii="Arial" w:eastAsia="MS Mincho" w:hAnsi="Arial" w:cs="Arial"/>
          <w:b/>
          <w:sz w:val="22"/>
          <w:szCs w:val="22"/>
          <w:lang w:val="en-US"/>
        </w:rPr>
      </w:pPr>
      <w:r w:rsidRPr="004F7C44">
        <w:rPr>
          <w:rStyle w:val="normaltextrun1"/>
          <w:rFonts w:ascii="Arial" w:eastAsia="MS Mincho" w:hAnsi="Arial" w:cs="Arial"/>
          <w:b/>
          <w:sz w:val="22"/>
          <w:szCs w:val="22"/>
          <w:lang w:val="en-US"/>
        </w:rPr>
        <w:t>Data and surveillance</w:t>
      </w:r>
    </w:p>
    <w:p w14:paraId="144FF715" w14:textId="77777777" w:rsidR="00C604B2" w:rsidRPr="004F7C44" w:rsidRDefault="00C604B2" w:rsidP="00C604B2">
      <w:pPr>
        <w:spacing w:line="240" w:lineRule="auto"/>
        <w:rPr>
          <w:rFonts w:cs="Arial"/>
          <w:szCs w:val="22"/>
        </w:rPr>
      </w:pPr>
      <w:r w:rsidRPr="004F7C44">
        <w:rPr>
          <w:rFonts w:cs="Arial"/>
          <w:szCs w:val="22"/>
        </w:rPr>
        <w:t xml:space="preserve">The Advisory Group has an important role in monitoring the safety of the COVID-19 vaccinations for Aboriginal and Torres Strait Islander peoples; ensuring Aboriginal and Torres Strait Islanders continue to be a priority for vaccine administration; and ongoing support for Aboriginal and Torres Strait Islander Community Controlled Health Services. </w:t>
      </w:r>
    </w:p>
    <w:p w14:paraId="5AC68E7C" w14:textId="77777777" w:rsidR="00C604B2" w:rsidRPr="004F7C44" w:rsidRDefault="00C604B2" w:rsidP="00C604B2">
      <w:pPr>
        <w:spacing w:line="240" w:lineRule="auto"/>
        <w:rPr>
          <w:rFonts w:cs="Arial"/>
          <w:szCs w:val="22"/>
        </w:rPr>
      </w:pPr>
      <w:r w:rsidRPr="004F7C44">
        <w:rPr>
          <w:rFonts w:cs="Arial"/>
          <w:szCs w:val="22"/>
        </w:rPr>
        <w:t>The Advisory Group has established a Data Surveillance Working Group, to consider vaccine data and implementation / surveillance issues, including the continued rollout of the vaccine, how to monitor coverage for Aboriginal and Torres Strait Islander communities and the differing ways this information can be used.</w:t>
      </w:r>
    </w:p>
    <w:p w14:paraId="0E550B2F" w14:textId="77777777" w:rsidR="00C604B2" w:rsidRPr="004F7C44" w:rsidRDefault="00C604B2" w:rsidP="00C604B2">
      <w:pPr>
        <w:spacing w:line="240" w:lineRule="auto"/>
        <w:rPr>
          <w:rFonts w:cs="Arial"/>
          <w:b/>
          <w:bCs/>
          <w:szCs w:val="22"/>
        </w:rPr>
      </w:pPr>
      <w:r w:rsidRPr="004F7C44">
        <w:rPr>
          <w:rFonts w:cs="Arial"/>
          <w:b/>
          <w:bCs/>
          <w:szCs w:val="22"/>
        </w:rPr>
        <w:t>Current statistics</w:t>
      </w:r>
    </w:p>
    <w:p w14:paraId="6F9ABF45" w14:textId="77777777" w:rsidR="00C604B2" w:rsidRPr="004F7C44" w:rsidRDefault="00C604B2" w:rsidP="00C604B2">
      <w:pPr>
        <w:spacing w:line="240" w:lineRule="auto"/>
        <w:rPr>
          <w:rFonts w:cs="Arial"/>
          <w:szCs w:val="22"/>
        </w:rPr>
      </w:pPr>
      <w:r w:rsidRPr="00AB005D">
        <w:rPr>
          <w:rFonts w:cs="Arial"/>
          <w:noProof/>
          <w:szCs w:val="22"/>
          <w:lang w:eastAsia="en-AU"/>
        </w:rPr>
        <w:drawing>
          <wp:anchor distT="0" distB="0" distL="114300" distR="114300" simplePos="0" relativeHeight="251662336" behindDoc="0" locked="0" layoutInCell="1" allowOverlap="1" wp14:anchorId="35F69ECF" wp14:editId="513730BB">
            <wp:simplePos x="0" y="0"/>
            <wp:positionH relativeFrom="column">
              <wp:posOffset>117091</wp:posOffset>
            </wp:positionH>
            <wp:positionV relativeFrom="paragraph">
              <wp:posOffset>231611</wp:posOffset>
            </wp:positionV>
            <wp:extent cx="362138" cy="399055"/>
            <wp:effectExtent l="0" t="0" r="0" b="1270"/>
            <wp:wrapSquare wrapText="bothSides"/>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138" cy="399055"/>
                    </a:xfrm>
                    <a:prstGeom prst="rect">
                      <a:avLst/>
                    </a:prstGeom>
                  </pic:spPr>
                </pic:pic>
              </a:graphicData>
            </a:graphic>
          </wp:anchor>
        </w:drawing>
      </w:r>
      <w:r>
        <w:rPr>
          <w:noProof/>
          <w:lang w:eastAsia="en-AU"/>
        </w:rPr>
        <w:drawing>
          <wp:anchor distT="0" distB="0" distL="114300" distR="114300" simplePos="0" relativeHeight="251661312" behindDoc="0" locked="0" layoutInCell="1" allowOverlap="1" wp14:anchorId="4D55655A" wp14:editId="601E0B5B">
            <wp:simplePos x="0" y="0"/>
            <wp:positionH relativeFrom="column">
              <wp:posOffset>280053</wp:posOffset>
            </wp:positionH>
            <wp:positionV relativeFrom="paragraph">
              <wp:posOffset>879890</wp:posOffset>
            </wp:positionV>
            <wp:extent cx="353085" cy="399329"/>
            <wp:effectExtent l="0" t="0" r="8890" b="1270"/>
            <wp:wrapNone/>
            <wp:docPr id="21" name="Picture 21">
              <a:extLst xmlns:a="http://schemas.openxmlformats.org/drawingml/2006/main">
                <a:ext uri="{FF2B5EF4-FFF2-40B4-BE49-F238E27FC236}">
                  <a16:creationId xmlns:a16="http://schemas.microsoft.com/office/drawing/2014/main" id="{752FEE7F-51D9-5747-9819-6D80FD517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752FEE7F-51D9-5747-9819-6D80FD517CC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85" cy="399329"/>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AU"/>
        </w:rPr>
        <w:drawing>
          <wp:anchor distT="0" distB="0" distL="114300" distR="114300" simplePos="0" relativeHeight="251659264" behindDoc="0" locked="0" layoutInCell="1" allowOverlap="1" wp14:anchorId="7BA67DD8" wp14:editId="3D36B4DD">
            <wp:simplePos x="0" y="0"/>
            <wp:positionH relativeFrom="margin">
              <wp:align>left</wp:align>
            </wp:positionH>
            <wp:positionV relativeFrom="paragraph">
              <wp:posOffset>5388</wp:posOffset>
            </wp:positionV>
            <wp:extent cx="2869949" cy="2177905"/>
            <wp:effectExtent l="0" t="0" r="6985"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Pr="004F7C44">
        <w:rPr>
          <w:rFonts w:cs="Arial"/>
          <w:szCs w:val="22"/>
        </w:rPr>
        <w:t xml:space="preserve">The number of COVID-19 cases in Aboriginal and Torres Strait Islander populations </w:t>
      </w:r>
      <w:r>
        <w:rPr>
          <w:rFonts w:cs="Arial"/>
          <w:szCs w:val="22"/>
        </w:rPr>
        <w:t>to date is 162</w:t>
      </w:r>
      <w:r w:rsidRPr="004F7C44">
        <w:rPr>
          <w:rFonts w:cs="Arial"/>
          <w:szCs w:val="22"/>
        </w:rPr>
        <w:t xml:space="preserve">; and there </w:t>
      </w:r>
      <w:r w:rsidRPr="004F7C44">
        <w:rPr>
          <w:rStyle w:val="normaltextrun"/>
          <w:rFonts w:cs="Arial"/>
          <w:color w:val="000000"/>
          <w:szCs w:val="22"/>
          <w:shd w:val="clear" w:color="auto" w:fill="FFFFFF"/>
        </w:rPr>
        <w:t>been no deaths recorded for the Aboriginal and Torres Strait Islander population</w:t>
      </w:r>
      <w:r w:rsidRPr="004F7C44">
        <w:rPr>
          <w:rFonts w:cs="Arial"/>
          <w:szCs w:val="22"/>
        </w:rPr>
        <w:t>.</w:t>
      </w:r>
    </w:p>
    <w:p w14:paraId="1EA8B8EC" w14:textId="77777777" w:rsidR="00C604B2" w:rsidRDefault="00C604B2" w:rsidP="00C604B2">
      <w:pPr>
        <w:spacing w:line="240" w:lineRule="auto"/>
        <w:rPr>
          <w:rFonts w:cs="Arial"/>
          <w:szCs w:val="22"/>
        </w:rPr>
      </w:pPr>
      <w:r>
        <w:rPr>
          <w:noProof/>
          <w:lang w:eastAsia="en-AU"/>
        </w:rPr>
        <w:drawing>
          <wp:anchor distT="0" distB="0" distL="114300" distR="114300" simplePos="0" relativeHeight="251660288" behindDoc="0" locked="0" layoutInCell="1" allowOverlap="1" wp14:anchorId="76C5639D" wp14:editId="0D8B7C5E">
            <wp:simplePos x="0" y="0"/>
            <wp:positionH relativeFrom="margin">
              <wp:posOffset>144491</wp:posOffset>
            </wp:positionH>
            <wp:positionV relativeFrom="paragraph">
              <wp:posOffset>652579</wp:posOffset>
            </wp:positionV>
            <wp:extent cx="353085" cy="408474"/>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3085" cy="408474"/>
                    </a:xfrm>
                    <a:prstGeom prst="rect">
                      <a:avLst/>
                    </a:prstGeom>
                  </pic:spPr>
                </pic:pic>
              </a:graphicData>
            </a:graphic>
            <wp14:sizeRelH relativeFrom="margin">
              <wp14:pctWidth>0</wp14:pctWidth>
            </wp14:sizeRelH>
            <wp14:sizeRelV relativeFrom="margin">
              <wp14:pctHeight>0</wp14:pctHeight>
            </wp14:sizeRelV>
          </wp:anchor>
        </w:drawing>
      </w:r>
      <w:r w:rsidRPr="004F7C44">
        <w:rPr>
          <w:rFonts w:cs="Arial"/>
          <w:szCs w:val="22"/>
        </w:rPr>
        <w:t>With respect to number of vaccinations, there have been over 10</w:t>
      </w:r>
      <w:r>
        <w:rPr>
          <w:rFonts w:cs="Arial"/>
          <w:szCs w:val="22"/>
        </w:rPr>
        <w:t>8</w:t>
      </w:r>
      <w:r w:rsidRPr="004F7C44">
        <w:rPr>
          <w:rFonts w:cs="Arial"/>
          <w:szCs w:val="22"/>
        </w:rPr>
        <w:t>,000 Aboriginal and Torres Strait Islander people across Australia who have received at least one dose of a COVID</w:t>
      </w:r>
      <w:r>
        <w:rPr>
          <w:rFonts w:cs="Arial"/>
          <w:szCs w:val="22"/>
        </w:rPr>
        <w:noBreakHyphen/>
      </w:r>
      <w:r w:rsidRPr="004F7C44">
        <w:rPr>
          <w:rFonts w:cs="Arial"/>
          <w:szCs w:val="22"/>
        </w:rPr>
        <w:t xml:space="preserve">19 vaccine. </w:t>
      </w:r>
    </w:p>
    <w:p w14:paraId="49CAFD24" w14:textId="77777777" w:rsidR="00C604B2" w:rsidRDefault="00C604B2" w:rsidP="00C604B2">
      <w:pPr>
        <w:spacing w:line="240" w:lineRule="auto"/>
        <w:rPr>
          <w:rFonts w:cs="Arial"/>
          <w:szCs w:val="22"/>
        </w:rPr>
      </w:pPr>
    </w:p>
    <w:p w14:paraId="0B5E2BE4" w14:textId="77777777" w:rsidR="00C604B2" w:rsidRPr="004F7C44" w:rsidRDefault="00C604B2" w:rsidP="00E6480B">
      <w:pPr>
        <w:keepNext/>
        <w:spacing w:line="240" w:lineRule="auto"/>
        <w:rPr>
          <w:rFonts w:cs="Arial"/>
          <w:szCs w:val="22"/>
        </w:rPr>
      </w:pPr>
    </w:p>
    <w:p w14:paraId="36C68D31" w14:textId="77777777" w:rsidR="00C604B2" w:rsidRPr="004F7C44" w:rsidRDefault="00C604B2" w:rsidP="00E6480B">
      <w:pPr>
        <w:keepNext/>
        <w:spacing w:line="240" w:lineRule="auto"/>
        <w:rPr>
          <w:rFonts w:eastAsiaTheme="minorEastAsia" w:cs="Arial"/>
          <w:b/>
          <w:bCs/>
          <w:szCs w:val="22"/>
        </w:rPr>
      </w:pPr>
      <w:r w:rsidRPr="004F7C44">
        <w:rPr>
          <w:rFonts w:eastAsiaTheme="minorEastAsia" w:cs="Arial"/>
          <w:b/>
          <w:bCs/>
          <w:szCs w:val="22"/>
        </w:rPr>
        <w:t>Staying COVID safe</w:t>
      </w:r>
    </w:p>
    <w:p w14:paraId="7A234F96" w14:textId="77777777" w:rsidR="00C604B2" w:rsidRPr="004F7C44" w:rsidRDefault="00C604B2" w:rsidP="00C604B2">
      <w:pPr>
        <w:spacing w:line="240" w:lineRule="auto"/>
        <w:rPr>
          <w:rFonts w:cs="Arial"/>
          <w:szCs w:val="22"/>
        </w:rPr>
      </w:pPr>
      <w:r w:rsidRPr="004F7C44">
        <w:rPr>
          <w:rFonts w:cs="Arial"/>
          <w:szCs w:val="22"/>
        </w:rPr>
        <w:t>The Advisory Group continues to work in partnership with the National COVID Vaccine Taskforce, state and territor</w:t>
      </w:r>
      <w:r>
        <w:rPr>
          <w:rFonts w:cs="Arial"/>
          <w:szCs w:val="22"/>
        </w:rPr>
        <w:t>y governments</w:t>
      </w:r>
      <w:r w:rsidRPr="004F7C44">
        <w:rPr>
          <w:rFonts w:cs="Arial"/>
          <w:szCs w:val="22"/>
        </w:rPr>
        <w:t xml:space="preserve"> and sector stakeholders wherever outbreaks occur to ensure all Aboriginal and Torres Strait Islanders are supported. Most recently Advisory Group members have worked closely with the Incident Management Team in response to the outbreak in the Northern Territory given the associated risks to remote communities; and are also working closely to support the Greater Sydney region.</w:t>
      </w:r>
    </w:p>
    <w:p w14:paraId="37B135F0" w14:textId="77777777" w:rsidR="00C604B2" w:rsidRPr="004F7C44" w:rsidRDefault="00C604B2" w:rsidP="00C604B2">
      <w:pPr>
        <w:spacing w:line="240" w:lineRule="auto"/>
        <w:rPr>
          <w:rFonts w:cs="Arial"/>
          <w:szCs w:val="22"/>
        </w:rPr>
      </w:pPr>
      <w:r w:rsidRPr="004F7C44">
        <w:rPr>
          <w:rFonts w:cs="Arial"/>
          <w:szCs w:val="22"/>
        </w:rPr>
        <w:t xml:space="preserve">The Advisory Group acknowledges that COVID-19 cases have increased again in many places in Australia, and some states and territories have introduced new rules around entering or leaving borders. It is more important than ever to keep safe in any way that we can. </w:t>
      </w:r>
    </w:p>
    <w:p w14:paraId="246F0930" w14:textId="77777777" w:rsidR="00C604B2" w:rsidRPr="004F7C44" w:rsidRDefault="00C604B2" w:rsidP="00C604B2">
      <w:pPr>
        <w:spacing w:line="240" w:lineRule="auto"/>
        <w:rPr>
          <w:rFonts w:cs="Arial"/>
          <w:szCs w:val="22"/>
        </w:rPr>
      </w:pPr>
      <w:r w:rsidRPr="004F7C44">
        <w:rPr>
          <w:rFonts w:cs="Arial"/>
          <w:szCs w:val="22"/>
        </w:rPr>
        <w:t>It’s important to continue doing simple behaviours that can help keep the virus from infecting you:</w:t>
      </w:r>
    </w:p>
    <w:p w14:paraId="52C03779" w14:textId="77777777" w:rsidR="00C604B2" w:rsidRPr="004F7C44" w:rsidRDefault="00C604B2" w:rsidP="00C604B2">
      <w:pPr>
        <w:pStyle w:val="ListParagraph"/>
        <w:numPr>
          <w:ilvl w:val="0"/>
          <w:numId w:val="4"/>
        </w:numPr>
        <w:spacing w:after="200" w:line="240" w:lineRule="auto"/>
        <w:rPr>
          <w:rFonts w:cs="Arial"/>
          <w:szCs w:val="22"/>
        </w:rPr>
      </w:pPr>
      <w:r w:rsidRPr="004F7C44">
        <w:rPr>
          <w:rFonts w:cs="Arial"/>
          <w:szCs w:val="22"/>
        </w:rPr>
        <w:t xml:space="preserve">staying two big steps apart from others in the community, </w:t>
      </w:r>
    </w:p>
    <w:p w14:paraId="331D1046" w14:textId="77777777" w:rsidR="00C604B2" w:rsidRPr="004F7C44" w:rsidRDefault="00C604B2" w:rsidP="00C604B2">
      <w:pPr>
        <w:pStyle w:val="ListParagraph"/>
        <w:numPr>
          <w:ilvl w:val="0"/>
          <w:numId w:val="4"/>
        </w:numPr>
        <w:spacing w:after="200" w:line="240" w:lineRule="auto"/>
        <w:rPr>
          <w:rFonts w:cs="Arial"/>
          <w:szCs w:val="22"/>
        </w:rPr>
      </w:pPr>
      <w:r w:rsidRPr="004F7C44">
        <w:rPr>
          <w:rFonts w:cs="Arial"/>
          <w:szCs w:val="22"/>
        </w:rPr>
        <w:t>keeping your hands clean by washing them regularly for about 20 seconds,</w:t>
      </w:r>
    </w:p>
    <w:p w14:paraId="7D0615CF" w14:textId="77777777" w:rsidR="00C604B2" w:rsidRPr="004F7C44" w:rsidRDefault="00C604B2" w:rsidP="00C604B2">
      <w:pPr>
        <w:pStyle w:val="ListParagraph"/>
        <w:numPr>
          <w:ilvl w:val="0"/>
          <w:numId w:val="4"/>
        </w:numPr>
        <w:spacing w:after="200" w:line="240" w:lineRule="auto"/>
        <w:rPr>
          <w:rFonts w:cs="Arial"/>
          <w:szCs w:val="22"/>
        </w:rPr>
      </w:pPr>
      <w:r w:rsidRPr="004F7C44">
        <w:rPr>
          <w:rFonts w:cs="Arial"/>
          <w:szCs w:val="22"/>
        </w:rPr>
        <w:t>staying home when you’re feeling sick, and</w:t>
      </w:r>
    </w:p>
    <w:p w14:paraId="6D7F91DE" w14:textId="77777777" w:rsidR="00C604B2" w:rsidRPr="004F7C44" w:rsidRDefault="00C604B2" w:rsidP="00C604B2">
      <w:pPr>
        <w:pStyle w:val="ListParagraph"/>
        <w:numPr>
          <w:ilvl w:val="0"/>
          <w:numId w:val="4"/>
        </w:numPr>
        <w:spacing w:after="200" w:line="240" w:lineRule="auto"/>
        <w:rPr>
          <w:rFonts w:cs="Arial"/>
          <w:szCs w:val="22"/>
        </w:rPr>
      </w:pPr>
      <w:r w:rsidRPr="004F7C44">
        <w:rPr>
          <w:rFonts w:cs="Arial"/>
          <w:szCs w:val="22"/>
        </w:rPr>
        <w:t>getting tested for the virus if you have symptoms.</w:t>
      </w:r>
    </w:p>
    <w:p w14:paraId="520BF299" w14:textId="77777777" w:rsidR="00C604B2" w:rsidRDefault="00C604B2" w:rsidP="00C604B2">
      <w:pPr>
        <w:spacing w:line="240" w:lineRule="auto"/>
        <w:rPr>
          <w:rFonts w:cs="Arial"/>
          <w:szCs w:val="22"/>
        </w:rPr>
      </w:pPr>
      <w:r w:rsidRPr="004F7C44">
        <w:rPr>
          <w:rFonts w:cs="Arial"/>
          <w:szCs w:val="22"/>
        </w:rPr>
        <w:t xml:space="preserve">The COVID-19 vaccines are </w:t>
      </w:r>
      <w:r>
        <w:rPr>
          <w:rFonts w:cs="Arial"/>
          <w:szCs w:val="22"/>
        </w:rPr>
        <w:t xml:space="preserve">safe and </w:t>
      </w:r>
      <w:r w:rsidRPr="004F7C44">
        <w:rPr>
          <w:rFonts w:cs="Arial"/>
          <w:szCs w:val="22"/>
        </w:rPr>
        <w:t>very effective at preventing you from getting seriously sick or needing to go to a hospital if you catch the virus. The COVID-19 vaccines are now available for all Aboriginal and Torres Strait Islander people aged 16 years and over. Make an appointment to speak to your healthcare worker about your vaccination.</w:t>
      </w:r>
    </w:p>
    <w:p w14:paraId="2F66C8A6" w14:textId="77777777" w:rsidR="00C604B2" w:rsidRPr="004F7C44" w:rsidRDefault="00C604B2" w:rsidP="00C604B2">
      <w:pPr>
        <w:spacing w:line="240" w:lineRule="auto"/>
        <w:rPr>
          <w:rFonts w:cs="Arial"/>
          <w:szCs w:val="22"/>
        </w:rPr>
      </w:pPr>
      <w:r w:rsidRPr="004F7C44">
        <w:rPr>
          <w:rFonts w:cs="Arial"/>
          <w:szCs w:val="22"/>
        </w:rPr>
        <w:t xml:space="preserve">New COVID-19 variants can spread more easily among people in our communities. It can sometimes spread between two people walking past each other at the shops or in the park. </w:t>
      </w:r>
    </w:p>
    <w:p w14:paraId="152C65D1" w14:textId="77777777" w:rsidR="00C604B2" w:rsidRPr="004F7C44" w:rsidRDefault="00C604B2" w:rsidP="00C604B2">
      <w:pPr>
        <w:spacing w:line="240" w:lineRule="auto"/>
        <w:rPr>
          <w:rFonts w:cs="Arial"/>
          <w:szCs w:val="22"/>
        </w:rPr>
      </w:pPr>
      <w:r w:rsidRPr="004F7C44">
        <w:rPr>
          <w:rFonts w:cs="Arial"/>
          <w:szCs w:val="22"/>
        </w:rPr>
        <w:t>If you have any symptoms of COVID-19, like:</w:t>
      </w:r>
    </w:p>
    <w:p w14:paraId="634AD0C6" w14:textId="77777777" w:rsidR="00C604B2" w:rsidRPr="004F7C44" w:rsidRDefault="00C604B2" w:rsidP="00C604B2">
      <w:pPr>
        <w:pStyle w:val="ListParagraph"/>
        <w:numPr>
          <w:ilvl w:val="0"/>
          <w:numId w:val="1"/>
        </w:numPr>
        <w:spacing w:after="200" w:line="240" w:lineRule="auto"/>
        <w:rPr>
          <w:rFonts w:cs="Arial"/>
          <w:szCs w:val="22"/>
        </w:rPr>
      </w:pPr>
      <w:r w:rsidRPr="004F7C44">
        <w:rPr>
          <w:rFonts w:cs="Arial"/>
          <w:szCs w:val="22"/>
        </w:rPr>
        <w:t>a headache</w:t>
      </w:r>
    </w:p>
    <w:p w14:paraId="48383191" w14:textId="77777777" w:rsidR="00C604B2" w:rsidRPr="004F7C44" w:rsidRDefault="00C604B2" w:rsidP="00C604B2">
      <w:pPr>
        <w:pStyle w:val="ListParagraph"/>
        <w:numPr>
          <w:ilvl w:val="0"/>
          <w:numId w:val="1"/>
        </w:numPr>
        <w:spacing w:after="200" w:line="240" w:lineRule="auto"/>
        <w:rPr>
          <w:rFonts w:cs="Arial"/>
          <w:szCs w:val="22"/>
        </w:rPr>
      </w:pPr>
      <w:r w:rsidRPr="004F7C44">
        <w:rPr>
          <w:rFonts w:cs="Arial"/>
          <w:szCs w:val="22"/>
        </w:rPr>
        <w:t>a sore throat</w:t>
      </w:r>
    </w:p>
    <w:p w14:paraId="2ED26842" w14:textId="77777777" w:rsidR="00C604B2" w:rsidRPr="004F7C44" w:rsidRDefault="00C604B2" w:rsidP="00C604B2">
      <w:pPr>
        <w:pStyle w:val="ListParagraph"/>
        <w:numPr>
          <w:ilvl w:val="0"/>
          <w:numId w:val="1"/>
        </w:numPr>
        <w:spacing w:after="200" w:line="240" w:lineRule="auto"/>
        <w:rPr>
          <w:rFonts w:cs="Arial"/>
          <w:szCs w:val="22"/>
        </w:rPr>
      </w:pPr>
      <w:r w:rsidRPr="004F7C44">
        <w:rPr>
          <w:rFonts w:cs="Arial"/>
          <w:szCs w:val="22"/>
        </w:rPr>
        <w:t>a runny nose</w:t>
      </w:r>
    </w:p>
    <w:p w14:paraId="58F68AFC" w14:textId="77777777" w:rsidR="00C604B2" w:rsidRPr="004F7C44" w:rsidRDefault="00C604B2" w:rsidP="00C604B2">
      <w:pPr>
        <w:pStyle w:val="ListParagraph"/>
        <w:numPr>
          <w:ilvl w:val="0"/>
          <w:numId w:val="1"/>
        </w:numPr>
        <w:spacing w:after="200" w:line="240" w:lineRule="auto"/>
        <w:rPr>
          <w:rFonts w:cs="Arial"/>
          <w:szCs w:val="22"/>
        </w:rPr>
      </w:pPr>
      <w:r w:rsidRPr="004F7C44">
        <w:rPr>
          <w:rFonts w:cs="Arial"/>
          <w:szCs w:val="22"/>
        </w:rPr>
        <w:t>a fever</w:t>
      </w:r>
    </w:p>
    <w:p w14:paraId="053ECBAE" w14:textId="77777777" w:rsidR="00C604B2" w:rsidRPr="004F7C44" w:rsidRDefault="00C604B2" w:rsidP="00C604B2">
      <w:pPr>
        <w:pStyle w:val="ListParagraph"/>
        <w:numPr>
          <w:ilvl w:val="0"/>
          <w:numId w:val="1"/>
        </w:numPr>
        <w:spacing w:after="200" w:line="240" w:lineRule="auto"/>
        <w:rPr>
          <w:rFonts w:cs="Arial"/>
          <w:szCs w:val="22"/>
        </w:rPr>
      </w:pPr>
      <w:r w:rsidRPr="004F7C44">
        <w:rPr>
          <w:rFonts w:cs="Arial"/>
          <w:szCs w:val="22"/>
        </w:rPr>
        <w:t>a persistent cough</w:t>
      </w:r>
    </w:p>
    <w:p w14:paraId="5518756D" w14:textId="77777777" w:rsidR="00C604B2" w:rsidRPr="004F7C44" w:rsidRDefault="00C604B2" w:rsidP="00C604B2">
      <w:pPr>
        <w:spacing w:line="240" w:lineRule="auto"/>
        <w:rPr>
          <w:rFonts w:cs="Arial"/>
          <w:szCs w:val="22"/>
        </w:rPr>
      </w:pPr>
      <w:r w:rsidRPr="004F7C44">
        <w:rPr>
          <w:rFonts w:cs="Arial"/>
          <w:szCs w:val="22"/>
        </w:rPr>
        <w:t>or if you have been in a risk location identified by your state or territory, please go and get tested straight away.  It is important to get tested even if you have had the COVID-19 vaccine.</w:t>
      </w:r>
      <w:r>
        <w:rPr>
          <w:rFonts w:cs="Arial"/>
          <w:szCs w:val="22"/>
        </w:rPr>
        <w:t xml:space="preserve"> </w:t>
      </w:r>
      <w:r w:rsidRPr="004F7C44">
        <w:rPr>
          <w:rFonts w:cs="Arial"/>
          <w:szCs w:val="22"/>
        </w:rPr>
        <w:t xml:space="preserve">The best way to protect yourself and your community from COVID-19 is to get vaccinated. </w:t>
      </w:r>
    </w:p>
    <w:p w14:paraId="265DBEAD" w14:textId="77777777" w:rsidR="00C604B2" w:rsidRPr="004F7C44" w:rsidRDefault="00C604B2" w:rsidP="00C604B2">
      <w:pPr>
        <w:spacing w:line="240" w:lineRule="auto"/>
        <w:rPr>
          <w:rFonts w:cs="Arial"/>
          <w:b/>
          <w:bCs/>
          <w:szCs w:val="22"/>
        </w:rPr>
      </w:pPr>
      <w:r w:rsidRPr="004F7C44">
        <w:rPr>
          <w:rFonts w:cs="Arial"/>
          <w:b/>
          <w:bCs/>
          <w:szCs w:val="22"/>
        </w:rPr>
        <w:t>Resources</w:t>
      </w:r>
    </w:p>
    <w:p w14:paraId="7568B1C9" w14:textId="77777777" w:rsidR="00C604B2" w:rsidRPr="004F7C44" w:rsidRDefault="00C604B2" w:rsidP="00C604B2">
      <w:pPr>
        <w:spacing w:line="240" w:lineRule="auto"/>
        <w:rPr>
          <w:rFonts w:eastAsiaTheme="minorEastAsia" w:cs="Arial"/>
          <w:szCs w:val="22"/>
        </w:rPr>
      </w:pPr>
      <w:r w:rsidRPr="004F7C44">
        <w:rPr>
          <w:rFonts w:eastAsiaTheme="minorEastAsia" w:cs="Arial"/>
          <w:szCs w:val="22"/>
        </w:rPr>
        <w:t xml:space="preserve">The whole community plays an important role in stopping the spread of COVID-19. A range of resources are available on the Department of Health </w:t>
      </w:r>
      <w:hyperlink r:id="rId24">
        <w:r w:rsidRPr="004F7C44">
          <w:rPr>
            <w:rStyle w:val="Hyperlink"/>
            <w:rFonts w:eastAsiaTheme="minorEastAsia" w:cs="Arial"/>
            <w:szCs w:val="22"/>
          </w:rPr>
          <w:t>website</w:t>
        </w:r>
      </w:hyperlink>
      <w:r w:rsidRPr="004F7C44">
        <w:rPr>
          <w:rFonts w:eastAsiaTheme="minorEastAsia" w:cs="Arial"/>
          <w:szCs w:val="22"/>
        </w:rPr>
        <w:t xml:space="preserve"> to help you stay informed about the risks of COVID-19 and how to protect yourself and others. </w:t>
      </w:r>
    </w:p>
    <w:p w14:paraId="4C795C09" w14:textId="77777777" w:rsidR="00C604B2" w:rsidRPr="004F7C44" w:rsidRDefault="00C604B2" w:rsidP="00C604B2">
      <w:pPr>
        <w:spacing w:line="240" w:lineRule="auto"/>
        <w:rPr>
          <w:rFonts w:eastAsiaTheme="minorEastAsia" w:cs="Arial"/>
          <w:szCs w:val="22"/>
        </w:rPr>
      </w:pPr>
      <w:r w:rsidRPr="004F7C44">
        <w:rPr>
          <w:rFonts w:eastAsiaTheme="minorEastAsia" w:cs="Arial"/>
          <w:szCs w:val="22"/>
        </w:rPr>
        <w:t xml:space="preserve">Recently, the Department of Health released a </w:t>
      </w:r>
      <w:hyperlink r:id="rId25" w:history="1">
        <w:r w:rsidRPr="004F7C44">
          <w:rPr>
            <w:rStyle w:val="Hyperlink"/>
            <w:rFonts w:eastAsiaTheme="minorEastAsia" w:cs="Arial"/>
            <w:szCs w:val="22"/>
          </w:rPr>
          <w:t>video</w:t>
        </w:r>
      </w:hyperlink>
      <w:r w:rsidRPr="004F7C44">
        <w:rPr>
          <w:rFonts w:eastAsiaTheme="minorEastAsia" w:cs="Arial"/>
          <w:szCs w:val="22"/>
        </w:rPr>
        <w:t xml:space="preserve"> from Thursday Island explaining the importance of being vaccinated against COVID-19. </w:t>
      </w:r>
    </w:p>
    <w:p w14:paraId="66CCB463" w14:textId="77777777" w:rsidR="00C604B2" w:rsidRDefault="00C604B2" w:rsidP="000F4843">
      <w:pPr>
        <w:spacing w:line="240" w:lineRule="auto"/>
        <w:rPr>
          <w:rFonts w:ascii="Times New Roman" w:eastAsia="Times New Roman" w:hAnsi="Times New Roman"/>
          <w:b/>
          <w:sz w:val="24"/>
          <w:lang w:eastAsia="en-GB"/>
        </w:rPr>
      </w:pPr>
      <w:r w:rsidRPr="004F7C44">
        <w:rPr>
          <w:rFonts w:eastAsiaTheme="minorEastAsia" w:cs="Arial"/>
          <w:szCs w:val="22"/>
        </w:rPr>
        <w:t xml:space="preserve">The Department of Health provides regular electronic newsletter updates about the Aboriginal and Torres Strait Islander response to COVID-19. </w:t>
      </w:r>
      <w:hyperlink r:id="rId26">
        <w:r w:rsidRPr="004F7C44">
          <w:rPr>
            <w:rStyle w:val="Hyperlink"/>
            <w:rFonts w:eastAsiaTheme="minorEastAsia" w:cs="Arial"/>
            <w:szCs w:val="22"/>
          </w:rPr>
          <w:t>Subscribe</w:t>
        </w:r>
      </w:hyperlink>
      <w:r w:rsidRPr="004F7C44">
        <w:rPr>
          <w:rFonts w:eastAsiaTheme="minorEastAsia" w:cs="Arial"/>
          <w:szCs w:val="22"/>
        </w:rPr>
        <w:t xml:space="preserve"> to directly receive these updates.</w:t>
      </w:r>
    </w:p>
    <w:p w14:paraId="5631221D" w14:textId="77777777" w:rsidR="00C604B2" w:rsidRPr="00BF5C53" w:rsidRDefault="00C604B2" w:rsidP="006E1A62">
      <w:pPr>
        <w:spacing w:line="240" w:lineRule="auto"/>
      </w:pPr>
    </w:p>
    <w:sectPr w:rsidR="00C604B2" w:rsidRPr="00BF5C53" w:rsidSect="003437EE">
      <w:headerReference w:type="default" r:id="rId27"/>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C58F" w14:textId="77777777" w:rsidR="009154BE" w:rsidRDefault="009154BE" w:rsidP="003437EE">
      <w:pPr>
        <w:spacing w:after="0" w:line="240" w:lineRule="auto"/>
      </w:pPr>
      <w:r>
        <w:separator/>
      </w:r>
    </w:p>
  </w:endnote>
  <w:endnote w:type="continuationSeparator" w:id="0">
    <w:p w14:paraId="0777F8A5" w14:textId="77777777" w:rsidR="009154BE" w:rsidRDefault="009154BE" w:rsidP="003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198412"/>
      <w:docPartObj>
        <w:docPartGallery w:val="Page Numbers (Bottom of Page)"/>
        <w:docPartUnique/>
      </w:docPartObj>
    </w:sdtPr>
    <w:sdtEndPr>
      <w:rPr>
        <w:noProof/>
      </w:rPr>
    </w:sdtEndPr>
    <w:sdtContent>
      <w:p w14:paraId="684C4A65" w14:textId="77777777" w:rsidR="00C604B2" w:rsidRDefault="00C604B2">
        <w:pPr>
          <w:pStyle w:val="Footer"/>
          <w:jc w:val="center"/>
        </w:pPr>
        <w:r>
          <w:fldChar w:fldCharType="begin"/>
        </w:r>
        <w:r>
          <w:instrText xml:space="preserve"> PAGE   \* MERGEFORMAT </w:instrText>
        </w:r>
        <w:r>
          <w:fldChar w:fldCharType="separate"/>
        </w:r>
        <w:r w:rsidR="00012B86">
          <w:rPr>
            <w:noProof/>
          </w:rPr>
          <w:t>3</w:t>
        </w:r>
        <w:r>
          <w:rPr>
            <w:noProof/>
          </w:rPr>
          <w:fldChar w:fldCharType="end"/>
        </w:r>
      </w:p>
    </w:sdtContent>
  </w:sdt>
  <w:p w14:paraId="51CEFBD4" w14:textId="77777777" w:rsidR="00C604B2" w:rsidRDefault="00C6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EDF37" w14:textId="77777777" w:rsidR="009154BE" w:rsidRDefault="009154BE" w:rsidP="003437EE">
      <w:pPr>
        <w:spacing w:after="0" w:line="240" w:lineRule="auto"/>
      </w:pPr>
      <w:r>
        <w:separator/>
      </w:r>
    </w:p>
  </w:footnote>
  <w:footnote w:type="continuationSeparator" w:id="0">
    <w:p w14:paraId="06E65982" w14:textId="77777777" w:rsidR="009154BE" w:rsidRDefault="009154BE" w:rsidP="0034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042B" w14:textId="77777777" w:rsidR="003437EE" w:rsidRDefault="003437EE">
    <w:pPr>
      <w:pStyle w:val="Header"/>
    </w:pPr>
    <w:r>
      <w:rPr>
        <w:noProof/>
        <w:lang w:eastAsia="en-AU"/>
      </w:rPr>
      <w:drawing>
        <wp:anchor distT="0" distB="0" distL="114300" distR="114300" simplePos="0" relativeHeight="251661312" behindDoc="1" locked="1" layoutInCell="1" allowOverlap="1" wp14:anchorId="61EC0954" wp14:editId="372EBFEC">
          <wp:simplePos x="0" y="0"/>
          <wp:positionH relativeFrom="page">
            <wp:align>left</wp:align>
          </wp:positionH>
          <wp:positionV relativeFrom="page">
            <wp:posOffset>20320</wp:posOffset>
          </wp:positionV>
          <wp:extent cx="7558405" cy="1069149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68E7" w14:textId="77777777" w:rsidR="003437EE" w:rsidRDefault="003437EE">
    <w:pPr>
      <w:pStyle w:val="Header"/>
    </w:pPr>
    <w:r w:rsidRPr="003437EE">
      <w:rPr>
        <w:noProof/>
        <w:lang w:eastAsia="en-AU"/>
      </w:rPr>
      <w:drawing>
        <wp:anchor distT="0" distB="0" distL="114300" distR="114300" simplePos="0" relativeHeight="251659264" behindDoc="1" locked="0" layoutInCell="1" allowOverlap="1" wp14:anchorId="17858380" wp14:editId="781272E7">
          <wp:simplePos x="0" y="0"/>
          <wp:positionH relativeFrom="page">
            <wp:align>right</wp:align>
          </wp:positionH>
          <wp:positionV relativeFrom="paragraph">
            <wp:posOffset>-438785</wp:posOffset>
          </wp:positionV>
          <wp:extent cx="7549383" cy="10677525"/>
          <wp:effectExtent l="0" t="0" r="0" b="0"/>
          <wp:wrapNone/>
          <wp:docPr id="1" name="Picture 1" descr="I:\Staging\Health Communication Campaigns\COVID-19 Vaccines campaign\Aboriginal and Torres Strait Islanders\Below the line creative\Design Templates\Older versions\OLD COVID template\000032_Indigenous_letterhead_factsheet - no t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ging\Health Communication Campaigns\COVID-19 Vaccines campaign\Aboriginal and Torres Strait Islanders\Below the line creative\Design Templates\Older versions\OLD COVID template\000032_Indigenous_letterhead_factsheet - no tab(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383"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388"/>
    <w:multiLevelType w:val="hybridMultilevel"/>
    <w:tmpl w:val="6A140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33062B"/>
    <w:multiLevelType w:val="hybridMultilevel"/>
    <w:tmpl w:val="AEE28E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4C3010A5"/>
    <w:multiLevelType w:val="hybridMultilevel"/>
    <w:tmpl w:val="845E8890"/>
    <w:lvl w:ilvl="0" w:tplc="62364F48">
      <w:start w:val="1"/>
      <w:numFmt w:val="bullet"/>
      <w:lvlText w:val="·"/>
      <w:lvlJc w:val="left"/>
      <w:pPr>
        <w:ind w:left="720" w:hanging="360"/>
      </w:pPr>
      <w:rPr>
        <w:rFonts w:ascii="Symbol" w:hAnsi="Symbol" w:hint="default"/>
      </w:rPr>
    </w:lvl>
    <w:lvl w:ilvl="1" w:tplc="D1764626">
      <w:start w:val="1"/>
      <w:numFmt w:val="bullet"/>
      <w:lvlText w:val="o"/>
      <w:lvlJc w:val="left"/>
      <w:pPr>
        <w:ind w:left="1440" w:hanging="360"/>
      </w:pPr>
      <w:rPr>
        <w:rFonts w:ascii="Courier New" w:hAnsi="Courier New" w:hint="default"/>
      </w:rPr>
    </w:lvl>
    <w:lvl w:ilvl="2" w:tplc="93629F70">
      <w:start w:val="1"/>
      <w:numFmt w:val="bullet"/>
      <w:lvlText w:val=""/>
      <w:lvlJc w:val="left"/>
      <w:pPr>
        <w:ind w:left="2160" w:hanging="360"/>
      </w:pPr>
      <w:rPr>
        <w:rFonts w:ascii="Wingdings" w:hAnsi="Wingdings" w:hint="default"/>
      </w:rPr>
    </w:lvl>
    <w:lvl w:ilvl="3" w:tplc="1998235E">
      <w:start w:val="1"/>
      <w:numFmt w:val="bullet"/>
      <w:lvlText w:val=""/>
      <w:lvlJc w:val="left"/>
      <w:pPr>
        <w:ind w:left="2880" w:hanging="360"/>
      </w:pPr>
      <w:rPr>
        <w:rFonts w:ascii="Symbol" w:hAnsi="Symbol" w:hint="default"/>
      </w:rPr>
    </w:lvl>
    <w:lvl w:ilvl="4" w:tplc="3E2A4406">
      <w:start w:val="1"/>
      <w:numFmt w:val="bullet"/>
      <w:lvlText w:val="o"/>
      <w:lvlJc w:val="left"/>
      <w:pPr>
        <w:ind w:left="3600" w:hanging="360"/>
      </w:pPr>
      <w:rPr>
        <w:rFonts w:ascii="Courier New" w:hAnsi="Courier New" w:hint="default"/>
      </w:rPr>
    </w:lvl>
    <w:lvl w:ilvl="5" w:tplc="E4CCF62A">
      <w:start w:val="1"/>
      <w:numFmt w:val="bullet"/>
      <w:lvlText w:val=""/>
      <w:lvlJc w:val="left"/>
      <w:pPr>
        <w:ind w:left="4320" w:hanging="360"/>
      </w:pPr>
      <w:rPr>
        <w:rFonts w:ascii="Wingdings" w:hAnsi="Wingdings" w:hint="default"/>
      </w:rPr>
    </w:lvl>
    <w:lvl w:ilvl="6" w:tplc="5C10470E">
      <w:start w:val="1"/>
      <w:numFmt w:val="bullet"/>
      <w:lvlText w:val=""/>
      <w:lvlJc w:val="left"/>
      <w:pPr>
        <w:ind w:left="5040" w:hanging="360"/>
      </w:pPr>
      <w:rPr>
        <w:rFonts w:ascii="Symbol" w:hAnsi="Symbol" w:hint="default"/>
      </w:rPr>
    </w:lvl>
    <w:lvl w:ilvl="7" w:tplc="5BD0C84C">
      <w:start w:val="1"/>
      <w:numFmt w:val="bullet"/>
      <w:lvlText w:val="o"/>
      <w:lvlJc w:val="left"/>
      <w:pPr>
        <w:ind w:left="5760" w:hanging="360"/>
      </w:pPr>
      <w:rPr>
        <w:rFonts w:ascii="Courier New" w:hAnsi="Courier New" w:hint="default"/>
      </w:rPr>
    </w:lvl>
    <w:lvl w:ilvl="8" w:tplc="AD8E9F5C">
      <w:start w:val="1"/>
      <w:numFmt w:val="bullet"/>
      <w:lvlText w:val=""/>
      <w:lvlJc w:val="left"/>
      <w:pPr>
        <w:ind w:left="6480" w:hanging="360"/>
      </w:pPr>
      <w:rPr>
        <w:rFonts w:ascii="Wingdings" w:hAnsi="Wingdings" w:hint="default"/>
      </w:rPr>
    </w:lvl>
  </w:abstractNum>
  <w:abstractNum w:abstractNumId="3" w15:restartNumberingAfterBreak="0">
    <w:nsid w:val="58B13EBD"/>
    <w:multiLevelType w:val="hybridMultilevel"/>
    <w:tmpl w:val="43D81E04"/>
    <w:lvl w:ilvl="0" w:tplc="EB84AB78">
      <w:start w:val="1"/>
      <w:numFmt w:val="bullet"/>
      <w:lvlText w:val=""/>
      <w:lvlJc w:val="left"/>
      <w:pPr>
        <w:ind w:left="720" w:hanging="360"/>
      </w:pPr>
      <w:rPr>
        <w:rFonts w:ascii="Symbol" w:hAnsi="Symbol" w:hint="default"/>
      </w:rPr>
    </w:lvl>
    <w:lvl w:ilvl="1" w:tplc="95AC86D0">
      <w:start w:val="1"/>
      <w:numFmt w:val="bullet"/>
      <w:lvlText w:val="o"/>
      <w:lvlJc w:val="left"/>
      <w:pPr>
        <w:ind w:left="1440" w:hanging="360"/>
      </w:pPr>
      <w:rPr>
        <w:rFonts w:ascii="Courier New" w:hAnsi="Courier New" w:hint="default"/>
      </w:rPr>
    </w:lvl>
    <w:lvl w:ilvl="2" w:tplc="7D98CCA6">
      <w:start w:val="1"/>
      <w:numFmt w:val="bullet"/>
      <w:lvlText w:val=""/>
      <w:lvlJc w:val="left"/>
      <w:pPr>
        <w:ind w:left="2160" w:hanging="360"/>
      </w:pPr>
      <w:rPr>
        <w:rFonts w:ascii="Wingdings" w:hAnsi="Wingdings" w:hint="default"/>
      </w:rPr>
    </w:lvl>
    <w:lvl w:ilvl="3" w:tplc="ABAC7596">
      <w:start w:val="1"/>
      <w:numFmt w:val="bullet"/>
      <w:lvlText w:val=""/>
      <w:lvlJc w:val="left"/>
      <w:pPr>
        <w:ind w:left="2880" w:hanging="360"/>
      </w:pPr>
      <w:rPr>
        <w:rFonts w:ascii="Symbol" w:hAnsi="Symbol" w:hint="default"/>
      </w:rPr>
    </w:lvl>
    <w:lvl w:ilvl="4" w:tplc="8CCC01D0">
      <w:start w:val="1"/>
      <w:numFmt w:val="bullet"/>
      <w:lvlText w:val="o"/>
      <w:lvlJc w:val="left"/>
      <w:pPr>
        <w:ind w:left="3600" w:hanging="360"/>
      </w:pPr>
      <w:rPr>
        <w:rFonts w:ascii="Courier New" w:hAnsi="Courier New" w:hint="default"/>
      </w:rPr>
    </w:lvl>
    <w:lvl w:ilvl="5" w:tplc="E416C8DC">
      <w:start w:val="1"/>
      <w:numFmt w:val="bullet"/>
      <w:lvlText w:val=""/>
      <w:lvlJc w:val="left"/>
      <w:pPr>
        <w:ind w:left="4320" w:hanging="360"/>
      </w:pPr>
      <w:rPr>
        <w:rFonts w:ascii="Wingdings" w:hAnsi="Wingdings" w:hint="default"/>
      </w:rPr>
    </w:lvl>
    <w:lvl w:ilvl="6" w:tplc="4A226DCE">
      <w:start w:val="1"/>
      <w:numFmt w:val="bullet"/>
      <w:lvlText w:val=""/>
      <w:lvlJc w:val="left"/>
      <w:pPr>
        <w:ind w:left="5040" w:hanging="360"/>
      </w:pPr>
      <w:rPr>
        <w:rFonts w:ascii="Symbol" w:hAnsi="Symbol" w:hint="default"/>
      </w:rPr>
    </w:lvl>
    <w:lvl w:ilvl="7" w:tplc="F9E6ABCE">
      <w:start w:val="1"/>
      <w:numFmt w:val="bullet"/>
      <w:lvlText w:val="o"/>
      <w:lvlJc w:val="left"/>
      <w:pPr>
        <w:ind w:left="5760" w:hanging="360"/>
      </w:pPr>
      <w:rPr>
        <w:rFonts w:ascii="Courier New" w:hAnsi="Courier New" w:hint="default"/>
      </w:rPr>
    </w:lvl>
    <w:lvl w:ilvl="8" w:tplc="7AE89C70">
      <w:start w:val="1"/>
      <w:numFmt w:val="bullet"/>
      <w:lvlText w:val=""/>
      <w:lvlJc w:val="left"/>
      <w:pPr>
        <w:ind w:left="6480" w:hanging="360"/>
      </w:pPr>
      <w:rPr>
        <w:rFonts w:ascii="Wingdings" w:hAnsi="Wingdings" w:hint="default"/>
      </w:rPr>
    </w:lvl>
  </w:abstractNum>
  <w:abstractNum w:abstractNumId="4" w15:restartNumberingAfterBreak="0">
    <w:nsid w:val="6C530942"/>
    <w:multiLevelType w:val="hybridMultilevel"/>
    <w:tmpl w:val="9C249A10"/>
    <w:lvl w:ilvl="0" w:tplc="EB1298CC">
      <w:start w:val="1"/>
      <w:numFmt w:val="bullet"/>
      <w:lvlText w:val=""/>
      <w:lvlJc w:val="left"/>
      <w:pPr>
        <w:ind w:left="720" w:hanging="360"/>
      </w:pPr>
      <w:rPr>
        <w:rFonts w:ascii="Symbol" w:hAnsi="Symbol" w:hint="default"/>
      </w:rPr>
    </w:lvl>
    <w:lvl w:ilvl="1" w:tplc="3B34BE58">
      <w:start w:val="1"/>
      <w:numFmt w:val="bullet"/>
      <w:lvlText w:val="o"/>
      <w:lvlJc w:val="left"/>
      <w:pPr>
        <w:ind w:left="1440" w:hanging="360"/>
      </w:pPr>
      <w:rPr>
        <w:rFonts w:ascii="Courier New" w:hAnsi="Courier New" w:hint="default"/>
      </w:rPr>
    </w:lvl>
    <w:lvl w:ilvl="2" w:tplc="D45EBA76">
      <w:start w:val="1"/>
      <w:numFmt w:val="bullet"/>
      <w:lvlText w:val=""/>
      <w:lvlJc w:val="left"/>
      <w:pPr>
        <w:ind w:left="2160" w:hanging="360"/>
      </w:pPr>
      <w:rPr>
        <w:rFonts w:ascii="Wingdings" w:hAnsi="Wingdings" w:hint="default"/>
      </w:rPr>
    </w:lvl>
    <w:lvl w:ilvl="3" w:tplc="E522D416">
      <w:start w:val="1"/>
      <w:numFmt w:val="bullet"/>
      <w:lvlText w:val=""/>
      <w:lvlJc w:val="left"/>
      <w:pPr>
        <w:ind w:left="2880" w:hanging="360"/>
      </w:pPr>
      <w:rPr>
        <w:rFonts w:ascii="Symbol" w:hAnsi="Symbol" w:hint="default"/>
      </w:rPr>
    </w:lvl>
    <w:lvl w:ilvl="4" w:tplc="F5401D6A">
      <w:start w:val="1"/>
      <w:numFmt w:val="bullet"/>
      <w:lvlText w:val="o"/>
      <w:lvlJc w:val="left"/>
      <w:pPr>
        <w:ind w:left="3600" w:hanging="360"/>
      </w:pPr>
      <w:rPr>
        <w:rFonts w:ascii="Courier New" w:hAnsi="Courier New" w:hint="default"/>
      </w:rPr>
    </w:lvl>
    <w:lvl w:ilvl="5" w:tplc="E4924416">
      <w:start w:val="1"/>
      <w:numFmt w:val="bullet"/>
      <w:lvlText w:val=""/>
      <w:lvlJc w:val="left"/>
      <w:pPr>
        <w:ind w:left="4320" w:hanging="360"/>
      </w:pPr>
      <w:rPr>
        <w:rFonts w:ascii="Wingdings" w:hAnsi="Wingdings" w:hint="default"/>
      </w:rPr>
    </w:lvl>
    <w:lvl w:ilvl="6" w:tplc="8AF2DEFA">
      <w:start w:val="1"/>
      <w:numFmt w:val="bullet"/>
      <w:lvlText w:val=""/>
      <w:lvlJc w:val="left"/>
      <w:pPr>
        <w:ind w:left="5040" w:hanging="360"/>
      </w:pPr>
      <w:rPr>
        <w:rFonts w:ascii="Symbol" w:hAnsi="Symbol" w:hint="default"/>
      </w:rPr>
    </w:lvl>
    <w:lvl w:ilvl="7" w:tplc="CB76189A">
      <w:start w:val="1"/>
      <w:numFmt w:val="bullet"/>
      <w:lvlText w:val="o"/>
      <w:lvlJc w:val="left"/>
      <w:pPr>
        <w:ind w:left="5760" w:hanging="360"/>
      </w:pPr>
      <w:rPr>
        <w:rFonts w:ascii="Courier New" w:hAnsi="Courier New" w:hint="default"/>
      </w:rPr>
    </w:lvl>
    <w:lvl w:ilvl="8" w:tplc="43D811D2">
      <w:start w:val="1"/>
      <w:numFmt w:val="bullet"/>
      <w:lvlText w:val=""/>
      <w:lvlJc w:val="left"/>
      <w:pPr>
        <w:ind w:left="6480" w:hanging="360"/>
      </w:pPr>
      <w:rPr>
        <w:rFonts w:ascii="Wingdings" w:hAnsi="Wingdings" w:hint="default"/>
      </w:rPr>
    </w:lvl>
  </w:abstractNum>
  <w:abstractNum w:abstractNumId="5" w15:restartNumberingAfterBreak="0">
    <w:nsid w:val="7D975F9C"/>
    <w:multiLevelType w:val="hybridMultilevel"/>
    <w:tmpl w:val="D06C385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EE"/>
    <w:rsid w:val="00012B86"/>
    <w:rsid w:val="000F4843"/>
    <w:rsid w:val="00270998"/>
    <w:rsid w:val="00280050"/>
    <w:rsid w:val="003437EE"/>
    <w:rsid w:val="00351FE3"/>
    <w:rsid w:val="006E1A62"/>
    <w:rsid w:val="009154BE"/>
    <w:rsid w:val="00BC227A"/>
    <w:rsid w:val="00C05F37"/>
    <w:rsid w:val="00C604B2"/>
    <w:rsid w:val="00E6480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20769"/>
  <w15:chartTrackingRefBased/>
  <w15:docId w15:val="{885E4585-29FA-4063-B765-DBD21C1A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E"/>
    <w:rPr>
      <w:rFonts w:ascii="Arial" w:hAnsi="Arial"/>
      <w:sz w:val="22"/>
    </w:rPr>
  </w:style>
  <w:style w:type="paragraph" w:styleId="Heading1">
    <w:name w:val="heading 1"/>
    <w:basedOn w:val="Normal"/>
    <w:next w:val="Normal"/>
    <w:link w:val="Heading1Char"/>
    <w:uiPriority w:val="9"/>
    <w:qFormat/>
    <w:rsid w:val="003437EE"/>
    <w:pPr>
      <w:spacing w:before="240" w:after="0" w:line="240" w:lineRule="auto"/>
      <w:outlineLvl w:val="0"/>
    </w:pPr>
    <w:rPr>
      <w:rFonts w:cs="Arial"/>
      <w:b/>
      <w:sz w:val="72"/>
      <w:szCs w:val="72"/>
    </w:rPr>
  </w:style>
  <w:style w:type="paragraph" w:styleId="Heading3">
    <w:name w:val="heading 3"/>
    <w:next w:val="Normal"/>
    <w:link w:val="Heading3Char"/>
    <w:uiPriority w:val="9"/>
    <w:unhideWhenUsed/>
    <w:qFormat/>
    <w:rsid w:val="003437EE"/>
    <w:pPr>
      <w:keepNext/>
      <w:keepLines/>
      <w:spacing w:before="40"/>
      <w:outlineLvl w:val="2"/>
    </w:pPr>
    <w:rPr>
      <w:rFonts w:ascii="Arial" w:eastAsiaTheme="majorEastAsia"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7EE"/>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437EE"/>
  </w:style>
  <w:style w:type="paragraph" w:styleId="Footer">
    <w:name w:val="footer"/>
    <w:basedOn w:val="Normal"/>
    <w:link w:val="FooterChar"/>
    <w:uiPriority w:val="99"/>
    <w:unhideWhenUsed/>
    <w:rsid w:val="003437EE"/>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437EE"/>
  </w:style>
  <w:style w:type="character" w:customStyle="1" w:styleId="Heading1Char">
    <w:name w:val="Heading 1 Char"/>
    <w:basedOn w:val="DefaultParagraphFont"/>
    <w:link w:val="Heading1"/>
    <w:uiPriority w:val="9"/>
    <w:rsid w:val="003437EE"/>
    <w:rPr>
      <w:rFonts w:ascii="Arial" w:hAnsi="Arial" w:cs="Arial"/>
      <w:b/>
      <w:sz w:val="72"/>
      <w:szCs w:val="72"/>
    </w:rPr>
  </w:style>
  <w:style w:type="character" w:customStyle="1" w:styleId="Heading3Char">
    <w:name w:val="Heading 3 Char"/>
    <w:basedOn w:val="DefaultParagraphFont"/>
    <w:link w:val="Heading3"/>
    <w:uiPriority w:val="9"/>
    <w:rsid w:val="003437EE"/>
    <w:rPr>
      <w:rFonts w:ascii="Arial" w:eastAsiaTheme="majorEastAsia" w:hAnsi="Arial" w:cs="Arial"/>
      <w:b/>
      <w:sz w:val="32"/>
      <w:szCs w:val="32"/>
    </w:rPr>
  </w:style>
  <w:style w:type="character" w:styleId="Hyperlink">
    <w:name w:val="Hyperlink"/>
    <w:basedOn w:val="DefaultParagraphFont"/>
    <w:uiPriority w:val="99"/>
    <w:unhideWhenUsed/>
    <w:rsid w:val="003437EE"/>
    <w:rPr>
      <w:color w:val="0563C1" w:themeColor="hyperlink"/>
      <w:u w:val="single"/>
    </w:rPr>
  </w:style>
  <w:style w:type="paragraph" w:customStyle="1" w:styleId="Style1">
    <w:name w:val="Style1"/>
    <w:basedOn w:val="ListParagraph"/>
    <w:link w:val="Style1Char"/>
    <w:qFormat/>
    <w:rsid w:val="003437EE"/>
    <w:pPr>
      <w:spacing w:line="240" w:lineRule="auto"/>
      <w:ind w:left="360" w:hanging="360"/>
      <w:contextualSpacing w:val="0"/>
    </w:pPr>
    <w:rPr>
      <w:rFonts w:asciiTheme="minorHAnsi" w:eastAsia="Calibri" w:hAnsiTheme="minorHAnsi" w:cstheme="minorHAnsi"/>
      <w:sz w:val="24"/>
    </w:rPr>
  </w:style>
  <w:style w:type="character" w:customStyle="1" w:styleId="Style1Char">
    <w:name w:val="Style1 Char"/>
    <w:basedOn w:val="DefaultParagraphFont"/>
    <w:link w:val="Style1"/>
    <w:rsid w:val="003437EE"/>
    <w:rPr>
      <w:rFonts w:asciiTheme="minorHAnsi" w:eastAsia="Calibri" w:hAnsiTheme="minorHAnsi" w:cstheme="minorHAnsi"/>
    </w:rPr>
  </w:style>
  <w:style w:type="character" w:customStyle="1" w:styleId="normaltextrun1">
    <w:name w:val="normaltextrun1"/>
    <w:basedOn w:val="DefaultParagraphFont"/>
    <w:rsid w:val="003437EE"/>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437EE"/>
    <w:pPr>
      <w:ind w:left="720"/>
      <w:contextualSpacing/>
    </w:pPr>
  </w:style>
  <w:style w:type="character" w:styleId="CommentReference">
    <w:name w:val="annotation reference"/>
    <w:basedOn w:val="DefaultParagraphFont"/>
    <w:uiPriority w:val="99"/>
    <w:semiHidden/>
    <w:unhideWhenUsed/>
    <w:rsid w:val="00C604B2"/>
    <w:rPr>
      <w:sz w:val="16"/>
      <w:szCs w:val="16"/>
    </w:rPr>
  </w:style>
  <w:style w:type="paragraph" w:styleId="CommentText">
    <w:name w:val="annotation text"/>
    <w:basedOn w:val="Normal"/>
    <w:link w:val="CommentTextChar"/>
    <w:uiPriority w:val="99"/>
    <w:semiHidden/>
    <w:unhideWhenUsed/>
    <w:rsid w:val="00C604B2"/>
    <w:pPr>
      <w:spacing w:line="240" w:lineRule="auto"/>
    </w:pPr>
    <w:rPr>
      <w:sz w:val="20"/>
      <w:szCs w:val="20"/>
    </w:rPr>
  </w:style>
  <w:style w:type="character" w:customStyle="1" w:styleId="CommentTextChar">
    <w:name w:val="Comment Text Char"/>
    <w:basedOn w:val="DefaultParagraphFont"/>
    <w:link w:val="CommentText"/>
    <w:uiPriority w:val="99"/>
    <w:semiHidden/>
    <w:rsid w:val="00C604B2"/>
    <w:rPr>
      <w:rFonts w:ascii="Arial" w:hAnsi="Arial"/>
      <w:sz w:val="20"/>
      <w:szCs w:val="20"/>
    </w:rPr>
  </w:style>
  <w:style w:type="character" w:customStyle="1" w:styleId="normaltextrun">
    <w:name w:val="normaltextrun"/>
    <w:basedOn w:val="DefaultParagraphFont"/>
    <w:rsid w:val="00C604B2"/>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604B2"/>
    <w:rPr>
      <w:rFonts w:ascii="Arial" w:hAnsi="Arial"/>
      <w:sz w:val="22"/>
    </w:rPr>
  </w:style>
  <w:style w:type="paragraph" w:styleId="BalloonText">
    <w:name w:val="Balloon Text"/>
    <w:basedOn w:val="Normal"/>
    <w:link w:val="BalloonTextChar"/>
    <w:uiPriority w:val="99"/>
    <w:semiHidden/>
    <w:unhideWhenUsed/>
    <w:rsid w:val="00C60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9492">
      <w:bodyDiv w:val="1"/>
      <w:marLeft w:val="0"/>
      <w:marRight w:val="0"/>
      <w:marTop w:val="0"/>
      <w:marBottom w:val="0"/>
      <w:divBdr>
        <w:top w:val="none" w:sz="0" w:space="0" w:color="auto"/>
        <w:left w:val="none" w:sz="0" w:space="0" w:color="auto"/>
        <w:bottom w:val="none" w:sz="0" w:space="0" w:color="auto"/>
        <w:right w:val="none" w:sz="0" w:space="0" w:color="auto"/>
      </w:divBdr>
    </w:div>
    <w:div w:id="12413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1-07-01/remote-communities-in-central-australia-lining-up-for-vaccine/13426764?nw=0" TargetMode="External"/><Relationship Id="rId13" Type="http://schemas.openxmlformats.org/officeDocument/2006/relationships/hyperlink" Target="https://www.pm.gov.au/media/national-cabinet-statement-5" TargetMode="External"/><Relationship Id="rId18" Type="http://schemas.openxmlformats.org/officeDocument/2006/relationships/diagramData" Target="diagrams/data1.xml"/><Relationship Id="rId26" Type="http://schemas.openxmlformats.org/officeDocument/2006/relationships/hyperlink" Target="https://health.us19.list-manage.com/subscribe?u=5d358769e5f779a1a830c2bd0&amp;id=685bb3b3b8" TargetMode="Externa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hyperlink" Target="https://www.health.gov.au/committees-and-groups/aboriginal-and-torres-strait-islander-advisory-group-on-covid-19" TargetMode="External"/><Relationship Id="rId12" Type="http://schemas.openxmlformats.org/officeDocument/2006/relationships/hyperlink" Target="https://covid-vaccine.healthdirect.gov.au/" TargetMode="External"/><Relationship Id="rId17" Type="http://schemas.openxmlformats.org/officeDocument/2006/relationships/image" Target="media/image2.png"/><Relationship Id="rId25" Type="http://schemas.openxmlformats.org/officeDocument/2006/relationships/hyperlink" Target="https://www.health.gov.au/resources/videos/covid-19-vaccination-video-ella-kris-wants-her-thursday-island-mob-protected-from-covid-19"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diagramQuickStyle" Target="diagrams/quickStyle1.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gaanyatjarracouncil/" TargetMode="External"/><Relationship Id="rId24" Type="http://schemas.openxmlformats.org/officeDocument/2006/relationships/hyperlink" Target="http://www.health.gov.au/news/health-alerts/novel-coronavirus-2019-ncov-health-alert/advice-for-people-at-risk-of-coronavirus-covid-19/coronavirus-covid-19-advice-for-aboriginal-and-torres-strait-islander-peoples-and-remote-communities" TargetMode="External"/><Relationship Id="rId5" Type="http://schemas.openxmlformats.org/officeDocument/2006/relationships/footnotes" Target="footnotes.xml"/><Relationship Id="rId15" Type="http://schemas.openxmlformats.org/officeDocument/2006/relationships/hyperlink" Target="https://www.pm.gov.au/media/national-cabinet-statement-6"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www.katherinetimes.com.au/story/7323423/vaccine-bookings-rise-in-katherine-following-northern-territory-lockdowns/" TargetMode="Externa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576761022776100/posts/1237947263324136/?d=n" TargetMode="External"/><Relationship Id="rId14" Type="http://schemas.openxmlformats.org/officeDocument/2006/relationships/hyperlink" Target="https://www.pm.gov.au/sites/default/files/media/national-plan-to-transition-australias-national-covid-19-response-july-2021.pdf" TargetMode="External"/><Relationship Id="rId22" Type="http://schemas.microsoft.com/office/2007/relationships/diagramDrawing" Target="diagrams/drawing1.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3ED8A1-D527-4D64-80C6-55F083A5C3EF}" type="doc">
      <dgm:prSet loTypeId="urn:microsoft.com/office/officeart/2008/layout/VerticalCurvedList" loCatId="list" qsTypeId="urn:microsoft.com/office/officeart/2005/8/quickstyle/simple1" qsCatId="simple" csTypeId="urn:microsoft.com/office/officeart/2005/8/colors/accent1_2" csCatId="accent1" phldr="1"/>
      <dgm:spPr/>
    </dgm:pt>
    <dgm:pt modelId="{05487930-33EB-4263-A3A5-5CC9423F9A72}">
      <dgm:prSet phldrT="[Text]" custT="1"/>
      <dgm:spPr>
        <a:solidFill>
          <a:srgbClr val="DEABDF"/>
        </a:solidFill>
        <a:ln>
          <a:solidFill>
            <a:srgbClr val="DEABDF"/>
          </a:solidFill>
        </a:ln>
      </dgm:spPr>
      <dgm:t>
        <a:bodyPr/>
        <a:lstStyle/>
        <a:p>
          <a:pPr algn="ctr"/>
          <a:r>
            <a:rPr lang="en-AU" sz="1200" b="1"/>
            <a:t>162 recorded cases</a:t>
          </a:r>
        </a:p>
      </dgm:t>
    </dgm:pt>
    <dgm:pt modelId="{0D37226E-31FD-46C7-AD49-0F0030B695CD}" type="parTrans" cxnId="{D19634EE-C9C2-498C-BA26-300EB199D3E1}">
      <dgm:prSet/>
      <dgm:spPr/>
      <dgm:t>
        <a:bodyPr/>
        <a:lstStyle/>
        <a:p>
          <a:endParaRPr lang="en-AU"/>
        </a:p>
      </dgm:t>
    </dgm:pt>
    <dgm:pt modelId="{7A21E69D-A8D7-47DA-9FF5-B80390F3116A}" type="sibTrans" cxnId="{D19634EE-C9C2-498C-BA26-300EB199D3E1}">
      <dgm:prSet/>
      <dgm:spPr>
        <a:ln>
          <a:solidFill>
            <a:schemeClr val="tx1"/>
          </a:solidFill>
        </a:ln>
      </dgm:spPr>
      <dgm:t>
        <a:bodyPr/>
        <a:lstStyle/>
        <a:p>
          <a:endParaRPr lang="en-AU"/>
        </a:p>
      </dgm:t>
    </dgm:pt>
    <dgm:pt modelId="{1D05B82F-D3EE-4EBF-86C9-C3D4E407D94A}">
      <dgm:prSet phldrT="[Text]" custT="1"/>
      <dgm:spPr>
        <a:solidFill>
          <a:srgbClr val="FFC000"/>
        </a:solidFill>
        <a:ln>
          <a:solidFill>
            <a:srgbClr val="FFC000"/>
          </a:solidFill>
        </a:ln>
      </dgm:spPr>
      <dgm:t>
        <a:bodyPr/>
        <a:lstStyle/>
        <a:p>
          <a:pPr algn="ctr"/>
          <a:r>
            <a:rPr lang="en-AU" sz="1200" b="1"/>
            <a:t>Over 108,000 first dose</a:t>
          </a:r>
        </a:p>
        <a:p>
          <a:pPr algn="ctr"/>
          <a:r>
            <a:rPr lang="en-AU" sz="1200" b="1"/>
            <a:t>19.8%</a:t>
          </a:r>
        </a:p>
      </dgm:t>
    </dgm:pt>
    <dgm:pt modelId="{7161D7DA-1D7F-4281-8ADF-E3D707C49493}" type="parTrans" cxnId="{34BBB6E2-22A6-4881-8282-FDFCE1CCB579}">
      <dgm:prSet/>
      <dgm:spPr/>
      <dgm:t>
        <a:bodyPr/>
        <a:lstStyle/>
        <a:p>
          <a:endParaRPr lang="en-AU"/>
        </a:p>
      </dgm:t>
    </dgm:pt>
    <dgm:pt modelId="{824234AC-160B-4560-AEDC-1929F6F5E37E}" type="sibTrans" cxnId="{34BBB6E2-22A6-4881-8282-FDFCE1CCB579}">
      <dgm:prSet/>
      <dgm:spPr/>
      <dgm:t>
        <a:bodyPr/>
        <a:lstStyle/>
        <a:p>
          <a:endParaRPr lang="en-AU"/>
        </a:p>
      </dgm:t>
    </dgm:pt>
    <dgm:pt modelId="{06F0DC8D-779B-4ADB-A9DE-595954CC03B9}">
      <dgm:prSet phldrT="[Text]"/>
      <dgm:spPr>
        <a:solidFill>
          <a:srgbClr val="53BCDD"/>
        </a:solidFill>
        <a:ln>
          <a:solidFill>
            <a:srgbClr val="53BCDD"/>
          </a:solidFill>
        </a:ln>
      </dgm:spPr>
      <dgm:t>
        <a:bodyPr/>
        <a:lstStyle/>
        <a:p>
          <a:pPr algn="ctr"/>
          <a:r>
            <a:rPr lang="en-AU" b="1"/>
            <a:t>Over 39,000 second dose</a:t>
          </a:r>
          <a:br>
            <a:rPr lang="en-AU" b="1"/>
          </a:br>
          <a:r>
            <a:rPr lang="en-AU" b="1"/>
            <a:t>7.1%</a:t>
          </a:r>
        </a:p>
      </dgm:t>
    </dgm:pt>
    <dgm:pt modelId="{E1F4E53D-1170-4081-BB0A-CC2AABD70C1D}" type="parTrans" cxnId="{44E1D7EA-9EC5-4A1A-B58F-D48470AE4FED}">
      <dgm:prSet/>
      <dgm:spPr/>
      <dgm:t>
        <a:bodyPr/>
        <a:lstStyle/>
        <a:p>
          <a:endParaRPr lang="en-AU"/>
        </a:p>
      </dgm:t>
    </dgm:pt>
    <dgm:pt modelId="{9F53BC73-0AEE-4444-8FB0-428842B97E06}" type="sibTrans" cxnId="{44E1D7EA-9EC5-4A1A-B58F-D48470AE4FED}">
      <dgm:prSet/>
      <dgm:spPr/>
      <dgm:t>
        <a:bodyPr/>
        <a:lstStyle/>
        <a:p>
          <a:endParaRPr lang="en-AU"/>
        </a:p>
      </dgm:t>
    </dgm:pt>
    <dgm:pt modelId="{45FA4521-01EC-433D-A348-4F23C27DF707}" type="pres">
      <dgm:prSet presAssocID="{383ED8A1-D527-4D64-80C6-55F083A5C3EF}" presName="Name0" presStyleCnt="0">
        <dgm:presLayoutVars>
          <dgm:chMax val="7"/>
          <dgm:chPref val="7"/>
          <dgm:dir/>
        </dgm:presLayoutVars>
      </dgm:prSet>
      <dgm:spPr/>
    </dgm:pt>
    <dgm:pt modelId="{304BFCE9-B204-458C-81B1-280B43A8D97A}" type="pres">
      <dgm:prSet presAssocID="{383ED8A1-D527-4D64-80C6-55F083A5C3EF}" presName="Name1" presStyleCnt="0"/>
      <dgm:spPr/>
    </dgm:pt>
    <dgm:pt modelId="{2E373AE6-716F-4F1F-A2D3-2E93703218FA}" type="pres">
      <dgm:prSet presAssocID="{383ED8A1-D527-4D64-80C6-55F083A5C3EF}" presName="cycle" presStyleCnt="0"/>
      <dgm:spPr/>
    </dgm:pt>
    <dgm:pt modelId="{26EA6627-BC9E-4B79-9124-912C1D7B4838}" type="pres">
      <dgm:prSet presAssocID="{383ED8A1-D527-4D64-80C6-55F083A5C3EF}" presName="srcNode" presStyleLbl="node1" presStyleIdx="0" presStyleCnt="3"/>
      <dgm:spPr/>
    </dgm:pt>
    <dgm:pt modelId="{FDB1E501-0484-4C6E-857F-C46F3964C2A7}" type="pres">
      <dgm:prSet presAssocID="{383ED8A1-D527-4D64-80C6-55F083A5C3EF}" presName="conn" presStyleLbl="parChTrans1D2" presStyleIdx="0" presStyleCnt="1"/>
      <dgm:spPr/>
    </dgm:pt>
    <dgm:pt modelId="{CC3D80C0-5DFE-43F4-8CF6-B768B39DF565}" type="pres">
      <dgm:prSet presAssocID="{383ED8A1-D527-4D64-80C6-55F083A5C3EF}" presName="extraNode" presStyleLbl="node1" presStyleIdx="0" presStyleCnt="3"/>
      <dgm:spPr/>
    </dgm:pt>
    <dgm:pt modelId="{4ECD4D69-E0BB-4C04-9090-B2F77F332F14}" type="pres">
      <dgm:prSet presAssocID="{383ED8A1-D527-4D64-80C6-55F083A5C3EF}" presName="dstNode" presStyleLbl="node1" presStyleIdx="0" presStyleCnt="3"/>
      <dgm:spPr/>
    </dgm:pt>
    <dgm:pt modelId="{18F586EE-3728-44B6-8DF1-4C90C8DD4C57}" type="pres">
      <dgm:prSet presAssocID="{05487930-33EB-4263-A3A5-5CC9423F9A72}" presName="text_1" presStyleLbl="node1" presStyleIdx="0" presStyleCnt="3">
        <dgm:presLayoutVars>
          <dgm:bulletEnabled val="1"/>
        </dgm:presLayoutVars>
      </dgm:prSet>
      <dgm:spPr/>
    </dgm:pt>
    <dgm:pt modelId="{A16F861C-82F1-44AC-A3D8-60E9CCF8162C}" type="pres">
      <dgm:prSet presAssocID="{05487930-33EB-4263-A3A5-5CC9423F9A72}" presName="accent_1" presStyleCnt="0"/>
      <dgm:spPr/>
    </dgm:pt>
    <dgm:pt modelId="{9FB05654-0639-492F-8FF4-80BDFFC9F314}" type="pres">
      <dgm:prSet presAssocID="{05487930-33EB-4263-A3A5-5CC9423F9A72}" presName="accentRepeatNode" presStyleLbl="solidFgAcc1" presStyleIdx="0" presStyleCnt="3"/>
      <dgm:spPr>
        <a:ln>
          <a:solidFill>
            <a:schemeClr val="accent2">
              <a:lumMod val="75000"/>
            </a:schemeClr>
          </a:solidFill>
        </a:ln>
      </dgm:spPr>
    </dgm:pt>
    <dgm:pt modelId="{85E70198-BD20-41D6-B3BC-DA6487B887C8}" type="pres">
      <dgm:prSet presAssocID="{1D05B82F-D3EE-4EBF-86C9-C3D4E407D94A}" presName="text_2" presStyleLbl="node1" presStyleIdx="1" presStyleCnt="3">
        <dgm:presLayoutVars>
          <dgm:bulletEnabled val="1"/>
        </dgm:presLayoutVars>
      </dgm:prSet>
      <dgm:spPr/>
    </dgm:pt>
    <dgm:pt modelId="{E806A5E2-FC07-454B-8386-6DABD4588EB9}" type="pres">
      <dgm:prSet presAssocID="{1D05B82F-D3EE-4EBF-86C9-C3D4E407D94A}" presName="accent_2" presStyleCnt="0"/>
      <dgm:spPr/>
    </dgm:pt>
    <dgm:pt modelId="{B0FB42B7-B68B-401A-8865-BD701F87C787}" type="pres">
      <dgm:prSet presAssocID="{1D05B82F-D3EE-4EBF-86C9-C3D4E407D94A}" presName="accentRepeatNode" presStyleLbl="solidFgAcc1" presStyleIdx="1" presStyleCnt="3"/>
      <dgm:spPr>
        <a:ln>
          <a:solidFill>
            <a:schemeClr val="accent2">
              <a:lumMod val="75000"/>
            </a:schemeClr>
          </a:solidFill>
        </a:ln>
      </dgm:spPr>
    </dgm:pt>
    <dgm:pt modelId="{94B9A367-C336-4430-82D8-89E8E2F5C5E9}" type="pres">
      <dgm:prSet presAssocID="{06F0DC8D-779B-4ADB-A9DE-595954CC03B9}" presName="text_3" presStyleLbl="node1" presStyleIdx="2" presStyleCnt="3">
        <dgm:presLayoutVars>
          <dgm:bulletEnabled val="1"/>
        </dgm:presLayoutVars>
      </dgm:prSet>
      <dgm:spPr/>
    </dgm:pt>
    <dgm:pt modelId="{68AEB33B-DEEA-46AD-82CB-4BD8C8214EAB}" type="pres">
      <dgm:prSet presAssocID="{06F0DC8D-779B-4ADB-A9DE-595954CC03B9}" presName="accent_3" presStyleCnt="0"/>
      <dgm:spPr/>
    </dgm:pt>
    <dgm:pt modelId="{1583B689-E63E-474D-AC89-38C71A3D669B}" type="pres">
      <dgm:prSet presAssocID="{06F0DC8D-779B-4ADB-A9DE-595954CC03B9}" presName="accentRepeatNode" presStyleLbl="solidFgAcc1" presStyleIdx="2" presStyleCnt="3"/>
      <dgm:spPr>
        <a:ln>
          <a:solidFill>
            <a:schemeClr val="accent2">
              <a:lumMod val="75000"/>
            </a:schemeClr>
          </a:solidFill>
        </a:ln>
      </dgm:spPr>
    </dgm:pt>
  </dgm:ptLst>
  <dgm:cxnLst>
    <dgm:cxn modelId="{EC92C41D-4D0F-44ED-A0AE-9E0844C53F3A}" type="presOf" srcId="{383ED8A1-D527-4D64-80C6-55F083A5C3EF}" destId="{45FA4521-01EC-433D-A348-4F23C27DF707}" srcOrd="0" destOrd="0" presId="urn:microsoft.com/office/officeart/2008/layout/VerticalCurvedList"/>
    <dgm:cxn modelId="{3C84ED37-CA9A-41FB-8709-29F823881E4F}" type="presOf" srcId="{05487930-33EB-4263-A3A5-5CC9423F9A72}" destId="{18F586EE-3728-44B6-8DF1-4C90C8DD4C57}" srcOrd="0" destOrd="0" presId="urn:microsoft.com/office/officeart/2008/layout/VerticalCurvedList"/>
    <dgm:cxn modelId="{461AE94F-4DC5-47E3-999B-0D52A4BE7280}" type="presOf" srcId="{1D05B82F-D3EE-4EBF-86C9-C3D4E407D94A}" destId="{85E70198-BD20-41D6-B3BC-DA6487B887C8}" srcOrd="0" destOrd="0" presId="urn:microsoft.com/office/officeart/2008/layout/VerticalCurvedList"/>
    <dgm:cxn modelId="{C8E999C5-485E-4F7A-BA2C-136556491EDC}" type="presOf" srcId="{7A21E69D-A8D7-47DA-9FF5-B80390F3116A}" destId="{FDB1E501-0484-4C6E-857F-C46F3964C2A7}" srcOrd="0" destOrd="0" presId="urn:microsoft.com/office/officeart/2008/layout/VerticalCurvedList"/>
    <dgm:cxn modelId="{34BBB6E2-22A6-4881-8282-FDFCE1CCB579}" srcId="{383ED8A1-D527-4D64-80C6-55F083A5C3EF}" destId="{1D05B82F-D3EE-4EBF-86C9-C3D4E407D94A}" srcOrd="1" destOrd="0" parTransId="{7161D7DA-1D7F-4281-8ADF-E3D707C49493}" sibTransId="{824234AC-160B-4560-AEDC-1929F6F5E37E}"/>
    <dgm:cxn modelId="{44E1D7EA-9EC5-4A1A-B58F-D48470AE4FED}" srcId="{383ED8A1-D527-4D64-80C6-55F083A5C3EF}" destId="{06F0DC8D-779B-4ADB-A9DE-595954CC03B9}" srcOrd="2" destOrd="0" parTransId="{E1F4E53D-1170-4081-BB0A-CC2AABD70C1D}" sibTransId="{9F53BC73-0AEE-4444-8FB0-428842B97E06}"/>
    <dgm:cxn modelId="{D19634EE-C9C2-498C-BA26-300EB199D3E1}" srcId="{383ED8A1-D527-4D64-80C6-55F083A5C3EF}" destId="{05487930-33EB-4263-A3A5-5CC9423F9A72}" srcOrd="0" destOrd="0" parTransId="{0D37226E-31FD-46C7-AD49-0F0030B695CD}" sibTransId="{7A21E69D-A8D7-47DA-9FF5-B80390F3116A}"/>
    <dgm:cxn modelId="{2715FEFE-4E61-4710-81BE-B7618591FEEE}" type="presOf" srcId="{06F0DC8D-779B-4ADB-A9DE-595954CC03B9}" destId="{94B9A367-C336-4430-82D8-89E8E2F5C5E9}" srcOrd="0" destOrd="0" presId="urn:microsoft.com/office/officeart/2008/layout/VerticalCurvedList"/>
    <dgm:cxn modelId="{2DA02EF0-CD08-40B1-9237-10348F76F0D8}" type="presParOf" srcId="{45FA4521-01EC-433D-A348-4F23C27DF707}" destId="{304BFCE9-B204-458C-81B1-280B43A8D97A}" srcOrd="0" destOrd="0" presId="urn:microsoft.com/office/officeart/2008/layout/VerticalCurvedList"/>
    <dgm:cxn modelId="{D43A11FF-040D-402F-B090-73BB5DDDE6E0}" type="presParOf" srcId="{304BFCE9-B204-458C-81B1-280B43A8D97A}" destId="{2E373AE6-716F-4F1F-A2D3-2E93703218FA}" srcOrd="0" destOrd="0" presId="urn:microsoft.com/office/officeart/2008/layout/VerticalCurvedList"/>
    <dgm:cxn modelId="{31CBF689-22E0-44BA-B0B7-2156117F643F}" type="presParOf" srcId="{2E373AE6-716F-4F1F-A2D3-2E93703218FA}" destId="{26EA6627-BC9E-4B79-9124-912C1D7B4838}" srcOrd="0" destOrd="0" presId="urn:microsoft.com/office/officeart/2008/layout/VerticalCurvedList"/>
    <dgm:cxn modelId="{EC117539-4147-42F5-A544-A8178221C7D4}" type="presParOf" srcId="{2E373AE6-716F-4F1F-A2D3-2E93703218FA}" destId="{FDB1E501-0484-4C6E-857F-C46F3964C2A7}" srcOrd="1" destOrd="0" presId="urn:microsoft.com/office/officeart/2008/layout/VerticalCurvedList"/>
    <dgm:cxn modelId="{AA6680A7-9409-4F58-A69F-B2D01E3DCA53}" type="presParOf" srcId="{2E373AE6-716F-4F1F-A2D3-2E93703218FA}" destId="{CC3D80C0-5DFE-43F4-8CF6-B768B39DF565}" srcOrd="2" destOrd="0" presId="urn:microsoft.com/office/officeart/2008/layout/VerticalCurvedList"/>
    <dgm:cxn modelId="{4223C108-0306-4A3C-888C-6D4CD8A90B59}" type="presParOf" srcId="{2E373AE6-716F-4F1F-A2D3-2E93703218FA}" destId="{4ECD4D69-E0BB-4C04-9090-B2F77F332F14}" srcOrd="3" destOrd="0" presId="urn:microsoft.com/office/officeart/2008/layout/VerticalCurvedList"/>
    <dgm:cxn modelId="{BA7134A3-8F61-4461-9510-FAC900000403}" type="presParOf" srcId="{304BFCE9-B204-458C-81B1-280B43A8D97A}" destId="{18F586EE-3728-44B6-8DF1-4C90C8DD4C57}" srcOrd="1" destOrd="0" presId="urn:microsoft.com/office/officeart/2008/layout/VerticalCurvedList"/>
    <dgm:cxn modelId="{E25C36F7-EA1A-48CA-992E-BE0875585DB4}" type="presParOf" srcId="{304BFCE9-B204-458C-81B1-280B43A8D97A}" destId="{A16F861C-82F1-44AC-A3D8-60E9CCF8162C}" srcOrd="2" destOrd="0" presId="urn:microsoft.com/office/officeart/2008/layout/VerticalCurvedList"/>
    <dgm:cxn modelId="{EE588820-8947-4209-AEA9-4F975D30A73E}" type="presParOf" srcId="{A16F861C-82F1-44AC-A3D8-60E9CCF8162C}" destId="{9FB05654-0639-492F-8FF4-80BDFFC9F314}" srcOrd="0" destOrd="0" presId="urn:microsoft.com/office/officeart/2008/layout/VerticalCurvedList"/>
    <dgm:cxn modelId="{DEA23004-A042-4A71-88B5-F11AB3E7F10D}" type="presParOf" srcId="{304BFCE9-B204-458C-81B1-280B43A8D97A}" destId="{85E70198-BD20-41D6-B3BC-DA6487B887C8}" srcOrd="3" destOrd="0" presId="urn:microsoft.com/office/officeart/2008/layout/VerticalCurvedList"/>
    <dgm:cxn modelId="{6B785E15-EEBF-4C31-8F56-8E1357D6C373}" type="presParOf" srcId="{304BFCE9-B204-458C-81B1-280B43A8D97A}" destId="{E806A5E2-FC07-454B-8386-6DABD4588EB9}" srcOrd="4" destOrd="0" presId="urn:microsoft.com/office/officeart/2008/layout/VerticalCurvedList"/>
    <dgm:cxn modelId="{42339493-0C02-4A7A-9D9A-C678ABE899F2}" type="presParOf" srcId="{E806A5E2-FC07-454B-8386-6DABD4588EB9}" destId="{B0FB42B7-B68B-401A-8865-BD701F87C787}" srcOrd="0" destOrd="0" presId="urn:microsoft.com/office/officeart/2008/layout/VerticalCurvedList"/>
    <dgm:cxn modelId="{9E279789-33C4-4745-8F74-C2F7CE7AB025}" type="presParOf" srcId="{304BFCE9-B204-458C-81B1-280B43A8D97A}" destId="{94B9A367-C336-4430-82D8-89E8E2F5C5E9}" srcOrd="5" destOrd="0" presId="urn:microsoft.com/office/officeart/2008/layout/VerticalCurvedList"/>
    <dgm:cxn modelId="{E83D9B73-5F42-406B-8264-1E35CD0AFE83}" type="presParOf" srcId="{304BFCE9-B204-458C-81B1-280B43A8D97A}" destId="{68AEB33B-DEEA-46AD-82CB-4BD8C8214EAB}" srcOrd="6" destOrd="0" presId="urn:microsoft.com/office/officeart/2008/layout/VerticalCurvedList"/>
    <dgm:cxn modelId="{14363DBE-C206-47E8-B22B-219C17C93BBF}" type="presParOf" srcId="{68AEB33B-DEEA-46AD-82CB-4BD8C8214EAB}" destId="{1583B689-E63E-474D-AC89-38C71A3D669B}" srcOrd="0" destOrd="0" presId="urn:microsoft.com/office/officeart/2008/layout/VerticalCurv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1E501-0484-4C6E-857F-C46F3964C2A7}">
      <dsp:nvSpPr>
        <dsp:cNvPr id="0" name=""/>
        <dsp:cNvSpPr/>
      </dsp:nvSpPr>
      <dsp:spPr>
        <a:xfrm>
          <a:off x="-2460442" y="-379999"/>
          <a:ext cx="2937904" cy="2937904"/>
        </a:xfrm>
        <a:prstGeom prst="blockArc">
          <a:avLst>
            <a:gd name="adj1" fmla="val 18900000"/>
            <a:gd name="adj2" fmla="val 2700000"/>
            <a:gd name="adj3" fmla="val 735"/>
          </a:avLst>
        </a:pr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8F586EE-3728-44B6-8DF1-4C90C8DD4C57}">
      <dsp:nvSpPr>
        <dsp:cNvPr id="0" name=""/>
        <dsp:cNvSpPr/>
      </dsp:nvSpPr>
      <dsp:spPr>
        <a:xfrm>
          <a:off x="306950" y="217790"/>
          <a:ext cx="2537600" cy="435581"/>
        </a:xfrm>
        <a:prstGeom prst="rect">
          <a:avLst/>
        </a:prstGeom>
        <a:solidFill>
          <a:srgbClr val="DEABDF"/>
        </a:solidFill>
        <a:ln w="12700" cap="flat" cmpd="sng" algn="ctr">
          <a:solidFill>
            <a:srgbClr val="DEABD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742" tIns="30480" rIns="30480" bIns="30480" numCol="1" spcCol="1270" anchor="ctr" anchorCtr="0">
          <a:noAutofit/>
        </a:bodyPr>
        <a:lstStyle/>
        <a:p>
          <a:pPr marL="0" lvl="0" indent="0" algn="ctr" defTabSz="533400">
            <a:lnSpc>
              <a:spcPct val="90000"/>
            </a:lnSpc>
            <a:spcBef>
              <a:spcPct val="0"/>
            </a:spcBef>
            <a:spcAft>
              <a:spcPct val="35000"/>
            </a:spcAft>
            <a:buNone/>
          </a:pPr>
          <a:r>
            <a:rPr lang="en-AU" sz="1200" b="1" kern="1200"/>
            <a:t>162 recorded cases</a:t>
          </a:r>
        </a:p>
      </dsp:txBody>
      <dsp:txXfrm>
        <a:off x="306950" y="217790"/>
        <a:ext cx="2537600" cy="435581"/>
      </dsp:txXfrm>
    </dsp:sp>
    <dsp:sp modelId="{9FB05654-0639-492F-8FF4-80BDFFC9F314}">
      <dsp:nvSpPr>
        <dsp:cNvPr id="0" name=""/>
        <dsp:cNvSpPr/>
      </dsp:nvSpPr>
      <dsp:spPr>
        <a:xfrm>
          <a:off x="34712" y="163342"/>
          <a:ext cx="544476" cy="544476"/>
        </a:xfrm>
        <a:prstGeom prst="ellipse">
          <a:avLst/>
        </a:prstGeom>
        <a:solidFill>
          <a:schemeClr val="lt1">
            <a:hueOff val="0"/>
            <a:satOff val="0"/>
            <a:lumOff val="0"/>
            <a:alphaOff val="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85E70198-BD20-41D6-B3BC-DA6487B887C8}">
      <dsp:nvSpPr>
        <dsp:cNvPr id="0" name=""/>
        <dsp:cNvSpPr/>
      </dsp:nvSpPr>
      <dsp:spPr>
        <a:xfrm>
          <a:off x="465284" y="871162"/>
          <a:ext cx="2379267" cy="435581"/>
        </a:xfrm>
        <a:prstGeom prst="rect">
          <a:avLst/>
        </a:prstGeom>
        <a:solidFill>
          <a:srgbClr val="FFC000"/>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742" tIns="30480" rIns="30480" bIns="30480" numCol="1" spcCol="1270" anchor="ctr" anchorCtr="0">
          <a:noAutofit/>
        </a:bodyPr>
        <a:lstStyle/>
        <a:p>
          <a:pPr marL="0" lvl="0" indent="0" algn="ctr" defTabSz="533400">
            <a:lnSpc>
              <a:spcPct val="90000"/>
            </a:lnSpc>
            <a:spcBef>
              <a:spcPct val="0"/>
            </a:spcBef>
            <a:spcAft>
              <a:spcPct val="35000"/>
            </a:spcAft>
            <a:buNone/>
          </a:pPr>
          <a:r>
            <a:rPr lang="en-AU" sz="1200" b="1" kern="1200"/>
            <a:t>Over 108,000 first dose</a:t>
          </a:r>
        </a:p>
        <a:p>
          <a:pPr marL="0" lvl="0" indent="0" algn="ctr" defTabSz="533400">
            <a:lnSpc>
              <a:spcPct val="90000"/>
            </a:lnSpc>
            <a:spcBef>
              <a:spcPct val="0"/>
            </a:spcBef>
            <a:spcAft>
              <a:spcPct val="35000"/>
            </a:spcAft>
            <a:buNone/>
          </a:pPr>
          <a:r>
            <a:rPr lang="en-AU" sz="1200" b="1" kern="1200"/>
            <a:t>19.8%</a:t>
          </a:r>
        </a:p>
      </dsp:txBody>
      <dsp:txXfrm>
        <a:off x="465284" y="871162"/>
        <a:ext cx="2379267" cy="435581"/>
      </dsp:txXfrm>
    </dsp:sp>
    <dsp:sp modelId="{B0FB42B7-B68B-401A-8865-BD701F87C787}">
      <dsp:nvSpPr>
        <dsp:cNvPr id="0" name=""/>
        <dsp:cNvSpPr/>
      </dsp:nvSpPr>
      <dsp:spPr>
        <a:xfrm>
          <a:off x="193046" y="816714"/>
          <a:ext cx="544476" cy="544476"/>
        </a:xfrm>
        <a:prstGeom prst="ellipse">
          <a:avLst/>
        </a:prstGeom>
        <a:solidFill>
          <a:schemeClr val="lt1">
            <a:hueOff val="0"/>
            <a:satOff val="0"/>
            <a:lumOff val="0"/>
            <a:alphaOff val="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94B9A367-C336-4430-82D8-89E8E2F5C5E9}">
      <dsp:nvSpPr>
        <dsp:cNvPr id="0" name=""/>
        <dsp:cNvSpPr/>
      </dsp:nvSpPr>
      <dsp:spPr>
        <a:xfrm>
          <a:off x="306950" y="1524533"/>
          <a:ext cx="2537600" cy="435581"/>
        </a:xfrm>
        <a:prstGeom prst="rect">
          <a:avLst/>
        </a:prstGeom>
        <a:solidFill>
          <a:srgbClr val="53BCDD"/>
        </a:solidFill>
        <a:ln w="12700" cap="flat" cmpd="sng" algn="ctr">
          <a:solidFill>
            <a:srgbClr val="53BCD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742" tIns="33020" rIns="33020" bIns="33020" numCol="1" spcCol="1270" anchor="ctr" anchorCtr="0">
          <a:noAutofit/>
        </a:bodyPr>
        <a:lstStyle/>
        <a:p>
          <a:pPr marL="0" lvl="0" indent="0" algn="ctr" defTabSz="577850">
            <a:lnSpc>
              <a:spcPct val="90000"/>
            </a:lnSpc>
            <a:spcBef>
              <a:spcPct val="0"/>
            </a:spcBef>
            <a:spcAft>
              <a:spcPct val="35000"/>
            </a:spcAft>
            <a:buNone/>
          </a:pPr>
          <a:r>
            <a:rPr lang="en-AU" sz="1300" b="1" kern="1200"/>
            <a:t>Over 39,000 second dose</a:t>
          </a:r>
          <a:br>
            <a:rPr lang="en-AU" sz="1300" b="1" kern="1200"/>
          </a:br>
          <a:r>
            <a:rPr lang="en-AU" sz="1300" b="1" kern="1200"/>
            <a:t>7.1%</a:t>
          </a:r>
        </a:p>
      </dsp:txBody>
      <dsp:txXfrm>
        <a:off x="306950" y="1524533"/>
        <a:ext cx="2537600" cy="435581"/>
      </dsp:txXfrm>
    </dsp:sp>
    <dsp:sp modelId="{1583B689-E63E-474D-AC89-38C71A3D669B}">
      <dsp:nvSpPr>
        <dsp:cNvPr id="0" name=""/>
        <dsp:cNvSpPr/>
      </dsp:nvSpPr>
      <dsp:spPr>
        <a:xfrm>
          <a:off x="34712" y="1470085"/>
          <a:ext cx="544476" cy="544476"/>
        </a:xfrm>
        <a:prstGeom prst="ellipse">
          <a:avLst/>
        </a:prstGeom>
        <a:solidFill>
          <a:schemeClr val="lt1">
            <a:hueOff val="0"/>
            <a:satOff val="0"/>
            <a:lumOff val="0"/>
            <a:alphaOff val="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BOBELDIJK, Louisa</dc:creator>
  <cp:keywords/>
  <dc:description/>
  <cp:lastModifiedBy>ATKINS, Jade</cp:lastModifiedBy>
  <cp:revision>2</cp:revision>
  <dcterms:created xsi:type="dcterms:W3CDTF">2021-07-15T02:04:00Z</dcterms:created>
  <dcterms:modified xsi:type="dcterms:W3CDTF">2021-07-15T02:04:00Z</dcterms:modified>
</cp:coreProperties>
</file>