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C33" w:rsidRPr="00BF7EA5" w:rsidRDefault="007E4C33" w:rsidP="007E4C33">
      <w:pPr>
        <w:pStyle w:val="Heading1"/>
        <w:rPr>
          <w:sz w:val="48"/>
          <w:szCs w:val="48"/>
        </w:rPr>
      </w:pPr>
      <w:r w:rsidRPr="00BF7EA5">
        <w:rPr>
          <w:sz w:val="48"/>
          <w:szCs w:val="48"/>
        </w:rPr>
        <w:t>Aboriginal and Torres Strait Islander Advisory Group on COVID-19</w:t>
      </w:r>
    </w:p>
    <w:p w:rsidR="007E4C33" w:rsidRPr="00BF7EA5" w:rsidRDefault="00EA5720" w:rsidP="5E77FFFA">
      <w:pPr>
        <w:pStyle w:val="Heading1"/>
        <w:rPr>
          <w:b w:val="0"/>
          <w:color w:val="1B034F"/>
          <w:spacing w:val="-1"/>
          <w:sz w:val="28"/>
          <w:szCs w:val="28"/>
        </w:rPr>
      </w:pPr>
      <w:r w:rsidRPr="5E77FFFA">
        <w:rPr>
          <w:b w:val="0"/>
          <w:color w:val="1B034F"/>
          <w:spacing w:val="-1"/>
          <w:sz w:val="28"/>
          <w:szCs w:val="28"/>
        </w:rPr>
        <w:t xml:space="preserve">Communique Update: </w:t>
      </w:r>
      <w:r w:rsidR="6FB69AAA" w:rsidRPr="5E77FFFA">
        <w:rPr>
          <w:b w:val="0"/>
          <w:color w:val="1B034F"/>
          <w:spacing w:val="-1"/>
          <w:sz w:val="28"/>
          <w:szCs w:val="28"/>
        </w:rPr>
        <w:t>14</w:t>
      </w:r>
      <w:r w:rsidR="002A483C" w:rsidRPr="5E77FFFA">
        <w:rPr>
          <w:b w:val="0"/>
          <w:color w:val="1B034F"/>
          <w:spacing w:val="-1"/>
          <w:sz w:val="28"/>
          <w:szCs w:val="28"/>
        </w:rPr>
        <w:t xml:space="preserve"> December</w:t>
      </w:r>
      <w:r w:rsidR="001F23A3" w:rsidRPr="5E77FFFA">
        <w:rPr>
          <w:b w:val="0"/>
          <w:color w:val="1B034F"/>
          <w:spacing w:val="-1"/>
          <w:sz w:val="28"/>
          <w:szCs w:val="28"/>
        </w:rPr>
        <w:t xml:space="preserve"> </w:t>
      </w:r>
      <w:r w:rsidR="007E4C33" w:rsidRPr="5E77FFFA">
        <w:rPr>
          <w:b w:val="0"/>
          <w:color w:val="1B034F"/>
          <w:spacing w:val="-1"/>
          <w:sz w:val="28"/>
          <w:szCs w:val="28"/>
        </w:rPr>
        <w:t xml:space="preserve">2020 </w:t>
      </w:r>
    </w:p>
    <w:p w:rsidR="007E4C33" w:rsidRPr="00BF7EA5" w:rsidRDefault="007E4C33" w:rsidP="007E4C33"/>
    <w:p w:rsidR="00F70A1E" w:rsidRDefault="00F70A1E" w:rsidP="00E03070">
      <w:pPr>
        <w:pStyle w:val="NoSpacing"/>
      </w:pPr>
      <w:bookmarkStart w:id="0" w:name="_GoBack"/>
      <w:bookmarkEnd w:id="0"/>
    </w:p>
    <w:p w:rsidR="007E4C33" w:rsidRPr="00E03070" w:rsidRDefault="00F70A1E" w:rsidP="00F4737A">
      <w:pPr>
        <w:jc w:val="both"/>
      </w:pPr>
      <w:r w:rsidRPr="00E03070">
        <w:t>The Aboriginal and Torres Strait Islander Advisory Group on COVID-19 (the Taskforce) convened in March 2020</w:t>
      </w:r>
      <w:r w:rsidR="004F019F">
        <w:t xml:space="preserve"> </w:t>
      </w:r>
      <w:r w:rsidRPr="00E03070">
        <w:t>to develop and deliver a National Management Plan to protect communities</w:t>
      </w:r>
      <w:r w:rsidR="00A6042E">
        <w:t>.</w:t>
      </w:r>
      <w:r w:rsidR="00182255">
        <w:t xml:space="preserve"> </w:t>
      </w:r>
      <w:r w:rsidR="00A6042E">
        <w:t xml:space="preserve">The </w:t>
      </w:r>
      <w:r w:rsidR="00526B57">
        <w:t>Taskforce</w:t>
      </w:r>
      <w:r w:rsidR="00A6042E">
        <w:t xml:space="preserve"> also</w:t>
      </w:r>
      <w:r w:rsidR="00182255">
        <w:t xml:space="preserve"> ad</w:t>
      </w:r>
      <w:r w:rsidRPr="00E03070">
        <w:t>vise</w:t>
      </w:r>
      <w:r w:rsidR="00182255">
        <w:t>s</w:t>
      </w:r>
      <w:r w:rsidRPr="00E03070">
        <w:t xml:space="preserve"> on health issues related to COVID-19</w:t>
      </w:r>
      <w:r w:rsidR="00526B57">
        <w:t xml:space="preserve"> and</w:t>
      </w:r>
      <w:r w:rsidRPr="00E03070">
        <w:t xml:space="preserve"> is co-chaired by the National Aboriginal Community Controlled Health Organisation (NACCHO)</w:t>
      </w:r>
      <w:r w:rsidR="004F019F">
        <w:t>,</w:t>
      </w:r>
      <w:r w:rsidRPr="00E03070">
        <w:t xml:space="preserve"> and the Australian Government Department of Health. This communique provides an update on the</w:t>
      </w:r>
      <w:r w:rsidR="00F909D3">
        <w:t>i</w:t>
      </w:r>
      <w:r w:rsidR="00A6042E">
        <w:t>r</w:t>
      </w:r>
      <w:r w:rsidRPr="00E03070">
        <w:t xml:space="preserve"> work and current key focus</w:t>
      </w:r>
      <w:r w:rsidR="004F019F">
        <w:t xml:space="preserve"> areas</w:t>
      </w:r>
      <w:r w:rsidRPr="00E03070">
        <w:t>.</w:t>
      </w:r>
    </w:p>
    <w:p w:rsidR="007A4F12" w:rsidRPr="00E03070" w:rsidRDefault="00F70A1E" w:rsidP="0067092C">
      <w:r w:rsidRPr="00E03070">
        <w:rPr>
          <w:rFonts w:cs="Arial"/>
          <w:b/>
          <w:szCs w:val="22"/>
          <w:lang w:eastAsia="en-GB"/>
        </w:rPr>
        <w:t>Current status of coronavirus</w:t>
      </w:r>
    </w:p>
    <w:p w:rsidR="007A4F12" w:rsidRPr="008C6D38" w:rsidRDefault="007A4F12" w:rsidP="41EABBE8">
      <w:pPr>
        <w:jc w:val="both"/>
      </w:pPr>
      <w:r>
        <w:t xml:space="preserve">As of </w:t>
      </w:r>
      <w:r w:rsidR="1FEDCF16" w:rsidRPr="41EABBE8">
        <w:rPr>
          <w:rFonts w:eastAsiaTheme="minorEastAsia"/>
          <w:szCs w:val="22"/>
        </w:rPr>
        <w:t>13 December</w:t>
      </w:r>
      <w:r w:rsidR="00F42EA9" w:rsidRPr="41EABBE8">
        <w:rPr>
          <w:rFonts w:eastAsiaTheme="minorEastAsia"/>
          <w:szCs w:val="22"/>
        </w:rPr>
        <w:t xml:space="preserve"> 2020,</w:t>
      </w:r>
      <w:r w:rsidRPr="41EABBE8">
        <w:rPr>
          <w:rFonts w:eastAsiaTheme="minorEastAsia"/>
          <w:szCs w:val="22"/>
        </w:rPr>
        <w:t xml:space="preserve"> a total of </w:t>
      </w:r>
      <w:r w:rsidR="5B7E2961" w:rsidRPr="41EABBE8">
        <w:rPr>
          <w:rFonts w:eastAsiaTheme="minorEastAsia"/>
          <w:szCs w:val="22"/>
        </w:rPr>
        <w:t>28,031</w:t>
      </w:r>
      <w:r w:rsidR="002A483C" w:rsidRPr="41EABBE8">
        <w:rPr>
          <w:rFonts w:eastAsiaTheme="minorEastAsia"/>
          <w:szCs w:val="22"/>
        </w:rPr>
        <w:t xml:space="preserve"> </w:t>
      </w:r>
      <w:r w:rsidRPr="41EABBE8">
        <w:rPr>
          <w:rFonts w:eastAsiaTheme="minorEastAsia"/>
          <w:szCs w:val="22"/>
        </w:rPr>
        <w:t xml:space="preserve">cases of COVID-19 </w:t>
      </w:r>
      <w:r w:rsidR="006C6A5D">
        <w:t xml:space="preserve">have been </w:t>
      </w:r>
      <w:r>
        <w:t>reported in Australia</w:t>
      </w:r>
      <w:r w:rsidR="00156321">
        <w:t>. This includes</w:t>
      </w:r>
      <w:r>
        <w:t xml:space="preserve"> </w:t>
      </w:r>
      <w:r w:rsidR="002A483C">
        <w:t>25,4</w:t>
      </w:r>
      <w:r w:rsidR="261FA18F">
        <w:t>73</w:t>
      </w:r>
      <w:r w:rsidR="00F42EA9">
        <w:t xml:space="preserve"> </w:t>
      </w:r>
      <w:r>
        <w:t xml:space="preserve">recovered cases and </w:t>
      </w:r>
      <w:r w:rsidR="008C6D38">
        <w:t xml:space="preserve">unfortunately </w:t>
      </w:r>
      <w:r w:rsidR="002A483C">
        <w:t>908</w:t>
      </w:r>
      <w:r w:rsidR="00F42EA9">
        <w:t xml:space="preserve"> </w:t>
      </w:r>
      <w:r>
        <w:t xml:space="preserve">deaths. </w:t>
      </w:r>
      <w:r w:rsidR="00CD2038">
        <w:t>Since 16</w:t>
      </w:r>
      <w:r w:rsidR="002A483C">
        <w:t> </w:t>
      </w:r>
      <w:r w:rsidR="00CD2038">
        <w:t xml:space="preserve">September 2020, active case numbers nationally </w:t>
      </w:r>
      <w:r w:rsidR="005C00A1">
        <w:t>continue</w:t>
      </w:r>
      <w:r w:rsidR="00CD2038">
        <w:t xml:space="preserve"> to decline</w:t>
      </w:r>
      <w:r w:rsidR="00156321">
        <w:t>.</w:t>
      </w:r>
      <w:r w:rsidR="00CD2038">
        <w:t xml:space="preserve"> </w:t>
      </w:r>
      <w:r w:rsidR="008505F6">
        <w:t xml:space="preserve">For further details </w:t>
      </w:r>
      <w:r w:rsidR="004A025B">
        <w:t xml:space="preserve">please </w:t>
      </w:r>
      <w:r w:rsidR="008505F6">
        <w:t>refer to the</w:t>
      </w:r>
      <w:r w:rsidR="004A025B">
        <w:t xml:space="preserve"> COVID-19</w:t>
      </w:r>
      <w:r w:rsidR="008505F6">
        <w:t xml:space="preserve"> </w:t>
      </w:r>
      <w:hyperlink r:id="rId11">
        <w:r w:rsidR="008505F6" w:rsidRPr="41EABBE8">
          <w:rPr>
            <w:rStyle w:val="Hyperlink"/>
          </w:rPr>
          <w:t>fortnightly national epidemiological report</w:t>
        </w:r>
      </w:hyperlink>
      <w:r w:rsidR="008505F6">
        <w:t xml:space="preserve"> or the </w:t>
      </w:r>
      <w:hyperlink r:id="rId12" w:anchor="at-a-glance">
        <w:r w:rsidR="008505F6" w:rsidRPr="41EABBE8">
          <w:rPr>
            <w:rStyle w:val="Hyperlink"/>
          </w:rPr>
          <w:t>COVID-19 current situation</w:t>
        </w:r>
      </w:hyperlink>
      <w:r w:rsidR="008505F6">
        <w:t xml:space="preserve"> which is updated daily</w:t>
      </w:r>
      <w:r w:rsidR="004A025B">
        <w:t>.</w:t>
      </w:r>
    </w:p>
    <w:p w:rsidR="00B91F2B" w:rsidRPr="0039486A" w:rsidRDefault="00B91F2B" w:rsidP="00F4737A">
      <w:pPr>
        <w:jc w:val="both"/>
      </w:pPr>
      <w:r>
        <w:t xml:space="preserve">As at </w:t>
      </w:r>
      <w:r w:rsidR="002A483C">
        <w:t>1</w:t>
      </w:r>
      <w:r w:rsidR="7FC6AE17">
        <w:t>3</w:t>
      </w:r>
      <w:r w:rsidR="002A483C">
        <w:t xml:space="preserve"> December</w:t>
      </w:r>
      <w:r w:rsidR="00410948">
        <w:t xml:space="preserve"> 2020</w:t>
      </w:r>
      <w:r>
        <w:t xml:space="preserve"> there have been 14</w:t>
      </w:r>
      <w:r w:rsidR="009415C7">
        <w:t>7</w:t>
      </w:r>
      <w:r w:rsidR="00AC2091">
        <w:t xml:space="preserve"> </w:t>
      </w:r>
      <w:r>
        <w:t xml:space="preserve">cases reported in Aboriginal and Torres Strait Islander people. </w:t>
      </w:r>
      <w:r w:rsidR="008505F6">
        <w:t xml:space="preserve">Approximately 80% </w:t>
      </w:r>
      <w:r w:rsidR="0020079F">
        <w:t xml:space="preserve">of </w:t>
      </w:r>
      <w:r>
        <w:t xml:space="preserve">cases </w:t>
      </w:r>
      <w:r w:rsidR="0020079F">
        <w:t xml:space="preserve">were </w:t>
      </w:r>
      <w:r>
        <w:t xml:space="preserve">reported as locally acquired. Of </w:t>
      </w:r>
      <w:r w:rsidR="00156321">
        <w:t>those</w:t>
      </w:r>
      <w:r>
        <w:t xml:space="preserve">, </w:t>
      </w:r>
      <w:r w:rsidR="008505F6">
        <w:t>more than 75%</w:t>
      </w:r>
      <w:r>
        <w:t xml:space="preserve"> were reported in </w:t>
      </w:r>
      <w:r w:rsidR="00282A9A">
        <w:t>major cities</w:t>
      </w:r>
      <w:r w:rsidR="00156321">
        <w:t>. A</w:t>
      </w:r>
      <w:r w:rsidR="008505F6">
        <w:t xml:space="preserve">pproximately 20% </w:t>
      </w:r>
      <w:r>
        <w:t xml:space="preserve">were reported in </w:t>
      </w:r>
      <w:r w:rsidR="00282A9A">
        <w:t>i</w:t>
      </w:r>
      <w:r>
        <w:t xml:space="preserve">nner or </w:t>
      </w:r>
      <w:r w:rsidR="00282A9A">
        <w:t xml:space="preserve">outer regional </w:t>
      </w:r>
      <w:r>
        <w:t xml:space="preserve">Australia and 4% were reported as </w:t>
      </w:r>
      <w:r w:rsidR="0020079F">
        <w:t>i</w:t>
      </w:r>
      <w:r>
        <w:t xml:space="preserve">nterstate </w:t>
      </w:r>
      <w:r w:rsidR="0020079F">
        <w:t>travel</w:t>
      </w:r>
      <w:r>
        <w:t>.</w:t>
      </w:r>
      <w:r w:rsidR="00276FD6">
        <w:t xml:space="preserve"> </w:t>
      </w:r>
      <w:r>
        <w:t>Approximately 2</w:t>
      </w:r>
      <w:r w:rsidR="00BF6354">
        <w:t>0</w:t>
      </w:r>
      <w:r>
        <w:t xml:space="preserve">% of all cases are reported as being acquired overseas with </w:t>
      </w:r>
      <w:r w:rsidR="00BF6354">
        <w:t xml:space="preserve">approximately half of these </w:t>
      </w:r>
      <w:r>
        <w:t>associated with cruise ships.</w:t>
      </w:r>
    </w:p>
    <w:p w:rsidR="00955180" w:rsidRPr="0039486A" w:rsidRDefault="6397FCC4" w:rsidP="00F4737A">
      <w:pPr>
        <w:jc w:val="both"/>
      </w:pPr>
      <w:r>
        <w:t>While still distressing, the strength of the Aboriginal and Torres Strait Islander response by communities, A</w:t>
      </w:r>
      <w:r w:rsidR="0B64F0D3">
        <w:t>boriginal Community Controlled Health Sector</w:t>
      </w:r>
      <w:r>
        <w:t xml:space="preserve">, </w:t>
      </w:r>
      <w:r>
        <w:lastRenderedPageBreak/>
        <w:t>health services, and everyone in</w:t>
      </w:r>
      <w:r w:rsidR="0F73E43B">
        <w:t xml:space="preserve">volved shows in these numbers. </w:t>
      </w:r>
      <w:r>
        <w:t xml:space="preserve">The </w:t>
      </w:r>
      <w:r w:rsidRPr="41EABBE8">
        <w:rPr>
          <w:b/>
          <w:bCs/>
        </w:rPr>
        <w:t xml:space="preserve">number of cases among Aboriginal and Torres Strait Islander people </w:t>
      </w:r>
      <w:r w:rsidR="3D614322" w:rsidRPr="41EABBE8">
        <w:rPr>
          <w:b/>
          <w:bCs/>
        </w:rPr>
        <w:t xml:space="preserve">is </w:t>
      </w:r>
      <w:r w:rsidRPr="41EABBE8">
        <w:rPr>
          <w:b/>
          <w:bCs/>
        </w:rPr>
        <w:t xml:space="preserve">six times lower </w:t>
      </w:r>
      <w:r>
        <w:t>than</w:t>
      </w:r>
      <w:r w:rsidR="436D86B6">
        <w:t xml:space="preserve"> they would be</w:t>
      </w:r>
      <w:r>
        <w:t xml:space="preserve"> if the population </w:t>
      </w:r>
      <w:r w:rsidR="3FF45121">
        <w:t>was</w:t>
      </w:r>
      <w:r>
        <w:t xml:space="preserve"> affected </w:t>
      </w:r>
      <w:r w:rsidR="5551ED61">
        <w:t>at the same rate as</w:t>
      </w:r>
      <w:r w:rsidR="0F73E43B">
        <w:t xml:space="preserve"> the rest of Australia. </w:t>
      </w:r>
      <w:r>
        <w:t>Effort</w:t>
      </w:r>
      <w:r w:rsidR="2BD90388">
        <w:t>s</w:t>
      </w:r>
      <w:r>
        <w:t xml:space="preserve"> to date </w:t>
      </w:r>
      <w:r w:rsidR="2BD90388">
        <w:t xml:space="preserve">to protect Aboriginal and Torres Strait Islander peoples </w:t>
      </w:r>
      <w:r w:rsidR="13965A04">
        <w:t>are</w:t>
      </w:r>
      <w:r>
        <w:t xml:space="preserve"> working</w:t>
      </w:r>
      <w:r w:rsidR="56908FB0">
        <w:t>.</w:t>
      </w:r>
      <w:r w:rsidR="2BD90388">
        <w:t xml:space="preserve"> </w:t>
      </w:r>
      <w:r w:rsidR="56908FB0">
        <w:t>H</w:t>
      </w:r>
      <w:r w:rsidR="2BD90388">
        <w:t>owever</w:t>
      </w:r>
      <w:r w:rsidR="56908FB0">
        <w:t>,</w:t>
      </w:r>
      <w:r w:rsidR="2BD90388">
        <w:t xml:space="preserve"> it is important to ensure that messaging continues to reach communities to </w:t>
      </w:r>
      <w:r w:rsidR="13965A04">
        <w:t>promote the need to maintain public health measures</w:t>
      </w:r>
      <w:r w:rsidR="00D70F07">
        <w:t xml:space="preserve"> especially leading in to the holiday period with border restrictions relaxing and the anticipated cross border travel</w:t>
      </w:r>
      <w:r w:rsidR="56908FB0">
        <w:t>.</w:t>
      </w:r>
    </w:p>
    <w:p w:rsidR="009415C7" w:rsidRDefault="009415C7" w:rsidP="009415C7">
      <w:pPr>
        <w:rPr>
          <w:rFonts w:cs="Arial"/>
          <w:b/>
          <w:szCs w:val="22"/>
        </w:rPr>
      </w:pPr>
      <w:r w:rsidRPr="00E03070">
        <w:rPr>
          <w:rFonts w:cs="Arial"/>
          <w:b/>
          <w:szCs w:val="22"/>
        </w:rPr>
        <w:t xml:space="preserve">Developing guidance for </w:t>
      </w:r>
      <w:r>
        <w:rPr>
          <w:rFonts w:cs="Arial"/>
          <w:b/>
          <w:szCs w:val="22"/>
        </w:rPr>
        <w:t>u</w:t>
      </w:r>
      <w:r w:rsidRPr="00E03070">
        <w:rPr>
          <w:rFonts w:cs="Arial"/>
          <w:b/>
          <w:szCs w:val="22"/>
        </w:rPr>
        <w:t>rban and regional communities</w:t>
      </w:r>
    </w:p>
    <w:p w:rsidR="00FD14D9" w:rsidRDefault="00FD14D9" w:rsidP="41EABBE8">
      <w:pPr>
        <w:pStyle w:val="paragraph"/>
        <w:spacing w:before="0" w:beforeAutospacing="0" w:after="160" w:afterAutospacing="0"/>
        <w:jc w:val="both"/>
        <w:textAlignment w:val="baseline"/>
        <w:rPr>
          <w:rStyle w:val="normaltextrun"/>
          <w:rFonts w:ascii="Arial" w:hAnsi="Arial" w:cs="Arial"/>
          <w:sz w:val="22"/>
          <w:szCs w:val="22"/>
        </w:rPr>
      </w:pPr>
      <w:r w:rsidRPr="41EABBE8">
        <w:rPr>
          <w:rStyle w:val="normaltextrun"/>
          <w:rFonts w:ascii="Arial" w:hAnsi="Arial" w:cs="Arial"/>
          <w:sz w:val="22"/>
          <w:szCs w:val="22"/>
        </w:rPr>
        <w:t>In recognition of the large urban and regional population of Aboriginal and Torres Strait Islander peoples,</w:t>
      </w:r>
      <w:r w:rsidR="00D70F07" w:rsidRPr="41EABBE8">
        <w:rPr>
          <w:rStyle w:val="normaltextrun"/>
          <w:rFonts w:ascii="Arial" w:hAnsi="Arial" w:cs="Arial"/>
          <w:sz w:val="22"/>
          <w:szCs w:val="22"/>
        </w:rPr>
        <w:t xml:space="preserve"> and the likelihood that hotspots will occur in regional or urban areas due to the proximity of international ports,</w:t>
      </w:r>
      <w:r w:rsidRPr="41EABBE8">
        <w:rPr>
          <w:rStyle w:val="normaltextrun"/>
          <w:rFonts w:ascii="Arial" w:hAnsi="Arial" w:cs="Arial"/>
          <w:sz w:val="22"/>
          <w:szCs w:val="22"/>
        </w:rPr>
        <w:t xml:space="preserve"> </w:t>
      </w:r>
      <w:r w:rsidR="5A8F7F72" w:rsidRPr="41EABBE8">
        <w:rPr>
          <w:rStyle w:val="normaltextrun"/>
          <w:rFonts w:ascii="Arial" w:hAnsi="Arial" w:cs="Arial"/>
          <w:sz w:val="22"/>
          <w:szCs w:val="22"/>
        </w:rPr>
        <w:t xml:space="preserve">the </w:t>
      </w:r>
      <w:hyperlink r:id="rId13">
        <w:r w:rsidRPr="41EABBE8">
          <w:rPr>
            <w:rStyle w:val="Hyperlink"/>
            <w:rFonts w:ascii="Arial" w:hAnsi="Arial" w:cs="Arial"/>
            <w:i/>
            <w:iCs/>
            <w:sz w:val="22"/>
            <w:szCs w:val="22"/>
          </w:rPr>
          <w:t>National Guidance for Urban and Regional Aboriginal and Torres Strait Islander Communities for COVID-19 (Urban and Regional Guidance)</w:t>
        </w:r>
      </w:hyperlink>
      <w:r w:rsidRPr="41EABBE8">
        <w:rPr>
          <w:rStyle w:val="normaltextrun"/>
          <w:rFonts w:ascii="Arial" w:hAnsi="Arial" w:cs="Arial"/>
          <w:sz w:val="22"/>
          <w:szCs w:val="22"/>
        </w:rPr>
        <w:t> was developed to complement the </w:t>
      </w:r>
      <w:r w:rsidRPr="41EABBE8">
        <w:rPr>
          <w:rStyle w:val="normaltextrun"/>
          <w:rFonts w:ascii="Arial" w:hAnsi="Arial" w:cs="Arial"/>
          <w:i/>
          <w:iCs/>
          <w:sz w:val="22"/>
          <w:szCs w:val="22"/>
        </w:rPr>
        <w:t>CDNA National Guidance for remote Aboriginal and Torres Strait Islander communities for COVID-19</w:t>
      </w:r>
      <w:r w:rsidRPr="41EABBE8">
        <w:rPr>
          <w:rStyle w:val="normaltextrun"/>
          <w:rFonts w:ascii="Arial" w:hAnsi="Arial" w:cs="Arial"/>
          <w:sz w:val="22"/>
          <w:szCs w:val="22"/>
        </w:rPr>
        <w:t>.  </w:t>
      </w:r>
    </w:p>
    <w:p w:rsidR="00FD14D9" w:rsidRDefault="00FD14D9" w:rsidP="41EABBE8">
      <w:pPr>
        <w:pStyle w:val="paragraph"/>
        <w:spacing w:before="0" w:beforeAutospacing="0" w:after="160" w:afterAutospacing="0"/>
        <w:jc w:val="both"/>
        <w:textAlignment w:val="baseline"/>
        <w:rPr>
          <w:rStyle w:val="normaltextrun"/>
          <w:rFonts w:ascii="Arial" w:hAnsi="Arial" w:cs="Arial"/>
          <w:sz w:val="22"/>
          <w:szCs w:val="22"/>
        </w:rPr>
      </w:pPr>
      <w:r w:rsidRPr="41EABBE8">
        <w:rPr>
          <w:rStyle w:val="normaltextrun"/>
          <w:rFonts w:ascii="Arial" w:hAnsi="Arial" w:cs="Arial"/>
          <w:sz w:val="22"/>
          <w:szCs w:val="22"/>
        </w:rPr>
        <w:t>The Urban and Regional Guidance outlines considerations for preparing for and responding to COVID-19 cases, clusters and outbreaks within Aboriginal and Torres Strait Islander communities i</w:t>
      </w:r>
      <w:r w:rsidR="002A483C" w:rsidRPr="41EABBE8">
        <w:rPr>
          <w:rStyle w:val="normaltextrun"/>
          <w:rFonts w:ascii="Arial" w:hAnsi="Arial" w:cs="Arial"/>
          <w:sz w:val="22"/>
          <w:szCs w:val="22"/>
        </w:rPr>
        <w:t>n urban and regional settings.</w:t>
      </w:r>
    </w:p>
    <w:p w:rsidR="00FD14D9" w:rsidRPr="00A21438" w:rsidRDefault="00FD14D9" w:rsidP="41EABBE8">
      <w:pPr>
        <w:pStyle w:val="paragraph"/>
        <w:spacing w:before="120" w:beforeAutospacing="0" w:after="160" w:afterAutospacing="0"/>
        <w:jc w:val="both"/>
        <w:textAlignment w:val="baseline"/>
        <w:rPr>
          <w:rStyle w:val="normaltextrun"/>
          <w:rFonts w:ascii="Arial" w:hAnsi="Arial" w:cs="Arial"/>
          <w:sz w:val="22"/>
          <w:szCs w:val="22"/>
        </w:rPr>
      </w:pPr>
      <w:r w:rsidRPr="41EABBE8">
        <w:rPr>
          <w:rStyle w:val="normaltextrun"/>
          <w:rFonts w:ascii="Arial" w:hAnsi="Arial" w:cs="Arial"/>
          <w:sz w:val="22"/>
          <w:szCs w:val="22"/>
        </w:rPr>
        <w:t>The Urban and Regional Guidance aims to provide a principles-based approach to guide health services and local public health authorities in developing and implementing plans at the operational level.   </w:t>
      </w:r>
    </w:p>
    <w:p w:rsidR="10053E7A" w:rsidRDefault="10053E7A" w:rsidP="41EABBE8">
      <w:pPr>
        <w:pStyle w:val="paragraph"/>
        <w:spacing w:before="120" w:beforeAutospacing="0" w:after="160" w:afterAutospacing="0"/>
        <w:jc w:val="both"/>
        <w:rPr>
          <w:rStyle w:val="normaltextrun"/>
          <w:rFonts w:ascii="Arial" w:hAnsi="Arial" w:cs="Arial"/>
          <w:sz w:val="22"/>
          <w:szCs w:val="22"/>
        </w:rPr>
      </w:pPr>
      <w:r w:rsidRPr="41EABBE8">
        <w:rPr>
          <w:rStyle w:val="normaltextrun"/>
          <w:rFonts w:ascii="Arial" w:hAnsi="Arial" w:cs="Arial"/>
          <w:sz w:val="22"/>
          <w:szCs w:val="22"/>
        </w:rPr>
        <w:t>The experience of urban outbreaks in Tasmania, Queensland, Victoria and South Australia have directly infor</w:t>
      </w:r>
      <w:r w:rsidR="1089709C" w:rsidRPr="41EABBE8">
        <w:rPr>
          <w:rStyle w:val="normaltextrun"/>
          <w:rFonts w:ascii="Arial" w:hAnsi="Arial" w:cs="Arial"/>
          <w:sz w:val="22"/>
          <w:szCs w:val="22"/>
        </w:rPr>
        <w:t>m</w:t>
      </w:r>
      <w:r w:rsidRPr="41EABBE8">
        <w:rPr>
          <w:rStyle w:val="normaltextrun"/>
          <w:rFonts w:ascii="Arial" w:hAnsi="Arial" w:cs="Arial"/>
          <w:sz w:val="22"/>
          <w:szCs w:val="22"/>
        </w:rPr>
        <w:t>ed this Guidance</w:t>
      </w:r>
      <w:r w:rsidR="1E496CCB" w:rsidRPr="41EABBE8">
        <w:rPr>
          <w:rStyle w:val="normaltextrun"/>
          <w:rFonts w:ascii="Arial" w:hAnsi="Arial" w:cs="Arial"/>
          <w:sz w:val="22"/>
          <w:szCs w:val="22"/>
        </w:rPr>
        <w:t xml:space="preserve">. The Taskforce appreciates the contribution of ACCHS, sector support organisations and government representatives in preparing this important document. </w:t>
      </w:r>
    </w:p>
    <w:p w:rsidR="009415C7" w:rsidRPr="003005E4" w:rsidRDefault="2A198A7F" w:rsidP="41EABBE8">
      <w:pPr>
        <w:rPr>
          <w:rFonts w:cs="Arial"/>
          <w:b/>
          <w:bCs/>
        </w:rPr>
      </w:pPr>
      <w:r w:rsidRPr="41EABBE8">
        <w:rPr>
          <w:rFonts w:cs="Arial"/>
          <w:b/>
          <w:bCs/>
        </w:rPr>
        <w:t>COVID-19 Vaccine Strategy Taskforce overview</w:t>
      </w:r>
    </w:p>
    <w:p w:rsidR="009415C7" w:rsidRPr="003005E4" w:rsidRDefault="2A198A7F" w:rsidP="41EABBE8">
      <w:pPr>
        <w:jc w:val="both"/>
        <w:rPr>
          <w:rFonts w:eastAsiaTheme="minorEastAsia"/>
          <w:szCs w:val="22"/>
          <w:lang w:val="en-US"/>
        </w:rPr>
      </w:pPr>
      <w:r w:rsidRPr="41EABBE8">
        <w:rPr>
          <w:rFonts w:eastAsia="Calibri"/>
        </w:rPr>
        <w:t xml:space="preserve">The established Australian Government cross-departmental Vaccine Taskforce provided an update to the Taskforce on 18 November 2020 as part of their ongoing engagement to ensure Aboriginal and Torres Strait Islander perspectives are included in all stages of vaccine planning.  As part of their update the Vaccine Taskforce advised that the </w:t>
      </w:r>
      <w:r w:rsidRPr="41EABBE8">
        <w:rPr>
          <w:lang w:val="en-US"/>
        </w:rPr>
        <w:t xml:space="preserve">Prime Minister has released the </w:t>
      </w:r>
      <w:hyperlink r:id="rId14">
        <w:r w:rsidRPr="41EABBE8">
          <w:rPr>
            <w:rStyle w:val="Hyperlink"/>
            <w:lang w:val="en-US"/>
          </w:rPr>
          <w:t>Australian COVID-19 Vaccination Policy</w:t>
        </w:r>
      </w:hyperlink>
      <w:r w:rsidRPr="41EABBE8">
        <w:rPr>
          <w:lang w:val="en-US"/>
        </w:rPr>
        <w:t xml:space="preserve"> which outlines the approach to providing COVID-</w:t>
      </w:r>
      <w:r w:rsidRPr="41EABBE8">
        <w:rPr>
          <w:lang w:val="en-US"/>
        </w:rPr>
        <w:lastRenderedPageBreak/>
        <w:t xml:space="preserve">19 vaccines in Australia.  A </w:t>
      </w:r>
      <w:hyperlink r:id="rId15">
        <w:r w:rsidRPr="41EABBE8">
          <w:rPr>
            <w:rStyle w:val="Hyperlink"/>
            <w:lang w:val="en-US"/>
          </w:rPr>
          <w:t>vaccine hub</w:t>
        </w:r>
      </w:hyperlink>
      <w:r w:rsidRPr="41EABBE8">
        <w:rPr>
          <w:lang w:val="en-US"/>
        </w:rPr>
        <w:t xml:space="preserve"> has also been created, with information for Australians about the development, approval process and plans for COVID-19 vaccines.</w:t>
      </w:r>
    </w:p>
    <w:p w:rsidR="3BC58BBA" w:rsidRDefault="00EB2C6E" w:rsidP="584CC4DC">
      <w:pPr>
        <w:rPr>
          <w:rFonts w:cs="Arial"/>
          <w:b/>
          <w:bCs/>
        </w:rPr>
      </w:pPr>
      <w:r>
        <w:rPr>
          <w:rFonts w:cs="Arial"/>
          <w:b/>
          <w:bCs/>
        </w:rPr>
        <w:t>COVID-19 response</w:t>
      </w:r>
      <w:r w:rsidR="3BC58BBA" w:rsidRPr="48DEAE80">
        <w:rPr>
          <w:rFonts w:cs="Arial"/>
          <w:b/>
          <w:bCs/>
        </w:rPr>
        <w:t xml:space="preserve"> </w:t>
      </w:r>
      <w:r>
        <w:rPr>
          <w:rFonts w:cs="Arial"/>
          <w:b/>
          <w:bCs/>
        </w:rPr>
        <w:t>u</w:t>
      </w:r>
      <w:r w:rsidR="3BC58BBA" w:rsidRPr="48DEAE80">
        <w:rPr>
          <w:rFonts w:cs="Arial"/>
          <w:b/>
          <w:bCs/>
        </w:rPr>
        <w:t>pdates</w:t>
      </w:r>
    </w:p>
    <w:p w:rsidR="00CD2038" w:rsidRPr="003005E4" w:rsidRDefault="00CD2038" w:rsidP="00CD2038">
      <w:pPr>
        <w:rPr>
          <w:rFonts w:cs="Arial"/>
          <w:szCs w:val="22"/>
          <w:u w:val="single"/>
        </w:rPr>
      </w:pPr>
      <w:r w:rsidRPr="003005E4">
        <w:rPr>
          <w:rFonts w:cs="Arial"/>
          <w:szCs w:val="22"/>
          <w:u w:val="single"/>
        </w:rPr>
        <w:t>General Practice</w:t>
      </w:r>
      <w:r w:rsidR="002E2BA3" w:rsidRPr="003005E4">
        <w:rPr>
          <w:rFonts w:cs="Arial"/>
          <w:szCs w:val="22"/>
          <w:u w:val="single"/>
        </w:rPr>
        <w:t>-led</w:t>
      </w:r>
      <w:r w:rsidRPr="003005E4">
        <w:rPr>
          <w:rFonts w:cs="Arial"/>
          <w:szCs w:val="22"/>
          <w:u w:val="single"/>
        </w:rPr>
        <w:t xml:space="preserve"> Respiratory Clinics (GPRC</w:t>
      </w:r>
      <w:r w:rsidR="00575147" w:rsidRPr="003005E4">
        <w:rPr>
          <w:rFonts w:cs="Arial"/>
          <w:szCs w:val="22"/>
          <w:u w:val="single"/>
        </w:rPr>
        <w:t>s</w:t>
      </w:r>
      <w:r w:rsidRPr="003005E4">
        <w:rPr>
          <w:rFonts w:cs="Arial"/>
          <w:szCs w:val="22"/>
          <w:u w:val="single"/>
        </w:rPr>
        <w:t>)</w:t>
      </w:r>
    </w:p>
    <w:p w:rsidR="00897B7A" w:rsidRPr="003005E4" w:rsidRDefault="00897B7A" w:rsidP="41EABBE8">
      <w:pPr>
        <w:jc w:val="both"/>
      </w:pPr>
      <w:r>
        <w:t>All 23 Aboriginal Community Controlled Health Service</w:t>
      </w:r>
      <w:r w:rsidRPr="41EABBE8">
        <w:rPr>
          <w:strike/>
        </w:rPr>
        <w:t xml:space="preserve"> </w:t>
      </w:r>
      <w:r>
        <w:t xml:space="preserve">GPRCs </w:t>
      </w:r>
      <w:r w:rsidR="000E5922">
        <w:t>are now operational, although some have exercised the option to pause testing while case numbers are low</w:t>
      </w:r>
      <w:r w:rsidR="0002570F" w:rsidRPr="41EABBE8">
        <w:rPr>
          <w:rFonts w:eastAsiaTheme="minorEastAsia"/>
          <w:szCs w:val="22"/>
        </w:rPr>
        <w:t>,</w:t>
      </w:r>
      <w:r w:rsidR="000E5922" w:rsidRPr="41EABBE8">
        <w:rPr>
          <w:rFonts w:eastAsiaTheme="minorEastAsia"/>
          <w:szCs w:val="22"/>
        </w:rPr>
        <w:t xml:space="preserve"> </w:t>
      </w:r>
      <w:r w:rsidR="0002570F" w:rsidRPr="41EABBE8">
        <w:rPr>
          <w:rFonts w:eastAsiaTheme="minorEastAsia"/>
          <w:szCs w:val="22"/>
        </w:rPr>
        <w:t xml:space="preserve">people are still able to access COVID testing at relevant </w:t>
      </w:r>
      <w:r w:rsidR="41BC6DD1" w:rsidRPr="41EABBE8">
        <w:rPr>
          <w:rFonts w:eastAsiaTheme="minorEastAsia"/>
          <w:szCs w:val="22"/>
        </w:rPr>
        <w:t xml:space="preserve">primary health care </w:t>
      </w:r>
      <w:r w:rsidR="0002570F" w:rsidRPr="41EABBE8">
        <w:rPr>
          <w:rFonts w:eastAsiaTheme="minorEastAsia"/>
          <w:szCs w:val="22"/>
        </w:rPr>
        <w:t>clini</w:t>
      </w:r>
      <w:r w:rsidR="0CA4AB91" w:rsidRPr="41EABBE8">
        <w:rPr>
          <w:rFonts w:eastAsiaTheme="minorEastAsia"/>
          <w:szCs w:val="22"/>
        </w:rPr>
        <w:t>c</w:t>
      </w:r>
      <w:r w:rsidR="0002570F" w:rsidRPr="41EABBE8">
        <w:rPr>
          <w:rFonts w:eastAsiaTheme="minorEastAsia"/>
          <w:szCs w:val="22"/>
        </w:rPr>
        <w:t xml:space="preserve">s. </w:t>
      </w:r>
      <w:r w:rsidR="000E5922" w:rsidRPr="41EABBE8">
        <w:rPr>
          <w:rFonts w:eastAsiaTheme="minorEastAsia"/>
          <w:szCs w:val="22"/>
        </w:rPr>
        <w:t xml:space="preserve">Sites remain able to re-activate quickly should the need arise. </w:t>
      </w:r>
      <w:r>
        <w:t>The additional funding announced by the Prime</w:t>
      </w:r>
      <w:r w:rsidR="00A47D00">
        <w:t> Minister</w:t>
      </w:r>
      <w:r>
        <w:t xml:space="preserve"> </w:t>
      </w:r>
      <w:r w:rsidR="008B5A38">
        <w:t xml:space="preserve">on 18 September 2020 </w:t>
      </w:r>
      <w:r w:rsidR="00EA7003">
        <w:t xml:space="preserve">and </w:t>
      </w:r>
      <w:r w:rsidR="002E2BA3">
        <w:t>formalised</w:t>
      </w:r>
      <w:r w:rsidR="00EA7003">
        <w:t xml:space="preserve"> in the Budget </w:t>
      </w:r>
      <w:r>
        <w:t xml:space="preserve">provides </w:t>
      </w:r>
      <w:r w:rsidR="003005E4">
        <w:t>all</w:t>
      </w:r>
      <w:r>
        <w:t xml:space="preserve"> </w:t>
      </w:r>
      <w:r w:rsidR="00340FB5">
        <w:t>GPRCs</w:t>
      </w:r>
      <w:r>
        <w:t xml:space="preserve"> with the option of remaining open until 31 March 2021.</w:t>
      </w:r>
      <w:r w:rsidR="26DF22C0">
        <w:t xml:space="preserve">  </w:t>
      </w:r>
      <w:r w:rsidR="26DF22C0" w:rsidRPr="41EABBE8">
        <w:rPr>
          <w:rFonts w:eastAsia="Arial" w:cs="Arial"/>
          <w:szCs w:val="22"/>
        </w:rPr>
        <w:t xml:space="preserve">All ACCHS GPRCs have taken that option. </w:t>
      </w:r>
      <w:r>
        <w:t> </w:t>
      </w:r>
    </w:p>
    <w:p w:rsidR="00996E87" w:rsidRPr="00897B7A" w:rsidRDefault="002E2BA3" w:rsidP="00F4737A">
      <w:pPr>
        <w:jc w:val="both"/>
      </w:pPr>
      <w:r>
        <w:t xml:space="preserve">This brings the </w:t>
      </w:r>
      <w:r w:rsidR="00996E87">
        <w:t>cumulative total of GPRCs</w:t>
      </w:r>
      <w:r w:rsidR="715E39ED">
        <w:t xml:space="preserve"> that opened</w:t>
      </w:r>
      <w:r w:rsidR="00996E87">
        <w:t xml:space="preserve"> across the country to 150. </w:t>
      </w:r>
    </w:p>
    <w:p w:rsidR="002B5688" w:rsidRPr="008A5E90" w:rsidRDefault="002B5688" w:rsidP="002B5688">
      <w:pPr>
        <w:rPr>
          <w:rFonts w:cs="Arial"/>
          <w:szCs w:val="22"/>
          <w:u w:val="single"/>
        </w:rPr>
      </w:pPr>
      <w:r w:rsidRPr="008A5E90">
        <w:rPr>
          <w:rFonts w:cs="Arial"/>
          <w:szCs w:val="22"/>
          <w:u w:val="single"/>
        </w:rPr>
        <w:t>Point of Care Testing (</w:t>
      </w:r>
      <w:proofErr w:type="spellStart"/>
      <w:r w:rsidRPr="008A5E90">
        <w:rPr>
          <w:rFonts w:cs="Arial"/>
          <w:szCs w:val="22"/>
          <w:u w:val="single"/>
        </w:rPr>
        <w:t>PoCT</w:t>
      </w:r>
      <w:proofErr w:type="spellEnd"/>
      <w:r w:rsidRPr="008A5E90">
        <w:rPr>
          <w:rFonts w:cs="Arial"/>
          <w:szCs w:val="22"/>
          <w:u w:val="single"/>
        </w:rPr>
        <w:t xml:space="preserve">) Program </w:t>
      </w:r>
    </w:p>
    <w:p w:rsidR="00E4020F" w:rsidRPr="00793E75" w:rsidRDefault="002B5688" w:rsidP="6C5C4080">
      <w:pPr>
        <w:jc w:val="both"/>
        <w:rPr>
          <w:rFonts w:ascii="Times New Roman" w:hAnsi="Times New Roman"/>
          <w:sz w:val="24"/>
        </w:rPr>
      </w:pPr>
      <w:r w:rsidRPr="233D3175">
        <w:rPr>
          <w:rFonts w:cs="Arial"/>
        </w:rPr>
        <w:t>The Australian Government has</w:t>
      </w:r>
      <w:r w:rsidR="00FE65AA" w:rsidRPr="233D3175">
        <w:rPr>
          <w:rFonts w:cs="Arial"/>
        </w:rPr>
        <w:t xml:space="preserve"> provided support</w:t>
      </w:r>
      <w:r w:rsidRPr="233D3175">
        <w:rPr>
          <w:rFonts w:cs="Arial"/>
        </w:rPr>
        <w:t xml:space="preserve"> to establish a rapid COVID</w:t>
      </w:r>
      <w:r>
        <w:rPr>
          <w:rFonts w:cs="Arial"/>
          <w:szCs w:val="22"/>
        </w:rPr>
        <w:noBreakHyphen/>
      </w:r>
      <w:r w:rsidRPr="233D3175">
        <w:rPr>
          <w:rFonts w:cs="Arial"/>
        </w:rPr>
        <w:t xml:space="preserve">19 PCR </w:t>
      </w:r>
      <w:proofErr w:type="spellStart"/>
      <w:r w:rsidRPr="233D3175">
        <w:rPr>
          <w:rFonts w:cs="Arial"/>
        </w:rPr>
        <w:t>PoCT</w:t>
      </w:r>
      <w:proofErr w:type="spellEnd"/>
      <w:r w:rsidRPr="233D3175">
        <w:rPr>
          <w:rFonts w:cs="Arial"/>
        </w:rPr>
        <w:t xml:space="preserve"> Program for remote and rural Aboriginal and Torres Strait Islander communities. </w:t>
      </w:r>
      <w:r w:rsidR="6F36F0E6" w:rsidRPr="6C5C4080">
        <w:rPr>
          <w:rFonts w:eastAsia="Arial" w:cs="Arial"/>
          <w:szCs w:val="22"/>
        </w:rPr>
        <w:t>As at 13</w:t>
      </w:r>
      <w:r w:rsidR="00E83E3F">
        <w:rPr>
          <w:rFonts w:eastAsia="Arial" w:cs="Arial"/>
          <w:szCs w:val="22"/>
        </w:rPr>
        <w:t> </w:t>
      </w:r>
      <w:r w:rsidR="6F36F0E6" w:rsidRPr="6C5C4080">
        <w:rPr>
          <w:rFonts w:eastAsia="Arial" w:cs="Arial"/>
          <w:szCs w:val="22"/>
        </w:rPr>
        <w:t>December all 86 sites have completed training and 8,970 tests have been performed.</w:t>
      </w:r>
      <w:r w:rsidR="00156321" w:rsidRPr="008530B3">
        <w:t xml:space="preserve"> </w:t>
      </w:r>
      <w:r w:rsidR="00E4020F" w:rsidRPr="233D3175">
        <w:rPr>
          <w:rFonts w:cs="Arial"/>
        </w:rPr>
        <w:t>A total of 86 health services are participating in the program; 32 in the Northern Territory, nine in South Australia, two in Victoria, five in New South Wales, 18 in Queensland and 20 in Western Australia.  A further 67 services are acting as spoke sites, increasing the reach of the program to over 150 remote communities.</w:t>
      </w:r>
    </w:p>
    <w:p w:rsidR="00156321" w:rsidRDefault="00156321" w:rsidP="41EABBE8">
      <w:pPr>
        <w:jc w:val="both"/>
        <w:rPr>
          <w:rFonts w:cs="Arial"/>
        </w:rPr>
      </w:pPr>
      <w:r>
        <w:t xml:space="preserve">Aboriginal and Torres Strait Islander people </w:t>
      </w:r>
      <w:r w:rsidR="00183F8B">
        <w:t>make up</w:t>
      </w:r>
      <w:r w:rsidR="002B5688">
        <w:t xml:space="preserve"> </w:t>
      </w:r>
      <w:r w:rsidR="00A47D00">
        <w:t>57%</w:t>
      </w:r>
      <w:r w:rsidR="002B5688">
        <w:t xml:space="preserve"> of the test</w:t>
      </w:r>
      <w:r>
        <w:t>s,</w:t>
      </w:r>
      <w:r w:rsidR="002B5688">
        <w:t xml:space="preserve"> showing that the sites have been well-placed.</w:t>
      </w:r>
      <w:r w:rsidR="00484498">
        <w:t xml:space="preserve">  </w:t>
      </w:r>
      <w:r w:rsidR="2F3A0641" w:rsidRPr="41EABBE8">
        <w:rPr>
          <w:rFonts w:cs="Arial"/>
        </w:rPr>
        <w:t xml:space="preserve">Additional funding announced on 18 September will continue the </w:t>
      </w:r>
      <w:proofErr w:type="spellStart"/>
      <w:r w:rsidR="2F3A0641" w:rsidRPr="41EABBE8">
        <w:rPr>
          <w:rFonts w:cs="Arial"/>
        </w:rPr>
        <w:t>PoCT</w:t>
      </w:r>
      <w:proofErr w:type="spellEnd"/>
      <w:r w:rsidR="2F3A0641" w:rsidRPr="41EABBE8">
        <w:rPr>
          <w:rFonts w:cs="Arial"/>
        </w:rPr>
        <w:t xml:space="preserve"> program until 31 March 2021.</w:t>
      </w:r>
    </w:p>
    <w:p w:rsidR="41EABBE8" w:rsidRDefault="41EABBE8">
      <w:r>
        <w:br w:type="page"/>
      </w:r>
    </w:p>
    <w:p w:rsidR="002B5688" w:rsidRPr="00E03070" w:rsidRDefault="002B5688" w:rsidP="00484498">
      <w:pPr>
        <w:jc w:val="both"/>
        <w:rPr>
          <w:rFonts w:cs="Arial"/>
          <w:szCs w:val="22"/>
        </w:rPr>
      </w:pPr>
      <w:r w:rsidRPr="00E03070">
        <w:rPr>
          <w:rFonts w:cs="Arial"/>
          <w:szCs w:val="22"/>
        </w:rPr>
        <w:lastRenderedPageBreak/>
        <w:t xml:space="preserve">The </w:t>
      </w:r>
      <w:proofErr w:type="spellStart"/>
      <w:r w:rsidRPr="00E03070">
        <w:rPr>
          <w:rFonts w:cs="Arial"/>
          <w:szCs w:val="22"/>
        </w:rPr>
        <w:t>PoCT</w:t>
      </w:r>
      <w:proofErr w:type="spellEnd"/>
      <w:r w:rsidRPr="00E03070">
        <w:rPr>
          <w:rFonts w:cs="Arial"/>
          <w:szCs w:val="22"/>
        </w:rPr>
        <w:t xml:space="preserve"> sites are:</w:t>
      </w:r>
    </w:p>
    <w:tbl>
      <w:tblPr>
        <w:tblStyle w:val="TableGrid"/>
        <w:tblW w:w="9453" w:type="dxa"/>
        <w:tblLook w:val="04A0" w:firstRow="1" w:lastRow="0" w:firstColumn="1" w:lastColumn="0" w:noHBand="0" w:noVBand="1"/>
      </w:tblPr>
      <w:tblGrid>
        <w:gridCol w:w="1697"/>
        <w:gridCol w:w="1710"/>
        <w:gridCol w:w="1550"/>
        <w:gridCol w:w="1335"/>
        <w:gridCol w:w="1466"/>
        <w:gridCol w:w="1695"/>
      </w:tblGrid>
      <w:tr w:rsidR="002B5688" w:rsidRPr="00E03070" w:rsidTr="41EABBE8">
        <w:tc>
          <w:tcPr>
            <w:tcW w:w="1697" w:type="dxa"/>
          </w:tcPr>
          <w:p w:rsidR="002B5688" w:rsidRPr="00E03070" w:rsidRDefault="002B5688" w:rsidP="00EE52D8">
            <w:pPr>
              <w:pStyle w:val="Default"/>
              <w:rPr>
                <w:sz w:val="22"/>
                <w:szCs w:val="22"/>
              </w:rPr>
            </w:pPr>
            <w:r w:rsidRPr="48DEAE80">
              <w:rPr>
                <w:sz w:val="22"/>
                <w:szCs w:val="22"/>
              </w:rPr>
              <w:t xml:space="preserve">Northern Territory </w:t>
            </w:r>
          </w:p>
        </w:tc>
        <w:tc>
          <w:tcPr>
            <w:tcW w:w="1710" w:type="dxa"/>
          </w:tcPr>
          <w:p w:rsidR="002B5688" w:rsidRPr="00E03070" w:rsidRDefault="002B5688" w:rsidP="00EE52D8">
            <w:pPr>
              <w:pStyle w:val="Default"/>
              <w:rPr>
                <w:sz w:val="22"/>
                <w:szCs w:val="22"/>
              </w:rPr>
            </w:pPr>
            <w:r w:rsidRPr="00E03070">
              <w:rPr>
                <w:sz w:val="22"/>
                <w:szCs w:val="22"/>
              </w:rPr>
              <w:t xml:space="preserve">Western Australia </w:t>
            </w:r>
          </w:p>
        </w:tc>
        <w:tc>
          <w:tcPr>
            <w:tcW w:w="1550" w:type="dxa"/>
          </w:tcPr>
          <w:p w:rsidR="002B5688" w:rsidRPr="00E03070" w:rsidRDefault="002B5688" w:rsidP="00EE52D8">
            <w:pPr>
              <w:pStyle w:val="Default"/>
              <w:rPr>
                <w:sz w:val="22"/>
                <w:szCs w:val="22"/>
              </w:rPr>
            </w:pPr>
            <w:r w:rsidRPr="00E03070">
              <w:rPr>
                <w:sz w:val="22"/>
                <w:szCs w:val="22"/>
              </w:rPr>
              <w:t xml:space="preserve">South Australia </w:t>
            </w:r>
          </w:p>
        </w:tc>
        <w:tc>
          <w:tcPr>
            <w:tcW w:w="1335" w:type="dxa"/>
          </w:tcPr>
          <w:p w:rsidR="002B5688" w:rsidRPr="00E03070" w:rsidRDefault="002B5688" w:rsidP="00EE52D8">
            <w:pPr>
              <w:pStyle w:val="Default"/>
              <w:rPr>
                <w:sz w:val="22"/>
                <w:szCs w:val="22"/>
              </w:rPr>
            </w:pPr>
            <w:r w:rsidRPr="00E03070">
              <w:rPr>
                <w:sz w:val="22"/>
                <w:szCs w:val="22"/>
              </w:rPr>
              <w:t>New South Wales</w:t>
            </w:r>
          </w:p>
        </w:tc>
        <w:tc>
          <w:tcPr>
            <w:tcW w:w="1466" w:type="dxa"/>
          </w:tcPr>
          <w:p w:rsidR="002B5688" w:rsidRPr="00E03070" w:rsidRDefault="002B5688" w:rsidP="00EE52D8">
            <w:pPr>
              <w:pStyle w:val="Default"/>
              <w:rPr>
                <w:sz w:val="22"/>
                <w:szCs w:val="22"/>
              </w:rPr>
            </w:pPr>
            <w:r w:rsidRPr="00E03070">
              <w:rPr>
                <w:sz w:val="22"/>
                <w:szCs w:val="22"/>
              </w:rPr>
              <w:t xml:space="preserve">Victoria </w:t>
            </w:r>
          </w:p>
        </w:tc>
        <w:tc>
          <w:tcPr>
            <w:tcW w:w="1695" w:type="dxa"/>
          </w:tcPr>
          <w:p w:rsidR="002B5688" w:rsidRPr="00E03070" w:rsidRDefault="002B5688" w:rsidP="00EE52D8">
            <w:pPr>
              <w:pStyle w:val="Default"/>
              <w:rPr>
                <w:sz w:val="22"/>
                <w:szCs w:val="22"/>
              </w:rPr>
            </w:pPr>
            <w:r w:rsidRPr="48DEAE80">
              <w:rPr>
                <w:sz w:val="22"/>
                <w:szCs w:val="22"/>
              </w:rPr>
              <w:t>Queensland</w:t>
            </w:r>
          </w:p>
        </w:tc>
      </w:tr>
      <w:tr w:rsidR="002B5688" w:rsidRPr="00E03070" w:rsidTr="41EABBE8">
        <w:tc>
          <w:tcPr>
            <w:tcW w:w="1697" w:type="dxa"/>
          </w:tcPr>
          <w:p w:rsidR="002B5688" w:rsidRPr="00E03070" w:rsidRDefault="002B5688" w:rsidP="00EE52D8">
            <w:r w:rsidRPr="00E03070">
              <w:t xml:space="preserve">Ali </w:t>
            </w:r>
            <w:proofErr w:type="spellStart"/>
            <w:r w:rsidRPr="00E03070">
              <w:t>Curung</w:t>
            </w:r>
            <w:proofErr w:type="spellEnd"/>
          </w:p>
          <w:p w:rsidR="002B5688" w:rsidRPr="00E03070" w:rsidRDefault="002B5688" w:rsidP="00EE52D8">
            <w:proofErr w:type="spellStart"/>
            <w:r w:rsidRPr="00E03070">
              <w:t>Alpurrurulam</w:t>
            </w:r>
            <w:proofErr w:type="spellEnd"/>
          </w:p>
          <w:p w:rsidR="002B5688" w:rsidRPr="00E03070" w:rsidRDefault="002B5688" w:rsidP="00EE52D8">
            <w:r w:rsidRPr="00E03070">
              <w:t>Alyangula</w:t>
            </w:r>
          </w:p>
          <w:p w:rsidR="002B5688" w:rsidRPr="00E03070" w:rsidRDefault="002B5688" w:rsidP="00EE52D8">
            <w:proofErr w:type="spellStart"/>
            <w:r w:rsidRPr="00E03070">
              <w:t>Ampilatawatja</w:t>
            </w:r>
            <w:proofErr w:type="spellEnd"/>
          </w:p>
          <w:p w:rsidR="002B5688" w:rsidRPr="00E03070" w:rsidRDefault="002B5688" w:rsidP="00EE52D8">
            <w:r w:rsidRPr="00E03070">
              <w:t>Borroloola</w:t>
            </w:r>
          </w:p>
          <w:p w:rsidR="002B5688" w:rsidRPr="00E03070" w:rsidRDefault="002B5688" w:rsidP="00EE52D8">
            <w:r w:rsidRPr="00E03070">
              <w:t>Bulman</w:t>
            </w:r>
          </w:p>
          <w:p w:rsidR="002B5688" w:rsidRPr="00A6653B" w:rsidRDefault="002B5688" w:rsidP="00EE52D8">
            <w:r w:rsidRPr="00A6653B">
              <w:t xml:space="preserve">Alice Springs </w:t>
            </w:r>
            <w:r w:rsidR="00E3164A">
              <w:t>–</w:t>
            </w:r>
            <w:r w:rsidRPr="00A6653B">
              <w:t xml:space="preserve"> </w:t>
            </w:r>
            <w:r w:rsidR="00E3164A">
              <w:t>(</w:t>
            </w:r>
            <w:r w:rsidRPr="00A6653B">
              <w:t>Congress</w:t>
            </w:r>
            <w:r w:rsidR="00E3164A">
              <w:t>)</w:t>
            </w:r>
          </w:p>
          <w:p w:rsidR="002B5688" w:rsidRPr="00E03070" w:rsidRDefault="002B5688" w:rsidP="00EE52D8">
            <w:r w:rsidRPr="00A6653B">
              <w:t>Daly River</w:t>
            </w:r>
          </w:p>
          <w:p w:rsidR="002B5688" w:rsidRPr="00E03070" w:rsidRDefault="002B5688" w:rsidP="00EE52D8">
            <w:proofErr w:type="spellStart"/>
            <w:r w:rsidRPr="00E03070">
              <w:t>Galiwin’ku</w:t>
            </w:r>
            <w:proofErr w:type="spellEnd"/>
          </w:p>
          <w:p w:rsidR="002B5688" w:rsidRPr="00E03070" w:rsidRDefault="002B5688" w:rsidP="00EE52D8">
            <w:proofErr w:type="spellStart"/>
            <w:r w:rsidRPr="00E03070">
              <w:t>Gunbalanya</w:t>
            </w:r>
            <w:proofErr w:type="spellEnd"/>
          </w:p>
          <w:p w:rsidR="002B5688" w:rsidRPr="00E03070" w:rsidRDefault="002B5688" w:rsidP="00EE52D8">
            <w:proofErr w:type="spellStart"/>
            <w:r w:rsidRPr="00E03070">
              <w:t>Julanimawu</w:t>
            </w:r>
            <w:proofErr w:type="spellEnd"/>
          </w:p>
          <w:p w:rsidR="002B5688" w:rsidRPr="00E03070" w:rsidRDefault="002B5688" w:rsidP="00EE52D8">
            <w:proofErr w:type="spellStart"/>
            <w:r w:rsidRPr="00E03070">
              <w:t>Kalkarindji</w:t>
            </w:r>
            <w:proofErr w:type="spellEnd"/>
          </w:p>
          <w:p w:rsidR="002B5688" w:rsidRPr="00E03070" w:rsidRDefault="002B5688" w:rsidP="00EE52D8">
            <w:r w:rsidRPr="00E03070">
              <w:t>Kintore</w:t>
            </w:r>
          </w:p>
          <w:p w:rsidR="002B5688" w:rsidRPr="00E03070" w:rsidRDefault="002B5688" w:rsidP="00EE52D8">
            <w:proofErr w:type="spellStart"/>
            <w:r w:rsidRPr="00E03070">
              <w:t>Laynhapuy</w:t>
            </w:r>
            <w:proofErr w:type="spellEnd"/>
          </w:p>
          <w:p w:rsidR="002B5688" w:rsidRPr="00E03070" w:rsidRDefault="002B5688" w:rsidP="00EE52D8">
            <w:r w:rsidRPr="00E03070">
              <w:t>Maningrida</w:t>
            </w:r>
          </w:p>
          <w:p w:rsidR="002B5688" w:rsidRPr="00E03070" w:rsidRDefault="002B5688" w:rsidP="00EE52D8">
            <w:r w:rsidRPr="00E03070">
              <w:t>Milingimbi</w:t>
            </w:r>
          </w:p>
          <w:p w:rsidR="002B5688" w:rsidRPr="00E03070" w:rsidRDefault="002B5688" w:rsidP="00EE52D8">
            <w:proofErr w:type="spellStart"/>
            <w:r w:rsidRPr="00E03070">
              <w:t>Minyerri</w:t>
            </w:r>
            <w:proofErr w:type="spellEnd"/>
          </w:p>
          <w:p w:rsidR="002B5688" w:rsidRPr="00E03070" w:rsidRDefault="002B5688" w:rsidP="00EE52D8">
            <w:r w:rsidRPr="00E03070">
              <w:t>Ngukurr</w:t>
            </w:r>
          </w:p>
          <w:p w:rsidR="002B5688" w:rsidRPr="00E03070" w:rsidRDefault="002B5688" w:rsidP="00EE52D8">
            <w:r w:rsidRPr="00E03070">
              <w:t>Numbulwar</w:t>
            </w:r>
          </w:p>
          <w:p w:rsidR="002B5688" w:rsidRPr="00E03070" w:rsidRDefault="002B5688" w:rsidP="00EE52D8">
            <w:r w:rsidRPr="00E03070">
              <w:t>Papunya</w:t>
            </w:r>
          </w:p>
          <w:p w:rsidR="002B5688" w:rsidRPr="00E03070" w:rsidRDefault="002B5688" w:rsidP="00EE52D8">
            <w:r w:rsidRPr="00E03070">
              <w:t>Ramingining</w:t>
            </w:r>
          </w:p>
          <w:p w:rsidR="002B5688" w:rsidRPr="00E03070" w:rsidRDefault="002B5688" w:rsidP="00EE52D8">
            <w:r w:rsidRPr="00E03070">
              <w:t>Tennant Creek</w:t>
            </w:r>
          </w:p>
          <w:p w:rsidR="002B5688" w:rsidRPr="00E03070" w:rsidRDefault="002B5688" w:rsidP="00EE52D8">
            <w:r w:rsidRPr="00E03070">
              <w:t>Timber Creek</w:t>
            </w:r>
          </w:p>
          <w:p w:rsidR="002B5688" w:rsidRPr="00E03070" w:rsidRDefault="002B5688" w:rsidP="00EE52D8">
            <w:r w:rsidRPr="00E03070">
              <w:t>Wadeye</w:t>
            </w:r>
          </w:p>
          <w:p w:rsidR="002B5688" w:rsidRPr="00E03070" w:rsidRDefault="002B5688" w:rsidP="00EE52D8">
            <w:proofErr w:type="spellStart"/>
            <w:r w:rsidRPr="00E03070">
              <w:t>Wugularr</w:t>
            </w:r>
            <w:proofErr w:type="spellEnd"/>
          </w:p>
          <w:p w:rsidR="002B5688" w:rsidRPr="00E03070" w:rsidRDefault="002B5688" w:rsidP="00EE52D8">
            <w:proofErr w:type="spellStart"/>
            <w:r w:rsidRPr="00E03070">
              <w:t>Yarralin</w:t>
            </w:r>
            <w:proofErr w:type="spellEnd"/>
          </w:p>
          <w:p w:rsidR="002B5688" w:rsidRPr="00E03070" w:rsidRDefault="002B5688" w:rsidP="00EE52D8">
            <w:r w:rsidRPr="00E03070">
              <w:t>Yuendumu</w:t>
            </w:r>
          </w:p>
          <w:p w:rsidR="002B5688" w:rsidRPr="00E03070" w:rsidRDefault="002B5688" w:rsidP="00EE52D8">
            <w:r w:rsidRPr="00E03070">
              <w:t>Yulara</w:t>
            </w:r>
          </w:p>
        </w:tc>
        <w:tc>
          <w:tcPr>
            <w:tcW w:w="1710" w:type="dxa"/>
          </w:tcPr>
          <w:p w:rsidR="002B5688" w:rsidRPr="00E03070" w:rsidRDefault="002B5688" w:rsidP="00EE52D8">
            <w:pPr>
              <w:rPr>
                <w:szCs w:val="22"/>
              </w:rPr>
            </w:pPr>
            <w:proofErr w:type="spellStart"/>
            <w:r w:rsidRPr="00E03070">
              <w:rPr>
                <w:szCs w:val="22"/>
              </w:rPr>
              <w:t>Balgo</w:t>
            </w:r>
            <w:proofErr w:type="spellEnd"/>
          </w:p>
          <w:p w:rsidR="002B5688" w:rsidRPr="00E03070" w:rsidRDefault="002B5688" w:rsidP="00EE52D8">
            <w:pPr>
              <w:rPr>
                <w:szCs w:val="22"/>
              </w:rPr>
            </w:pPr>
            <w:r w:rsidRPr="00E03070">
              <w:rPr>
                <w:szCs w:val="22"/>
              </w:rPr>
              <w:t>Beagle Bay</w:t>
            </w:r>
          </w:p>
          <w:p w:rsidR="002B5688" w:rsidRPr="00E03070" w:rsidRDefault="002B5688" w:rsidP="00EE52D8">
            <w:pPr>
              <w:rPr>
                <w:szCs w:val="22"/>
              </w:rPr>
            </w:pPr>
            <w:proofErr w:type="spellStart"/>
            <w:r w:rsidRPr="00E03070">
              <w:rPr>
                <w:szCs w:val="22"/>
              </w:rPr>
              <w:t>Bidyadanga</w:t>
            </w:r>
            <w:proofErr w:type="spellEnd"/>
          </w:p>
          <w:p w:rsidR="002B5688" w:rsidRPr="00E03070" w:rsidRDefault="002B5688" w:rsidP="00EE52D8">
            <w:pPr>
              <w:rPr>
                <w:szCs w:val="22"/>
              </w:rPr>
            </w:pPr>
            <w:proofErr w:type="spellStart"/>
            <w:r w:rsidRPr="00E03070">
              <w:rPr>
                <w:szCs w:val="22"/>
              </w:rPr>
              <w:t>Billiluna</w:t>
            </w:r>
            <w:proofErr w:type="spellEnd"/>
          </w:p>
          <w:p w:rsidR="002B5688" w:rsidRPr="00E03070" w:rsidRDefault="002B5688" w:rsidP="00EE52D8">
            <w:pPr>
              <w:rPr>
                <w:szCs w:val="22"/>
              </w:rPr>
            </w:pPr>
            <w:r w:rsidRPr="00E03070">
              <w:rPr>
                <w:szCs w:val="22"/>
              </w:rPr>
              <w:t>Blackstone</w:t>
            </w:r>
          </w:p>
          <w:p w:rsidR="002B5688" w:rsidRDefault="002B5688" w:rsidP="00EE52D8">
            <w:pPr>
              <w:rPr>
                <w:szCs w:val="22"/>
              </w:rPr>
            </w:pPr>
            <w:r w:rsidRPr="00E03070">
              <w:rPr>
                <w:szCs w:val="22"/>
              </w:rPr>
              <w:t>Carnarvon</w:t>
            </w:r>
          </w:p>
          <w:p w:rsidR="002B5688" w:rsidRPr="00E03070" w:rsidRDefault="002B5688" w:rsidP="00EE52D8">
            <w:pPr>
              <w:rPr>
                <w:szCs w:val="22"/>
              </w:rPr>
            </w:pPr>
            <w:r w:rsidRPr="00E03070">
              <w:rPr>
                <w:szCs w:val="22"/>
              </w:rPr>
              <w:t>Derby</w:t>
            </w:r>
          </w:p>
          <w:p w:rsidR="002B5688" w:rsidRPr="00E03070" w:rsidRDefault="002B5688" w:rsidP="00EE52D8">
            <w:pPr>
              <w:rPr>
                <w:szCs w:val="22"/>
              </w:rPr>
            </w:pPr>
            <w:r w:rsidRPr="00E03070">
              <w:rPr>
                <w:szCs w:val="22"/>
              </w:rPr>
              <w:t xml:space="preserve">Fitzroy </w:t>
            </w:r>
            <w:r w:rsidR="00E3164A">
              <w:rPr>
                <w:szCs w:val="22"/>
              </w:rPr>
              <w:t>Crossing</w:t>
            </w:r>
          </w:p>
          <w:p w:rsidR="002B5688" w:rsidRPr="00E03070" w:rsidRDefault="002B5688" w:rsidP="00EE52D8">
            <w:pPr>
              <w:rPr>
                <w:szCs w:val="22"/>
              </w:rPr>
            </w:pPr>
            <w:r w:rsidRPr="00E03070">
              <w:rPr>
                <w:szCs w:val="22"/>
              </w:rPr>
              <w:t>Halls Creek</w:t>
            </w:r>
          </w:p>
          <w:p w:rsidR="002B5688" w:rsidRPr="00E03070" w:rsidRDefault="002B5688" w:rsidP="00EE52D8">
            <w:pPr>
              <w:rPr>
                <w:szCs w:val="22"/>
              </w:rPr>
            </w:pPr>
            <w:proofErr w:type="spellStart"/>
            <w:r w:rsidRPr="00E03070">
              <w:rPr>
                <w:szCs w:val="22"/>
              </w:rPr>
              <w:t>Jigalong</w:t>
            </w:r>
            <w:proofErr w:type="spellEnd"/>
          </w:p>
          <w:p w:rsidR="002B5688" w:rsidRPr="00E03070" w:rsidRDefault="002B5688" w:rsidP="00EE52D8">
            <w:pPr>
              <w:rPr>
                <w:szCs w:val="22"/>
              </w:rPr>
            </w:pPr>
            <w:r w:rsidRPr="00E03070">
              <w:rPr>
                <w:szCs w:val="22"/>
              </w:rPr>
              <w:t>Kalgoorlie</w:t>
            </w:r>
          </w:p>
          <w:p w:rsidR="002B5688" w:rsidRPr="00E03070" w:rsidRDefault="002B5688" w:rsidP="00EE52D8">
            <w:pPr>
              <w:rPr>
                <w:szCs w:val="22"/>
              </w:rPr>
            </w:pPr>
            <w:proofErr w:type="spellStart"/>
            <w:r w:rsidRPr="00E03070">
              <w:rPr>
                <w:szCs w:val="22"/>
              </w:rPr>
              <w:t>Kalumburu</w:t>
            </w:r>
            <w:proofErr w:type="spellEnd"/>
          </w:p>
          <w:p w:rsidR="002B5688" w:rsidRPr="00E03070" w:rsidRDefault="002B5688" w:rsidP="00EE52D8">
            <w:pPr>
              <w:rPr>
                <w:szCs w:val="22"/>
              </w:rPr>
            </w:pPr>
            <w:proofErr w:type="spellStart"/>
            <w:r w:rsidRPr="00E03070">
              <w:rPr>
                <w:szCs w:val="22"/>
              </w:rPr>
              <w:t>Kiwirrkurra</w:t>
            </w:r>
            <w:proofErr w:type="spellEnd"/>
          </w:p>
          <w:p w:rsidR="002B5688" w:rsidRPr="00E03070" w:rsidRDefault="002B5688" w:rsidP="00EE52D8">
            <w:pPr>
              <w:rPr>
                <w:szCs w:val="22"/>
              </w:rPr>
            </w:pPr>
            <w:r w:rsidRPr="00E03070">
              <w:rPr>
                <w:szCs w:val="22"/>
              </w:rPr>
              <w:t>Kununurra</w:t>
            </w:r>
          </w:p>
          <w:p w:rsidR="002B5688" w:rsidRPr="00E03070" w:rsidRDefault="002B5688" w:rsidP="00EE52D8">
            <w:pPr>
              <w:rPr>
                <w:szCs w:val="22"/>
              </w:rPr>
            </w:pPr>
            <w:r w:rsidRPr="00E03070">
              <w:rPr>
                <w:szCs w:val="22"/>
              </w:rPr>
              <w:t>Laverton</w:t>
            </w:r>
          </w:p>
          <w:p w:rsidR="002B5688" w:rsidRPr="00E03070" w:rsidRDefault="002B5688" w:rsidP="00EE52D8">
            <w:pPr>
              <w:rPr>
                <w:szCs w:val="22"/>
              </w:rPr>
            </w:pPr>
            <w:r w:rsidRPr="00E03070">
              <w:rPr>
                <w:szCs w:val="22"/>
              </w:rPr>
              <w:t>Meekatharra</w:t>
            </w:r>
          </w:p>
          <w:p w:rsidR="002B5688" w:rsidRPr="00E03070" w:rsidRDefault="002B5688" w:rsidP="00EE52D8">
            <w:pPr>
              <w:rPr>
                <w:szCs w:val="22"/>
              </w:rPr>
            </w:pPr>
            <w:r w:rsidRPr="00E03070">
              <w:rPr>
                <w:szCs w:val="22"/>
              </w:rPr>
              <w:t>Mount Magnet</w:t>
            </w:r>
          </w:p>
          <w:p w:rsidR="002B5688" w:rsidRDefault="002B5688" w:rsidP="00EE52D8">
            <w:pPr>
              <w:rPr>
                <w:szCs w:val="22"/>
              </w:rPr>
            </w:pPr>
            <w:proofErr w:type="spellStart"/>
            <w:r w:rsidRPr="00A6653B">
              <w:rPr>
                <w:szCs w:val="22"/>
              </w:rPr>
              <w:t>Tjuntjuntjara</w:t>
            </w:r>
            <w:proofErr w:type="spellEnd"/>
          </w:p>
          <w:p w:rsidR="002B5688" w:rsidRPr="00E03070" w:rsidRDefault="002B5688" w:rsidP="00EE52D8">
            <w:pPr>
              <w:rPr>
                <w:szCs w:val="22"/>
              </w:rPr>
            </w:pPr>
            <w:proofErr w:type="spellStart"/>
            <w:r w:rsidRPr="00E03070">
              <w:rPr>
                <w:szCs w:val="22"/>
              </w:rPr>
              <w:t>Warakurna</w:t>
            </w:r>
            <w:proofErr w:type="spellEnd"/>
          </w:p>
          <w:p w:rsidR="002B5688" w:rsidRPr="00E03070" w:rsidRDefault="002B5688" w:rsidP="00EE52D8">
            <w:pPr>
              <w:rPr>
                <w:szCs w:val="22"/>
              </w:rPr>
            </w:pPr>
            <w:r w:rsidRPr="00E03070">
              <w:rPr>
                <w:szCs w:val="22"/>
              </w:rPr>
              <w:t>Warburton</w:t>
            </w:r>
          </w:p>
          <w:p w:rsidR="002B5688" w:rsidRPr="00E03070" w:rsidRDefault="002B5688" w:rsidP="00EE52D8">
            <w:pPr>
              <w:rPr>
                <w:szCs w:val="22"/>
              </w:rPr>
            </w:pPr>
            <w:r w:rsidRPr="00E03070">
              <w:rPr>
                <w:szCs w:val="22"/>
              </w:rPr>
              <w:t>Wiluna</w:t>
            </w:r>
          </w:p>
          <w:p w:rsidR="002B5688" w:rsidRPr="00E03070" w:rsidRDefault="002B5688" w:rsidP="00EE52D8">
            <w:pPr>
              <w:rPr>
                <w:szCs w:val="22"/>
              </w:rPr>
            </w:pPr>
          </w:p>
        </w:tc>
        <w:tc>
          <w:tcPr>
            <w:tcW w:w="1550" w:type="dxa"/>
          </w:tcPr>
          <w:p w:rsidR="002B5688" w:rsidRPr="00E03070" w:rsidRDefault="002B5688" w:rsidP="00EE52D8">
            <w:pPr>
              <w:rPr>
                <w:szCs w:val="22"/>
              </w:rPr>
            </w:pPr>
            <w:r w:rsidRPr="00E03070">
              <w:rPr>
                <w:szCs w:val="22"/>
              </w:rPr>
              <w:t>Amata Ceduna</w:t>
            </w:r>
          </w:p>
          <w:p w:rsidR="002B5688" w:rsidRPr="00E03070" w:rsidRDefault="002B5688" w:rsidP="00EE52D8">
            <w:pPr>
              <w:rPr>
                <w:szCs w:val="22"/>
              </w:rPr>
            </w:pPr>
            <w:r w:rsidRPr="00E03070">
              <w:rPr>
                <w:szCs w:val="22"/>
              </w:rPr>
              <w:t>Coober Pedy</w:t>
            </w:r>
          </w:p>
          <w:p w:rsidR="002B5688" w:rsidRPr="00E03070" w:rsidRDefault="002B5688" w:rsidP="00EE52D8">
            <w:pPr>
              <w:rPr>
                <w:szCs w:val="22"/>
              </w:rPr>
            </w:pPr>
            <w:r w:rsidRPr="00E03070">
              <w:rPr>
                <w:szCs w:val="22"/>
              </w:rPr>
              <w:t>Ernabella</w:t>
            </w:r>
          </w:p>
          <w:p w:rsidR="002B5688" w:rsidRPr="00E03070" w:rsidRDefault="002B5688" w:rsidP="00EE52D8">
            <w:pPr>
              <w:rPr>
                <w:szCs w:val="22"/>
              </w:rPr>
            </w:pPr>
            <w:proofErr w:type="spellStart"/>
            <w:r w:rsidRPr="00E03070">
              <w:rPr>
                <w:szCs w:val="22"/>
              </w:rPr>
              <w:t>Indulkana</w:t>
            </w:r>
            <w:proofErr w:type="spellEnd"/>
          </w:p>
          <w:p w:rsidR="002B5688" w:rsidRPr="00E03070" w:rsidRDefault="002B5688" w:rsidP="00EE52D8">
            <w:pPr>
              <w:rPr>
                <w:szCs w:val="22"/>
              </w:rPr>
            </w:pPr>
            <w:r w:rsidRPr="00E03070">
              <w:rPr>
                <w:szCs w:val="22"/>
              </w:rPr>
              <w:t>Oak Valley</w:t>
            </w:r>
          </w:p>
          <w:p w:rsidR="002B5688" w:rsidRPr="00E03070" w:rsidRDefault="002B5688" w:rsidP="00EE52D8">
            <w:pPr>
              <w:rPr>
                <w:szCs w:val="22"/>
              </w:rPr>
            </w:pPr>
            <w:r w:rsidRPr="00E03070">
              <w:rPr>
                <w:szCs w:val="22"/>
              </w:rPr>
              <w:t>Port Augusta</w:t>
            </w:r>
          </w:p>
          <w:p w:rsidR="002B5688" w:rsidRPr="00E03070" w:rsidRDefault="002B5688" w:rsidP="00EE52D8">
            <w:pPr>
              <w:rPr>
                <w:szCs w:val="22"/>
              </w:rPr>
            </w:pPr>
            <w:proofErr w:type="spellStart"/>
            <w:r w:rsidRPr="00E03070">
              <w:rPr>
                <w:szCs w:val="22"/>
              </w:rPr>
              <w:t>Pipalyatjara</w:t>
            </w:r>
            <w:proofErr w:type="spellEnd"/>
          </w:p>
          <w:p w:rsidR="002B5688" w:rsidRPr="00E03070" w:rsidRDefault="002B5688" w:rsidP="00EE52D8">
            <w:pPr>
              <w:rPr>
                <w:szCs w:val="22"/>
              </w:rPr>
            </w:pPr>
            <w:r w:rsidRPr="00E03070">
              <w:rPr>
                <w:szCs w:val="22"/>
              </w:rPr>
              <w:t>Yalata</w:t>
            </w:r>
          </w:p>
          <w:p w:rsidR="002B5688" w:rsidRPr="00E03070" w:rsidRDefault="002B5688" w:rsidP="00EE52D8">
            <w:pPr>
              <w:rPr>
                <w:szCs w:val="22"/>
              </w:rPr>
            </w:pPr>
          </w:p>
        </w:tc>
        <w:tc>
          <w:tcPr>
            <w:tcW w:w="1335" w:type="dxa"/>
          </w:tcPr>
          <w:p w:rsidR="002B5688" w:rsidRPr="00E03070" w:rsidRDefault="002B5688" w:rsidP="00EE52D8">
            <w:pPr>
              <w:rPr>
                <w:szCs w:val="22"/>
              </w:rPr>
            </w:pPr>
            <w:r w:rsidRPr="00E03070">
              <w:rPr>
                <w:szCs w:val="22"/>
              </w:rPr>
              <w:t>Broken</w:t>
            </w:r>
            <w:r>
              <w:rPr>
                <w:szCs w:val="22"/>
              </w:rPr>
              <w:t xml:space="preserve"> Hill</w:t>
            </w:r>
            <w:r w:rsidR="00E3164A">
              <w:rPr>
                <w:szCs w:val="22"/>
              </w:rPr>
              <w:t xml:space="preserve"> </w:t>
            </w:r>
            <w:proofErr w:type="spellStart"/>
            <w:r w:rsidRPr="00E03070">
              <w:rPr>
                <w:szCs w:val="22"/>
              </w:rPr>
              <w:t>Coomealla</w:t>
            </w:r>
            <w:proofErr w:type="spellEnd"/>
            <w:r w:rsidRPr="00E03070">
              <w:rPr>
                <w:szCs w:val="22"/>
              </w:rPr>
              <w:t xml:space="preserve"> Moree</w:t>
            </w:r>
          </w:p>
          <w:p w:rsidR="002B5688" w:rsidRPr="00E03070" w:rsidRDefault="002B5688" w:rsidP="00EE52D8">
            <w:pPr>
              <w:rPr>
                <w:szCs w:val="22"/>
              </w:rPr>
            </w:pPr>
            <w:r w:rsidRPr="00E03070">
              <w:rPr>
                <w:szCs w:val="22"/>
              </w:rPr>
              <w:t>Narooma</w:t>
            </w:r>
          </w:p>
          <w:p w:rsidR="002B5688" w:rsidRPr="00E03070" w:rsidRDefault="002B5688" w:rsidP="00EE52D8">
            <w:pPr>
              <w:rPr>
                <w:szCs w:val="22"/>
              </w:rPr>
            </w:pPr>
            <w:r w:rsidRPr="00E03070">
              <w:rPr>
                <w:szCs w:val="22"/>
              </w:rPr>
              <w:t>Walgett</w:t>
            </w:r>
          </w:p>
          <w:p w:rsidR="002B5688" w:rsidRPr="00E03070" w:rsidRDefault="002B5688" w:rsidP="00EE52D8">
            <w:pPr>
              <w:rPr>
                <w:szCs w:val="22"/>
              </w:rPr>
            </w:pPr>
          </w:p>
        </w:tc>
        <w:tc>
          <w:tcPr>
            <w:tcW w:w="1466" w:type="dxa"/>
          </w:tcPr>
          <w:p w:rsidR="002B5688" w:rsidRPr="00E03070" w:rsidRDefault="002B5688" w:rsidP="00EE52D8">
            <w:pPr>
              <w:rPr>
                <w:szCs w:val="22"/>
              </w:rPr>
            </w:pPr>
            <w:r w:rsidRPr="00E03070">
              <w:rPr>
                <w:szCs w:val="22"/>
              </w:rPr>
              <w:t>Mildura</w:t>
            </w:r>
          </w:p>
          <w:p w:rsidR="002B5688" w:rsidRPr="00E03070" w:rsidRDefault="002B5688" w:rsidP="00EE52D8">
            <w:pPr>
              <w:rPr>
                <w:szCs w:val="22"/>
              </w:rPr>
            </w:pPr>
            <w:r w:rsidRPr="00E03070">
              <w:rPr>
                <w:szCs w:val="22"/>
              </w:rPr>
              <w:t>Mooroopna</w:t>
            </w:r>
          </w:p>
        </w:tc>
        <w:tc>
          <w:tcPr>
            <w:tcW w:w="1695" w:type="dxa"/>
          </w:tcPr>
          <w:p w:rsidR="002B5688" w:rsidRDefault="002B5688" w:rsidP="00EE52D8">
            <w:pPr>
              <w:rPr>
                <w:szCs w:val="22"/>
              </w:rPr>
            </w:pPr>
            <w:r w:rsidRPr="00E03070">
              <w:rPr>
                <w:szCs w:val="22"/>
              </w:rPr>
              <w:t>Aurukun</w:t>
            </w:r>
          </w:p>
          <w:p w:rsidR="002B5688" w:rsidRPr="00E03070" w:rsidRDefault="002B5688" w:rsidP="00EE52D8">
            <w:pPr>
              <w:rPr>
                <w:szCs w:val="22"/>
              </w:rPr>
            </w:pPr>
            <w:r w:rsidRPr="00E03070">
              <w:rPr>
                <w:szCs w:val="22"/>
              </w:rPr>
              <w:t>Badu</w:t>
            </w:r>
          </w:p>
          <w:p w:rsidR="002B5688" w:rsidRDefault="002B5688" w:rsidP="00EE52D8">
            <w:pPr>
              <w:rPr>
                <w:szCs w:val="22"/>
              </w:rPr>
            </w:pPr>
            <w:proofErr w:type="spellStart"/>
            <w:r w:rsidRPr="00E03070">
              <w:rPr>
                <w:szCs w:val="22"/>
              </w:rPr>
              <w:t>Boigu</w:t>
            </w:r>
            <w:proofErr w:type="spellEnd"/>
            <w:r w:rsidRPr="00E03070">
              <w:rPr>
                <w:szCs w:val="22"/>
              </w:rPr>
              <w:t xml:space="preserve"> </w:t>
            </w:r>
          </w:p>
          <w:p w:rsidR="002B5688" w:rsidRDefault="002B5688" w:rsidP="00EE52D8">
            <w:pPr>
              <w:rPr>
                <w:szCs w:val="22"/>
              </w:rPr>
            </w:pPr>
            <w:r w:rsidRPr="00E03070">
              <w:rPr>
                <w:szCs w:val="22"/>
              </w:rPr>
              <w:t>Cooktown</w:t>
            </w:r>
          </w:p>
          <w:p w:rsidR="002B5688" w:rsidRPr="00E03070" w:rsidRDefault="002B5688" w:rsidP="00EE52D8">
            <w:pPr>
              <w:rPr>
                <w:szCs w:val="22"/>
              </w:rPr>
            </w:pPr>
            <w:r w:rsidRPr="00E03070">
              <w:rPr>
                <w:szCs w:val="22"/>
              </w:rPr>
              <w:t>Lockhart River</w:t>
            </w:r>
          </w:p>
          <w:p w:rsidR="002B5688" w:rsidRDefault="002B5688" w:rsidP="00EE52D8">
            <w:pPr>
              <w:rPr>
                <w:szCs w:val="22"/>
              </w:rPr>
            </w:pPr>
            <w:proofErr w:type="spellStart"/>
            <w:r w:rsidRPr="00E03070">
              <w:rPr>
                <w:szCs w:val="22"/>
              </w:rPr>
              <w:t>Pormpuraaw</w:t>
            </w:r>
            <w:proofErr w:type="spellEnd"/>
          </w:p>
          <w:p w:rsidR="002B5688" w:rsidRPr="00E03070" w:rsidRDefault="002B5688" w:rsidP="00EE52D8">
            <w:pPr>
              <w:rPr>
                <w:szCs w:val="22"/>
              </w:rPr>
            </w:pPr>
            <w:r w:rsidRPr="00E03070">
              <w:rPr>
                <w:szCs w:val="22"/>
              </w:rPr>
              <w:t>Saibai</w:t>
            </w:r>
          </w:p>
          <w:p w:rsidR="002B5688" w:rsidRDefault="002B5688" w:rsidP="00EE52D8">
            <w:pPr>
              <w:rPr>
                <w:szCs w:val="22"/>
              </w:rPr>
            </w:pPr>
            <w:r w:rsidRPr="00E03070">
              <w:rPr>
                <w:szCs w:val="22"/>
              </w:rPr>
              <w:t>Weipa</w:t>
            </w:r>
          </w:p>
          <w:p w:rsidR="002B5688" w:rsidRPr="00E03070" w:rsidRDefault="002B5688" w:rsidP="00EE52D8">
            <w:pPr>
              <w:rPr>
                <w:szCs w:val="22"/>
              </w:rPr>
            </w:pPr>
            <w:proofErr w:type="spellStart"/>
            <w:r w:rsidRPr="00E03070">
              <w:rPr>
                <w:szCs w:val="22"/>
              </w:rPr>
              <w:t>Wuchopperen</w:t>
            </w:r>
            <w:proofErr w:type="spellEnd"/>
          </w:p>
          <w:p w:rsidR="002B5688" w:rsidRPr="00E03070" w:rsidRDefault="002B5688" w:rsidP="00EE52D8">
            <w:pPr>
              <w:rPr>
                <w:szCs w:val="22"/>
              </w:rPr>
            </w:pPr>
          </w:p>
        </w:tc>
      </w:tr>
    </w:tbl>
    <w:p w:rsidR="41EABBE8" w:rsidRDefault="41EABBE8" w:rsidP="41EABBE8">
      <w:pPr>
        <w:rPr>
          <w:b/>
          <w:bCs/>
        </w:rPr>
      </w:pPr>
    </w:p>
    <w:p w:rsidR="002F5FCD" w:rsidRDefault="009415C7" w:rsidP="5E77FFFA">
      <w:pPr>
        <w:keepNext/>
        <w:rPr>
          <w:b/>
          <w:bCs/>
        </w:rPr>
      </w:pPr>
      <w:r w:rsidRPr="5E77FFFA">
        <w:rPr>
          <w:b/>
          <w:bCs/>
        </w:rPr>
        <w:t>Aged Care</w:t>
      </w:r>
    </w:p>
    <w:p w:rsidR="00A21438" w:rsidRPr="002A483C" w:rsidRDefault="782C8EDB" w:rsidP="4B0B76BD">
      <w:pPr>
        <w:spacing w:before="240"/>
        <w:rPr>
          <w:szCs w:val="22"/>
          <w:lang w:val="en-US" w:eastAsia="en-AU"/>
        </w:rPr>
      </w:pPr>
      <w:r w:rsidRPr="002A483C">
        <w:rPr>
          <w:szCs w:val="22"/>
          <w:lang w:val="en-US" w:eastAsia="en-AU"/>
        </w:rPr>
        <w:t>The Department of Health</w:t>
      </w:r>
      <w:r w:rsidR="202A4288" w:rsidRPr="002A483C">
        <w:rPr>
          <w:szCs w:val="22"/>
          <w:lang w:val="en-US" w:eastAsia="en-AU"/>
        </w:rPr>
        <w:t>’s</w:t>
      </w:r>
      <w:r w:rsidR="33BF4DAB" w:rsidRPr="002A483C">
        <w:rPr>
          <w:szCs w:val="22"/>
          <w:lang w:val="en-US" w:eastAsia="en-AU"/>
        </w:rPr>
        <w:t xml:space="preserve"> National COVID Aged Care policy branch provided an update of their work which included:</w:t>
      </w:r>
    </w:p>
    <w:p w:rsidR="00A21438" w:rsidRPr="002A483C" w:rsidRDefault="00A21438" w:rsidP="5E77FFFA">
      <w:pPr>
        <w:pStyle w:val="ListParagraph"/>
        <w:numPr>
          <w:ilvl w:val="0"/>
          <w:numId w:val="33"/>
        </w:numPr>
        <w:spacing w:before="120" w:after="0" w:line="240" w:lineRule="auto"/>
        <w:ind w:left="714" w:hanging="357"/>
        <w:contextualSpacing w:val="0"/>
      </w:pPr>
      <w:r>
        <w:t>Key role is to assist and support States and Territories to be as prepared as possible for an outbreak of COVID in aged care facilities.</w:t>
      </w:r>
    </w:p>
    <w:p w:rsidR="00A21438" w:rsidRPr="002A483C" w:rsidRDefault="00A21438" w:rsidP="00A21438">
      <w:pPr>
        <w:pStyle w:val="ListParagraph"/>
        <w:numPr>
          <w:ilvl w:val="0"/>
          <w:numId w:val="33"/>
        </w:numPr>
        <w:spacing w:before="120" w:after="0" w:line="240" w:lineRule="auto"/>
        <w:ind w:left="714" w:hanging="357"/>
        <w:contextualSpacing w:val="0"/>
        <w:rPr>
          <w:szCs w:val="22"/>
        </w:rPr>
      </w:pPr>
      <w:r w:rsidRPr="002A483C">
        <w:rPr>
          <w:szCs w:val="22"/>
        </w:rPr>
        <w:t>Supports the Aged care advisory group, which reports to AHPPC and currently meets twice a week.</w:t>
      </w:r>
    </w:p>
    <w:p w:rsidR="00A21438" w:rsidRPr="002A483C" w:rsidRDefault="00A21438" w:rsidP="00A21438">
      <w:pPr>
        <w:pStyle w:val="ListParagraph"/>
        <w:numPr>
          <w:ilvl w:val="0"/>
          <w:numId w:val="33"/>
        </w:numPr>
        <w:spacing w:before="120" w:after="0" w:line="240" w:lineRule="auto"/>
        <w:ind w:left="714" w:hanging="357"/>
        <w:contextualSpacing w:val="0"/>
        <w:rPr>
          <w:szCs w:val="22"/>
        </w:rPr>
      </w:pPr>
      <w:r w:rsidRPr="002A483C">
        <w:rPr>
          <w:szCs w:val="22"/>
        </w:rPr>
        <w:t xml:space="preserve">Updated the National Aged Care COVID plan, to reflect recommendations of the Aged Care Royal commission special report on COVID-19; on lessons learnt thus far; and including cross linkages to the Aboriginal </w:t>
      </w:r>
      <w:r w:rsidRPr="002A483C">
        <w:rPr>
          <w:szCs w:val="22"/>
        </w:rPr>
        <w:lastRenderedPageBreak/>
        <w:t>and Torres Strait Islander Management Plan and Guidance documents.  It will be shared to the Advisory Group in due course.</w:t>
      </w:r>
    </w:p>
    <w:p w:rsidR="00A21438" w:rsidRPr="005C2869" w:rsidRDefault="484A9603" w:rsidP="5E77FFFA">
      <w:pPr>
        <w:spacing w:before="240"/>
        <w:rPr>
          <w:lang w:eastAsia="en-AU"/>
        </w:rPr>
      </w:pPr>
      <w:r w:rsidRPr="41EABBE8">
        <w:rPr>
          <w:lang w:eastAsia="en-AU"/>
        </w:rPr>
        <w:t xml:space="preserve">The Taskforce will continue to receive updates on related elements of the aged care response. </w:t>
      </w:r>
    </w:p>
    <w:p w:rsidR="003428EA" w:rsidRPr="00E03070" w:rsidRDefault="003428EA" w:rsidP="5E77FFFA">
      <w:pPr>
        <w:rPr>
          <w:rFonts w:cs="Arial"/>
          <w:b/>
          <w:bCs/>
        </w:rPr>
      </w:pPr>
      <w:r w:rsidRPr="5E77FFFA">
        <w:rPr>
          <w:rFonts w:cs="Arial"/>
          <w:b/>
          <w:bCs/>
        </w:rPr>
        <w:t>National Surveillance Plan</w:t>
      </w:r>
    </w:p>
    <w:p w:rsidR="00955180" w:rsidRPr="00820073" w:rsidRDefault="00C6286C" w:rsidP="0049076F">
      <w:pPr>
        <w:jc w:val="both"/>
      </w:pPr>
      <w:r>
        <w:t xml:space="preserve">The Taskforce endorsed the Surveillance Plan Working Group’s recommendations for more detailed and targeted considerations for Aboriginal and Torres Strait Islander people in the </w:t>
      </w:r>
      <w:hyperlink r:id="rId16">
        <w:r w:rsidRPr="5E77FFFA">
          <w:rPr>
            <w:rStyle w:val="Hyperlink"/>
            <w:rFonts w:cs="Arial"/>
            <w:i/>
            <w:iCs/>
            <w:color w:val="auto"/>
          </w:rPr>
          <w:t>Australian National Disease Surveillance Plan for COVID-19</w:t>
        </w:r>
      </w:hyperlink>
      <w:r>
        <w:t>.</w:t>
      </w:r>
      <w:r w:rsidR="00F14F01">
        <w:t xml:space="preserve"> These </w:t>
      </w:r>
      <w:r w:rsidR="00466444">
        <w:t xml:space="preserve">considerations </w:t>
      </w:r>
      <w:r w:rsidR="00F14F01">
        <w:t xml:space="preserve">will </w:t>
      </w:r>
      <w:r w:rsidR="00466444">
        <w:t xml:space="preserve">provide a better understanding of the impact of COVID-19 in Aboriginal and Torres Strait Islander people and further support tailoring of </w:t>
      </w:r>
      <w:r w:rsidR="00F14F01">
        <w:t xml:space="preserve">public health measures for Aboriginal and Torres Strait Islander </w:t>
      </w:r>
      <w:r w:rsidR="009D6092">
        <w:t>communities</w:t>
      </w:r>
      <w:r w:rsidR="00F14F01">
        <w:t>.</w:t>
      </w:r>
      <w:r w:rsidR="009D6092">
        <w:t xml:space="preserve"> </w:t>
      </w:r>
      <w:r w:rsidR="00E35CA7">
        <w:t xml:space="preserve">The considerations are currently being considered by CDNA. </w:t>
      </w:r>
    </w:p>
    <w:p w:rsidR="001F755F" w:rsidRPr="000F4CBD" w:rsidRDefault="001F755F" w:rsidP="003F0984">
      <w:pPr>
        <w:rPr>
          <w:rFonts w:cs="Arial"/>
          <w:b/>
          <w:szCs w:val="22"/>
        </w:rPr>
      </w:pPr>
      <w:r w:rsidRPr="000F4CBD">
        <w:rPr>
          <w:rFonts w:cs="Arial"/>
          <w:b/>
          <w:szCs w:val="22"/>
        </w:rPr>
        <w:t xml:space="preserve">Other </w:t>
      </w:r>
      <w:r w:rsidR="000F4CBD" w:rsidRPr="000F4CBD">
        <w:rPr>
          <w:rFonts w:cs="Arial"/>
          <w:b/>
          <w:szCs w:val="22"/>
        </w:rPr>
        <w:t xml:space="preserve">related </w:t>
      </w:r>
      <w:r w:rsidRPr="000F4CBD">
        <w:rPr>
          <w:rFonts w:cs="Arial"/>
          <w:b/>
          <w:szCs w:val="22"/>
        </w:rPr>
        <w:t>news</w:t>
      </w:r>
    </w:p>
    <w:p w:rsidR="00A21438" w:rsidRDefault="00955180" w:rsidP="5E77FFFA">
      <w:pPr>
        <w:jc w:val="both"/>
        <w:rPr>
          <w:rFonts w:cs="Arial"/>
        </w:rPr>
      </w:pPr>
      <w:r w:rsidRPr="5E77FFFA">
        <w:rPr>
          <w:rFonts w:cs="Arial"/>
        </w:rPr>
        <w:t xml:space="preserve">One of the key strengths of the Taskforce </w:t>
      </w:r>
      <w:r w:rsidR="0021286B" w:rsidRPr="5E77FFFA">
        <w:rPr>
          <w:rFonts w:cs="Arial"/>
        </w:rPr>
        <w:t>has been</w:t>
      </w:r>
      <w:r w:rsidRPr="5E77FFFA">
        <w:rPr>
          <w:rFonts w:cs="Arial"/>
        </w:rPr>
        <w:t xml:space="preserve"> raising new and emerging issues</w:t>
      </w:r>
      <w:r w:rsidR="0021286B" w:rsidRPr="5E77FFFA">
        <w:rPr>
          <w:rFonts w:cs="Arial"/>
        </w:rPr>
        <w:t xml:space="preserve"> and sharing current response strategies.</w:t>
      </w:r>
      <w:r w:rsidRPr="5E77FFFA">
        <w:rPr>
          <w:rFonts w:cs="Arial"/>
        </w:rPr>
        <w:t xml:space="preserve"> </w:t>
      </w:r>
      <w:r w:rsidR="28213ABE" w:rsidRPr="5E77FFFA">
        <w:rPr>
          <w:rFonts w:cs="Arial"/>
        </w:rPr>
        <w:t>Representatives from the State and Territory ACCHS, sector support organisations and governments regul</w:t>
      </w:r>
      <w:r w:rsidR="0A1BA9DA" w:rsidRPr="5E77FFFA">
        <w:rPr>
          <w:rFonts w:cs="Arial"/>
        </w:rPr>
        <w:t xml:space="preserve">arly provide updates about the local situation.  </w:t>
      </w:r>
      <w:r w:rsidR="5DA953EE" w:rsidRPr="5E77FFFA">
        <w:rPr>
          <w:rFonts w:cs="Arial"/>
        </w:rPr>
        <w:t xml:space="preserve"> </w:t>
      </w:r>
      <w:r w:rsidR="2BF43F59" w:rsidRPr="5E77FFFA">
        <w:rPr>
          <w:rFonts w:cs="Arial"/>
        </w:rPr>
        <w:t xml:space="preserve"> </w:t>
      </w:r>
      <w:r w:rsidR="28213ABE" w:rsidRPr="5E77FFFA">
        <w:rPr>
          <w:rFonts w:cs="Arial"/>
        </w:rPr>
        <w:t xml:space="preserve"> </w:t>
      </w:r>
      <w:r w:rsidRPr="5E77FFFA">
        <w:rPr>
          <w:rFonts w:cs="Arial"/>
        </w:rPr>
        <w:t xml:space="preserve">The </w:t>
      </w:r>
      <w:r w:rsidR="008530B3" w:rsidRPr="5E77FFFA">
        <w:rPr>
          <w:rFonts w:cs="Arial"/>
        </w:rPr>
        <w:t>T</w:t>
      </w:r>
      <w:r w:rsidRPr="5E77FFFA">
        <w:rPr>
          <w:rFonts w:cs="Arial"/>
        </w:rPr>
        <w:t xml:space="preserve">askforce </w:t>
      </w:r>
      <w:r w:rsidR="00092777" w:rsidRPr="5E77FFFA">
        <w:rPr>
          <w:rFonts w:cs="Arial"/>
        </w:rPr>
        <w:t>receives</w:t>
      </w:r>
      <w:r w:rsidR="0021286B" w:rsidRPr="5E77FFFA">
        <w:rPr>
          <w:rFonts w:cs="Arial"/>
        </w:rPr>
        <w:t xml:space="preserve"> </w:t>
      </w:r>
      <w:r w:rsidRPr="5E77FFFA">
        <w:rPr>
          <w:rFonts w:cs="Arial"/>
        </w:rPr>
        <w:t xml:space="preserve">updates </w:t>
      </w:r>
      <w:r w:rsidR="0021286B" w:rsidRPr="5E77FFFA">
        <w:rPr>
          <w:rFonts w:cs="Arial"/>
        </w:rPr>
        <w:t>from</w:t>
      </w:r>
      <w:r w:rsidRPr="5E77FFFA">
        <w:rPr>
          <w:rFonts w:cs="Arial"/>
        </w:rPr>
        <w:t xml:space="preserve"> </w:t>
      </w:r>
      <w:r w:rsidR="00A21438" w:rsidRPr="5E77FFFA">
        <w:rPr>
          <w:rFonts w:cs="Arial"/>
        </w:rPr>
        <w:t>jurisdictions experiencing an increase in COVID</w:t>
      </w:r>
      <w:r w:rsidR="002A483C" w:rsidRPr="5E77FFFA">
        <w:rPr>
          <w:rFonts w:cs="Arial"/>
        </w:rPr>
        <w:t>-19</w:t>
      </w:r>
      <w:r w:rsidR="00A21438" w:rsidRPr="5E77FFFA">
        <w:rPr>
          <w:rFonts w:cs="Arial"/>
        </w:rPr>
        <w:t xml:space="preserve"> cases or any relevant issues.</w:t>
      </w:r>
      <w:r w:rsidR="23B7E6A7" w:rsidRPr="5E77FFFA">
        <w:rPr>
          <w:rFonts w:cs="Arial"/>
        </w:rPr>
        <w:t xml:space="preserve"> In particular through the recent outbreaks in Victoria and South Australia this regular, local information about the evolving situation, including successes and challenges has helped all jurisdictions to review and prepare their own plans.</w:t>
      </w:r>
    </w:p>
    <w:p w:rsidR="7187A2DB" w:rsidRDefault="7187A2DB" w:rsidP="5E77FFFA">
      <w:pPr>
        <w:jc w:val="both"/>
        <w:rPr>
          <w:rFonts w:cs="Arial"/>
        </w:rPr>
      </w:pPr>
      <w:r w:rsidRPr="41EABBE8">
        <w:rPr>
          <w:rFonts w:cs="Arial"/>
        </w:rPr>
        <w:t>In 2021 The Department of Health will continue to provide regular electronic newsletter updates about the Aboriginal and Torres Strait Islander res</w:t>
      </w:r>
      <w:r w:rsidR="0F7EFAA6" w:rsidRPr="41EABBE8">
        <w:rPr>
          <w:rFonts w:cs="Arial"/>
        </w:rPr>
        <w:t>p</w:t>
      </w:r>
      <w:r w:rsidRPr="41EABBE8">
        <w:rPr>
          <w:rFonts w:cs="Arial"/>
        </w:rPr>
        <w:t>on</w:t>
      </w:r>
      <w:r w:rsidR="54064419" w:rsidRPr="41EABBE8">
        <w:rPr>
          <w:rFonts w:cs="Arial"/>
        </w:rPr>
        <w:t>s</w:t>
      </w:r>
      <w:r w:rsidRPr="41EABBE8">
        <w:rPr>
          <w:rFonts w:cs="Arial"/>
        </w:rPr>
        <w:t>e to COVID-1</w:t>
      </w:r>
      <w:r w:rsidRPr="41EABBE8">
        <w:rPr>
          <w:rFonts w:cs="Arial"/>
          <w:szCs w:val="22"/>
        </w:rPr>
        <w:t>9.</w:t>
      </w:r>
      <w:r w:rsidRPr="41EABBE8">
        <w:rPr>
          <w:rFonts w:eastAsia="Arial" w:cs="Arial"/>
          <w:szCs w:val="22"/>
        </w:rPr>
        <w:t xml:space="preserve"> </w:t>
      </w:r>
      <w:r w:rsidRPr="41EABBE8">
        <w:rPr>
          <w:rFonts w:eastAsia="Arial" w:cs="Arial"/>
          <w:color w:val="1F497D"/>
          <w:szCs w:val="22"/>
        </w:rPr>
        <w:t xml:space="preserve"> </w:t>
      </w:r>
      <w:hyperlink r:id="rId17">
        <w:r w:rsidRPr="41EABBE8">
          <w:rPr>
            <w:rStyle w:val="Hyperlink"/>
            <w:rFonts w:eastAsia="Arial" w:cs="Arial"/>
            <w:color w:val="0000FF"/>
            <w:szCs w:val="22"/>
          </w:rPr>
          <w:t>Subscribe</w:t>
        </w:r>
      </w:hyperlink>
      <w:r w:rsidRPr="41EABBE8">
        <w:rPr>
          <w:rFonts w:ascii="Times New Roman" w:eastAsia="Times New Roman" w:hAnsi="Times New Roman"/>
          <w:color w:val="1F497D"/>
          <w:sz w:val="24"/>
        </w:rPr>
        <w:t xml:space="preserve"> </w:t>
      </w:r>
      <w:r w:rsidRPr="41EABBE8">
        <w:rPr>
          <w:rFonts w:eastAsiaTheme="minorEastAsia" w:cs="Arial"/>
          <w:szCs w:val="22"/>
        </w:rPr>
        <w:t xml:space="preserve">to directly receive </w:t>
      </w:r>
      <w:r w:rsidR="6C140743" w:rsidRPr="41EABBE8">
        <w:rPr>
          <w:rFonts w:eastAsiaTheme="minorEastAsia" w:cs="Arial"/>
          <w:szCs w:val="22"/>
        </w:rPr>
        <w:t xml:space="preserve">these updates. </w:t>
      </w:r>
    </w:p>
    <w:p w:rsidR="60B65F61" w:rsidRDefault="60B65F61" w:rsidP="5E77FFFA">
      <w:pPr>
        <w:jc w:val="both"/>
        <w:rPr>
          <w:rFonts w:eastAsiaTheme="minorEastAsia" w:cs="Arial"/>
          <w:szCs w:val="22"/>
        </w:rPr>
      </w:pPr>
      <w:r w:rsidRPr="41EABBE8">
        <w:rPr>
          <w:rFonts w:eastAsiaTheme="minorEastAsia" w:cs="Arial"/>
          <w:szCs w:val="22"/>
        </w:rPr>
        <w:t xml:space="preserve">The Aboriginal and Torres Strait Islander Advisory Group on COVID-19 wished everyone a happy and </w:t>
      </w:r>
      <w:proofErr w:type="spellStart"/>
      <w:r w:rsidRPr="41EABBE8">
        <w:rPr>
          <w:rFonts w:eastAsiaTheme="minorEastAsia" w:cs="Arial"/>
          <w:szCs w:val="22"/>
        </w:rPr>
        <w:t>COVIDsafe</w:t>
      </w:r>
      <w:proofErr w:type="spellEnd"/>
      <w:r w:rsidRPr="41EABBE8">
        <w:rPr>
          <w:rFonts w:eastAsiaTheme="minorEastAsia" w:cs="Arial"/>
          <w:szCs w:val="22"/>
        </w:rPr>
        <w:t xml:space="preserve"> </w:t>
      </w:r>
      <w:r w:rsidR="533CAEB4" w:rsidRPr="41EABBE8">
        <w:rPr>
          <w:rFonts w:eastAsiaTheme="minorEastAsia" w:cs="Arial"/>
          <w:szCs w:val="22"/>
        </w:rPr>
        <w:t>holiday</w:t>
      </w:r>
      <w:r w:rsidRPr="41EABBE8">
        <w:rPr>
          <w:rFonts w:eastAsiaTheme="minorEastAsia" w:cs="Arial"/>
          <w:szCs w:val="22"/>
        </w:rPr>
        <w:t xml:space="preserve"> period.   </w:t>
      </w:r>
    </w:p>
    <w:p w:rsidR="5E77FFFA" w:rsidRDefault="5E77FFFA" w:rsidP="5E77FFFA">
      <w:pPr>
        <w:jc w:val="both"/>
        <w:rPr>
          <w:rFonts w:cs="Arial"/>
        </w:rPr>
      </w:pPr>
    </w:p>
    <w:sectPr w:rsidR="5E77FFFA" w:rsidSect="00BF5C53">
      <w:headerReference w:type="default" r:id="rId18"/>
      <w:footerReference w:type="default" r:id="rId19"/>
      <w:headerReference w:type="first" r:id="rId20"/>
      <w:pgSz w:w="11906" w:h="16838"/>
      <w:pgMar w:top="1985" w:right="1440" w:bottom="1440" w:left="1440" w:header="70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2761705" w16cex:dateUtc="2020-05-25T00:05:00Z"/>
  <w16cex:commentExtensible w16cex:durableId="227618A9" w16cex:dateUtc="2020-05-25T00:12:00Z"/>
  <w16cex:commentExtensible w16cex:durableId="2276190D" w16cex:dateUtc="2020-05-25T00:14:00Z"/>
  <w16cex:commentExtensible w16cex:durableId="2276176E" w16cex:dateUtc="2020-05-25T00:07:00Z"/>
  <w16cex:commentExtensible w16cex:durableId="22761822" w16cex:dateUtc="2020-05-25T00:10:00Z"/>
  <w16cex:commentExtensible w16cex:durableId="22761843" w16cex:dateUtc="2020-05-25T00:11:00Z"/>
  <w16cex:commentExtensible w16cex:durableId="22761818" w16cex:dateUtc="2020-05-25T00:10:00Z"/>
  <w16cex:commentExtensible w16cex:durableId="227615F4" w16cex:dateUtc="2020-05-25T00:01:00Z"/>
  <w16cex:commentExtensible w16cex:durableId="68B939F1" w16cex:dateUtc="2020-12-01T06:09:09.501Z"/>
  <w16cex:commentExtensible w16cex:durableId="294496A3" w16cex:dateUtc="2020-12-01T06:10:02.447Z"/>
</w16cex:commentsExtensible>
</file>

<file path=word/commentsIds.xml><?xml version="1.0" encoding="utf-8"?>
<w16cid:commentsIds xmlns:mc="http://schemas.openxmlformats.org/markup-compatibility/2006" xmlns:w16cid="http://schemas.microsoft.com/office/word/2016/wordml/cid" mc:Ignorable="w16cid">
  <w16cid:commentId w16cid:paraId="5564AC40" w16cid:durableId="22761705"/>
  <w16cid:commentId w16cid:paraId="6294DEAB" w16cid:durableId="227618A9"/>
  <w16cid:commentId w16cid:paraId="7E9792CC" w16cid:durableId="2276190D"/>
  <w16cid:commentId w16cid:paraId="05621B94" w16cid:durableId="2276176E"/>
  <w16cid:commentId w16cid:paraId="31377181" w16cid:durableId="22761822"/>
  <w16cid:commentId w16cid:paraId="4AA8CDED" w16cid:durableId="22761843"/>
  <w16cid:commentId w16cid:paraId="0F4B27B1" w16cid:durableId="22761818"/>
  <w16cid:commentId w16cid:paraId="61BB653D" w16cid:durableId="227615F4"/>
  <w16cid:commentId w16cid:paraId="6C5E762E" w16cid:durableId="6617CE91"/>
  <w16cid:commentId w16cid:paraId="48335728" w16cid:durableId="68B939F1"/>
  <w16cid:commentId w16cid:paraId="6B9F731B" w16cid:durableId="294496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9C2" w:rsidRDefault="00B549C2" w:rsidP="00F22912">
      <w:pPr>
        <w:spacing w:after="0" w:line="240" w:lineRule="auto"/>
      </w:pPr>
      <w:r>
        <w:separator/>
      </w:r>
    </w:p>
  </w:endnote>
  <w:endnote w:type="continuationSeparator" w:id="0">
    <w:p w:rsidR="00B549C2" w:rsidRDefault="00B549C2" w:rsidP="00F22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C53" w:rsidRDefault="00EA3B75" w:rsidP="00BF5C53">
    <w:pPr>
      <w:pStyle w:val="Footer"/>
      <w:jc w:val="center"/>
    </w:pPr>
    <w:sdt>
      <w:sdtPr>
        <w:id w:val="713544659"/>
        <w:docPartObj>
          <w:docPartGallery w:val="Page Numbers (Bottom of Page)"/>
          <w:docPartUnique/>
        </w:docPartObj>
      </w:sdtPr>
      <w:sdtEndPr>
        <w:rPr>
          <w:b/>
          <w:noProof/>
          <w:sz w:val="20"/>
          <w:szCs w:val="20"/>
        </w:rPr>
      </w:sdtEndPr>
      <w:sdtContent>
        <w:r w:rsidR="00BF5C53" w:rsidRPr="00BF5C53">
          <w:rPr>
            <w:b/>
            <w:sz w:val="20"/>
            <w:szCs w:val="20"/>
          </w:rPr>
          <w:fldChar w:fldCharType="begin"/>
        </w:r>
        <w:r w:rsidR="00BF5C53" w:rsidRPr="00BF5C53">
          <w:rPr>
            <w:b/>
            <w:sz w:val="20"/>
            <w:szCs w:val="20"/>
          </w:rPr>
          <w:instrText xml:space="preserve"> PAGE   \* MERGEFORMAT </w:instrText>
        </w:r>
        <w:r w:rsidR="00BF5C53" w:rsidRPr="00BF5C53">
          <w:rPr>
            <w:b/>
            <w:sz w:val="20"/>
            <w:szCs w:val="20"/>
          </w:rPr>
          <w:fldChar w:fldCharType="separate"/>
        </w:r>
        <w:r>
          <w:rPr>
            <w:b/>
            <w:noProof/>
            <w:sz w:val="20"/>
            <w:szCs w:val="20"/>
          </w:rPr>
          <w:t>4</w:t>
        </w:r>
        <w:r w:rsidR="00BF5C53" w:rsidRPr="00BF5C53">
          <w:rPr>
            <w:b/>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9C2" w:rsidRDefault="00B549C2" w:rsidP="00F22912">
      <w:pPr>
        <w:spacing w:after="0" w:line="240" w:lineRule="auto"/>
      </w:pPr>
      <w:r>
        <w:separator/>
      </w:r>
    </w:p>
  </w:footnote>
  <w:footnote w:type="continuationSeparator" w:id="0">
    <w:p w:rsidR="00B549C2" w:rsidRDefault="00B549C2" w:rsidP="00F22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C53" w:rsidRPr="00BF5C53" w:rsidRDefault="00BF5C53" w:rsidP="00BF5C53">
    <w:pPr>
      <w:pStyle w:val="Footer"/>
      <w:jc w:val="center"/>
      <w:rPr>
        <w:b/>
        <w:sz w:val="20"/>
        <w:szCs w:val="20"/>
      </w:rPr>
    </w:pPr>
    <w:r>
      <w:rPr>
        <w:noProof/>
        <w:lang w:eastAsia="en-AU"/>
      </w:rPr>
      <w:drawing>
        <wp:anchor distT="0" distB="0" distL="114300" distR="114300" simplePos="0" relativeHeight="251659264" behindDoc="1" locked="1" layoutInCell="1" allowOverlap="1" wp14:anchorId="48961E26" wp14:editId="420F8161">
          <wp:simplePos x="0" y="0"/>
          <wp:positionH relativeFrom="page">
            <wp:align>left</wp:align>
          </wp:positionH>
          <wp:positionV relativeFrom="page">
            <wp:align>top</wp:align>
          </wp:positionV>
          <wp:extent cx="7558405" cy="10691495"/>
          <wp:effectExtent l="0" t="0" r="4445"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00032_Indigenous_letterhead_factsheet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8" cy="1069199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912" w:rsidRDefault="00F22912">
    <w:pPr>
      <w:pStyle w:val="Header"/>
    </w:pPr>
    <w:r>
      <w:rPr>
        <w:noProof/>
        <w:lang w:eastAsia="en-AU"/>
      </w:rPr>
      <w:drawing>
        <wp:anchor distT="0" distB="0" distL="114300" distR="114300" simplePos="0" relativeHeight="251658240" behindDoc="1" locked="1" layoutInCell="1" allowOverlap="1" wp14:anchorId="67E33D74" wp14:editId="13B97578">
          <wp:simplePos x="914400" y="447152"/>
          <wp:positionH relativeFrom="page">
            <wp:align>center</wp:align>
          </wp:positionH>
          <wp:positionV relativeFrom="page">
            <wp:align>top</wp:align>
          </wp:positionV>
          <wp:extent cx="7558405" cy="10691495"/>
          <wp:effectExtent l="0" t="0" r="4445"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0032_Indigenous_letterhead_factshee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8"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4E83"/>
    <w:multiLevelType w:val="hybridMultilevel"/>
    <w:tmpl w:val="77FA19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BD653C7"/>
    <w:multiLevelType w:val="hybridMultilevel"/>
    <w:tmpl w:val="7B2CE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9747C1"/>
    <w:multiLevelType w:val="hybridMultilevel"/>
    <w:tmpl w:val="EB1EA4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BEC5D52"/>
    <w:multiLevelType w:val="hybridMultilevel"/>
    <w:tmpl w:val="C4D6CF1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 w15:restartNumberingAfterBreak="0">
    <w:nsid w:val="1CDC64AF"/>
    <w:multiLevelType w:val="hybridMultilevel"/>
    <w:tmpl w:val="D69003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CE360FA"/>
    <w:multiLevelType w:val="hybridMultilevel"/>
    <w:tmpl w:val="05946AB0"/>
    <w:lvl w:ilvl="0" w:tplc="9C6C779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8D5396F"/>
    <w:multiLevelType w:val="hybridMultilevel"/>
    <w:tmpl w:val="1A34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6D38F9"/>
    <w:multiLevelType w:val="hybridMultilevel"/>
    <w:tmpl w:val="CA8A8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753698"/>
    <w:multiLevelType w:val="hybridMultilevel"/>
    <w:tmpl w:val="FA52C54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3115765"/>
    <w:multiLevelType w:val="hybridMultilevel"/>
    <w:tmpl w:val="04A6D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334103"/>
    <w:multiLevelType w:val="hybridMultilevel"/>
    <w:tmpl w:val="AB50A4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AC37E0C"/>
    <w:multiLevelType w:val="hybridMultilevel"/>
    <w:tmpl w:val="B9C8C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D43903"/>
    <w:multiLevelType w:val="hybridMultilevel"/>
    <w:tmpl w:val="CB064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382849"/>
    <w:multiLevelType w:val="hybridMultilevel"/>
    <w:tmpl w:val="47D4015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B652320"/>
    <w:multiLevelType w:val="hybridMultilevel"/>
    <w:tmpl w:val="DE085750"/>
    <w:lvl w:ilvl="0" w:tplc="0C09000F">
      <w:start w:val="1"/>
      <w:numFmt w:val="decimal"/>
      <w:lvlText w:val="%1."/>
      <w:lvlJc w:val="left"/>
      <w:pPr>
        <w:ind w:left="720" w:hanging="360"/>
      </w:pPr>
    </w:lvl>
    <w:lvl w:ilvl="1" w:tplc="F926C902">
      <w:start w:val="1"/>
      <w:numFmt w:val="bullet"/>
      <w:lvlText w:val="-"/>
      <w:lvlJc w:val="left"/>
      <w:pPr>
        <w:ind w:left="1440" w:hanging="360"/>
      </w:pPr>
      <w:rPr>
        <w:rFonts w:ascii="Calibri" w:eastAsia="Calibri" w:hAnsi="Calibri" w:cs="Calibri"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50D2504B"/>
    <w:multiLevelType w:val="hybridMultilevel"/>
    <w:tmpl w:val="155A6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AB4190"/>
    <w:multiLevelType w:val="hybridMultilevel"/>
    <w:tmpl w:val="E3AC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B13600"/>
    <w:multiLevelType w:val="hybridMultilevel"/>
    <w:tmpl w:val="A9B050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C1D18D2"/>
    <w:multiLevelType w:val="hybridMultilevel"/>
    <w:tmpl w:val="CE648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791DDF"/>
    <w:multiLevelType w:val="hybridMultilevel"/>
    <w:tmpl w:val="3B627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135D36"/>
    <w:multiLevelType w:val="hybridMultilevel"/>
    <w:tmpl w:val="761A270C"/>
    <w:lvl w:ilvl="0" w:tplc="0EFC59B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7178E9"/>
    <w:multiLevelType w:val="hybridMultilevel"/>
    <w:tmpl w:val="A60EE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22675C"/>
    <w:multiLevelType w:val="hybridMultilevel"/>
    <w:tmpl w:val="F98C3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EB6EBE"/>
    <w:multiLevelType w:val="hybridMultilevel"/>
    <w:tmpl w:val="80BC4810"/>
    <w:lvl w:ilvl="0" w:tplc="8580EE2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9DC6F41"/>
    <w:multiLevelType w:val="hybridMultilevel"/>
    <w:tmpl w:val="9AA2D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7B0ADE"/>
    <w:multiLevelType w:val="hybridMultilevel"/>
    <w:tmpl w:val="1BFA9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B67379"/>
    <w:multiLevelType w:val="hybridMultilevel"/>
    <w:tmpl w:val="6D70BC5C"/>
    <w:lvl w:ilvl="0" w:tplc="BF2818C2">
      <w:start w:val="1"/>
      <w:numFmt w:val="bullet"/>
      <w:lvlText w:val=""/>
      <w:lvlJc w:val="left"/>
      <w:pPr>
        <w:ind w:left="720" w:hanging="360"/>
      </w:pPr>
      <w:rPr>
        <w:rFonts w:ascii="Symbol" w:hAnsi="Symbol" w:hint="default"/>
        <w:b w:val="0"/>
      </w:rPr>
    </w:lvl>
    <w:lvl w:ilvl="1" w:tplc="3DE851FE">
      <w:start w:val="1"/>
      <w:numFmt w:val="lowerLetter"/>
      <w:lvlText w:val="%2."/>
      <w:lvlJc w:val="left"/>
      <w:pPr>
        <w:ind w:left="1440" w:hanging="360"/>
      </w:pPr>
    </w:lvl>
    <w:lvl w:ilvl="2" w:tplc="135AC346">
      <w:start w:val="1"/>
      <w:numFmt w:val="lowerRoman"/>
      <w:lvlText w:val="%3."/>
      <w:lvlJc w:val="right"/>
      <w:pPr>
        <w:ind w:left="2160" w:hanging="180"/>
      </w:pPr>
    </w:lvl>
    <w:lvl w:ilvl="3" w:tplc="F05A3A1C">
      <w:start w:val="1"/>
      <w:numFmt w:val="decimal"/>
      <w:lvlText w:val="%4."/>
      <w:lvlJc w:val="left"/>
      <w:pPr>
        <w:ind w:left="2880" w:hanging="360"/>
      </w:pPr>
    </w:lvl>
    <w:lvl w:ilvl="4" w:tplc="C71E4F70">
      <w:start w:val="1"/>
      <w:numFmt w:val="lowerLetter"/>
      <w:lvlText w:val="%5."/>
      <w:lvlJc w:val="left"/>
      <w:pPr>
        <w:ind w:left="3600" w:hanging="360"/>
      </w:pPr>
    </w:lvl>
    <w:lvl w:ilvl="5" w:tplc="F9945B78">
      <w:start w:val="1"/>
      <w:numFmt w:val="lowerRoman"/>
      <w:lvlText w:val="%6."/>
      <w:lvlJc w:val="right"/>
      <w:pPr>
        <w:ind w:left="4320" w:hanging="180"/>
      </w:pPr>
    </w:lvl>
    <w:lvl w:ilvl="6" w:tplc="A0E29C8E">
      <w:start w:val="1"/>
      <w:numFmt w:val="decimal"/>
      <w:lvlText w:val="%7."/>
      <w:lvlJc w:val="left"/>
      <w:pPr>
        <w:ind w:left="5040" w:hanging="360"/>
      </w:pPr>
    </w:lvl>
    <w:lvl w:ilvl="7" w:tplc="8E42181A">
      <w:start w:val="1"/>
      <w:numFmt w:val="lowerLetter"/>
      <w:lvlText w:val="%8."/>
      <w:lvlJc w:val="left"/>
      <w:pPr>
        <w:ind w:left="5760" w:hanging="360"/>
      </w:pPr>
    </w:lvl>
    <w:lvl w:ilvl="8" w:tplc="0FC67BCC">
      <w:start w:val="1"/>
      <w:numFmt w:val="lowerRoman"/>
      <w:lvlText w:val="%9."/>
      <w:lvlJc w:val="right"/>
      <w:pPr>
        <w:ind w:left="6480" w:hanging="180"/>
      </w:pPr>
    </w:lvl>
  </w:abstractNum>
  <w:abstractNum w:abstractNumId="27" w15:restartNumberingAfterBreak="0">
    <w:nsid w:val="76DB75A7"/>
    <w:multiLevelType w:val="hybridMultilevel"/>
    <w:tmpl w:val="D4F66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8C6C01"/>
    <w:multiLevelType w:val="hybridMultilevel"/>
    <w:tmpl w:val="9DBA7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6A1785"/>
    <w:multiLevelType w:val="hybridMultilevel"/>
    <w:tmpl w:val="EA1276D4"/>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A9C791B"/>
    <w:multiLevelType w:val="hybridMultilevel"/>
    <w:tmpl w:val="86784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6"/>
  </w:num>
  <w:num w:numId="4">
    <w:abstractNumId w:val="12"/>
  </w:num>
  <w:num w:numId="5">
    <w:abstractNumId w:val="1"/>
  </w:num>
  <w:num w:numId="6">
    <w:abstractNumId w:val="15"/>
  </w:num>
  <w:num w:numId="7">
    <w:abstractNumId w:val="7"/>
  </w:num>
  <w:num w:numId="8">
    <w:abstractNumId w:val="10"/>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9"/>
  </w:num>
  <w:num w:numId="12">
    <w:abstractNumId w:val="22"/>
  </w:num>
  <w:num w:numId="13">
    <w:abstractNumId w:val="29"/>
  </w:num>
  <w:num w:numId="14">
    <w:abstractNumId w:val="8"/>
  </w:num>
  <w:num w:numId="15">
    <w:abstractNumId w:val="19"/>
  </w:num>
  <w:num w:numId="16">
    <w:abstractNumId w:val="28"/>
  </w:num>
  <w:num w:numId="17">
    <w:abstractNumId w:val="13"/>
  </w:num>
  <w:num w:numId="18">
    <w:abstractNumId w:val="17"/>
  </w:num>
  <w:num w:numId="19">
    <w:abstractNumId w:val="23"/>
  </w:num>
  <w:num w:numId="20">
    <w:abstractNumId w:val="21"/>
  </w:num>
  <w:num w:numId="21">
    <w:abstractNumId w:val="24"/>
  </w:num>
  <w:num w:numId="22">
    <w:abstractNumId w:val="30"/>
  </w:num>
  <w:num w:numId="2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1"/>
  </w:num>
  <w:num w:numId="26">
    <w:abstractNumId w:val="23"/>
  </w:num>
  <w:num w:numId="27">
    <w:abstractNumId w:val="4"/>
  </w:num>
  <w:num w:numId="28">
    <w:abstractNumId w:val="27"/>
  </w:num>
  <w:num w:numId="29">
    <w:abstractNumId w:val="3"/>
  </w:num>
  <w:num w:numId="30">
    <w:abstractNumId w:val="5"/>
  </w:num>
  <w:num w:numId="31">
    <w:abstractNumId w:val="25"/>
  </w:num>
  <w:num w:numId="32">
    <w:abstractNumId w:val="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12"/>
    <w:rsid w:val="00000070"/>
    <w:rsid w:val="00000AF6"/>
    <w:rsid w:val="00006F4E"/>
    <w:rsid w:val="00013591"/>
    <w:rsid w:val="000141EF"/>
    <w:rsid w:val="0001444F"/>
    <w:rsid w:val="000145D4"/>
    <w:rsid w:val="0001506A"/>
    <w:rsid w:val="0002570F"/>
    <w:rsid w:val="000307E4"/>
    <w:rsid w:val="000321CD"/>
    <w:rsid w:val="00037249"/>
    <w:rsid w:val="00063B5D"/>
    <w:rsid w:val="00071732"/>
    <w:rsid w:val="000762EA"/>
    <w:rsid w:val="00083F31"/>
    <w:rsid w:val="00092777"/>
    <w:rsid w:val="000A42A3"/>
    <w:rsid w:val="000B2EAC"/>
    <w:rsid w:val="000B7C79"/>
    <w:rsid w:val="000C4891"/>
    <w:rsid w:val="000C48C8"/>
    <w:rsid w:val="000E5922"/>
    <w:rsid w:val="000F0668"/>
    <w:rsid w:val="000F4CBD"/>
    <w:rsid w:val="00112109"/>
    <w:rsid w:val="0012011F"/>
    <w:rsid w:val="00120F02"/>
    <w:rsid w:val="00121931"/>
    <w:rsid w:val="0012335A"/>
    <w:rsid w:val="00125655"/>
    <w:rsid w:val="00126F7E"/>
    <w:rsid w:val="00135356"/>
    <w:rsid w:val="0013780A"/>
    <w:rsid w:val="00147DDD"/>
    <w:rsid w:val="00156321"/>
    <w:rsid w:val="001615ED"/>
    <w:rsid w:val="00182255"/>
    <w:rsid w:val="00183F8B"/>
    <w:rsid w:val="00184E4E"/>
    <w:rsid w:val="001A0DD2"/>
    <w:rsid w:val="001A249A"/>
    <w:rsid w:val="001A561C"/>
    <w:rsid w:val="001A7BA4"/>
    <w:rsid w:val="001C137E"/>
    <w:rsid w:val="001D2492"/>
    <w:rsid w:val="001D772A"/>
    <w:rsid w:val="001E65D4"/>
    <w:rsid w:val="001F23A3"/>
    <w:rsid w:val="001F755F"/>
    <w:rsid w:val="0020079F"/>
    <w:rsid w:val="002022E0"/>
    <w:rsid w:val="002061DA"/>
    <w:rsid w:val="0021286B"/>
    <w:rsid w:val="0021619D"/>
    <w:rsid w:val="00233162"/>
    <w:rsid w:val="002376EC"/>
    <w:rsid w:val="002419AB"/>
    <w:rsid w:val="002543D2"/>
    <w:rsid w:val="00267CB5"/>
    <w:rsid w:val="00276FD6"/>
    <w:rsid w:val="00280050"/>
    <w:rsid w:val="00281807"/>
    <w:rsid w:val="00282A9A"/>
    <w:rsid w:val="002850AE"/>
    <w:rsid w:val="002A4412"/>
    <w:rsid w:val="002A483C"/>
    <w:rsid w:val="002B5688"/>
    <w:rsid w:val="002D1259"/>
    <w:rsid w:val="002D25F5"/>
    <w:rsid w:val="002E04B4"/>
    <w:rsid w:val="002E2BA3"/>
    <w:rsid w:val="002F31B4"/>
    <w:rsid w:val="002F5FCD"/>
    <w:rsid w:val="002F5FF1"/>
    <w:rsid w:val="003005E4"/>
    <w:rsid w:val="00317865"/>
    <w:rsid w:val="00330EB9"/>
    <w:rsid w:val="00334409"/>
    <w:rsid w:val="0033691F"/>
    <w:rsid w:val="00340FB5"/>
    <w:rsid w:val="003428EA"/>
    <w:rsid w:val="00347899"/>
    <w:rsid w:val="00347A31"/>
    <w:rsid w:val="00352539"/>
    <w:rsid w:val="0035580D"/>
    <w:rsid w:val="0036420D"/>
    <w:rsid w:val="0038056C"/>
    <w:rsid w:val="0038404A"/>
    <w:rsid w:val="0039486A"/>
    <w:rsid w:val="003957F6"/>
    <w:rsid w:val="003B5CB7"/>
    <w:rsid w:val="003D4117"/>
    <w:rsid w:val="003F0011"/>
    <w:rsid w:val="003F0984"/>
    <w:rsid w:val="003F6706"/>
    <w:rsid w:val="004001AB"/>
    <w:rsid w:val="00402CAA"/>
    <w:rsid w:val="00410948"/>
    <w:rsid w:val="004200DE"/>
    <w:rsid w:val="0043148A"/>
    <w:rsid w:val="00434555"/>
    <w:rsid w:val="00463D4A"/>
    <w:rsid w:val="00466444"/>
    <w:rsid w:val="00480EE6"/>
    <w:rsid w:val="00482CB0"/>
    <w:rsid w:val="00484498"/>
    <w:rsid w:val="0049076F"/>
    <w:rsid w:val="00492ABB"/>
    <w:rsid w:val="004930C2"/>
    <w:rsid w:val="00495B20"/>
    <w:rsid w:val="004A025B"/>
    <w:rsid w:val="004A532A"/>
    <w:rsid w:val="004B0162"/>
    <w:rsid w:val="004B18A5"/>
    <w:rsid w:val="004D271A"/>
    <w:rsid w:val="004E043D"/>
    <w:rsid w:val="004E4E40"/>
    <w:rsid w:val="004E6E7E"/>
    <w:rsid w:val="004F019F"/>
    <w:rsid w:val="004F47D9"/>
    <w:rsid w:val="00511134"/>
    <w:rsid w:val="005171EA"/>
    <w:rsid w:val="00520C14"/>
    <w:rsid w:val="005251A0"/>
    <w:rsid w:val="00526B57"/>
    <w:rsid w:val="0053073C"/>
    <w:rsid w:val="00533204"/>
    <w:rsid w:val="00535933"/>
    <w:rsid w:val="00544EE9"/>
    <w:rsid w:val="00556E49"/>
    <w:rsid w:val="00575147"/>
    <w:rsid w:val="00597DE4"/>
    <w:rsid w:val="005A6791"/>
    <w:rsid w:val="005A698B"/>
    <w:rsid w:val="005B0885"/>
    <w:rsid w:val="005B50D5"/>
    <w:rsid w:val="005B7098"/>
    <w:rsid w:val="005C00A1"/>
    <w:rsid w:val="005C2869"/>
    <w:rsid w:val="005C43F8"/>
    <w:rsid w:val="005C5808"/>
    <w:rsid w:val="005D07C0"/>
    <w:rsid w:val="005D0B4B"/>
    <w:rsid w:val="005D5767"/>
    <w:rsid w:val="005E022B"/>
    <w:rsid w:val="005E0ED8"/>
    <w:rsid w:val="00605E30"/>
    <w:rsid w:val="0061366F"/>
    <w:rsid w:val="00641EE9"/>
    <w:rsid w:val="00642163"/>
    <w:rsid w:val="00652378"/>
    <w:rsid w:val="0065566D"/>
    <w:rsid w:val="006579B7"/>
    <w:rsid w:val="0067092C"/>
    <w:rsid w:val="00673D06"/>
    <w:rsid w:val="006A6B1E"/>
    <w:rsid w:val="006B3F12"/>
    <w:rsid w:val="006C6A5D"/>
    <w:rsid w:val="006D139B"/>
    <w:rsid w:val="006D3C1D"/>
    <w:rsid w:val="006E1532"/>
    <w:rsid w:val="006E34C4"/>
    <w:rsid w:val="006E3A94"/>
    <w:rsid w:val="00717F3B"/>
    <w:rsid w:val="00723E34"/>
    <w:rsid w:val="007369C0"/>
    <w:rsid w:val="0074650A"/>
    <w:rsid w:val="00753DC0"/>
    <w:rsid w:val="00756EF1"/>
    <w:rsid w:val="00766478"/>
    <w:rsid w:val="00767C86"/>
    <w:rsid w:val="00783682"/>
    <w:rsid w:val="00786B63"/>
    <w:rsid w:val="00793483"/>
    <w:rsid w:val="00794136"/>
    <w:rsid w:val="007A0E40"/>
    <w:rsid w:val="007A4F12"/>
    <w:rsid w:val="007D4ED7"/>
    <w:rsid w:val="007D50BA"/>
    <w:rsid w:val="007E4C33"/>
    <w:rsid w:val="007F2A96"/>
    <w:rsid w:val="008034F1"/>
    <w:rsid w:val="0081397B"/>
    <w:rsid w:val="00820073"/>
    <w:rsid w:val="00830161"/>
    <w:rsid w:val="00833098"/>
    <w:rsid w:val="008505F6"/>
    <w:rsid w:val="0085244F"/>
    <w:rsid w:val="008530B3"/>
    <w:rsid w:val="008731F6"/>
    <w:rsid w:val="0087579E"/>
    <w:rsid w:val="008818F8"/>
    <w:rsid w:val="00885249"/>
    <w:rsid w:val="00887F08"/>
    <w:rsid w:val="0089037B"/>
    <w:rsid w:val="00896BD3"/>
    <w:rsid w:val="00897B7A"/>
    <w:rsid w:val="008A5E90"/>
    <w:rsid w:val="008B48C8"/>
    <w:rsid w:val="008B5A38"/>
    <w:rsid w:val="008C3B7B"/>
    <w:rsid w:val="008C6D38"/>
    <w:rsid w:val="008E6BEF"/>
    <w:rsid w:val="008F134D"/>
    <w:rsid w:val="008F5093"/>
    <w:rsid w:val="008F6674"/>
    <w:rsid w:val="008F7AFB"/>
    <w:rsid w:val="00903F45"/>
    <w:rsid w:val="00921073"/>
    <w:rsid w:val="00937F82"/>
    <w:rsid w:val="009415C7"/>
    <w:rsid w:val="00942B56"/>
    <w:rsid w:val="00944B4F"/>
    <w:rsid w:val="00955180"/>
    <w:rsid w:val="00972139"/>
    <w:rsid w:val="00982FA2"/>
    <w:rsid w:val="00996E87"/>
    <w:rsid w:val="009A6432"/>
    <w:rsid w:val="009C367F"/>
    <w:rsid w:val="009C4AC8"/>
    <w:rsid w:val="009D6092"/>
    <w:rsid w:val="009D7745"/>
    <w:rsid w:val="009E4DA1"/>
    <w:rsid w:val="009F0DCC"/>
    <w:rsid w:val="00A02AD3"/>
    <w:rsid w:val="00A06E9A"/>
    <w:rsid w:val="00A17819"/>
    <w:rsid w:val="00A21438"/>
    <w:rsid w:val="00A47D00"/>
    <w:rsid w:val="00A5663A"/>
    <w:rsid w:val="00A6042E"/>
    <w:rsid w:val="00A6653B"/>
    <w:rsid w:val="00A71C6E"/>
    <w:rsid w:val="00A742E4"/>
    <w:rsid w:val="00AA639C"/>
    <w:rsid w:val="00AB3470"/>
    <w:rsid w:val="00AC190B"/>
    <w:rsid w:val="00AC2091"/>
    <w:rsid w:val="00AD465E"/>
    <w:rsid w:val="00AE56E0"/>
    <w:rsid w:val="00B05A63"/>
    <w:rsid w:val="00B101C5"/>
    <w:rsid w:val="00B35AE7"/>
    <w:rsid w:val="00B451FB"/>
    <w:rsid w:val="00B478CA"/>
    <w:rsid w:val="00B546D4"/>
    <w:rsid w:val="00B549C2"/>
    <w:rsid w:val="00B623CE"/>
    <w:rsid w:val="00B7442E"/>
    <w:rsid w:val="00B74657"/>
    <w:rsid w:val="00B91F2B"/>
    <w:rsid w:val="00BA662E"/>
    <w:rsid w:val="00BC05BB"/>
    <w:rsid w:val="00BD1CF2"/>
    <w:rsid w:val="00BD6EAF"/>
    <w:rsid w:val="00BE13C2"/>
    <w:rsid w:val="00BF5AD3"/>
    <w:rsid w:val="00BF5C53"/>
    <w:rsid w:val="00BF6354"/>
    <w:rsid w:val="00BF7EA5"/>
    <w:rsid w:val="00C07974"/>
    <w:rsid w:val="00C11739"/>
    <w:rsid w:val="00C17BBA"/>
    <w:rsid w:val="00C22669"/>
    <w:rsid w:val="00C32677"/>
    <w:rsid w:val="00C352D5"/>
    <w:rsid w:val="00C3799E"/>
    <w:rsid w:val="00C45BF7"/>
    <w:rsid w:val="00C55A1A"/>
    <w:rsid w:val="00C6286C"/>
    <w:rsid w:val="00C642DE"/>
    <w:rsid w:val="00C77819"/>
    <w:rsid w:val="00C77A2B"/>
    <w:rsid w:val="00C82C6C"/>
    <w:rsid w:val="00CA3123"/>
    <w:rsid w:val="00CD2038"/>
    <w:rsid w:val="00CD2ADF"/>
    <w:rsid w:val="00CD5B78"/>
    <w:rsid w:val="00CE4371"/>
    <w:rsid w:val="00D00DE9"/>
    <w:rsid w:val="00D02C95"/>
    <w:rsid w:val="00D0345D"/>
    <w:rsid w:val="00D21151"/>
    <w:rsid w:val="00D360B2"/>
    <w:rsid w:val="00D433FD"/>
    <w:rsid w:val="00D60A7C"/>
    <w:rsid w:val="00D70F07"/>
    <w:rsid w:val="00D76EA8"/>
    <w:rsid w:val="00D776B9"/>
    <w:rsid w:val="00D92AF5"/>
    <w:rsid w:val="00D95311"/>
    <w:rsid w:val="00DB74CB"/>
    <w:rsid w:val="00DC36AD"/>
    <w:rsid w:val="00DC78C1"/>
    <w:rsid w:val="00DD3405"/>
    <w:rsid w:val="00DE3128"/>
    <w:rsid w:val="00E025CA"/>
    <w:rsid w:val="00E03070"/>
    <w:rsid w:val="00E06287"/>
    <w:rsid w:val="00E06BE3"/>
    <w:rsid w:val="00E15678"/>
    <w:rsid w:val="00E177F9"/>
    <w:rsid w:val="00E248C6"/>
    <w:rsid w:val="00E252AD"/>
    <w:rsid w:val="00E3164A"/>
    <w:rsid w:val="00E35CA7"/>
    <w:rsid w:val="00E4020F"/>
    <w:rsid w:val="00E44740"/>
    <w:rsid w:val="00E556AF"/>
    <w:rsid w:val="00E66CAC"/>
    <w:rsid w:val="00E70911"/>
    <w:rsid w:val="00E74F4A"/>
    <w:rsid w:val="00E77BE7"/>
    <w:rsid w:val="00E83E3F"/>
    <w:rsid w:val="00EA3B75"/>
    <w:rsid w:val="00EA5720"/>
    <w:rsid w:val="00EA7003"/>
    <w:rsid w:val="00EB2C6E"/>
    <w:rsid w:val="00EB6303"/>
    <w:rsid w:val="00EB715B"/>
    <w:rsid w:val="00ED6CD1"/>
    <w:rsid w:val="00EF0AF5"/>
    <w:rsid w:val="00EF263C"/>
    <w:rsid w:val="00F004AA"/>
    <w:rsid w:val="00F04A45"/>
    <w:rsid w:val="00F14D6C"/>
    <w:rsid w:val="00F14F01"/>
    <w:rsid w:val="00F15264"/>
    <w:rsid w:val="00F22912"/>
    <w:rsid w:val="00F34726"/>
    <w:rsid w:val="00F36D2A"/>
    <w:rsid w:val="00F4035E"/>
    <w:rsid w:val="00F42EA9"/>
    <w:rsid w:val="00F4737A"/>
    <w:rsid w:val="00F545A8"/>
    <w:rsid w:val="00F64CFF"/>
    <w:rsid w:val="00F656F6"/>
    <w:rsid w:val="00F70A1E"/>
    <w:rsid w:val="00F773A4"/>
    <w:rsid w:val="00F774B8"/>
    <w:rsid w:val="00F83AAF"/>
    <w:rsid w:val="00F909D3"/>
    <w:rsid w:val="00FA0993"/>
    <w:rsid w:val="00FA0E3B"/>
    <w:rsid w:val="00FC32FB"/>
    <w:rsid w:val="00FC3696"/>
    <w:rsid w:val="00FD14D9"/>
    <w:rsid w:val="00FD2618"/>
    <w:rsid w:val="00FE5714"/>
    <w:rsid w:val="00FE65AA"/>
    <w:rsid w:val="00FF0331"/>
    <w:rsid w:val="00FF5B5A"/>
    <w:rsid w:val="00FF64A9"/>
    <w:rsid w:val="019B7A11"/>
    <w:rsid w:val="0249E802"/>
    <w:rsid w:val="04006DC3"/>
    <w:rsid w:val="0661852E"/>
    <w:rsid w:val="0A1BA9DA"/>
    <w:rsid w:val="0B2A697E"/>
    <w:rsid w:val="0B64F0D3"/>
    <w:rsid w:val="0B8800E9"/>
    <w:rsid w:val="0BD7A1EB"/>
    <w:rsid w:val="0CA4AB91"/>
    <w:rsid w:val="0D6A4605"/>
    <w:rsid w:val="0F73E43B"/>
    <w:rsid w:val="0F7EFAA6"/>
    <w:rsid w:val="10053E7A"/>
    <w:rsid w:val="1089709C"/>
    <w:rsid w:val="12B80B69"/>
    <w:rsid w:val="131BE7D4"/>
    <w:rsid w:val="13965A04"/>
    <w:rsid w:val="162E7F25"/>
    <w:rsid w:val="19B27BC3"/>
    <w:rsid w:val="1E496CCB"/>
    <w:rsid w:val="1FEDCF16"/>
    <w:rsid w:val="202A4288"/>
    <w:rsid w:val="204ABF72"/>
    <w:rsid w:val="21C0EF27"/>
    <w:rsid w:val="233D3175"/>
    <w:rsid w:val="23B7E6A7"/>
    <w:rsid w:val="25AC4C58"/>
    <w:rsid w:val="261FA18F"/>
    <w:rsid w:val="26DF22C0"/>
    <w:rsid w:val="28213ABE"/>
    <w:rsid w:val="2A198A7F"/>
    <w:rsid w:val="2BD90388"/>
    <w:rsid w:val="2BF43F59"/>
    <w:rsid w:val="2C0BD705"/>
    <w:rsid w:val="2E4409A3"/>
    <w:rsid w:val="2E799808"/>
    <w:rsid w:val="2EC0DEFC"/>
    <w:rsid w:val="2F3A0641"/>
    <w:rsid w:val="2FBBAEA3"/>
    <w:rsid w:val="3355B31F"/>
    <w:rsid w:val="33BF4DAB"/>
    <w:rsid w:val="34BD7258"/>
    <w:rsid w:val="368D53E1"/>
    <w:rsid w:val="3AF75496"/>
    <w:rsid w:val="3BC58BBA"/>
    <w:rsid w:val="3D614322"/>
    <w:rsid w:val="3DD204FC"/>
    <w:rsid w:val="3FF45121"/>
    <w:rsid w:val="41056AAD"/>
    <w:rsid w:val="41BC6DD1"/>
    <w:rsid w:val="41EABBE8"/>
    <w:rsid w:val="42425FA0"/>
    <w:rsid w:val="42A5761F"/>
    <w:rsid w:val="431C35E7"/>
    <w:rsid w:val="4352AE8C"/>
    <w:rsid w:val="436D86B6"/>
    <w:rsid w:val="471721AF"/>
    <w:rsid w:val="484A9603"/>
    <w:rsid w:val="48DEAE80"/>
    <w:rsid w:val="4AF50FE7"/>
    <w:rsid w:val="4B0B76BD"/>
    <w:rsid w:val="522B7F54"/>
    <w:rsid w:val="528CB3C0"/>
    <w:rsid w:val="533CAEB4"/>
    <w:rsid w:val="54064419"/>
    <w:rsid w:val="5527459D"/>
    <w:rsid w:val="5551ED61"/>
    <w:rsid w:val="56908FB0"/>
    <w:rsid w:val="584CC4DC"/>
    <w:rsid w:val="5A3E7EBF"/>
    <w:rsid w:val="5A8F7F72"/>
    <w:rsid w:val="5ACBD6CD"/>
    <w:rsid w:val="5B7E2961"/>
    <w:rsid w:val="5DA953EE"/>
    <w:rsid w:val="5E050492"/>
    <w:rsid w:val="5E77FFFA"/>
    <w:rsid w:val="60361A87"/>
    <w:rsid w:val="60B65F61"/>
    <w:rsid w:val="60D24EF2"/>
    <w:rsid w:val="6281E5DC"/>
    <w:rsid w:val="6386E3A6"/>
    <w:rsid w:val="6397FCC4"/>
    <w:rsid w:val="665A3EF9"/>
    <w:rsid w:val="685A54C9"/>
    <w:rsid w:val="6AF0DDBB"/>
    <w:rsid w:val="6C140743"/>
    <w:rsid w:val="6C343AE9"/>
    <w:rsid w:val="6C5C4080"/>
    <w:rsid w:val="6F36F0E6"/>
    <w:rsid w:val="6FB69AAA"/>
    <w:rsid w:val="7040654E"/>
    <w:rsid w:val="70564039"/>
    <w:rsid w:val="70EE83AF"/>
    <w:rsid w:val="715E39ED"/>
    <w:rsid w:val="7187A2DB"/>
    <w:rsid w:val="71E80EB2"/>
    <w:rsid w:val="74262471"/>
    <w:rsid w:val="75B48ECC"/>
    <w:rsid w:val="77AF42C8"/>
    <w:rsid w:val="782C8EDB"/>
    <w:rsid w:val="794B1329"/>
    <w:rsid w:val="7B867A89"/>
    <w:rsid w:val="7E56E155"/>
    <w:rsid w:val="7FC6AE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F228197-9EF9-40C9-83A3-86B28C3E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C53"/>
    <w:rPr>
      <w:rFonts w:ascii="Arial" w:hAnsi="Arial"/>
      <w:sz w:val="22"/>
    </w:rPr>
  </w:style>
  <w:style w:type="paragraph" w:styleId="Heading1">
    <w:name w:val="heading 1"/>
    <w:basedOn w:val="Normal"/>
    <w:next w:val="Normal"/>
    <w:link w:val="Heading1Char"/>
    <w:uiPriority w:val="9"/>
    <w:qFormat/>
    <w:rsid w:val="00BF5C53"/>
    <w:pPr>
      <w:spacing w:before="240" w:after="0" w:line="240" w:lineRule="auto"/>
      <w:outlineLvl w:val="0"/>
    </w:pPr>
    <w:rPr>
      <w:rFonts w:cs="Arial"/>
      <w:b/>
      <w:sz w:val="72"/>
      <w:szCs w:val="72"/>
    </w:rPr>
  </w:style>
  <w:style w:type="paragraph" w:styleId="Heading2">
    <w:name w:val="heading 2"/>
    <w:basedOn w:val="Normal"/>
    <w:next w:val="Normal"/>
    <w:link w:val="Heading2Char"/>
    <w:uiPriority w:val="9"/>
    <w:unhideWhenUsed/>
    <w:qFormat/>
    <w:rsid w:val="00F22912"/>
    <w:pPr>
      <w:spacing w:after="960"/>
      <w:outlineLvl w:val="1"/>
    </w:pPr>
    <w:rPr>
      <w:rFonts w:cs="Arial"/>
      <w:b/>
      <w:sz w:val="48"/>
      <w:szCs w:val="48"/>
    </w:rPr>
  </w:style>
  <w:style w:type="paragraph" w:styleId="Heading3">
    <w:name w:val="heading 3"/>
    <w:next w:val="Normal"/>
    <w:link w:val="Heading3Char"/>
    <w:uiPriority w:val="9"/>
    <w:unhideWhenUsed/>
    <w:qFormat/>
    <w:rsid w:val="00F22912"/>
    <w:pPr>
      <w:keepNext/>
      <w:keepLines/>
      <w:spacing w:before="40"/>
      <w:outlineLvl w:val="2"/>
    </w:pPr>
    <w:rPr>
      <w:rFonts w:ascii="Arial" w:eastAsiaTheme="majorEastAsia" w:hAnsi="Arial" w:cs="Arial"/>
      <w:b/>
      <w:sz w:val="32"/>
      <w:szCs w:val="32"/>
    </w:rPr>
  </w:style>
  <w:style w:type="paragraph" w:styleId="Heading4">
    <w:name w:val="heading 4"/>
    <w:next w:val="Normal"/>
    <w:link w:val="Heading4Char"/>
    <w:uiPriority w:val="9"/>
    <w:unhideWhenUsed/>
    <w:qFormat/>
    <w:rsid w:val="00BF5C53"/>
    <w:pPr>
      <w:keepNext/>
      <w:keepLines/>
      <w:spacing w:before="40" w:after="0"/>
      <w:outlineLvl w:val="3"/>
    </w:pPr>
    <w:rPr>
      <w:rFonts w:ascii="Arial" w:eastAsiaTheme="majorEastAsia" w:hAnsi="Arial" w:cs="Arial"/>
      <w:b/>
      <w:iCs/>
    </w:rPr>
  </w:style>
  <w:style w:type="paragraph" w:styleId="Heading5">
    <w:name w:val="heading 5"/>
    <w:basedOn w:val="Normal"/>
    <w:next w:val="Normal"/>
    <w:link w:val="Heading5Char"/>
    <w:uiPriority w:val="9"/>
    <w:unhideWhenUsed/>
    <w:qFormat/>
    <w:rsid w:val="00BF5C53"/>
    <w:pPr>
      <w:keepNext/>
      <w:keepLines/>
      <w:spacing w:before="40" w:after="0"/>
      <w:outlineLvl w:val="4"/>
    </w:pPr>
    <w:rPr>
      <w:rFonts w:eastAsiaTheme="majorEastAsia"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9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912"/>
  </w:style>
  <w:style w:type="paragraph" w:styleId="Footer">
    <w:name w:val="footer"/>
    <w:basedOn w:val="Normal"/>
    <w:link w:val="FooterChar"/>
    <w:uiPriority w:val="99"/>
    <w:unhideWhenUsed/>
    <w:rsid w:val="00F229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912"/>
  </w:style>
  <w:style w:type="character" w:customStyle="1" w:styleId="Heading1Char">
    <w:name w:val="Heading 1 Char"/>
    <w:basedOn w:val="DefaultParagraphFont"/>
    <w:link w:val="Heading1"/>
    <w:uiPriority w:val="9"/>
    <w:rsid w:val="00BF5C53"/>
    <w:rPr>
      <w:rFonts w:ascii="Arial" w:hAnsi="Arial" w:cs="Arial"/>
      <w:b/>
      <w:sz w:val="72"/>
      <w:szCs w:val="72"/>
    </w:rPr>
  </w:style>
  <w:style w:type="character" w:customStyle="1" w:styleId="Heading2Char">
    <w:name w:val="Heading 2 Char"/>
    <w:basedOn w:val="DefaultParagraphFont"/>
    <w:link w:val="Heading2"/>
    <w:uiPriority w:val="9"/>
    <w:rsid w:val="00F22912"/>
    <w:rPr>
      <w:rFonts w:ascii="Arial" w:hAnsi="Arial" w:cs="Arial"/>
      <w:b/>
      <w:sz w:val="48"/>
      <w:szCs w:val="48"/>
    </w:rPr>
  </w:style>
  <w:style w:type="character" w:customStyle="1" w:styleId="Heading3Char">
    <w:name w:val="Heading 3 Char"/>
    <w:basedOn w:val="DefaultParagraphFont"/>
    <w:link w:val="Heading3"/>
    <w:uiPriority w:val="9"/>
    <w:rsid w:val="00F22912"/>
    <w:rPr>
      <w:rFonts w:ascii="Arial" w:eastAsiaTheme="majorEastAsia" w:hAnsi="Arial" w:cs="Arial"/>
      <w:b/>
      <w:sz w:val="32"/>
      <w:szCs w:val="32"/>
    </w:rPr>
  </w:style>
  <w:style w:type="character" w:customStyle="1" w:styleId="Heading4Char">
    <w:name w:val="Heading 4 Char"/>
    <w:basedOn w:val="DefaultParagraphFont"/>
    <w:link w:val="Heading4"/>
    <w:uiPriority w:val="9"/>
    <w:rsid w:val="00BF5C53"/>
    <w:rPr>
      <w:rFonts w:ascii="Arial" w:eastAsiaTheme="majorEastAsia" w:hAnsi="Arial" w:cs="Arial"/>
      <w:b/>
      <w:iCs/>
    </w:rPr>
  </w:style>
  <w:style w:type="paragraph" w:styleId="ListParagraph">
    <w:name w:val="List Paragraph"/>
    <w:aliases w:val="Bullet text,Bulleted Para,Bullets,CV text,Dot pt,F5 List Paragraph,FooterText,L,List Paragraph1,List Paragraph11,List Paragraph111,List Paragraph2,Medium Grid 1 - Accent 21,NFP GP Bulleted List,Numbered Paragraph,Recommendation,Table text"/>
    <w:basedOn w:val="Normal"/>
    <w:link w:val="ListParagraphChar"/>
    <w:uiPriority w:val="34"/>
    <w:qFormat/>
    <w:rsid w:val="00BF5C53"/>
    <w:pPr>
      <w:ind w:left="720"/>
      <w:contextualSpacing/>
    </w:pPr>
  </w:style>
  <w:style w:type="character" w:customStyle="1" w:styleId="Heading5Char">
    <w:name w:val="Heading 5 Char"/>
    <w:basedOn w:val="DefaultParagraphFont"/>
    <w:link w:val="Heading5"/>
    <w:uiPriority w:val="9"/>
    <w:rsid w:val="00BF5C53"/>
    <w:rPr>
      <w:rFonts w:ascii="Arial" w:eastAsiaTheme="majorEastAsia" w:hAnsi="Arial" w:cs="Arial"/>
      <w:i/>
      <w:sz w:val="22"/>
    </w:rPr>
  </w:style>
  <w:style w:type="paragraph" w:styleId="NormalWeb">
    <w:name w:val="Normal (Web)"/>
    <w:basedOn w:val="Normal"/>
    <w:uiPriority w:val="99"/>
    <w:unhideWhenUsed/>
    <w:rsid w:val="00BF7EA5"/>
    <w:pPr>
      <w:spacing w:before="100" w:beforeAutospacing="1" w:after="100" w:afterAutospacing="1" w:line="240" w:lineRule="auto"/>
    </w:pPr>
    <w:rPr>
      <w:rFonts w:ascii="Times New Roman" w:eastAsia="Times New Roman" w:hAnsi="Times New Roman"/>
      <w:sz w:val="24"/>
      <w:lang w:eastAsia="en-GB"/>
    </w:rPr>
  </w:style>
  <w:style w:type="character" w:styleId="CommentReference">
    <w:name w:val="annotation reference"/>
    <w:basedOn w:val="DefaultParagraphFont"/>
    <w:uiPriority w:val="99"/>
    <w:semiHidden/>
    <w:unhideWhenUsed/>
    <w:rsid w:val="00B451FB"/>
    <w:rPr>
      <w:sz w:val="16"/>
      <w:szCs w:val="16"/>
    </w:rPr>
  </w:style>
  <w:style w:type="paragraph" w:styleId="CommentText">
    <w:name w:val="annotation text"/>
    <w:basedOn w:val="Normal"/>
    <w:link w:val="CommentTextChar"/>
    <w:uiPriority w:val="99"/>
    <w:semiHidden/>
    <w:unhideWhenUsed/>
    <w:rsid w:val="00B451FB"/>
    <w:pPr>
      <w:spacing w:line="240" w:lineRule="auto"/>
    </w:pPr>
    <w:rPr>
      <w:sz w:val="20"/>
      <w:szCs w:val="20"/>
    </w:rPr>
  </w:style>
  <w:style w:type="character" w:customStyle="1" w:styleId="CommentTextChar">
    <w:name w:val="Comment Text Char"/>
    <w:basedOn w:val="DefaultParagraphFont"/>
    <w:link w:val="CommentText"/>
    <w:uiPriority w:val="99"/>
    <w:semiHidden/>
    <w:rsid w:val="00B451F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451FB"/>
    <w:rPr>
      <w:b/>
      <w:bCs/>
    </w:rPr>
  </w:style>
  <w:style w:type="character" w:customStyle="1" w:styleId="CommentSubjectChar">
    <w:name w:val="Comment Subject Char"/>
    <w:basedOn w:val="CommentTextChar"/>
    <w:link w:val="CommentSubject"/>
    <w:uiPriority w:val="99"/>
    <w:semiHidden/>
    <w:rsid w:val="00B451FB"/>
    <w:rPr>
      <w:rFonts w:ascii="Arial" w:hAnsi="Arial"/>
      <w:b/>
      <w:bCs/>
      <w:sz w:val="20"/>
      <w:szCs w:val="20"/>
    </w:rPr>
  </w:style>
  <w:style w:type="paragraph" w:styleId="BalloonText">
    <w:name w:val="Balloon Text"/>
    <w:basedOn w:val="Normal"/>
    <w:link w:val="BalloonTextChar"/>
    <w:uiPriority w:val="99"/>
    <w:semiHidden/>
    <w:unhideWhenUsed/>
    <w:rsid w:val="00B451FB"/>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451FB"/>
    <w:rPr>
      <w:sz w:val="18"/>
      <w:szCs w:val="18"/>
    </w:rPr>
  </w:style>
  <w:style w:type="character" w:styleId="Hyperlink">
    <w:name w:val="Hyperlink"/>
    <w:basedOn w:val="DefaultParagraphFont"/>
    <w:uiPriority w:val="99"/>
    <w:unhideWhenUsed/>
    <w:rsid w:val="001C137E"/>
    <w:rPr>
      <w:color w:val="0563C1" w:themeColor="hyperlink"/>
      <w:u w:val="single"/>
    </w:rPr>
  </w:style>
  <w:style w:type="character" w:customStyle="1" w:styleId="UnresolvedMention1">
    <w:name w:val="Unresolved Mention1"/>
    <w:basedOn w:val="DefaultParagraphFont"/>
    <w:uiPriority w:val="99"/>
    <w:semiHidden/>
    <w:unhideWhenUsed/>
    <w:rsid w:val="001C137E"/>
    <w:rPr>
      <w:color w:val="605E5C"/>
      <w:shd w:val="clear" w:color="auto" w:fill="E1DFDD"/>
    </w:rPr>
  </w:style>
  <w:style w:type="character" w:styleId="FollowedHyperlink">
    <w:name w:val="FollowedHyperlink"/>
    <w:basedOn w:val="DefaultParagraphFont"/>
    <w:uiPriority w:val="99"/>
    <w:semiHidden/>
    <w:unhideWhenUsed/>
    <w:rsid w:val="002543D2"/>
    <w:rPr>
      <w:color w:val="954F72" w:themeColor="followedHyperlink"/>
      <w:u w:val="single"/>
    </w:rPr>
  </w:style>
  <w:style w:type="character" w:customStyle="1" w:styleId="UnresolvedMention">
    <w:name w:val="Unresolved Mention"/>
    <w:basedOn w:val="DefaultParagraphFont"/>
    <w:uiPriority w:val="99"/>
    <w:semiHidden/>
    <w:unhideWhenUsed/>
    <w:rsid w:val="00063B5D"/>
    <w:rPr>
      <w:color w:val="605E5C"/>
      <w:shd w:val="clear" w:color="auto" w:fill="E1DFDD"/>
    </w:rPr>
  </w:style>
  <w:style w:type="paragraph" w:customStyle="1" w:styleId="Default">
    <w:name w:val="Default"/>
    <w:rsid w:val="00F70A1E"/>
    <w:pPr>
      <w:autoSpaceDE w:val="0"/>
      <w:autoSpaceDN w:val="0"/>
      <w:adjustRightInd w:val="0"/>
      <w:spacing w:after="0" w:line="240" w:lineRule="auto"/>
    </w:pPr>
    <w:rPr>
      <w:rFonts w:ascii="Arial" w:hAnsi="Arial" w:cs="Arial"/>
      <w:color w:val="000000"/>
    </w:rPr>
  </w:style>
  <w:style w:type="table" w:styleId="TableGrid">
    <w:name w:val="Table Grid"/>
    <w:basedOn w:val="TableNormal"/>
    <w:uiPriority w:val="39"/>
    <w:rsid w:val="00161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3070"/>
    <w:pPr>
      <w:spacing w:after="0" w:line="240" w:lineRule="auto"/>
    </w:pPr>
    <w:rPr>
      <w:rFonts w:ascii="Arial" w:hAnsi="Arial"/>
      <w:sz w:val="22"/>
    </w:rPr>
  </w:style>
  <w:style w:type="paragraph" w:styleId="BodyText">
    <w:name w:val="Body Text"/>
    <w:link w:val="BodyTextChar"/>
    <w:uiPriority w:val="99"/>
    <w:qFormat/>
    <w:rsid w:val="00F83AAF"/>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83AAF"/>
    <w:rPr>
      <w:rFonts w:ascii="Arial" w:eastAsia="Times New Roman" w:hAnsi="Arial"/>
      <w:sz w:val="22"/>
      <w:szCs w:val="22"/>
    </w:rPr>
  </w:style>
  <w:style w:type="character" w:customStyle="1" w:styleId="ListParagraphChar">
    <w:name w:val="List Paragraph Char"/>
    <w:aliases w:val="Bullet text Char,Bulleted Para Char,Bullets Char,CV text Char,Dot pt Char,F5 List Paragraph Char,FooterText Char,L Char,List Paragraph1 Char,List Paragraph11 Char,List Paragraph111 Char,List Paragraph2 Char,NFP GP Bulleted List Char"/>
    <w:basedOn w:val="DefaultParagraphFont"/>
    <w:link w:val="ListParagraph"/>
    <w:uiPriority w:val="34"/>
    <w:locked/>
    <w:rsid w:val="00B546D4"/>
    <w:rPr>
      <w:rFonts w:ascii="Arial" w:hAnsi="Arial"/>
      <w:sz w:val="22"/>
    </w:rPr>
  </w:style>
  <w:style w:type="paragraph" w:styleId="Revision">
    <w:name w:val="Revision"/>
    <w:hidden/>
    <w:uiPriority w:val="99"/>
    <w:semiHidden/>
    <w:rsid w:val="00575147"/>
    <w:pPr>
      <w:spacing w:after="0" w:line="240" w:lineRule="auto"/>
    </w:pPr>
    <w:rPr>
      <w:rFonts w:ascii="Arial" w:hAnsi="Arial"/>
      <w:sz w:val="22"/>
    </w:rPr>
  </w:style>
  <w:style w:type="paragraph" w:customStyle="1" w:styleId="paragraph">
    <w:name w:val="paragraph"/>
    <w:basedOn w:val="Normal"/>
    <w:rsid w:val="00FD14D9"/>
    <w:pPr>
      <w:spacing w:before="100" w:beforeAutospacing="1" w:after="100" w:afterAutospacing="1" w:line="240" w:lineRule="auto"/>
    </w:pPr>
    <w:rPr>
      <w:rFonts w:ascii="Times New Roman" w:eastAsia="Times New Roman" w:hAnsi="Times New Roman"/>
      <w:sz w:val="24"/>
      <w:lang w:eastAsia="en-AU"/>
    </w:rPr>
  </w:style>
  <w:style w:type="character" w:customStyle="1" w:styleId="normaltextrun">
    <w:name w:val="normaltextrun"/>
    <w:basedOn w:val="DefaultParagraphFont"/>
    <w:rsid w:val="00FD14D9"/>
  </w:style>
  <w:style w:type="character" w:customStyle="1" w:styleId="eop">
    <w:name w:val="eop"/>
    <w:basedOn w:val="DefaultParagraphFont"/>
    <w:rsid w:val="00FD1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43726">
      <w:bodyDiv w:val="1"/>
      <w:marLeft w:val="0"/>
      <w:marRight w:val="0"/>
      <w:marTop w:val="0"/>
      <w:marBottom w:val="0"/>
      <w:divBdr>
        <w:top w:val="none" w:sz="0" w:space="0" w:color="auto"/>
        <w:left w:val="none" w:sz="0" w:space="0" w:color="auto"/>
        <w:bottom w:val="none" w:sz="0" w:space="0" w:color="auto"/>
        <w:right w:val="none" w:sz="0" w:space="0" w:color="auto"/>
      </w:divBdr>
    </w:div>
    <w:div w:id="109983619">
      <w:bodyDiv w:val="1"/>
      <w:marLeft w:val="0"/>
      <w:marRight w:val="0"/>
      <w:marTop w:val="0"/>
      <w:marBottom w:val="0"/>
      <w:divBdr>
        <w:top w:val="none" w:sz="0" w:space="0" w:color="auto"/>
        <w:left w:val="none" w:sz="0" w:space="0" w:color="auto"/>
        <w:bottom w:val="none" w:sz="0" w:space="0" w:color="auto"/>
        <w:right w:val="none" w:sz="0" w:space="0" w:color="auto"/>
      </w:divBdr>
    </w:div>
    <w:div w:id="187915183">
      <w:bodyDiv w:val="1"/>
      <w:marLeft w:val="0"/>
      <w:marRight w:val="0"/>
      <w:marTop w:val="0"/>
      <w:marBottom w:val="0"/>
      <w:divBdr>
        <w:top w:val="none" w:sz="0" w:space="0" w:color="auto"/>
        <w:left w:val="none" w:sz="0" w:space="0" w:color="auto"/>
        <w:bottom w:val="none" w:sz="0" w:space="0" w:color="auto"/>
        <w:right w:val="none" w:sz="0" w:space="0" w:color="auto"/>
      </w:divBdr>
    </w:div>
    <w:div w:id="192423870">
      <w:bodyDiv w:val="1"/>
      <w:marLeft w:val="0"/>
      <w:marRight w:val="0"/>
      <w:marTop w:val="0"/>
      <w:marBottom w:val="0"/>
      <w:divBdr>
        <w:top w:val="none" w:sz="0" w:space="0" w:color="auto"/>
        <w:left w:val="none" w:sz="0" w:space="0" w:color="auto"/>
        <w:bottom w:val="none" w:sz="0" w:space="0" w:color="auto"/>
        <w:right w:val="none" w:sz="0" w:space="0" w:color="auto"/>
      </w:divBdr>
      <w:divsChild>
        <w:div w:id="54746089">
          <w:marLeft w:val="0"/>
          <w:marRight w:val="0"/>
          <w:marTop w:val="0"/>
          <w:marBottom w:val="0"/>
          <w:divBdr>
            <w:top w:val="none" w:sz="0" w:space="0" w:color="auto"/>
            <w:left w:val="none" w:sz="0" w:space="0" w:color="auto"/>
            <w:bottom w:val="none" w:sz="0" w:space="0" w:color="auto"/>
            <w:right w:val="none" w:sz="0" w:space="0" w:color="auto"/>
          </w:divBdr>
          <w:divsChild>
            <w:div w:id="1437363338">
              <w:marLeft w:val="0"/>
              <w:marRight w:val="0"/>
              <w:marTop w:val="0"/>
              <w:marBottom w:val="0"/>
              <w:divBdr>
                <w:top w:val="none" w:sz="0" w:space="0" w:color="auto"/>
                <w:left w:val="none" w:sz="0" w:space="0" w:color="auto"/>
                <w:bottom w:val="none" w:sz="0" w:space="0" w:color="auto"/>
                <w:right w:val="none" w:sz="0" w:space="0" w:color="auto"/>
              </w:divBdr>
              <w:divsChild>
                <w:div w:id="326442765">
                  <w:marLeft w:val="3"/>
                  <w:marRight w:val="3"/>
                  <w:marTop w:val="0"/>
                  <w:marBottom w:val="0"/>
                  <w:divBdr>
                    <w:top w:val="none" w:sz="0" w:space="0" w:color="auto"/>
                    <w:left w:val="none" w:sz="0" w:space="0" w:color="auto"/>
                    <w:bottom w:val="none" w:sz="0" w:space="0" w:color="auto"/>
                    <w:right w:val="none" w:sz="0" w:space="0" w:color="auto"/>
                  </w:divBdr>
                </w:div>
              </w:divsChild>
            </w:div>
          </w:divsChild>
        </w:div>
      </w:divsChild>
    </w:div>
    <w:div w:id="236088512">
      <w:bodyDiv w:val="1"/>
      <w:marLeft w:val="0"/>
      <w:marRight w:val="0"/>
      <w:marTop w:val="0"/>
      <w:marBottom w:val="0"/>
      <w:divBdr>
        <w:top w:val="none" w:sz="0" w:space="0" w:color="auto"/>
        <w:left w:val="none" w:sz="0" w:space="0" w:color="auto"/>
        <w:bottom w:val="none" w:sz="0" w:space="0" w:color="auto"/>
        <w:right w:val="none" w:sz="0" w:space="0" w:color="auto"/>
      </w:divBdr>
    </w:div>
    <w:div w:id="329455816">
      <w:bodyDiv w:val="1"/>
      <w:marLeft w:val="0"/>
      <w:marRight w:val="0"/>
      <w:marTop w:val="0"/>
      <w:marBottom w:val="0"/>
      <w:divBdr>
        <w:top w:val="none" w:sz="0" w:space="0" w:color="auto"/>
        <w:left w:val="none" w:sz="0" w:space="0" w:color="auto"/>
        <w:bottom w:val="none" w:sz="0" w:space="0" w:color="auto"/>
        <w:right w:val="none" w:sz="0" w:space="0" w:color="auto"/>
      </w:divBdr>
    </w:div>
    <w:div w:id="336807920">
      <w:bodyDiv w:val="1"/>
      <w:marLeft w:val="0"/>
      <w:marRight w:val="0"/>
      <w:marTop w:val="0"/>
      <w:marBottom w:val="0"/>
      <w:divBdr>
        <w:top w:val="none" w:sz="0" w:space="0" w:color="auto"/>
        <w:left w:val="none" w:sz="0" w:space="0" w:color="auto"/>
        <w:bottom w:val="none" w:sz="0" w:space="0" w:color="auto"/>
        <w:right w:val="none" w:sz="0" w:space="0" w:color="auto"/>
      </w:divBdr>
    </w:div>
    <w:div w:id="376703064">
      <w:bodyDiv w:val="1"/>
      <w:marLeft w:val="0"/>
      <w:marRight w:val="0"/>
      <w:marTop w:val="0"/>
      <w:marBottom w:val="0"/>
      <w:divBdr>
        <w:top w:val="none" w:sz="0" w:space="0" w:color="auto"/>
        <w:left w:val="none" w:sz="0" w:space="0" w:color="auto"/>
        <w:bottom w:val="none" w:sz="0" w:space="0" w:color="auto"/>
        <w:right w:val="none" w:sz="0" w:space="0" w:color="auto"/>
      </w:divBdr>
      <w:divsChild>
        <w:div w:id="2052728038">
          <w:marLeft w:val="0"/>
          <w:marRight w:val="0"/>
          <w:marTop w:val="0"/>
          <w:marBottom w:val="0"/>
          <w:divBdr>
            <w:top w:val="none" w:sz="0" w:space="0" w:color="auto"/>
            <w:left w:val="none" w:sz="0" w:space="0" w:color="auto"/>
            <w:bottom w:val="none" w:sz="0" w:space="0" w:color="auto"/>
            <w:right w:val="none" w:sz="0" w:space="0" w:color="auto"/>
          </w:divBdr>
          <w:divsChild>
            <w:div w:id="919482558">
              <w:marLeft w:val="0"/>
              <w:marRight w:val="0"/>
              <w:marTop w:val="0"/>
              <w:marBottom w:val="0"/>
              <w:divBdr>
                <w:top w:val="none" w:sz="0" w:space="0" w:color="auto"/>
                <w:left w:val="none" w:sz="0" w:space="0" w:color="auto"/>
                <w:bottom w:val="none" w:sz="0" w:space="0" w:color="auto"/>
                <w:right w:val="none" w:sz="0" w:space="0" w:color="auto"/>
              </w:divBdr>
              <w:divsChild>
                <w:div w:id="7459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722258">
      <w:bodyDiv w:val="1"/>
      <w:marLeft w:val="0"/>
      <w:marRight w:val="0"/>
      <w:marTop w:val="0"/>
      <w:marBottom w:val="0"/>
      <w:divBdr>
        <w:top w:val="none" w:sz="0" w:space="0" w:color="auto"/>
        <w:left w:val="none" w:sz="0" w:space="0" w:color="auto"/>
        <w:bottom w:val="none" w:sz="0" w:space="0" w:color="auto"/>
        <w:right w:val="none" w:sz="0" w:space="0" w:color="auto"/>
      </w:divBdr>
    </w:div>
    <w:div w:id="494229620">
      <w:bodyDiv w:val="1"/>
      <w:marLeft w:val="0"/>
      <w:marRight w:val="0"/>
      <w:marTop w:val="0"/>
      <w:marBottom w:val="0"/>
      <w:divBdr>
        <w:top w:val="none" w:sz="0" w:space="0" w:color="auto"/>
        <w:left w:val="none" w:sz="0" w:space="0" w:color="auto"/>
        <w:bottom w:val="none" w:sz="0" w:space="0" w:color="auto"/>
        <w:right w:val="none" w:sz="0" w:space="0" w:color="auto"/>
      </w:divBdr>
    </w:div>
    <w:div w:id="572354004">
      <w:bodyDiv w:val="1"/>
      <w:marLeft w:val="0"/>
      <w:marRight w:val="0"/>
      <w:marTop w:val="0"/>
      <w:marBottom w:val="0"/>
      <w:divBdr>
        <w:top w:val="none" w:sz="0" w:space="0" w:color="auto"/>
        <w:left w:val="none" w:sz="0" w:space="0" w:color="auto"/>
        <w:bottom w:val="none" w:sz="0" w:space="0" w:color="auto"/>
        <w:right w:val="none" w:sz="0" w:space="0" w:color="auto"/>
      </w:divBdr>
    </w:div>
    <w:div w:id="604924908">
      <w:bodyDiv w:val="1"/>
      <w:marLeft w:val="0"/>
      <w:marRight w:val="0"/>
      <w:marTop w:val="0"/>
      <w:marBottom w:val="0"/>
      <w:divBdr>
        <w:top w:val="none" w:sz="0" w:space="0" w:color="auto"/>
        <w:left w:val="none" w:sz="0" w:space="0" w:color="auto"/>
        <w:bottom w:val="none" w:sz="0" w:space="0" w:color="auto"/>
        <w:right w:val="none" w:sz="0" w:space="0" w:color="auto"/>
      </w:divBdr>
    </w:div>
    <w:div w:id="629165231">
      <w:bodyDiv w:val="1"/>
      <w:marLeft w:val="0"/>
      <w:marRight w:val="0"/>
      <w:marTop w:val="0"/>
      <w:marBottom w:val="0"/>
      <w:divBdr>
        <w:top w:val="none" w:sz="0" w:space="0" w:color="auto"/>
        <w:left w:val="none" w:sz="0" w:space="0" w:color="auto"/>
        <w:bottom w:val="none" w:sz="0" w:space="0" w:color="auto"/>
        <w:right w:val="none" w:sz="0" w:space="0" w:color="auto"/>
      </w:divBdr>
    </w:div>
    <w:div w:id="928585419">
      <w:bodyDiv w:val="1"/>
      <w:marLeft w:val="0"/>
      <w:marRight w:val="0"/>
      <w:marTop w:val="0"/>
      <w:marBottom w:val="0"/>
      <w:divBdr>
        <w:top w:val="none" w:sz="0" w:space="0" w:color="auto"/>
        <w:left w:val="none" w:sz="0" w:space="0" w:color="auto"/>
        <w:bottom w:val="none" w:sz="0" w:space="0" w:color="auto"/>
        <w:right w:val="none" w:sz="0" w:space="0" w:color="auto"/>
      </w:divBdr>
    </w:div>
    <w:div w:id="953946576">
      <w:bodyDiv w:val="1"/>
      <w:marLeft w:val="0"/>
      <w:marRight w:val="0"/>
      <w:marTop w:val="0"/>
      <w:marBottom w:val="0"/>
      <w:divBdr>
        <w:top w:val="none" w:sz="0" w:space="0" w:color="auto"/>
        <w:left w:val="none" w:sz="0" w:space="0" w:color="auto"/>
        <w:bottom w:val="none" w:sz="0" w:space="0" w:color="auto"/>
        <w:right w:val="none" w:sz="0" w:space="0" w:color="auto"/>
      </w:divBdr>
    </w:div>
    <w:div w:id="1139417812">
      <w:bodyDiv w:val="1"/>
      <w:marLeft w:val="0"/>
      <w:marRight w:val="0"/>
      <w:marTop w:val="0"/>
      <w:marBottom w:val="0"/>
      <w:divBdr>
        <w:top w:val="none" w:sz="0" w:space="0" w:color="auto"/>
        <w:left w:val="none" w:sz="0" w:space="0" w:color="auto"/>
        <w:bottom w:val="none" w:sz="0" w:space="0" w:color="auto"/>
        <w:right w:val="none" w:sz="0" w:space="0" w:color="auto"/>
      </w:divBdr>
    </w:div>
    <w:div w:id="1169635889">
      <w:bodyDiv w:val="1"/>
      <w:marLeft w:val="0"/>
      <w:marRight w:val="0"/>
      <w:marTop w:val="0"/>
      <w:marBottom w:val="0"/>
      <w:divBdr>
        <w:top w:val="none" w:sz="0" w:space="0" w:color="auto"/>
        <w:left w:val="none" w:sz="0" w:space="0" w:color="auto"/>
        <w:bottom w:val="none" w:sz="0" w:space="0" w:color="auto"/>
        <w:right w:val="none" w:sz="0" w:space="0" w:color="auto"/>
      </w:divBdr>
    </w:div>
    <w:div w:id="1175537009">
      <w:bodyDiv w:val="1"/>
      <w:marLeft w:val="0"/>
      <w:marRight w:val="0"/>
      <w:marTop w:val="0"/>
      <w:marBottom w:val="0"/>
      <w:divBdr>
        <w:top w:val="none" w:sz="0" w:space="0" w:color="auto"/>
        <w:left w:val="none" w:sz="0" w:space="0" w:color="auto"/>
        <w:bottom w:val="none" w:sz="0" w:space="0" w:color="auto"/>
        <w:right w:val="none" w:sz="0" w:space="0" w:color="auto"/>
      </w:divBdr>
    </w:div>
    <w:div w:id="1355882858">
      <w:bodyDiv w:val="1"/>
      <w:marLeft w:val="0"/>
      <w:marRight w:val="0"/>
      <w:marTop w:val="0"/>
      <w:marBottom w:val="0"/>
      <w:divBdr>
        <w:top w:val="none" w:sz="0" w:space="0" w:color="auto"/>
        <w:left w:val="none" w:sz="0" w:space="0" w:color="auto"/>
        <w:bottom w:val="none" w:sz="0" w:space="0" w:color="auto"/>
        <w:right w:val="none" w:sz="0" w:space="0" w:color="auto"/>
      </w:divBdr>
    </w:div>
    <w:div w:id="1395542888">
      <w:bodyDiv w:val="1"/>
      <w:marLeft w:val="0"/>
      <w:marRight w:val="0"/>
      <w:marTop w:val="0"/>
      <w:marBottom w:val="0"/>
      <w:divBdr>
        <w:top w:val="none" w:sz="0" w:space="0" w:color="auto"/>
        <w:left w:val="none" w:sz="0" w:space="0" w:color="auto"/>
        <w:bottom w:val="none" w:sz="0" w:space="0" w:color="auto"/>
        <w:right w:val="none" w:sz="0" w:space="0" w:color="auto"/>
      </w:divBdr>
      <w:divsChild>
        <w:div w:id="1486900119">
          <w:marLeft w:val="0"/>
          <w:marRight w:val="0"/>
          <w:marTop w:val="0"/>
          <w:marBottom w:val="0"/>
          <w:divBdr>
            <w:top w:val="none" w:sz="0" w:space="0" w:color="auto"/>
            <w:left w:val="none" w:sz="0" w:space="0" w:color="auto"/>
            <w:bottom w:val="none" w:sz="0" w:space="0" w:color="auto"/>
            <w:right w:val="none" w:sz="0" w:space="0" w:color="auto"/>
          </w:divBdr>
        </w:div>
        <w:div w:id="141583786">
          <w:marLeft w:val="0"/>
          <w:marRight w:val="0"/>
          <w:marTop w:val="0"/>
          <w:marBottom w:val="0"/>
          <w:divBdr>
            <w:top w:val="none" w:sz="0" w:space="0" w:color="auto"/>
            <w:left w:val="none" w:sz="0" w:space="0" w:color="auto"/>
            <w:bottom w:val="none" w:sz="0" w:space="0" w:color="auto"/>
            <w:right w:val="none" w:sz="0" w:space="0" w:color="auto"/>
          </w:divBdr>
        </w:div>
      </w:divsChild>
    </w:div>
    <w:div w:id="1431126568">
      <w:bodyDiv w:val="1"/>
      <w:marLeft w:val="0"/>
      <w:marRight w:val="0"/>
      <w:marTop w:val="0"/>
      <w:marBottom w:val="0"/>
      <w:divBdr>
        <w:top w:val="none" w:sz="0" w:space="0" w:color="auto"/>
        <w:left w:val="none" w:sz="0" w:space="0" w:color="auto"/>
        <w:bottom w:val="none" w:sz="0" w:space="0" w:color="auto"/>
        <w:right w:val="none" w:sz="0" w:space="0" w:color="auto"/>
      </w:divBdr>
    </w:div>
    <w:div w:id="1523975225">
      <w:bodyDiv w:val="1"/>
      <w:marLeft w:val="0"/>
      <w:marRight w:val="0"/>
      <w:marTop w:val="0"/>
      <w:marBottom w:val="0"/>
      <w:divBdr>
        <w:top w:val="none" w:sz="0" w:space="0" w:color="auto"/>
        <w:left w:val="none" w:sz="0" w:space="0" w:color="auto"/>
        <w:bottom w:val="none" w:sz="0" w:space="0" w:color="auto"/>
        <w:right w:val="none" w:sz="0" w:space="0" w:color="auto"/>
      </w:divBdr>
    </w:div>
    <w:div w:id="1614361982">
      <w:bodyDiv w:val="1"/>
      <w:marLeft w:val="0"/>
      <w:marRight w:val="0"/>
      <w:marTop w:val="0"/>
      <w:marBottom w:val="0"/>
      <w:divBdr>
        <w:top w:val="none" w:sz="0" w:space="0" w:color="auto"/>
        <w:left w:val="none" w:sz="0" w:space="0" w:color="auto"/>
        <w:bottom w:val="none" w:sz="0" w:space="0" w:color="auto"/>
        <w:right w:val="none" w:sz="0" w:space="0" w:color="auto"/>
      </w:divBdr>
    </w:div>
    <w:div w:id="1750689251">
      <w:bodyDiv w:val="1"/>
      <w:marLeft w:val="0"/>
      <w:marRight w:val="0"/>
      <w:marTop w:val="0"/>
      <w:marBottom w:val="0"/>
      <w:divBdr>
        <w:top w:val="none" w:sz="0" w:space="0" w:color="auto"/>
        <w:left w:val="none" w:sz="0" w:space="0" w:color="auto"/>
        <w:bottom w:val="none" w:sz="0" w:space="0" w:color="auto"/>
        <w:right w:val="none" w:sz="0" w:space="0" w:color="auto"/>
      </w:divBdr>
    </w:div>
    <w:div w:id="1874611481">
      <w:bodyDiv w:val="1"/>
      <w:marLeft w:val="0"/>
      <w:marRight w:val="0"/>
      <w:marTop w:val="0"/>
      <w:marBottom w:val="0"/>
      <w:divBdr>
        <w:top w:val="none" w:sz="0" w:space="0" w:color="auto"/>
        <w:left w:val="none" w:sz="0" w:space="0" w:color="auto"/>
        <w:bottom w:val="none" w:sz="0" w:space="0" w:color="auto"/>
        <w:right w:val="none" w:sz="0" w:space="0" w:color="auto"/>
      </w:divBdr>
    </w:div>
    <w:div w:id="1899588451">
      <w:bodyDiv w:val="1"/>
      <w:marLeft w:val="0"/>
      <w:marRight w:val="0"/>
      <w:marTop w:val="0"/>
      <w:marBottom w:val="0"/>
      <w:divBdr>
        <w:top w:val="none" w:sz="0" w:space="0" w:color="auto"/>
        <w:left w:val="none" w:sz="0" w:space="0" w:color="auto"/>
        <w:bottom w:val="none" w:sz="0" w:space="0" w:color="auto"/>
        <w:right w:val="none" w:sz="0" w:space="0" w:color="auto"/>
      </w:divBdr>
    </w:div>
    <w:div w:id="1933080493">
      <w:bodyDiv w:val="1"/>
      <w:marLeft w:val="0"/>
      <w:marRight w:val="0"/>
      <w:marTop w:val="0"/>
      <w:marBottom w:val="0"/>
      <w:divBdr>
        <w:top w:val="none" w:sz="0" w:space="0" w:color="auto"/>
        <w:left w:val="none" w:sz="0" w:space="0" w:color="auto"/>
        <w:bottom w:val="none" w:sz="0" w:space="0" w:color="auto"/>
        <w:right w:val="none" w:sz="0" w:space="0" w:color="auto"/>
      </w:divBdr>
    </w:div>
    <w:div w:id="2046708256">
      <w:bodyDiv w:val="1"/>
      <w:marLeft w:val="0"/>
      <w:marRight w:val="0"/>
      <w:marTop w:val="0"/>
      <w:marBottom w:val="0"/>
      <w:divBdr>
        <w:top w:val="none" w:sz="0" w:space="0" w:color="auto"/>
        <w:left w:val="none" w:sz="0" w:space="0" w:color="auto"/>
        <w:bottom w:val="none" w:sz="0" w:space="0" w:color="auto"/>
        <w:right w:val="none" w:sz="0" w:space="0" w:color="auto"/>
      </w:divBdr>
    </w:div>
    <w:div w:id="211493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cdna-national-guidance-for-urban-and-regional-aboriginal-and-torres-strait-islander-communities-for-covid-19"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ealth.gov.au/news/health-alerts/novel-coronavirus-2019-ncov-health-alert/coronavirus-covid-19-current-situation-and-case-numbers" TargetMode="External"/><Relationship Id="rId17" Type="http://schemas.openxmlformats.org/officeDocument/2006/relationships/hyperlink" Target="https://health.us19.list-manage.com/subscribe?u=5d358769e5f779a1a830c2bd0&amp;id=685bb3b3b8" TargetMode="External"/><Relationship Id="rId2" Type="http://schemas.openxmlformats.org/officeDocument/2006/relationships/customXml" Target="../customXml/item2.xml"/><Relationship Id="rId16" Type="http://schemas.openxmlformats.org/officeDocument/2006/relationships/hyperlink" Target="https://www.health.gov.au/resources/publications/australian-national-disease-surveillance-plan-for-covid-1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1.health.gov.au/internet/main/publishing.nsf/Content/novel_coronavirus_2019_ncov_weekly_epidemiology_reports_australia_2020.htm" TargetMode="External"/><Relationship Id="rId5" Type="http://schemas.openxmlformats.org/officeDocument/2006/relationships/numbering" Target="numbering.xml"/><Relationship Id="rId15" Type="http://schemas.openxmlformats.org/officeDocument/2006/relationships/hyperlink" Target="https://www.health.gov.au/initiatives-and-programs/covid-19-vaccines-hub" TargetMode="External"/><Relationship Id="rId10" Type="http://schemas.openxmlformats.org/officeDocument/2006/relationships/endnotes" Target="endnotes.xml"/><Relationship Id="rId19" Type="http://schemas.openxmlformats.org/officeDocument/2006/relationships/footer" Target="footer1.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australian-covid-19-vaccination-policy" TargetMode="External"/><Relationship Id="rId22" Type="http://schemas.openxmlformats.org/officeDocument/2006/relationships/theme" Target="theme/theme1.xml"/><Relationship Id="rId3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46E550CABC594584B619D2703D331E" ma:contentTypeVersion="6" ma:contentTypeDescription="Create a new document." ma:contentTypeScope="" ma:versionID="1eedcb43b8f0fa70d7d8520037a73782">
  <xsd:schema xmlns:xsd="http://www.w3.org/2001/XMLSchema" xmlns:xs="http://www.w3.org/2001/XMLSchema" xmlns:p="http://schemas.microsoft.com/office/2006/metadata/properties" xmlns:ns2="bef811be-977c-42e9-8a73-4e414cbe1e07" xmlns:ns3="24d64afc-3b55-4ce2-b05d-807ba8e6dbd0" targetNamespace="http://schemas.microsoft.com/office/2006/metadata/properties" ma:root="true" ma:fieldsID="a889d82a19d99eb0db5505597cb2f386" ns2:_="" ns3:_="">
    <xsd:import namespace="bef811be-977c-42e9-8a73-4e414cbe1e07"/>
    <xsd:import namespace="24d64afc-3b55-4ce2-b05d-807ba8e6db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811be-977c-42e9-8a73-4e414cbe1e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d64afc-3b55-4ce2-b05d-807ba8e6db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D6CAE-4318-4EFD-88EC-CC5CBFD7D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811be-977c-42e9-8a73-4e414cbe1e07"/>
    <ds:schemaRef ds:uri="24d64afc-3b55-4ce2-b05d-807ba8e6d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FF6345-E02D-454C-A762-160A157A91BB}">
  <ds:schemaRefs>
    <ds:schemaRef ds:uri="http://schemas.microsoft.com/sharepoint/v3/contenttype/forms"/>
  </ds:schemaRefs>
</ds:datastoreItem>
</file>

<file path=customXml/itemProps3.xml><?xml version="1.0" encoding="utf-8"?>
<ds:datastoreItem xmlns:ds="http://schemas.openxmlformats.org/officeDocument/2006/customXml" ds:itemID="{632EF500-F894-4CB1-B10F-F8375E1E8034}">
  <ds:schemaRefs>
    <ds:schemaRef ds:uri="bef811be-977c-42e9-8a73-4e414cbe1e0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4d64afc-3b55-4ce2-b05d-807ba8e6dbd0"/>
    <ds:schemaRef ds:uri="http://www.w3.org/XML/1998/namespace"/>
    <ds:schemaRef ds:uri="http://purl.org/dc/dcmitype/"/>
  </ds:schemaRefs>
</ds:datastoreItem>
</file>

<file path=customXml/itemProps4.xml><?xml version="1.0" encoding="utf-8"?>
<ds:datastoreItem xmlns:ds="http://schemas.openxmlformats.org/officeDocument/2006/customXml" ds:itemID="{BDF69A17-74C6-49F4-A35B-DE22D6D91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1467</Words>
  <Characters>8363</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Hood, Jodi</dc:creator>
  <cp:keywords/>
  <dc:description/>
  <cp:lastModifiedBy>GILFEDDER, Lara</cp:lastModifiedBy>
  <cp:revision>2</cp:revision>
  <cp:lastPrinted>2020-05-25T06:48:00Z</cp:lastPrinted>
  <dcterms:created xsi:type="dcterms:W3CDTF">2020-12-16T21:35:00Z</dcterms:created>
  <dcterms:modified xsi:type="dcterms:W3CDTF">2020-12-16T21:35:00Z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0x010100FC46E550CABC594584B619D2703D331E</vt:lpwstr>
  </property>
</Properties>
</file>