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0BD65" w14:textId="77777777" w:rsidR="00FE727D" w:rsidRDefault="00FE727D" w:rsidP="00FE727D">
      <w:pPr>
        <w:jc w:val="center"/>
      </w:pPr>
      <w:bookmarkStart w:id="0" w:name="_Toc525046060"/>
      <w:bookmarkStart w:id="1" w:name="_Toc525046232"/>
      <w:bookmarkStart w:id="2" w:name="_Toc525138627"/>
      <w:bookmarkStart w:id="3" w:name="_Toc525139878"/>
      <w:bookmarkStart w:id="4" w:name="_Toc525141607"/>
      <w:bookmarkStart w:id="5" w:name="_Toc528164034"/>
      <w:bookmarkStart w:id="6" w:name="_Toc535329017"/>
      <w:bookmarkStart w:id="7" w:name="_Toc535329043"/>
      <w:bookmarkStart w:id="8" w:name="_Toc535329302"/>
      <w:r w:rsidRPr="00C25E2B">
        <w:rPr>
          <w:rFonts w:asciiTheme="majorHAnsi" w:hAnsiTheme="majorHAnsi"/>
          <w:noProof/>
          <w:lang w:eastAsia="en-AU"/>
        </w:rPr>
        <w:drawing>
          <wp:inline distT="0" distB="0" distL="0" distR="0" wp14:anchorId="76EA729F" wp14:editId="1B3C27F0">
            <wp:extent cx="2169160" cy="1445895"/>
            <wp:effectExtent l="0" t="0" r="2540" b="1905"/>
            <wp:docPr id="483" name="Picture 483"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160" cy="1445895"/>
                    </a:xfrm>
                    <a:prstGeom prst="rect">
                      <a:avLst/>
                    </a:prstGeom>
                    <a:noFill/>
                  </pic:spPr>
                </pic:pic>
              </a:graphicData>
            </a:graphic>
          </wp:inline>
        </w:drawing>
      </w:r>
    </w:p>
    <w:p w14:paraId="7B2E998A" w14:textId="77777777" w:rsidR="007A1FA1" w:rsidRDefault="007A1FA1" w:rsidP="007A1FA1"/>
    <w:p w14:paraId="45C538C5" w14:textId="77777777" w:rsidR="007A1FA1" w:rsidRDefault="007A1FA1" w:rsidP="00FE727D">
      <w:pPr>
        <w:jc w:val="center"/>
      </w:pPr>
    </w:p>
    <w:tbl>
      <w:tblPr>
        <w:tblStyle w:val="TableGrid"/>
        <w:tblW w:w="0" w:type="auto"/>
        <w:tblLook w:val="04A0" w:firstRow="1" w:lastRow="0" w:firstColumn="1" w:lastColumn="0" w:noHBand="0" w:noVBand="1"/>
        <w:tblCaption w:val="A poliovirus reintroduction and outbreak risk assessment methodology for Australia"/>
        <w:tblDescription w:val="A poliovirus reintroduction and outbreak risk assessment methodology for Australia"/>
      </w:tblPr>
      <w:tblGrid>
        <w:gridCol w:w="9016"/>
      </w:tblGrid>
      <w:tr w:rsidR="007A1FA1" w14:paraId="6ED4568D" w14:textId="77777777" w:rsidTr="003E2305">
        <w:trPr>
          <w:tblHeader/>
        </w:trPr>
        <w:tc>
          <w:tcPr>
            <w:tcW w:w="9016" w:type="dxa"/>
          </w:tcPr>
          <w:p w14:paraId="3A1FBE4D" w14:textId="77777777" w:rsidR="007A1FA1" w:rsidRPr="00D630BC" w:rsidRDefault="007A1FA1" w:rsidP="00D630BC">
            <w:pPr>
              <w:pStyle w:val="Heading1"/>
              <w:numPr>
                <w:ilvl w:val="0"/>
                <w:numId w:val="0"/>
              </w:numPr>
              <w:ind w:left="432"/>
              <w:jc w:val="left"/>
              <w:rPr>
                <w:rFonts w:ascii="Arial" w:hAnsi="Arial" w:cs="Arial"/>
                <w:sz w:val="40"/>
                <w:szCs w:val="40"/>
              </w:rPr>
            </w:pPr>
            <w:bookmarkStart w:id="9" w:name="_Toc19294826"/>
            <w:bookmarkStart w:id="10" w:name="_Toc20238336"/>
            <w:bookmarkStart w:id="11" w:name="_Toc20238584"/>
            <w:r w:rsidRPr="00D630BC">
              <w:rPr>
                <w:rFonts w:ascii="Arial" w:hAnsi="Arial" w:cs="Arial"/>
                <w:sz w:val="40"/>
                <w:szCs w:val="40"/>
              </w:rPr>
              <w:t>A poliovirus reintroduction and outbreak risk assessment methodology for Australia</w:t>
            </w:r>
            <w:bookmarkEnd w:id="9"/>
            <w:bookmarkEnd w:id="10"/>
            <w:bookmarkEnd w:id="11"/>
          </w:p>
        </w:tc>
      </w:tr>
    </w:tbl>
    <w:p w14:paraId="63096378" w14:textId="77777777" w:rsidR="00FE727D" w:rsidRDefault="00FE727D" w:rsidP="00D630BC"/>
    <w:p w14:paraId="7A39E35C" w14:textId="77777777" w:rsidR="00FE727D" w:rsidRDefault="00FE727D" w:rsidP="00FE727D">
      <w:pPr>
        <w:jc w:val="center"/>
      </w:pPr>
    </w:p>
    <w:p w14:paraId="19D4286D" w14:textId="77777777" w:rsidR="00712C2B" w:rsidRDefault="00712C2B" w:rsidP="00FE727D">
      <w:pPr>
        <w:jc w:val="center"/>
      </w:pPr>
    </w:p>
    <w:p w14:paraId="7B1F9591" w14:textId="77777777" w:rsidR="00712C2B" w:rsidRDefault="00712C2B" w:rsidP="00FE727D">
      <w:pPr>
        <w:jc w:val="center"/>
      </w:pPr>
    </w:p>
    <w:p w14:paraId="05B9CFD2" w14:textId="77777777" w:rsidR="00712C2B" w:rsidRDefault="00712C2B" w:rsidP="00FE727D">
      <w:pPr>
        <w:jc w:val="center"/>
      </w:pPr>
    </w:p>
    <w:p w14:paraId="44664D62" w14:textId="77777777" w:rsidR="00712C2B" w:rsidRDefault="00712C2B" w:rsidP="00FE727D">
      <w:pPr>
        <w:jc w:val="center"/>
      </w:pPr>
    </w:p>
    <w:p w14:paraId="23B374E1" w14:textId="77777777" w:rsidR="00712C2B" w:rsidRDefault="00712C2B" w:rsidP="00FE727D">
      <w:pPr>
        <w:jc w:val="center"/>
      </w:pPr>
    </w:p>
    <w:p w14:paraId="3697B222" w14:textId="77777777" w:rsidR="00712C2B" w:rsidRDefault="00712C2B" w:rsidP="00FE727D">
      <w:pPr>
        <w:jc w:val="center"/>
      </w:pPr>
    </w:p>
    <w:p w14:paraId="74998662" w14:textId="77777777" w:rsidR="00712C2B" w:rsidRDefault="00712C2B" w:rsidP="00FE727D">
      <w:pPr>
        <w:jc w:val="center"/>
      </w:pPr>
    </w:p>
    <w:p w14:paraId="40C55B1B" w14:textId="77777777" w:rsidR="00712C2B" w:rsidRDefault="00712C2B" w:rsidP="00FE727D">
      <w:pPr>
        <w:jc w:val="center"/>
      </w:pPr>
    </w:p>
    <w:p w14:paraId="6E44FE3C" w14:textId="77777777" w:rsidR="00712C2B" w:rsidRDefault="00712C2B" w:rsidP="00FE727D">
      <w:pPr>
        <w:jc w:val="center"/>
      </w:pPr>
    </w:p>
    <w:p w14:paraId="67DA456C" w14:textId="77777777" w:rsidR="00712C2B" w:rsidRDefault="00712C2B" w:rsidP="00FE727D">
      <w:pPr>
        <w:jc w:val="center"/>
      </w:pPr>
    </w:p>
    <w:p w14:paraId="3BA6235D" w14:textId="77777777" w:rsidR="00866FED" w:rsidRPr="00BE7C1C" w:rsidRDefault="00BE7C1C" w:rsidP="007A1FA1">
      <w:pPr>
        <w:spacing w:after="0" w:line="240" w:lineRule="auto"/>
        <w:jc w:val="center"/>
        <w:rPr>
          <w:rFonts w:ascii="Arial" w:hAnsi="Arial" w:cs="Arial"/>
          <w:b/>
          <w:szCs w:val="24"/>
        </w:rPr>
      </w:pPr>
      <w:r w:rsidRPr="00BE7C1C">
        <w:rPr>
          <w:rFonts w:ascii="Arial" w:hAnsi="Arial" w:cs="Arial"/>
          <w:b/>
          <w:szCs w:val="24"/>
        </w:rPr>
        <w:t xml:space="preserve">Version </w:t>
      </w:r>
      <w:r w:rsidR="00866FED" w:rsidRPr="00BE7C1C">
        <w:rPr>
          <w:rFonts w:ascii="Arial" w:hAnsi="Arial" w:cs="Arial"/>
          <w:b/>
          <w:szCs w:val="24"/>
        </w:rPr>
        <w:t>1</w:t>
      </w:r>
    </w:p>
    <w:p w14:paraId="6FA78C89" w14:textId="77777777" w:rsidR="0099775E" w:rsidRPr="00866FED" w:rsidRDefault="00712C2B" w:rsidP="007A1FA1">
      <w:pPr>
        <w:spacing w:after="0" w:line="240" w:lineRule="auto"/>
        <w:jc w:val="center"/>
        <w:rPr>
          <w:rFonts w:ascii="Arial" w:hAnsi="Arial" w:cs="Arial"/>
          <w:b/>
          <w:sz w:val="32"/>
          <w:szCs w:val="32"/>
        </w:rPr>
      </w:pPr>
      <w:r w:rsidRPr="00866FED">
        <w:rPr>
          <w:rFonts w:ascii="Arial" w:hAnsi="Arial" w:cs="Arial"/>
          <w:b/>
          <w:sz w:val="32"/>
          <w:szCs w:val="32"/>
        </w:rPr>
        <w:t>January 2019</w:t>
      </w:r>
    </w:p>
    <w:p w14:paraId="09C7573D" w14:textId="77777777" w:rsidR="00712C2B" w:rsidRPr="00866FED" w:rsidRDefault="00712C2B" w:rsidP="007A1FA1">
      <w:pPr>
        <w:spacing w:after="0" w:line="240" w:lineRule="auto"/>
        <w:jc w:val="center"/>
        <w:rPr>
          <w:rFonts w:ascii="Arial" w:hAnsi="Arial" w:cs="Arial"/>
          <w:b/>
          <w:sz w:val="40"/>
          <w:szCs w:val="40"/>
        </w:rPr>
      </w:pPr>
      <w:r w:rsidRPr="00866FED">
        <w:rPr>
          <w:rFonts w:ascii="Arial" w:hAnsi="Arial" w:cs="Arial"/>
          <w:b/>
          <w:sz w:val="40"/>
          <w:szCs w:val="40"/>
        </w:rPr>
        <w:t>Office of Health Protection</w:t>
      </w:r>
    </w:p>
    <w:p w14:paraId="3F6A6F31" w14:textId="77777777" w:rsidR="00712C2B" w:rsidRPr="00866FED" w:rsidRDefault="00712C2B" w:rsidP="007A1FA1">
      <w:pPr>
        <w:spacing w:after="0" w:line="240" w:lineRule="auto"/>
        <w:jc w:val="center"/>
        <w:rPr>
          <w:rFonts w:ascii="Arial" w:hAnsi="Arial" w:cs="Arial"/>
          <w:b/>
          <w:sz w:val="40"/>
          <w:szCs w:val="40"/>
        </w:rPr>
      </w:pPr>
      <w:r w:rsidRPr="00866FED">
        <w:rPr>
          <w:rFonts w:ascii="Arial" w:hAnsi="Arial" w:cs="Arial"/>
          <w:b/>
          <w:sz w:val="40"/>
          <w:szCs w:val="40"/>
        </w:rPr>
        <w:t>Australian Government Department of Health</w:t>
      </w:r>
    </w:p>
    <w:p w14:paraId="71386ED5" w14:textId="77777777" w:rsidR="00806CBF" w:rsidRDefault="00712C2B" w:rsidP="00BE7C1C">
      <w:pPr>
        <w:spacing w:after="0" w:line="240" w:lineRule="auto"/>
        <w:jc w:val="center"/>
      </w:pPr>
      <w:r>
        <w:br w:type="page"/>
      </w:r>
      <w:bookmarkEnd w:id="0"/>
      <w:bookmarkEnd w:id="1"/>
      <w:bookmarkEnd w:id="2"/>
      <w:bookmarkEnd w:id="3"/>
      <w:bookmarkEnd w:id="4"/>
      <w:bookmarkEnd w:id="5"/>
      <w:bookmarkEnd w:id="6"/>
      <w:bookmarkEnd w:id="7"/>
      <w:bookmarkEnd w:id="8"/>
    </w:p>
    <w:sdt>
      <w:sdtPr>
        <w:rPr>
          <w:rFonts w:ascii="Calibri" w:eastAsia="Calibri" w:hAnsi="Calibri" w:cs="Times New Roman"/>
          <w:b w:val="0"/>
          <w:bCs w:val="0"/>
          <w:color w:val="000000"/>
          <w:sz w:val="24"/>
          <w:szCs w:val="22"/>
          <w:lang w:val="en-AU" w:eastAsia="en-US"/>
        </w:rPr>
        <w:id w:val="1944337501"/>
        <w:docPartObj>
          <w:docPartGallery w:val="Table of Contents"/>
          <w:docPartUnique/>
        </w:docPartObj>
      </w:sdtPr>
      <w:sdtEndPr>
        <w:rPr>
          <w:noProof/>
        </w:rPr>
      </w:sdtEndPr>
      <w:sdtContent>
        <w:p w14:paraId="1D00DEE3" w14:textId="77777777" w:rsidR="004D0499" w:rsidRDefault="00806CBF" w:rsidP="000174B7">
          <w:pPr>
            <w:pStyle w:val="TOCHeading"/>
            <w:rPr>
              <w:rFonts w:ascii="Arial" w:hAnsi="Arial" w:cs="Arial"/>
              <w:color w:val="auto"/>
              <w:sz w:val="22"/>
              <w:szCs w:val="22"/>
            </w:rPr>
          </w:pPr>
          <w:r w:rsidRPr="00BE68FA">
            <w:rPr>
              <w:rFonts w:ascii="Arial" w:hAnsi="Arial" w:cs="Arial"/>
              <w:color w:val="auto"/>
              <w:sz w:val="22"/>
              <w:szCs w:val="22"/>
            </w:rPr>
            <w:t>Contents</w:t>
          </w:r>
        </w:p>
        <w:p w14:paraId="45736788" w14:textId="77777777" w:rsidR="000174B7" w:rsidRPr="00BE68FA" w:rsidRDefault="00806CBF" w:rsidP="000174B7">
          <w:pPr>
            <w:pStyle w:val="TOCHeading"/>
            <w:rPr>
              <w:rFonts w:ascii="Arial" w:hAnsi="Arial" w:cs="Arial"/>
              <w:color w:val="auto"/>
              <w:sz w:val="22"/>
              <w:szCs w:val="22"/>
            </w:rPr>
          </w:pPr>
          <w:r w:rsidRPr="00BE68FA">
            <w:rPr>
              <w:rFonts w:ascii="Arial" w:hAnsi="Arial" w:cs="Arial"/>
              <w:sz w:val="22"/>
              <w:szCs w:val="22"/>
            </w:rPr>
            <w:fldChar w:fldCharType="begin"/>
          </w:r>
          <w:r w:rsidRPr="00BE68FA">
            <w:rPr>
              <w:rFonts w:ascii="Arial" w:hAnsi="Arial" w:cs="Arial"/>
              <w:sz w:val="22"/>
              <w:szCs w:val="22"/>
            </w:rPr>
            <w:instrText xml:space="preserve"> TOC \o "1-3" \h \z \u </w:instrText>
          </w:r>
          <w:r w:rsidRPr="00BE68FA">
            <w:rPr>
              <w:rFonts w:ascii="Arial" w:hAnsi="Arial" w:cs="Arial"/>
              <w:sz w:val="22"/>
              <w:szCs w:val="22"/>
            </w:rPr>
            <w:fldChar w:fldCharType="separate"/>
          </w:r>
        </w:p>
        <w:p w14:paraId="7757A7AA" w14:textId="77777777" w:rsidR="000174B7" w:rsidRPr="00BE68FA" w:rsidRDefault="00D344EB">
          <w:pPr>
            <w:pStyle w:val="TOC1"/>
            <w:tabs>
              <w:tab w:val="left" w:pos="480"/>
              <w:tab w:val="right" w:leader="dot" w:pos="9016"/>
            </w:tabs>
            <w:rPr>
              <w:rFonts w:ascii="Arial" w:eastAsiaTheme="minorEastAsia" w:hAnsi="Arial" w:cs="Arial"/>
              <w:b/>
              <w:noProof/>
              <w:color w:val="auto"/>
              <w:sz w:val="22"/>
              <w:lang w:eastAsia="en-AU"/>
            </w:rPr>
          </w:pPr>
          <w:hyperlink w:anchor="_Toc20238585" w:history="1">
            <w:r w:rsidR="000174B7" w:rsidRPr="00BE68FA">
              <w:rPr>
                <w:rStyle w:val="Hyperlink"/>
                <w:rFonts w:ascii="Arial" w:hAnsi="Arial" w:cs="Arial"/>
                <w:b/>
                <w:noProof/>
                <w:sz w:val="22"/>
              </w:rPr>
              <w:t>1.</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Risk assessment methodology</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_Toc20238585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3</w:t>
            </w:r>
            <w:r w:rsidR="000174B7" w:rsidRPr="00BE68FA">
              <w:rPr>
                <w:rFonts w:ascii="Arial" w:hAnsi="Arial" w:cs="Arial"/>
                <w:b/>
                <w:noProof/>
                <w:webHidden/>
                <w:sz w:val="22"/>
              </w:rPr>
              <w:fldChar w:fldCharType="end"/>
            </w:r>
          </w:hyperlink>
        </w:p>
        <w:p w14:paraId="78C82E19"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86" w:history="1">
            <w:r w:rsidR="000174B7" w:rsidRPr="00BE68FA">
              <w:rPr>
                <w:rStyle w:val="Hyperlink"/>
                <w:rFonts w:ascii="Arial" w:hAnsi="Arial" w:cs="Arial"/>
                <w:b/>
                <w:noProof/>
                <w:sz w:val="22"/>
              </w:rPr>
              <w:t>1.1</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Overview</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_Toc20238586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3</w:t>
            </w:r>
            <w:r w:rsidR="000174B7" w:rsidRPr="00BE68FA">
              <w:rPr>
                <w:rFonts w:ascii="Arial" w:hAnsi="Arial" w:cs="Arial"/>
                <w:b/>
                <w:noProof/>
                <w:webHidden/>
                <w:sz w:val="22"/>
              </w:rPr>
              <w:fldChar w:fldCharType="end"/>
            </w:r>
          </w:hyperlink>
        </w:p>
        <w:p w14:paraId="329D7356"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87" w:history="1">
            <w:r w:rsidR="000174B7" w:rsidRPr="00BE68FA">
              <w:rPr>
                <w:rStyle w:val="Hyperlink"/>
                <w:rFonts w:ascii="Arial" w:hAnsi="Arial" w:cs="Arial"/>
                <w:b/>
                <w:noProof/>
                <w:sz w:val="22"/>
              </w:rPr>
              <w:t>1.2</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Formulate the overarching risk question</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_Toc20238587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5</w:t>
            </w:r>
            <w:r w:rsidR="000174B7" w:rsidRPr="00BE68FA">
              <w:rPr>
                <w:rFonts w:ascii="Arial" w:hAnsi="Arial" w:cs="Arial"/>
                <w:b/>
                <w:noProof/>
                <w:webHidden/>
                <w:sz w:val="22"/>
              </w:rPr>
              <w:fldChar w:fldCharType="end"/>
            </w:r>
          </w:hyperlink>
        </w:p>
        <w:p w14:paraId="5D5E86A1"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88" w:history="1">
            <w:r w:rsidR="000174B7" w:rsidRPr="00BE68FA">
              <w:rPr>
                <w:rStyle w:val="Hyperlink"/>
                <w:rFonts w:ascii="Arial" w:hAnsi="Arial" w:cs="Arial"/>
                <w:b/>
                <w:noProof/>
                <w:sz w:val="22"/>
              </w:rPr>
              <w:t>1.3</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Identify the key risk elements</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_Toc20238588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6</w:t>
            </w:r>
            <w:r w:rsidR="000174B7" w:rsidRPr="00BE68FA">
              <w:rPr>
                <w:rFonts w:ascii="Arial" w:hAnsi="Arial" w:cs="Arial"/>
                <w:b/>
                <w:noProof/>
                <w:webHidden/>
                <w:sz w:val="22"/>
              </w:rPr>
              <w:fldChar w:fldCharType="end"/>
            </w:r>
          </w:hyperlink>
        </w:p>
        <w:p w14:paraId="0E5FA6E8"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89" w:history="1">
            <w:r w:rsidR="000174B7" w:rsidRPr="00BE68FA">
              <w:rPr>
                <w:rStyle w:val="Hyperlink"/>
                <w:rFonts w:ascii="Arial" w:hAnsi="Arial" w:cs="Arial"/>
                <w:b/>
                <w:noProof/>
                <w:sz w:val="22"/>
              </w:rPr>
              <w:t>1.4</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Develop focused risk questions to address each risk element</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_Toc20238589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7</w:t>
            </w:r>
            <w:r w:rsidR="000174B7" w:rsidRPr="00BE68FA">
              <w:rPr>
                <w:rFonts w:ascii="Arial" w:hAnsi="Arial" w:cs="Arial"/>
                <w:b/>
                <w:noProof/>
                <w:webHidden/>
                <w:sz w:val="22"/>
              </w:rPr>
              <w:fldChar w:fldCharType="end"/>
            </w:r>
          </w:hyperlink>
        </w:p>
        <w:p w14:paraId="0692D2A6"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90" w:history="1">
            <w:r w:rsidR="000174B7" w:rsidRPr="00BE68FA">
              <w:rPr>
                <w:rStyle w:val="Hyperlink"/>
                <w:rFonts w:ascii="Arial" w:hAnsi="Arial" w:cs="Arial"/>
                <w:b/>
                <w:noProof/>
                <w:sz w:val="22"/>
              </w:rPr>
              <w:t>1.5</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Identify risk indicators, data sources and evaluation method(s) for each focused risk question</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_Toc20238590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8</w:t>
            </w:r>
            <w:r w:rsidR="000174B7" w:rsidRPr="00BE68FA">
              <w:rPr>
                <w:rFonts w:ascii="Arial" w:hAnsi="Arial" w:cs="Arial"/>
                <w:b/>
                <w:noProof/>
                <w:webHidden/>
                <w:sz w:val="22"/>
              </w:rPr>
              <w:fldChar w:fldCharType="end"/>
            </w:r>
          </w:hyperlink>
        </w:p>
        <w:p w14:paraId="49A7DEE7" w14:textId="77777777" w:rsidR="000174B7" w:rsidRPr="00BE68FA" w:rsidRDefault="00D344EB">
          <w:pPr>
            <w:pStyle w:val="TOC2"/>
            <w:tabs>
              <w:tab w:val="left" w:pos="880"/>
              <w:tab w:val="right" w:leader="dot" w:pos="9016"/>
            </w:tabs>
            <w:rPr>
              <w:rFonts w:ascii="Arial" w:eastAsiaTheme="minorEastAsia" w:hAnsi="Arial" w:cs="Arial"/>
              <w:b/>
              <w:noProof/>
              <w:color w:val="auto"/>
              <w:sz w:val="22"/>
              <w:lang w:eastAsia="en-AU"/>
            </w:rPr>
          </w:pPr>
          <w:hyperlink w:anchor="_Toc20238591" w:history="1">
            <w:r w:rsidR="000174B7" w:rsidRPr="00BE68FA">
              <w:rPr>
                <w:rStyle w:val="Hyperlink"/>
                <w:rFonts w:ascii="Arial" w:hAnsi="Arial" w:cs="Arial"/>
                <w:b/>
                <w:noProof/>
                <w:sz w:val="22"/>
              </w:rPr>
              <w:t>1.6</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Risk characterisation (bringing it all together)</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_Toc20238591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12</w:t>
            </w:r>
            <w:r w:rsidR="000174B7" w:rsidRPr="00BE68FA">
              <w:rPr>
                <w:rFonts w:ascii="Arial" w:hAnsi="Arial" w:cs="Arial"/>
                <w:b/>
                <w:noProof/>
                <w:webHidden/>
                <w:sz w:val="22"/>
              </w:rPr>
              <w:fldChar w:fldCharType="end"/>
            </w:r>
          </w:hyperlink>
        </w:p>
        <w:p w14:paraId="481F3163" w14:textId="77777777" w:rsidR="000174B7" w:rsidRPr="00BE68FA" w:rsidRDefault="00D344EB">
          <w:pPr>
            <w:pStyle w:val="TOC3"/>
            <w:tabs>
              <w:tab w:val="left" w:pos="1320"/>
              <w:tab w:val="right" w:leader="dot" w:pos="9016"/>
            </w:tabs>
            <w:rPr>
              <w:rFonts w:ascii="Arial" w:eastAsiaTheme="minorEastAsia" w:hAnsi="Arial" w:cs="Arial"/>
              <w:b/>
              <w:noProof/>
              <w:color w:val="auto"/>
              <w:sz w:val="22"/>
              <w:lang w:eastAsia="en-AU"/>
            </w:rPr>
          </w:pPr>
          <w:hyperlink w:anchor="_Toc20238592" w:history="1">
            <w:r w:rsidR="000174B7" w:rsidRPr="00BE68FA">
              <w:rPr>
                <w:rStyle w:val="Hyperlink"/>
                <w:rFonts w:ascii="Arial" w:hAnsi="Arial" w:cs="Arial"/>
                <w:b/>
                <w:noProof/>
                <w:sz w:val="22"/>
              </w:rPr>
              <w:t>1.6.1</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Risk element scores</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_Toc20238592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13</w:t>
            </w:r>
            <w:r w:rsidR="000174B7" w:rsidRPr="00BE68FA">
              <w:rPr>
                <w:rFonts w:ascii="Arial" w:hAnsi="Arial" w:cs="Arial"/>
                <w:b/>
                <w:noProof/>
                <w:webHidden/>
                <w:sz w:val="22"/>
              </w:rPr>
              <w:fldChar w:fldCharType="end"/>
            </w:r>
          </w:hyperlink>
        </w:p>
        <w:p w14:paraId="6FB68B43" w14:textId="77777777" w:rsidR="000174B7" w:rsidRPr="00BE68FA" w:rsidRDefault="00D344EB">
          <w:pPr>
            <w:pStyle w:val="TOC3"/>
            <w:tabs>
              <w:tab w:val="left" w:pos="1320"/>
              <w:tab w:val="right" w:leader="dot" w:pos="9016"/>
            </w:tabs>
            <w:rPr>
              <w:rFonts w:ascii="Arial" w:eastAsiaTheme="minorEastAsia" w:hAnsi="Arial" w:cs="Arial"/>
              <w:b/>
              <w:noProof/>
              <w:color w:val="auto"/>
              <w:sz w:val="22"/>
              <w:lang w:eastAsia="en-AU"/>
            </w:rPr>
          </w:pPr>
          <w:hyperlink w:anchor="_Toc20238593" w:history="1">
            <w:r w:rsidR="000174B7" w:rsidRPr="00BE68FA">
              <w:rPr>
                <w:rStyle w:val="Hyperlink"/>
                <w:rFonts w:ascii="Arial" w:hAnsi="Arial" w:cs="Arial"/>
                <w:b/>
                <w:noProof/>
                <w:sz w:val="22"/>
              </w:rPr>
              <w:t>1.6.2</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Weighting factor</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_Toc20238593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21</w:t>
            </w:r>
            <w:r w:rsidR="000174B7" w:rsidRPr="00BE68FA">
              <w:rPr>
                <w:rFonts w:ascii="Arial" w:hAnsi="Arial" w:cs="Arial"/>
                <w:b/>
                <w:noProof/>
                <w:webHidden/>
                <w:sz w:val="22"/>
              </w:rPr>
              <w:fldChar w:fldCharType="end"/>
            </w:r>
          </w:hyperlink>
        </w:p>
        <w:p w14:paraId="4909838C" w14:textId="77777777" w:rsidR="000174B7" w:rsidRPr="00BE68FA" w:rsidRDefault="00D344EB">
          <w:pPr>
            <w:pStyle w:val="TOC3"/>
            <w:tabs>
              <w:tab w:val="left" w:pos="1320"/>
              <w:tab w:val="right" w:leader="dot" w:pos="9016"/>
            </w:tabs>
            <w:rPr>
              <w:rFonts w:ascii="Arial" w:eastAsiaTheme="minorEastAsia" w:hAnsi="Arial" w:cs="Arial"/>
              <w:b/>
              <w:noProof/>
              <w:color w:val="auto"/>
              <w:sz w:val="22"/>
              <w:lang w:eastAsia="en-AU"/>
            </w:rPr>
          </w:pPr>
          <w:hyperlink w:anchor="_Toc20238594" w:history="1">
            <w:r w:rsidR="000174B7" w:rsidRPr="00BE68FA">
              <w:rPr>
                <w:rStyle w:val="Hyperlink"/>
                <w:rFonts w:ascii="Arial" w:hAnsi="Arial" w:cs="Arial"/>
                <w:b/>
                <w:noProof/>
                <w:sz w:val="22"/>
              </w:rPr>
              <w:t>1.6.3</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Confidence coefficient score</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_Toc20238594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22</w:t>
            </w:r>
            <w:r w:rsidR="000174B7" w:rsidRPr="00BE68FA">
              <w:rPr>
                <w:rFonts w:ascii="Arial" w:hAnsi="Arial" w:cs="Arial"/>
                <w:b/>
                <w:noProof/>
                <w:webHidden/>
                <w:sz w:val="22"/>
              </w:rPr>
              <w:fldChar w:fldCharType="end"/>
            </w:r>
          </w:hyperlink>
        </w:p>
        <w:p w14:paraId="0D087598" w14:textId="77777777" w:rsidR="000174B7" w:rsidRPr="00BE68FA" w:rsidRDefault="00D344EB">
          <w:pPr>
            <w:pStyle w:val="TOC3"/>
            <w:tabs>
              <w:tab w:val="left" w:pos="1320"/>
              <w:tab w:val="right" w:leader="dot" w:pos="9016"/>
            </w:tabs>
            <w:rPr>
              <w:rFonts w:ascii="Arial" w:eastAsiaTheme="minorEastAsia" w:hAnsi="Arial" w:cs="Arial"/>
              <w:b/>
              <w:noProof/>
              <w:color w:val="auto"/>
              <w:sz w:val="22"/>
              <w:lang w:eastAsia="en-AU"/>
            </w:rPr>
          </w:pPr>
          <w:hyperlink w:anchor="_Toc20238595" w:history="1">
            <w:r w:rsidR="000174B7" w:rsidRPr="00BE68FA">
              <w:rPr>
                <w:rStyle w:val="Hyperlink"/>
                <w:rFonts w:ascii="Arial" w:hAnsi="Arial" w:cs="Arial"/>
                <w:b/>
                <w:noProof/>
                <w:sz w:val="22"/>
              </w:rPr>
              <w:t>1.6.4</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Risk characterisation estimate (RCE)</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_Toc20238595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25</w:t>
            </w:r>
            <w:r w:rsidR="000174B7" w:rsidRPr="00BE68FA">
              <w:rPr>
                <w:rFonts w:ascii="Arial" w:hAnsi="Arial" w:cs="Arial"/>
                <w:b/>
                <w:noProof/>
                <w:webHidden/>
                <w:sz w:val="22"/>
              </w:rPr>
              <w:fldChar w:fldCharType="end"/>
            </w:r>
          </w:hyperlink>
        </w:p>
        <w:p w14:paraId="1893F2A2" w14:textId="77777777" w:rsidR="000174B7" w:rsidRPr="00BE68FA" w:rsidRDefault="00D344EB">
          <w:pPr>
            <w:pStyle w:val="TOC1"/>
            <w:tabs>
              <w:tab w:val="left" w:pos="480"/>
              <w:tab w:val="right" w:leader="dot" w:pos="9016"/>
            </w:tabs>
            <w:rPr>
              <w:rFonts w:ascii="Arial" w:eastAsiaTheme="minorEastAsia" w:hAnsi="Arial" w:cs="Arial"/>
              <w:b/>
              <w:noProof/>
              <w:color w:val="auto"/>
              <w:sz w:val="22"/>
              <w:lang w:eastAsia="en-AU"/>
            </w:rPr>
          </w:pPr>
          <w:hyperlink w:anchor="_Toc20238596" w:history="1">
            <w:r w:rsidR="000174B7" w:rsidRPr="00BE68FA">
              <w:rPr>
                <w:rStyle w:val="Hyperlink"/>
                <w:rFonts w:ascii="Arial" w:hAnsi="Arial" w:cs="Arial"/>
                <w:b/>
                <w:noProof/>
                <w:sz w:val="22"/>
              </w:rPr>
              <w:t>2.</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Polio risk country classification, for the Australian risk assessment</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_Toc20238596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29</w:t>
            </w:r>
            <w:r w:rsidR="000174B7" w:rsidRPr="00BE68FA">
              <w:rPr>
                <w:rFonts w:ascii="Arial" w:hAnsi="Arial" w:cs="Arial"/>
                <w:b/>
                <w:noProof/>
                <w:webHidden/>
                <w:sz w:val="22"/>
              </w:rPr>
              <w:fldChar w:fldCharType="end"/>
            </w:r>
          </w:hyperlink>
        </w:p>
        <w:p w14:paraId="7ECFDCFB" w14:textId="77777777" w:rsidR="000174B7" w:rsidRPr="00BE68FA" w:rsidRDefault="00D344EB">
          <w:pPr>
            <w:pStyle w:val="TOC1"/>
            <w:tabs>
              <w:tab w:val="left" w:pos="480"/>
              <w:tab w:val="right" w:leader="dot" w:pos="9016"/>
            </w:tabs>
            <w:rPr>
              <w:rFonts w:ascii="Arial" w:eastAsiaTheme="minorEastAsia" w:hAnsi="Arial" w:cs="Arial"/>
              <w:b/>
              <w:noProof/>
              <w:color w:val="auto"/>
              <w:sz w:val="22"/>
              <w:lang w:eastAsia="en-AU"/>
            </w:rPr>
          </w:pPr>
          <w:hyperlink w:anchor="_Toc20238597" w:history="1">
            <w:r w:rsidR="000174B7" w:rsidRPr="00BE68FA">
              <w:rPr>
                <w:rStyle w:val="Hyperlink"/>
                <w:rFonts w:ascii="Arial" w:hAnsi="Arial" w:cs="Arial"/>
                <w:b/>
                <w:noProof/>
                <w:sz w:val="22"/>
              </w:rPr>
              <w:t>3.</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Methodology assumptions and limitations</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_Toc20238597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29</w:t>
            </w:r>
            <w:r w:rsidR="000174B7" w:rsidRPr="00BE68FA">
              <w:rPr>
                <w:rFonts w:ascii="Arial" w:hAnsi="Arial" w:cs="Arial"/>
                <w:b/>
                <w:noProof/>
                <w:webHidden/>
                <w:sz w:val="22"/>
              </w:rPr>
              <w:fldChar w:fldCharType="end"/>
            </w:r>
          </w:hyperlink>
        </w:p>
        <w:p w14:paraId="075D88DD" w14:textId="77777777" w:rsidR="000174B7" w:rsidRPr="00BE68FA" w:rsidRDefault="00D344EB">
          <w:pPr>
            <w:pStyle w:val="TOC1"/>
            <w:tabs>
              <w:tab w:val="left" w:pos="480"/>
              <w:tab w:val="right" w:leader="dot" w:pos="9016"/>
            </w:tabs>
            <w:rPr>
              <w:rFonts w:ascii="Arial" w:eastAsiaTheme="minorEastAsia" w:hAnsi="Arial" w:cs="Arial"/>
              <w:b/>
              <w:noProof/>
              <w:color w:val="auto"/>
              <w:sz w:val="22"/>
              <w:lang w:eastAsia="en-AU"/>
            </w:rPr>
          </w:pPr>
          <w:hyperlink w:anchor="_Toc20238598" w:history="1">
            <w:r w:rsidR="000174B7" w:rsidRPr="00BE68FA">
              <w:rPr>
                <w:rStyle w:val="Hyperlink"/>
                <w:rFonts w:ascii="Arial" w:hAnsi="Arial" w:cs="Arial"/>
                <w:b/>
                <w:noProof/>
                <w:sz w:val="22"/>
              </w:rPr>
              <w:t>4.</w:t>
            </w:r>
            <w:r w:rsidR="000174B7" w:rsidRPr="00BE68FA">
              <w:rPr>
                <w:rFonts w:ascii="Arial" w:eastAsiaTheme="minorEastAsia" w:hAnsi="Arial" w:cs="Arial"/>
                <w:b/>
                <w:noProof/>
                <w:color w:val="auto"/>
                <w:sz w:val="22"/>
                <w:lang w:eastAsia="en-AU"/>
              </w:rPr>
              <w:tab/>
            </w:r>
            <w:r w:rsidR="000174B7" w:rsidRPr="00BE68FA">
              <w:rPr>
                <w:rStyle w:val="Hyperlink"/>
                <w:rFonts w:ascii="Arial" w:hAnsi="Arial" w:cs="Arial"/>
                <w:b/>
                <w:noProof/>
                <w:sz w:val="22"/>
              </w:rPr>
              <w:t>References</w:t>
            </w:r>
            <w:r w:rsidR="000174B7" w:rsidRPr="00BE68FA">
              <w:rPr>
                <w:rFonts w:ascii="Arial" w:hAnsi="Arial" w:cs="Arial"/>
                <w:b/>
                <w:noProof/>
                <w:webHidden/>
                <w:sz w:val="22"/>
              </w:rPr>
              <w:tab/>
            </w:r>
            <w:r w:rsidR="000174B7" w:rsidRPr="00BE68FA">
              <w:rPr>
                <w:rFonts w:ascii="Arial" w:hAnsi="Arial" w:cs="Arial"/>
                <w:b/>
                <w:noProof/>
                <w:webHidden/>
                <w:sz w:val="22"/>
              </w:rPr>
              <w:fldChar w:fldCharType="begin"/>
            </w:r>
            <w:r w:rsidR="000174B7" w:rsidRPr="00BE68FA">
              <w:rPr>
                <w:rFonts w:ascii="Arial" w:hAnsi="Arial" w:cs="Arial"/>
                <w:b/>
                <w:noProof/>
                <w:webHidden/>
                <w:sz w:val="22"/>
              </w:rPr>
              <w:instrText xml:space="preserve"> PAGEREF _Toc20238598 \h </w:instrText>
            </w:r>
            <w:r w:rsidR="000174B7" w:rsidRPr="00BE68FA">
              <w:rPr>
                <w:rFonts w:ascii="Arial" w:hAnsi="Arial" w:cs="Arial"/>
                <w:b/>
                <w:noProof/>
                <w:webHidden/>
                <w:sz w:val="22"/>
              </w:rPr>
            </w:r>
            <w:r w:rsidR="000174B7" w:rsidRPr="00BE68FA">
              <w:rPr>
                <w:rFonts w:ascii="Arial" w:hAnsi="Arial" w:cs="Arial"/>
                <w:b/>
                <w:noProof/>
                <w:webHidden/>
                <w:sz w:val="22"/>
              </w:rPr>
              <w:fldChar w:fldCharType="separate"/>
            </w:r>
            <w:r w:rsidR="004D0499">
              <w:rPr>
                <w:rFonts w:ascii="Arial" w:hAnsi="Arial" w:cs="Arial"/>
                <w:b/>
                <w:noProof/>
                <w:webHidden/>
                <w:sz w:val="22"/>
              </w:rPr>
              <w:t>31</w:t>
            </w:r>
            <w:r w:rsidR="000174B7" w:rsidRPr="00BE68FA">
              <w:rPr>
                <w:rFonts w:ascii="Arial" w:hAnsi="Arial" w:cs="Arial"/>
                <w:b/>
                <w:noProof/>
                <w:webHidden/>
                <w:sz w:val="22"/>
              </w:rPr>
              <w:fldChar w:fldCharType="end"/>
            </w:r>
          </w:hyperlink>
        </w:p>
        <w:p w14:paraId="2A584D8B" w14:textId="77777777" w:rsidR="00806CBF" w:rsidRDefault="00806CBF">
          <w:r w:rsidRPr="00BE68FA">
            <w:rPr>
              <w:rFonts w:ascii="Arial" w:hAnsi="Arial" w:cs="Arial"/>
              <w:b/>
              <w:bCs/>
              <w:noProof/>
              <w:sz w:val="22"/>
            </w:rPr>
            <w:fldChar w:fldCharType="end"/>
          </w:r>
        </w:p>
      </w:sdtContent>
    </w:sdt>
    <w:p w14:paraId="18A39D5F" w14:textId="77777777" w:rsidR="00806CBF" w:rsidRPr="00806CBF" w:rsidRDefault="00806CBF" w:rsidP="00806CBF"/>
    <w:p w14:paraId="57D9111D" w14:textId="77777777" w:rsidR="00806CBF" w:rsidRDefault="00806CBF" w:rsidP="00806CBF">
      <w:pPr>
        <w:rPr>
          <w:rFonts w:eastAsia="Times New Roman"/>
          <w:color w:val="auto"/>
        </w:rPr>
      </w:pPr>
      <w:r>
        <w:br w:type="page"/>
      </w:r>
    </w:p>
    <w:p w14:paraId="3D7269F1" w14:textId="77777777" w:rsidR="003929D4" w:rsidRPr="003A5506" w:rsidRDefault="003929D4" w:rsidP="00E84755">
      <w:pPr>
        <w:pStyle w:val="Heading1"/>
        <w:numPr>
          <w:ilvl w:val="0"/>
          <w:numId w:val="1"/>
        </w:numPr>
        <w:jc w:val="left"/>
        <w:rPr>
          <w:rFonts w:ascii="Arial" w:hAnsi="Arial" w:cs="Arial"/>
          <w:sz w:val="22"/>
          <w:szCs w:val="22"/>
        </w:rPr>
      </w:pPr>
      <w:bookmarkStart w:id="12" w:name="_Toc20238337"/>
      <w:bookmarkStart w:id="13" w:name="_Toc20238585"/>
      <w:r w:rsidRPr="003A5506">
        <w:rPr>
          <w:rFonts w:ascii="Arial" w:hAnsi="Arial" w:cs="Arial"/>
          <w:sz w:val="22"/>
          <w:szCs w:val="22"/>
        </w:rPr>
        <w:lastRenderedPageBreak/>
        <w:t xml:space="preserve">Risk </w:t>
      </w:r>
      <w:r w:rsidR="004E6DBE" w:rsidRPr="003A5506">
        <w:rPr>
          <w:rFonts w:ascii="Arial" w:hAnsi="Arial" w:cs="Arial"/>
          <w:sz w:val="22"/>
          <w:szCs w:val="22"/>
        </w:rPr>
        <w:t>a</w:t>
      </w:r>
      <w:r w:rsidRPr="003A5506">
        <w:rPr>
          <w:rFonts w:ascii="Arial" w:hAnsi="Arial" w:cs="Arial"/>
          <w:sz w:val="22"/>
          <w:szCs w:val="22"/>
        </w:rPr>
        <w:t xml:space="preserve">ssessment </w:t>
      </w:r>
      <w:r w:rsidR="004E6DBE" w:rsidRPr="003A5506">
        <w:rPr>
          <w:rFonts w:ascii="Arial" w:hAnsi="Arial" w:cs="Arial"/>
          <w:sz w:val="22"/>
          <w:szCs w:val="22"/>
        </w:rPr>
        <w:t>m</w:t>
      </w:r>
      <w:r w:rsidRPr="003A5506">
        <w:rPr>
          <w:rFonts w:ascii="Arial" w:hAnsi="Arial" w:cs="Arial"/>
          <w:sz w:val="22"/>
          <w:szCs w:val="22"/>
        </w:rPr>
        <w:t>ethodology</w:t>
      </w:r>
      <w:bookmarkEnd w:id="12"/>
      <w:bookmarkEnd w:id="13"/>
    </w:p>
    <w:p w14:paraId="6957054F" w14:textId="77777777" w:rsidR="0002227B" w:rsidRPr="003A5506" w:rsidRDefault="006327BC" w:rsidP="0002227B">
      <w:pPr>
        <w:pStyle w:val="Heading2"/>
        <w:pBdr>
          <w:top w:val="none" w:sz="0" w:space="0" w:color="auto"/>
          <w:bottom w:val="none" w:sz="0" w:space="0" w:color="auto"/>
        </w:pBdr>
        <w:rPr>
          <w:rFonts w:ascii="Arial" w:hAnsi="Arial" w:cs="Arial"/>
          <w:b/>
          <w:sz w:val="22"/>
          <w:szCs w:val="22"/>
        </w:rPr>
      </w:pPr>
      <w:bookmarkStart w:id="14" w:name="_Toc20238586"/>
      <w:r w:rsidRPr="003A5506">
        <w:rPr>
          <w:rFonts w:ascii="Arial" w:hAnsi="Arial" w:cs="Arial"/>
          <w:b/>
          <w:sz w:val="22"/>
          <w:szCs w:val="22"/>
        </w:rPr>
        <w:t>Overview</w:t>
      </w:r>
      <w:bookmarkEnd w:id="14"/>
      <w:r w:rsidR="00B3648E" w:rsidRPr="003A5506">
        <w:rPr>
          <w:rFonts w:ascii="Arial" w:hAnsi="Arial" w:cs="Arial"/>
          <w:b/>
          <w:sz w:val="22"/>
          <w:szCs w:val="22"/>
        </w:rPr>
        <w:t xml:space="preserve"> </w:t>
      </w:r>
    </w:p>
    <w:p w14:paraId="4A73A1D5" w14:textId="77777777" w:rsidR="00AE2A57" w:rsidRPr="00FE2366" w:rsidRDefault="0002227B" w:rsidP="00FE2366">
      <w:pPr>
        <w:spacing w:line="259"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The</w:t>
      </w:r>
      <w:r w:rsidR="003929D4" w:rsidRPr="00FE2366">
        <w:rPr>
          <w:rFonts w:ascii="Times New Roman" w:eastAsiaTheme="minorHAnsi" w:hAnsi="Times New Roman"/>
          <w:color w:val="auto"/>
          <w:sz w:val="22"/>
        </w:rPr>
        <w:t xml:space="preserve"> </w:t>
      </w:r>
      <w:r w:rsidR="004E6DBE" w:rsidRPr="00FE2366">
        <w:rPr>
          <w:rFonts w:ascii="Times New Roman" w:eastAsiaTheme="minorHAnsi" w:hAnsi="Times New Roman"/>
          <w:color w:val="auto"/>
          <w:sz w:val="22"/>
        </w:rPr>
        <w:t xml:space="preserve">risk assessment </w:t>
      </w:r>
      <w:r w:rsidR="003929D4" w:rsidRPr="00FE2366">
        <w:rPr>
          <w:rFonts w:ascii="Times New Roman" w:eastAsiaTheme="minorHAnsi" w:hAnsi="Times New Roman"/>
          <w:color w:val="auto"/>
          <w:sz w:val="22"/>
        </w:rPr>
        <w:t>employs a structured, transparent and rep</w:t>
      </w:r>
      <w:r w:rsidR="00E55FA1" w:rsidRPr="00FE2366">
        <w:rPr>
          <w:rFonts w:ascii="Times New Roman" w:eastAsiaTheme="minorHAnsi" w:hAnsi="Times New Roman"/>
          <w:color w:val="auto"/>
          <w:sz w:val="22"/>
        </w:rPr>
        <w:t>rod</w:t>
      </w:r>
      <w:r w:rsidR="00BE7C1C">
        <w:rPr>
          <w:rFonts w:ascii="Times New Roman" w:eastAsiaTheme="minorHAnsi" w:hAnsi="Times New Roman"/>
          <w:color w:val="auto"/>
          <w:sz w:val="22"/>
        </w:rPr>
        <w:t xml:space="preserve">ucible mixed-methods approach </w:t>
      </w:r>
      <w:r w:rsidR="003929D4" w:rsidRPr="00FE2366">
        <w:rPr>
          <w:rFonts w:ascii="Times New Roman" w:eastAsiaTheme="minorHAnsi" w:hAnsi="Times New Roman"/>
          <w:color w:val="auto"/>
          <w:sz w:val="22"/>
        </w:rPr>
        <w:t xml:space="preserve">to the systematic evaluation and documentation of the various components of likelihood and impact that influence poliovirus reintroduction and outbreak risk in Australia </w:t>
      </w:r>
      <w:r w:rsidR="004E6DBE" w:rsidRPr="00FE2366">
        <w:rPr>
          <w:rFonts w:ascii="Times New Roman" w:eastAsiaTheme="minorHAnsi" w:hAnsi="Times New Roman"/>
          <w:color w:val="auto"/>
          <w:sz w:val="22"/>
        </w:rPr>
        <w:t>(</w:t>
      </w:r>
      <w:r w:rsidR="003929D4" w:rsidRPr="00FE2366">
        <w:rPr>
          <w:rFonts w:ascii="Times New Roman" w:eastAsiaTheme="minorHAnsi" w:hAnsi="Times New Roman"/>
          <w:color w:val="auto"/>
          <w:sz w:val="22"/>
        </w:rPr>
        <w:t>for a specified timeframe</w:t>
      </w:r>
      <w:r w:rsidR="004E6DBE" w:rsidRPr="00FE2366">
        <w:rPr>
          <w:rFonts w:ascii="Times New Roman" w:eastAsiaTheme="minorHAnsi" w:hAnsi="Times New Roman"/>
          <w:color w:val="auto"/>
          <w:sz w:val="22"/>
        </w:rPr>
        <w:t xml:space="preserve">). The key output is a semi-quantitative risk characterisation estimate (RCE), which is plotted on a risk </w:t>
      </w:r>
      <w:r w:rsidR="00AE2A57" w:rsidRPr="00FE2366">
        <w:rPr>
          <w:rFonts w:ascii="Times New Roman" w:eastAsiaTheme="minorHAnsi" w:hAnsi="Times New Roman"/>
          <w:color w:val="auto"/>
          <w:sz w:val="22"/>
        </w:rPr>
        <w:t>matrix to:</w:t>
      </w:r>
    </w:p>
    <w:p w14:paraId="51144511" w14:textId="77777777" w:rsidR="00AE2A57" w:rsidRPr="00FE2366" w:rsidRDefault="00F20453" w:rsidP="00FE2366">
      <w:pPr>
        <w:pStyle w:val="ListParagraph"/>
        <w:numPr>
          <w:ilvl w:val="0"/>
          <w:numId w:val="3"/>
        </w:numPr>
        <w:spacing w:line="259"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G</w:t>
      </w:r>
      <w:r w:rsidR="004E6DBE" w:rsidRPr="00FE2366">
        <w:rPr>
          <w:rFonts w:ascii="Times New Roman" w:eastAsiaTheme="minorHAnsi" w:hAnsi="Times New Roman"/>
          <w:color w:val="auto"/>
          <w:sz w:val="22"/>
        </w:rPr>
        <w:t xml:space="preserve">raphically depict the results of the </w:t>
      </w:r>
      <w:r w:rsidR="00D953E3" w:rsidRPr="00FE2366">
        <w:rPr>
          <w:rFonts w:ascii="Times New Roman" w:eastAsiaTheme="minorHAnsi" w:hAnsi="Times New Roman"/>
          <w:color w:val="auto"/>
          <w:sz w:val="22"/>
        </w:rPr>
        <w:t xml:space="preserve">risk </w:t>
      </w:r>
      <w:r w:rsidR="004E6DBE" w:rsidRPr="00FE2366">
        <w:rPr>
          <w:rFonts w:ascii="Times New Roman" w:eastAsiaTheme="minorHAnsi" w:hAnsi="Times New Roman"/>
          <w:color w:val="auto"/>
          <w:sz w:val="22"/>
        </w:rPr>
        <w:t>assessment</w:t>
      </w:r>
      <w:r w:rsidR="00AE2A57" w:rsidRPr="00FE2366">
        <w:rPr>
          <w:rFonts w:ascii="Times New Roman" w:eastAsiaTheme="minorHAnsi" w:hAnsi="Times New Roman"/>
          <w:color w:val="auto"/>
          <w:sz w:val="22"/>
        </w:rPr>
        <w:t xml:space="preserve">; and </w:t>
      </w:r>
    </w:p>
    <w:p w14:paraId="11AA6B1B" w14:textId="77777777" w:rsidR="00AE2A57" w:rsidRPr="00FE2366" w:rsidRDefault="00F20453" w:rsidP="00FE2366">
      <w:pPr>
        <w:pStyle w:val="ListParagraph"/>
        <w:numPr>
          <w:ilvl w:val="0"/>
          <w:numId w:val="3"/>
        </w:numPr>
        <w:spacing w:line="259"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A</w:t>
      </w:r>
      <w:r w:rsidR="00AE2A57" w:rsidRPr="00FE2366">
        <w:rPr>
          <w:rFonts w:ascii="Times New Roman" w:eastAsiaTheme="minorHAnsi" w:hAnsi="Times New Roman"/>
          <w:color w:val="auto"/>
          <w:sz w:val="22"/>
        </w:rPr>
        <w:t>llow monitoring and visualisation of longer-term temporal trends in national polio reintroduction and outbreak risk, following i</w:t>
      </w:r>
      <w:r w:rsidR="00D953E3" w:rsidRPr="00FE2366">
        <w:rPr>
          <w:rFonts w:ascii="Times New Roman" w:eastAsiaTheme="minorHAnsi" w:hAnsi="Times New Roman"/>
          <w:color w:val="auto"/>
          <w:sz w:val="22"/>
        </w:rPr>
        <w:t xml:space="preserve">ntermittent </w:t>
      </w:r>
      <w:r w:rsidR="00B922CF" w:rsidRPr="00FE2366">
        <w:rPr>
          <w:rFonts w:ascii="Times New Roman" w:eastAsiaTheme="minorHAnsi" w:hAnsi="Times New Roman"/>
          <w:color w:val="auto"/>
          <w:sz w:val="22"/>
        </w:rPr>
        <w:t xml:space="preserve">repeated assessment </w:t>
      </w:r>
      <w:r w:rsidR="006327BC" w:rsidRPr="00FE2366">
        <w:rPr>
          <w:rFonts w:ascii="Times New Roman" w:eastAsiaTheme="minorHAnsi" w:hAnsi="Times New Roman"/>
          <w:color w:val="auto"/>
          <w:sz w:val="22"/>
        </w:rPr>
        <w:t xml:space="preserve">(e.g. </w:t>
      </w:r>
      <w:r w:rsidR="00B922CF" w:rsidRPr="00FE2366">
        <w:rPr>
          <w:rFonts w:ascii="Times New Roman" w:eastAsiaTheme="minorHAnsi" w:hAnsi="Times New Roman"/>
          <w:color w:val="auto"/>
          <w:sz w:val="22"/>
        </w:rPr>
        <w:t>at annual or five year intervals)</w:t>
      </w:r>
      <w:r w:rsidR="00D953E3" w:rsidRPr="00FE2366">
        <w:rPr>
          <w:rFonts w:ascii="Times New Roman" w:eastAsiaTheme="minorHAnsi" w:hAnsi="Times New Roman"/>
          <w:color w:val="auto"/>
          <w:sz w:val="22"/>
        </w:rPr>
        <w:t>.</w:t>
      </w:r>
    </w:p>
    <w:p w14:paraId="51DB9AB0" w14:textId="77777777" w:rsidR="005D7CE4" w:rsidRDefault="00AE2A57" w:rsidP="00FE2366">
      <w:pPr>
        <w:spacing w:line="259"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The RCE also allows qualitati</w:t>
      </w:r>
      <w:r w:rsidR="008B5C48" w:rsidRPr="00FE2366">
        <w:rPr>
          <w:rFonts w:ascii="Times New Roman" w:eastAsiaTheme="minorHAnsi" w:hAnsi="Times New Roman"/>
          <w:color w:val="auto"/>
          <w:sz w:val="22"/>
        </w:rPr>
        <w:t xml:space="preserve">ve risk characterisation, employing </w:t>
      </w:r>
      <w:r w:rsidRPr="00FE2366">
        <w:rPr>
          <w:rFonts w:ascii="Times New Roman" w:eastAsiaTheme="minorHAnsi" w:hAnsi="Times New Roman"/>
          <w:color w:val="auto"/>
          <w:sz w:val="22"/>
        </w:rPr>
        <w:t xml:space="preserve">a risk matrix with distinct cells corresponding to qualitative descriptors to </w:t>
      </w:r>
      <w:r w:rsidR="0097409D" w:rsidRPr="00FE2366">
        <w:rPr>
          <w:rFonts w:ascii="Times New Roman" w:eastAsiaTheme="minorHAnsi" w:hAnsi="Times New Roman"/>
          <w:color w:val="auto"/>
          <w:sz w:val="22"/>
        </w:rPr>
        <w:t>comprehensively define the level</w:t>
      </w:r>
      <w:r w:rsidRPr="00FE2366">
        <w:rPr>
          <w:rFonts w:ascii="Times New Roman" w:eastAsiaTheme="minorHAnsi" w:hAnsi="Times New Roman"/>
          <w:color w:val="auto"/>
          <w:sz w:val="22"/>
        </w:rPr>
        <w:t xml:space="preserve"> of polio reintroduction and outbreak risk (ranging from very low – very high).</w:t>
      </w:r>
      <w:r w:rsidR="003D08C5" w:rsidRPr="00FE2366">
        <w:rPr>
          <w:rFonts w:ascii="Times New Roman" w:eastAsiaTheme="minorHAnsi" w:hAnsi="Times New Roman"/>
          <w:color w:val="auto"/>
          <w:sz w:val="22"/>
        </w:rPr>
        <w:t xml:space="preserve"> </w:t>
      </w:r>
      <w:r w:rsidR="004E6DBE" w:rsidRPr="00FE2366">
        <w:rPr>
          <w:rFonts w:ascii="Times New Roman" w:eastAsiaTheme="minorHAnsi" w:hAnsi="Times New Roman"/>
          <w:color w:val="auto"/>
          <w:sz w:val="22"/>
        </w:rPr>
        <w:t xml:space="preserve">The </w:t>
      </w:r>
      <w:r w:rsidR="00EC3E25" w:rsidRPr="00FE2366">
        <w:rPr>
          <w:rFonts w:ascii="Times New Roman" w:eastAsiaTheme="minorHAnsi" w:hAnsi="Times New Roman"/>
          <w:color w:val="auto"/>
          <w:sz w:val="22"/>
        </w:rPr>
        <w:t xml:space="preserve">approach </w:t>
      </w:r>
      <w:r w:rsidR="004E6DBE" w:rsidRPr="00FE2366">
        <w:rPr>
          <w:rFonts w:ascii="Times New Roman" w:eastAsiaTheme="minorHAnsi" w:hAnsi="Times New Roman"/>
          <w:color w:val="auto"/>
          <w:sz w:val="22"/>
        </w:rPr>
        <w:t xml:space="preserve">has been </w:t>
      </w:r>
      <w:r w:rsidR="00D953E3" w:rsidRPr="00FE2366">
        <w:rPr>
          <w:rFonts w:ascii="Times New Roman" w:eastAsiaTheme="minorHAnsi" w:hAnsi="Times New Roman"/>
          <w:color w:val="auto"/>
          <w:sz w:val="22"/>
        </w:rPr>
        <w:t xml:space="preserve">adapted </w:t>
      </w:r>
      <w:r w:rsidR="00EC3E25" w:rsidRPr="00FE2366">
        <w:rPr>
          <w:rFonts w:ascii="Times New Roman" w:eastAsiaTheme="minorHAnsi" w:hAnsi="Times New Roman"/>
          <w:color w:val="auto"/>
          <w:sz w:val="22"/>
        </w:rPr>
        <w:t xml:space="preserve">and expanded from a </w:t>
      </w:r>
      <w:r w:rsidR="00D953E3" w:rsidRPr="00FE2366">
        <w:rPr>
          <w:rFonts w:ascii="Times New Roman" w:eastAsiaTheme="minorHAnsi" w:hAnsi="Times New Roman"/>
          <w:color w:val="auto"/>
          <w:sz w:val="22"/>
        </w:rPr>
        <w:t xml:space="preserve">methodology </w:t>
      </w:r>
      <w:r w:rsidR="00461E12" w:rsidRPr="00FE2366">
        <w:rPr>
          <w:rFonts w:ascii="Times New Roman" w:eastAsiaTheme="minorHAnsi" w:hAnsi="Times New Roman"/>
          <w:color w:val="auto"/>
          <w:sz w:val="22"/>
        </w:rPr>
        <w:t xml:space="preserve">published by WHO </w:t>
      </w:r>
      <w:r w:rsidR="00D953E3" w:rsidRPr="00FE2366">
        <w:rPr>
          <w:rFonts w:ascii="Times New Roman" w:eastAsiaTheme="minorHAnsi" w:hAnsi="Times New Roman"/>
          <w:color w:val="auto"/>
          <w:sz w:val="22"/>
        </w:rPr>
        <w:t>for polio risk assessment at regional level</w:t>
      </w:r>
      <w:r w:rsidR="00461E12" w:rsidRPr="00FE2366">
        <w:rPr>
          <w:rFonts w:ascii="Times New Roman" w:eastAsiaTheme="minorHAnsi" w:hAnsi="Times New Roman"/>
          <w:color w:val="auto"/>
          <w:sz w:val="22"/>
        </w:rPr>
        <w:t xml:space="preserve"> </w:t>
      </w:r>
      <w:r w:rsidR="00461E12" w:rsidRPr="00FE2366">
        <w:rPr>
          <w:rFonts w:ascii="Times New Roman" w:eastAsiaTheme="minorHAnsi" w:hAnsi="Times New Roman"/>
          <w:color w:val="auto"/>
          <w:sz w:val="22"/>
        </w:rPr>
        <w:fldChar w:fldCharType="begin"/>
      </w:r>
      <w:r w:rsidR="003A28DB" w:rsidRPr="00FE2366">
        <w:rPr>
          <w:rFonts w:ascii="Times New Roman" w:eastAsiaTheme="minorHAnsi" w:hAnsi="Times New Roman"/>
          <w:color w:val="auto"/>
          <w:sz w:val="22"/>
        </w:rPr>
        <w:instrText xml:space="preserve"> ADDIN EN.CITE &lt;EndNote&gt;&lt;Cite&gt;&lt;Author&gt;Lowther&lt;/Author&gt;&lt;Year&gt;2013&lt;/Year&gt;&lt;RecNum&gt;26&lt;/RecNum&gt;&lt;DisplayText&gt;(1)&lt;/DisplayText&gt;&lt;record&gt;&lt;rec-number&gt;26&lt;/rec-number&gt;&lt;foreign-keys&gt;&lt;key app="EN" db-id="e2sp5w29x95xtpe2velxwv5qwpzpr9a2edfp" timestamp="1524204699"&gt;26&lt;/key&gt;&lt;/foreign-keys&gt;&lt;ref-type name="Journal Article"&gt;17&lt;/ref-type&gt;&lt;contributors&gt;&lt;authors&gt;&lt;author&gt;Lowther, Sara A, Roesel, Sigrun, O&amp;apos;connor, Patrick, Landaverde, Mauricio, Oblapenko, George, Deshevoi, Sergei, Ajay, Goel, Buff, Ann, Safwat, Hala, Salla, Mbaye,&lt;/author&gt;&lt;/authors&gt;&lt;/contributors&gt;&lt;titles&gt;&lt;title&gt;World Health Organization regional assessments of the risks of poliovirus outbreaks&lt;/title&gt;&lt;secondary-title&gt;Risk Analysis&lt;/secondary-title&gt;&lt;/titles&gt;&lt;periodical&gt;&lt;full-title&gt;Risk Analysis&lt;/full-title&gt;&lt;/periodical&gt;&lt;pages&gt;664-679&lt;/pages&gt;&lt;volume&gt;33&lt;/volume&gt;&lt;number&gt;4&lt;/number&gt;&lt;dates&gt;&lt;year&gt;2013&lt;/year&gt;&lt;/dates&gt;&lt;isbn&gt;1539-6924&lt;/isbn&gt;&lt;urls&gt;&lt;/urls&gt;&lt;/record&gt;&lt;/Cite&gt;&lt;/EndNote&gt;</w:instrText>
      </w:r>
      <w:r w:rsidR="00461E12" w:rsidRPr="00FE2366">
        <w:rPr>
          <w:rFonts w:ascii="Times New Roman" w:eastAsiaTheme="minorHAnsi" w:hAnsi="Times New Roman"/>
          <w:color w:val="auto"/>
          <w:sz w:val="22"/>
        </w:rPr>
        <w:fldChar w:fldCharType="separate"/>
      </w:r>
      <w:r w:rsidR="00461E12" w:rsidRPr="00FE2366">
        <w:rPr>
          <w:rFonts w:ascii="Times New Roman" w:eastAsiaTheme="minorHAnsi" w:hAnsi="Times New Roman"/>
          <w:color w:val="auto"/>
          <w:sz w:val="22"/>
        </w:rPr>
        <w:t>(1)</w:t>
      </w:r>
      <w:r w:rsidR="00461E12" w:rsidRPr="00FE2366">
        <w:rPr>
          <w:rFonts w:ascii="Times New Roman" w:eastAsiaTheme="minorHAnsi" w:hAnsi="Times New Roman"/>
          <w:color w:val="auto"/>
          <w:sz w:val="22"/>
        </w:rPr>
        <w:fldChar w:fldCharType="end"/>
      </w:r>
      <w:r w:rsidR="00D953E3" w:rsidRPr="00FE2366">
        <w:rPr>
          <w:rFonts w:ascii="Times New Roman" w:eastAsiaTheme="minorHAnsi" w:hAnsi="Times New Roman"/>
          <w:color w:val="auto"/>
          <w:sz w:val="22"/>
        </w:rPr>
        <w:t xml:space="preserve">, and informed by </w:t>
      </w:r>
      <w:r w:rsidR="004E6DBE" w:rsidRPr="00FE2366">
        <w:rPr>
          <w:rFonts w:ascii="Times New Roman" w:eastAsiaTheme="minorHAnsi" w:hAnsi="Times New Roman"/>
          <w:color w:val="auto"/>
          <w:sz w:val="22"/>
        </w:rPr>
        <w:t xml:space="preserve">WHO guidelines for rapid risk assessment of acute public health </w:t>
      </w:r>
      <w:r w:rsidR="00D953E3" w:rsidRPr="00FE2366">
        <w:rPr>
          <w:rFonts w:ascii="Times New Roman" w:eastAsiaTheme="minorHAnsi" w:hAnsi="Times New Roman"/>
          <w:color w:val="auto"/>
          <w:sz w:val="22"/>
        </w:rPr>
        <w:t>events</w:t>
      </w:r>
      <w:r w:rsidR="00461E12" w:rsidRPr="00FE2366">
        <w:rPr>
          <w:rFonts w:ascii="Times New Roman" w:eastAsiaTheme="minorHAnsi" w:hAnsi="Times New Roman"/>
          <w:color w:val="auto"/>
          <w:sz w:val="22"/>
        </w:rPr>
        <w:t xml:space="preserve"> </w:t>
      </w:r>
      <w:r w:rsidR="00461E12" w:rsidRPr="00FE2366">
        <w:rPr>
          <w:rFonts w:ascii="Times New Roman" w:eastAsiaTheme="minorHAnsi" w:hAnsi="Times New Roman"/>
          <w:color w:val="auto"/>
          <w:sz w:val="22"/>
        </w:rPr>
        <w:fldChar w:fldCharType="begin"/>
      </w:r>
      <w:r w:rsidR="00461E12" w:rsidRPr="00FE2366">
        <w:rPr>
          <w:rFonts w:ascii="Times New Roman" w:eastAsiaTheme="minorHAnsi" w:hAnsi="Times New Roman"/>
          <w:color w:val="auto"/>
          <w:sz w:val="22"/>
        </w:rPr>
        <w:instrText xml:space="preserve"> ADDIN EN.CITE &lt;EndNote&gt;&lt;Cite&gt;&lt;Author&gt;World Health Organization&lt;/Author&gt;&lt;Year&gt;2012&lt;/Year&gt;&lt;RecNum&gt;66&lt;/RecNum&gt;&lt;DisplayText&gt;(2)&lt;/DisplayText&gt;&lt;record&gt;&lt;rec-number&gt;66&lt;/rec-number&gt;&lt;foreign-keys&gt;&lt;key app="EN" db-id="e2sp5w29x95xtpe2velxwv5qwpzpr9a2edfp" timestamp="1529976252"&gt;66&lt;/key&gt;&lt;/foreign-keys&gt;&lt;ref-type name="Web Page"&gt;12&lt;/ref-type&gt;&lt;contributors&gt;&lt;authors&gt;&lt;author&gt;World Health Organization,&lt;/author&gt;&lt;/authors&gt;&lt;/contributors&gt;&lt;titles&gt;&lt;title&gt;Rapid Risk Assessment of Acute Public Health Events&lt;/title&gt;&lt;/titles&gt;&lt;number&gt;26 June 2018 &lt;/number&gt;&lt;dates&gt;&lt;year&gt;2012&lt;/year&gt;&lt;/dates&gt;&lt;pub-location&gt;Geneva&lt;/pub-location&gt;&lt;urls&gt;&lt;related-urls&gt;&lt;url&gt;&lt;style face="underline" font="default" size="100%"&gt;http://www.who.int/csr/resources/publications/HSE_GAR_ARO_2012_1/en/&lt;/style&gt;&lt;/url&gt;&lt;/related-urls&gt;&lt;/urls&gt;&lt;/record&gt;&lt;/Cite&gt;&lt;/EndNote&gt;</w:instrText>
      </w:r>
      <w:r w:rsidR="00461E12" w:rsidRPr="00FE2366">
        <w:rPr>
          <w:rFonts w:ascii="Times New Roman" w:eastAsiaTheme="minorHAnsi" w:hAnsi="Times New Roman"/>
          <w:color w:val="auto"/>
          <w:sz w:val="22"/>
        </w:rPr>
        <w:fldChar w:fldCharType="separate"/>
      </w:r>
      <w:r w:rsidR="00461E12" w:rsidRPr="00FE2366">
        <w:rPr>
          <w:rFonts w:ascii="Times New Roman" w:eastAsiaTheme="minorHAnsi" w:hAnsi="Times New Roman"/>
          <w:color w:val="auto"/>
          <w:sz w:val="22"/>
        </w:rPr>
        <w:t>(2)</w:t>
      </w:r>
      <w:r w:rsidR="00461E12" w:rsidRPr="00FE2366">
        <w:rPr>
          <w:rFonts w:ascii="Times New Roman" w:eastAsiaTheme="minorHAnsi" w:hAnsi="Times New Roman"/>
          <w:color w:val="auto"/>
          <w:sz w:val="22"/>
        </w:rPr>
        <w:fldChar w:fldCharType="end"/>
      </w:r>
      <w:r w:rsidR="00D953E3" w:rsidRPr="00FE2366">
        <w:rPr>
          <w:rFonts w:ascii="Times New Roman" w:eastAsiaTheme="minorHAnsi" w:hAnsi="Times New Roman"/>
          <w:color w:val="auto"/>
          <w:sz w:val="22"/>
        </w:rPr>
        <w:t xml:space="preserve">, using three key </w:t>
      </w:r>
      <w:r w:rsidR="003D08C5" w:rsidRPr="00FE2366">
        <w:rPr>
          <w:rFonts w:ascii="Times New Roman" w:eastAsiaTheme="minorHAnsi" w:hAnsi="Times New Roman"/>
          <w:color w:val="auto"/>
          <w:sz w:val="22"/>
        </w:rPr>
        <w:t>components</w:t>
      </w:r>
      <w:r w:rsidR="00D953E3" w:rsidRPr="00FE2366">
        <w:rPr>
          <w:rFonts w:ascii="Times New Roman" w:eastAsiaTheme="minorHAnsi" w:hAnsi="Times New Roman"/>
          <w:color w:val="auto"/>
          <w:sz w:val="22"/>
        </w:rPr>
        <w:t xml:space="preserve"> in risk </w:t>
      </w:r>
      <w:r w:rsidR="00B62396" w:rsidRPr="00FE2366">
        <w:rPr>
          <w:rFonts w:ascii="Times New Roman" w:eastAsiaTheme="minorHAnsi" w:hAnsi="Times New Roman"/>
          <w:color w:val="auto"/>
          <w:sz w:val="22"/>
        </w:rPr>
        <w:t>characterisation</w:t>
      </w:r>
      <w:r w:rsidR="00D953E3" w:rsidRPr="00FE2366">
        <w:rPr>
          <w:rFonts w:ascii="Times New Roman" w:eastAsiaTheme="minorHAnsi" w:hAnsi="Times New Roman"/>
          <w:color w:val="auto"/>
          <w:sz w:val="22"/>
        </w:rPr>
        <w:t>: hazard assessment, exposure assessment and context assessment</w:t>
      </w:r>
      <w:r w:rsidR="00F20453" w:rsidRPr="00FE2366">
        <w:rPr>
          <w:rFonts w:ascii="Times New Roman" w:eastAsiaTheme="minorHAnsi" w:hAnsi="Times New Roman"/>
          <w:color w:val="auto"/>
          <w:sz w:val="22"/>
        </w:rPr>
        <w:t>.</w:t>
      </w:r>
      <w:r w:rsidR="005D7CE4" w:rsidRPr="00FE2366">
        <w:rPr>
          <w:rFonts w:ascii="Times New Roman" w:eastAsiaTheme="minorHAnsi" w:hAnsi="Times New Roman"/>
          <w:color w:val="auto"/>
          <w:sz w:val="22"/>
        </w:rPr>
        <w:t xml:space="preserve"> </w:t>
      </w:r>
      <w:r w:rsidR="004B1363" w:rsidRPr="00FE2366">
        <w:rPr>
          <w:rFonts w:ascii="Times New Roman" w:eastAsiaTheme="minorHAnsi" w:hAnsi="Times New Roman"/>
          <w:color w:val="auto"/>
          <w:sz w:val="22"/>
        </w:rPr>
        <w:t xml:space="preserve">A summary </w:t>
      </w:r>
      <w:r w:rsidR="005D7CE4" w:rsidRPr="00FE2366">
        <w:rPr>
          <w:rFonts w:ascii="Times New Roman" w:eastAsiaTheme="minorHAnsi" w:hAnsi="Times New Roman"/>
          <w:color w:val="auto"/>
          <w:sz w:val="22"/>
        </w:rPr>
        <w:t xml:space="preserve">of the risk assessment </w:t>
      </w:r>
      <w:r w:rsidR="00DB2E8E" w:rsidRPr="00FE2366">
        <w:rPr>
          <w:rFonts w:ascii="Times New Roman" w:eastAsiaTheme="minorHAnsi" w:hAnsi="Times New Roman"/>
          <w:color w:val="auto"/>
          <w:sz w:val="22"/>
        </w:rPr>
        <w:t>cycle (</w:t>
      </w:r>
      <w:r w:rsidR="005D7CE4" w:rsidRPr="00FE2366">
        <w:rPr>
          <w:rFonts w:ascii="Times New Roman" w:eastAsiaTheme="minorHAnsi" w:hAnsi="Times New Roman"/>
          <w:color w:val="auto"/>
          <w:sz w:val="22"/>
        </w:rPr>
        <w:t>process and outputs</w:t>
      </w:r>
      <w:r w:rsidR="00DB2E8E" w:rsidRPr="00FE2366">
        <w:rPr>
          <w:rFonts w:ascii="Times New Roman" w:eastAsiaTheme="minorHAnsi" w:hAnsi="Times New Roman"/>
          <w:color w:val="auto"/>
          <w:sz w:val="22"/>
        </w:rPr>
        <w:t>)</w:t>
      </w:r>
      <w:r w:rsidR="008E29DB" w:rsidRPr="00FE2366">
        <w:rPr>
          <w:rFonts w:ascii="Times New Roman" w:eastAsiaTheme="minorHAnsi" w:hAnsi="Times New Roman"/>
          <w:color w:val="auto"/>
          <w:sz w:val="22"/>
        </w:rPr>
        <w:t xml:space="preserve"> is provided (</w:t>
      </w:r>
      <w:r w:rsidR="008E29DB" w:rsidRPr="00FE2366">
        <w:rPr>
          <w:rFonts w:ascii="Times New Roman" w:eastAsiaTheme="minorHAnsi" w:hAnsi="Times New Roman"/>
          <w:color w:val="auto"/>
          <w:sz w:val="22"/>
        </w:rPr>
        <w:fldChar w:fldCharType="begin"/>
      </w:r>
      <w:r w:rsidR="008E29DB" w:rsidRPr="00FE2366">
        <w:rPr>
          <w:rFonts w:ascii="Times New Roman" w:eastAsiaTheme="minorHAnsi" w:hAnsi="Times New Roman"/>
          <w:color w:val="auto"/>
          <w:sz w:val="22"/>
        </w:rPr>
        <w:instrText xml:space="preserve"> REF _Ref525031018 \h </w:instrText>
      </w:r>
      <w:r w:rsidR="00FE2366">
        <w:rPr>
          <w:rFonts w:ascii="Times New Roman" w:eastAsiaTheme="minorHAnsi" w:hAnsi="Times New Roman"/>
          <w:color w:val="auto"/>
          <w:sz w:val="22"/>
        </w:rPr>
        <w:instrText xml:space="preserve"> \* MERGEFORMAT </w:instrText>
      </w:r>
      <w:r w:rsidR="008E29DB" w:rsidRPr="00FE2366">
        <w:rPr>
          <w:rFonts w:ascii="Times New Roman" w:eastAsiaTheme="minorHAnsi" w:hAnsi="Times New Roman"/>
          <w:color w:val="auto"/>
          <w:sz w:val="22"/>
        </w:rPr>
      </w:r>
      <w:r w:rsidR="008E29DB" w:rsidRPr="00FE2366">
        <w:rPr>
          <w:rFonts w:ascii="Times New Roman" w:eastAsiaTheme="minorHAnsi" w:hAnsi="Times New Roman"/>
          <w:color w:val="auto"/>
          <w:sz w:val="22"/>
        </w:rPr>
        <w:fldChar w:fldCharType="separate"/>
      </w:r>
      <w:r w:rsidR="00AE3396" w:rsidRPr="00FE2366">
        <w:rPr>
          <w:rFonts w:ascii="Times New Roman" w:eastAsiaTheme="minorHAnsi" w:hAnsi="Times New Roman"/>
          <w:color w:val="auto"/>
          <w:sz w:val="22"/>
        </w:rPr>
        <w:t>Table 1</w:t>
      </w:r>
      <w:r w:rsidR="008E29DB" w:rsidRPr="00FE2366">
        <w:rPr>
          <w:rFonts w:ascii="Times New Roman" w:eastAsiaTheme="minorHAnsi" w:hAnsi="Times New Roman"/>
          <w:color w:val="auto"/>
          <w:sz w:val="22"/>
        </w:rPr>
        <w:fldChar w:fldCharType="end"/>
      </w:r>
      <w:r w:rsidR="005D7CE4" w:rsidRPr="00FE2366">
        <w:rPr>
          <w:rFonts w:ascii="Times New Roman" w:eastAsiaTheme="minorHAnsi" w:hAnsi="Times New Roman"/>
          <w:color w:val="auto"/>
          <w:sz w:val="22"/>
        </w:rPr>
        <w:t>).</w:t>
      </w:r>
    </w:p>
    <w:p w14:paraId="70CA2E65" w14:textId="77777777" w:rsidR="00FE2366" w:rsidRPr="00FE2366" w:rsidRDefault="00FE2366" w:rsidP="00FE2366">
      <w:pPr>
        <w:spacing w:line="240" w:lineRule="auto"/>
        <w:jc w:val="both"/>
        <w:rPr>
          <w:rFonts w:ascii="Times New Roman" w:eastAsiaTheme="minorHAnsi" w:hAnsi="Times New Roman"/>
          <w:color w:val="auto"/>
          <w:sz w:val="22"/>
        </w:rPr>
      </w:pPr>
    </w:p>
    <w:p w14:paraId="1762DE71" w14:textId="77777777" w:rsidR="005D7CE4" w:rsidRPr="00525787" w:rsidRDefault="008E29DB" w:rsidP="008E29DB">
      <w:pPr>
        <w:pStyle w:val="Caption"/>
        <w:rPr>
          <w:rFonts w:ascii="Times New Roman" w:hAnsi="Times New Roman"/>
          <w:color w:val="auto"/>
          <w:sz w:val="22"/>
          <w:szCs w:val="22"/>
          <w:lang w:eastAsia="en-AU"/>
        </w:rPr>
      </w:pPr>
      <w:bookmarkStart w:id="15" w:name="_Ref525031018"/>
      <w:r w:rsidRPr="00525787">
        <w:rPr>
          <w:rFonts w:ascii="Times New Roman" w:hAnsi="Times New Roman"/>
          <w:color w:val="auto"/>
          <w:sz w:val="22"/>
          <w:szCs w:val="22"/>
        </w:rPr>
        <w:t xml:space="preserve">Table </w:t>
      </w:r>
      <w:r w:rsidRPr="00525787">
        <w:rPr>
          <w:rFonts w:ascii="Times New Roman" w:hAnsi="Times New Roman"/>
          <w:color w:val="auto"/>
          <w:sz w:val="22"/>
          <w:szCs w:val="22"/>
        </w:rPr>
        <w:fldChar w:fldCharType="begin"/>
      </w:r>
      <w:r w:rsidRPr="00525787">
        <w:rPr>
          <w:rFonts w:ascii="Times New Roman" w:hAnsi="Times New Roman"/>
          <w:color w:val="auto"/>
          <w:sz w:val="22"/>
          <w:szCs w:val="22"/>
        </w:rPr>
        <w:instrText xml:space="preserve"> SEQ Table \* ARABIC </w:instrText>
      </w:r>
      <w:r w:rsidRPr="00525787">
        <w:rPr>
          <w:rFonts w:ascii="Times New Roman" w:hAnsi="Times New Roman"/>
          <w:color w:val="auto"/>
          <w:sz w:val="22"/>
          <w:szCs w:val="22"/>
        </w:rPr>
        <w:fldChar w:fldCharType="separate"/>
      </w:r>
      <w:r w:rsidR="00AE3396" w:rsidRPr="00525787">
        <w:rPr>
          <w:rFonts w:ascii="Times New Roman" w:hAnsi="Times New Roman"/>
          <w:noProof/>
          <w:color w:val="auto"/>
          <w:sz w:val="22"/>
          <w:szCs w:val="22"/>
        </w:rPr>
        <w:t>1</w:t>
      </w:r>
      <w:r w:rsidRPr="00525787">
        <w:rPr>
          <w:rFonts w:ascii="Times New Roman" w:hAnsi="Times New Roman"/>
          <w:color w:val="auto"/>
          <w:sz w:val="22"/>
          <w:szCs w:val="22"/>
        </w:rPr>
        <w:fldChar w:fldCharType="end"/>
      </w:r>
      <w:bookmarkEnd w:id="15"/>
      <w:r w:rsidR="005D7CE4" w:rsidRPr="00525787">
        <w:rPr>
          <w:rFonts w:ascii="Times New Roman" w:hAnsi="Times New Roman"/>
          <w:color w:val="auto"/>
          <w:sz w:val="22"/>
          <w:szCs w:val="22"/>
          <w:lang w:eastAsia="en-AU"/>
        </w:rPr>
        <w:t>:</w:t>
      </w:r>
      <w:r w:rsidR="004B1363" w:rsidRPr="00525787">
        <w:rPr>
          <w:rFonts w:ascii="Times New Roman" w:hAnsi="Times New Roman"/>
          <w:color w:val="auto"/>
          <w:sz w:val="22"/>
          <w:szCs w:val="22"/>
          <w:lang w:eastAsia="en-AU"/>
        </w:rPr>
        <w:t xml:space="preserve"> Summary of the </w:t>
      </w:r>
      <w:r w:rsidR="00317A0B" w:rsidRPr="00525787">
        <w:rPr>
          <w:rFonts w:ascii="Times New Roman" w:hAnsi="Times New Roman"/>
          <w:color w:val="auto"/>
          <w:sz w:val="22"/>
          <w:szCs w:val="22"/>
          <w:lang w:eastAsia="en-AU"/>
        </w:rPr>
        <w:t xml:space="preserve">10 </w:t>
      </w:r>
      <w:r w:rsidR="00ED77E0" w:rsidRPr="00525787">
        <w:rPr>
          <w:rFonts w:ascii="Times New Roman" w:hAnsi="Times New Roman"/>
          <w:color w:val="auto"/>
          <w:sz w:val="22"/>
          <w:szCs w:val="22"/>
          <w:lang w:eastAsia="en-AU"/>
        </w:rPr>
        <w:t xml:space="preserve">step </w:t>
      </w:r>
      <w:r w:rsidR="004B1363" w:rsidRPr="00525787">
        <w:rPr>
          <w:rFonts w:ascii="Times New Roman" w:hAnsi="Times New Roman"/>
          <w:color w:val="auto"/>
          <w:sz w:val="22"/>
          <w:szCs w:val="22"/>
          <w:lang w:eastAsia="en-AU"/>
        </w:rPr>
        <w:t>ris</w:t>
      </w:r>
      <w:r w:rsidRPr="00525787">
        <w:rPr>
          <w:rFonts w:ascii="Times New Roman" w:hAnsi="Times New Roman"/>
          <w:color w:val="auto"/>
          <w:sz w:val="22"/>
          <w:szCs w:val="22"/>
          <w:lang w:eastAsia="en-AU"/>
        </w:rPr>
        <w:t>k assessment cycle (process and outputs)</w:t>
      </w:r>
    </w:p>
    <w:tbl>
      <w:tblPr>
        <w:tblStyle w:val="TableGrid"/>
        <w:tblW w:w="0" w:type="auto"/>
        <w:tblLook w:val="04A0" w:firstRow="1" w:lastRow="0" w:firstColumn="1" w:lastColumn="0" w:noHBand="0" w:noVBand="1"/>
        <w:tblCaption w:val="Table 1: Summary of the 10 step risk assessment cycle (process and outputs)"/>
        <w:tblDescription w:val="Table shows a summary of the 10 step risk assessment cycle (process and outputs)"/>
      </w:tblPr>
      <w:tblGrid>
        <w:gridCol w:w="594"/>
        <w:gridCol w:w="2827"/>
        <w:gridCol w:w="5595"/>
      </w:tblGrid>
      <w:tr w:rsidR="00D630BC" w:rsidRPr="00FE2366" w14:paraId="72361629" w14:textId="77777777" w:rsidTr="006C30CC">
        <w:trPr>
          <w:tblHeader/>
        </w:trPr>
        <w:tc>
          <w:tcPr>
            <w:tcW w:w="0" w:type="auto"/>
            <w:shd w:val="clear" w:color="auto" w:fill="D9D9D9" w:themeFill="background1" w:themeFillShade="D9"/>
          </w:tcPr>
          <w:p w14:paraId="46FC515E"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Step</w:t>
            </w:r>
          </w:p>
        </w:tc>
        <w:tc>
          <w:tcPr>
            <w:tcW w:w="0" w:type="auto"/>
            <w:shd w:val="clear" w:color="auto" w:fill="D9D9D9" w:themeFill="background1" w:themeFillShade="D9"/>
          </w:tcPr>
          <w:p w14:paraId="58CA6574"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Process</w:t>
            </w:r>
          </w:p>
        </w:tc>
        <w:tc>
          <w:tcPr>
            <w:tcW w:w="0" w:type="auto"/>
            <w:shd w:val="clear" w:color="auto" w:fill="D9D9D9" w:themeFill="background1" w:themeFillShade="D9"/>
          </w:tcPr>
          <w:p w14:paraId="67A2F8F7"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Output</w:t>
            </w:r>
          </w:p>
        </w:tc>
      </w:tr>
      <w:tr w:rsidR="00D630BC" w:rsidRPr="00FE2366" w14:paraId="3DF385AC" w14:textId="77777777" w:rsidTr="006C30CC">
        <w:tc>
          <w:tcPr>
            <w:tcW w:w="0" w:type="auto"/>
          </w:tcPr>
          <w:p w14:paraId="1FFD1B75"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1</w:t>
            </w:r>
          </w:p>
        </w:tc>
        <w:tc>
          <w:tcPr>
            <w:tcW w:w="0" w:type="auto"/>
          </w:tcPr>
          <w:p w14:paraId="4C131505"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Assemble the risk assessment team</w:t>
            </w:r>
          </w:p>
        </w:tc>
        <w:tc>
          <w:tcPr>
            <w:tcW w:w="0" w:type="auto"/>
          </w:tcPr>
          <w:p w14:paraId="131A3F87" w14:textId="77777777" w:rsidR="00866FED" w:rsidRDefault="00DB7D9A" w:rsidP="003A5506">
            <w:pPr>
              <w:pStyle w:val="ListParagraph"/>
              <w:numPr>
                <w:ilvl w:val="0"/>
                <w:numId w:val="24"/>
              </w:numPr>
              <w:spacing w:after="0" w:line="240" w:lineRule="auto"/>
              <w:rPr>
                <w:rFonts w:ascii="Times New Roman" w:hAnsi="Times New Roman"/>
                <w:sz w:val="20"/>
                <w:szCs w:val="20"/>
                <w:lang w:eastAsia="en-AU"/>
              </w:rPr>
            </w:pPr>
            <w:r w:rsidRPr="00DB7D9A">
              <w:rPr>
                <w:rFonts w:ascii="Times New Roman" w:hAnsi="Times New Roman"/>
                <w:sz w:val="20"/>
                <w:szCs w:val="20"/>
                <w:lang w:eastAsia="en-AU"/>
              </w:rPr>
              <w:t>Incorporate expertise in the fields of epidemiology, virology, laboratory biosafety, immunisation and health systems from national government health departments and independent academic or research</w:t>
            </w:r>
            <w:r>
              <w:rPr>
                <w:rFonts w:ascii="Times New Roman" w:hAnsi="Times New Roman"/>
                <w:sz w:val="20"/>
                <w:szCs w:val="20"/>
                <w:lang w:eastAsia="en-AU"/>
              </w:rPr>
              <w:t xml:space="preserve"> institution</w:t>
            </w:r>
          </w:p>
          <w:p w14:paraId="7103E84B" w14:textId="77777777" w:rsidR="003A5506" w:rsidRPr="00BE7C1C" w:rsidRDefault="003A5506" w:rsidP="003A5506">
            <w:pPr>
              <w:pStyle w:val="ListParagraph"/>
              <w:spacing w:after="0" w:line="240" w:lineRule="auto"/>
              <w:ind w:left="360"/>
              <w:rPr>
                <w:rFonts w:ascii="Times New Roman" w:hAnsi="Times New Roman"/>
                <w:sz w:val="20"/>
                <w:szCs w:val="20"/>
                <w:lang w:eastAsia="en-AU"/>
              </w:rPr>
            </w:pPr>
          </w:p>
        </w:tc>
      </w:tr>
      <w:tr w:rsidR="00D630BC" w:rsidRPr="00FE2366" w14:paraId="0FD246D5" w14:textId="77777777" w:rsidTr="006C30CC">
        <w:tc>
          <w:tcPr>
            <w:tcW w:w="0" w:type="auto"/>
          </w:tcPr>
          <w:p w14:paraId="425BFE36"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2</w:t>
            </w:r>
          </w:p>
        </w:tc>
        <w:tc>
          <w:tcPr>
            <w:tcW w:w="0" w:type="auto"/>
          </w:tcPr>
          <w:p w14:paraId="5E343894" w14:textId="77777777" w:rsidR="009A4877" w:rsidRPr="00FE2366" w:rsidRDefault="000902BF" w:rsidP="00717BB7">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Develop and document t</w:t>
            </w:r>
            <w:r w:rsidR="00717BB7">
              <w:rPr>
                <w:rFonts w:ascii="Times New Roman" w:hAnsi="Times New Roman"/>
                <w:sz w:val="20"/>
                <w:szCs w:val="20"/>
                <w:lang w:eastAsia="en-AU"/>
              </w:rPr>
              <w:t xml:space="preserve">he risk assessment methodology </w:t>
            </w:r>
          </w:p>
        </w:tc>
        <w:tc>
          <w:tcPr>
            <w:tcW w:w="0" w:type="auto"/>
          </w:tcPr>
          <w:p w14:paraId="146B733D" w14:textId="77777777" w:rsidR="00866FED" w:rsidRPr="00717BB7" w:rsidRDefault="000902BF" w:rsidP="00717BB7">
            <w:pPr>
              <w:pStyle w:val="ListParagraph"/>
              <w:numPr>
                <w:ilvl w:val="0"/>
                <w:numId w:val="24"/>
              </w:numPr>
              <w:spacing w:after="0" w:line="240" w:lineRule="auto"/>
              <w:rPr>
                <w:rFonts w:ascii="Times New Roman" w:hAnsi="Times New Roman"/>
                <w:sz w:val="20"/>
                <w:szCs w:val="20"/>
                <w:lang w:eastAsia="en-AU"/>
              </w:rPr>
            </w:pPr>
            <w:r w:rsidRPr="00717BB7">
              <w:rPr>
                <w:rFonts w:ascii="Times New Roman" w:hAnsi="Times New Roman"/>
                <w:sz w:val="20"/>
                <w:szCs w:val="20"/>
                <w:lang w:eastAsia="en-AU"/>
              </w:rPr>
              <w:t xml:space="preserve">Risk assessment methodology developed </w:t>
            </w:r>
            <w:r w:rsidR="00717BB7">
              <w:rPr>
                <w:rFonts w:ascii="Times New Roman" w:hAnsi="Times New Roman"/>
                <w:sz w:val="20"/>
                <w:szCs w:val="20"/>
                <w:lang w:eastAsia="en-AU"/>
              </w:rPr>
              <w:t>(</w:t>
            </w:r>
            <w:r w:rsidR="00717BB7" w:rsidRPr="00717BB7">
              <w:rPr>
                <w:rFonts w:ascii="Times New Roman" w:hAnsi="Times New Roman"/>
                <w:sz w:val="20"/>
                <w:szCs w:val="20"/>
                <w:lang w:eastAsia="en-AU"/>
              </w:rPr>
              <w:t>intermittent review and update</w:t>
            </w:r>
            <w:r w:rsidR="00717BB7">
              <w:rPr>
                <w:rFonts w:ascii="Times New Roman" w:hAnsi="Times New Roman"/>
                <w:sz w:val="20"/>
                <w:szCs w:val="20"/>
                <w:lang w:eastAsia="en-AU"/>
              </w:rPr>
              <w:t>s</w:t>
            </w:r>
            <w:r w:rsidR="00717BB7" w:rsidRPr="00717BB7">
              <w:rPr>
                <w:rFonts w:ascii="Times New Roman" w:hAnsi="Times New Roman"/>
                <w:sz w:val="20"/>
                <w:szCs w:val="20"/>
                <w:lang w:eastAsia="en-AU"/>
              </w:rPr>
              <w:t>, as required)</w:t>
            </w:r>
          </w:p>
          <w:p w14:paraId="7930AD18" w14:textId="77777777" w:rsidR="000902BF" w:rsidRPr="00866FED" w:rsidRDefault="000902BF" w:rsidP="003A5506">
            <w:pPr>
              <w:pStyle w:val="ListParagraph"/>
              <w:numPr>
                <w:ilvl w:val="0"/>
                <w:numId w:val="24"/>
              </w:numPr>
              <w:spacing w:after="0" w:line="240" w:lineRule="auto"/>
              <w:rPr>
                <w:rFonts w:ascii="Times New Roman" w:hAnsi="Times New Roman"/>
                <w:sz w:val="20"/>
                <w:szCs w:val="20"/>
                <w:lang w:eastAsia="en-AU"/>
              </w:rPr>
            </w:pPr>
            <w:r w:rsidRPr="00866FED">
              <w:rPr>
                <w:rFonts w:ascii="Times New Roman" w:hAnsi="Times New Roman"/>
                <w:sz w:val="20"/>
                <w:szCs w:val="20"/>
                <w:lang w:eastAsia="en-AU"/>
              </w:rPr>
              <w:t xml:space="preserve">Risk element weightings determined by expert elicitation (Polio Expert Delphi survey – 2018) </w:t>
            </w:r>
          </w:p>
          <w:p w14:paraId="5B6D6BED" w14:textId="77777777" w:rsidR="000902BF" w:rsidRPr="00FE2366" w:rsidRDefault="000902BF" w:rsidP="003A5506">
            <w:pPr>
              <w:pStyle w:val="ListParagraph"/>
              <w:spacing w:after="0" w:line="240" w:lineRule="auto"/>
              <w:ind w:left="360"/>
              <w:rPr>
                <w:rFonts w:ascii="Times New Roman" w:hAnsi="Times New Roman"/>
                <w:sz w:val="20"/>
                <w:szCs w:val="20"/>
                <w:lang w:eastAsia="en-AU"/>
              </w:rPr>
            </w:pPr>
          </w:p>
        </w:tc>
      </w:tr>
      <w:tr w:rsidR="00D630BC" w:rsidRPr="00FE2366" w14:paraId="17991ED8" w14:textId="77777777" w:rsidTr="006C30CC">
        <w:tc>
          <w:tcPr>
            <w:tcW w:w="0" w:type="auto"/>
          </w:tcPr>
          <w:p w14:paraId="10F403CB"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3</w:t>
            </w:r>
          </w:p>
        </w:tc>
        <w:tc>
          <w:tcPr>
            <w:tcW w:w="0" w:type="auto"/>
          </w:tcPr>
          <w:p w14:paraId="7C422EE0" w14:textId="77777777" w:rsidR="000902BF"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Formulate the overarching risk question</w:t>
            </w:r>
          </w:p>
          <w:p w14:paraId="120D470E" w14:textId="77777777" w:rsidR="00BE7C1C" w:rsidRPr="00FE2366" w:rsidRDefault="00BE7C1C" w:rsidP="003A5506">
            <w:pPr>
              <w:spacing w:after="0" w:line="240" w:lineRule="auto"/>
              <w:rPr>
                <w:rFonts w:ascii="Times New Roman" w:hAnsi="Times New Roman"/>
                <w:sz w:val="20"/>
                <w:szCs w:val="20"/>
                <w:lang w:eastAsia="en-AU"/>
              </w:rPr>
            </w:pPr>
          </w:p>
        </w:tc>
        <w:tc>
          <w:tcPr>
            <w:tcW w:w="0" w:type="auto"/>
          </w:tcPr>
          <w:p w14:paraId="226BAB58" w14:textId="77777777" w:rsidR="000902BF" w:rsidRPr="00FE2366" w:rsidRDefault="00717BB7" w:rsidP="003A5506">
            <w:pPr>
              <w:pStyle w:val="ListParagraph"/>
              <w:numPr>
                <w:ilvl w:val="0"/>
                <w:numId w:val="24"/>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One </w:t>
            </w:r>
            <w:r w:rsidR="000902BF" w:rsidRPr="00FE2366">
              <w:rPr>
                <w:rFonts w:ascii="Times New Roman" w:hAnsi="Times New Roman"/>
                <w:sz w:val="20"/>
                <w:szCs w:val="20"/>
                <w:lang w:eastAsia="en-AU"/>
              </w:rPr>
              <w:t>overarching risk question defined</w:t>
            </w:r>
          </w:p>
        </w:tc>
      </w:tr>
      <w:tr w:rsidR="00D630BC" w:rsidRPr="00FE2366" w14:paraId="79623EB8" w14:textId="77777777" w:rsidTr="006C30CC">
        <w:tc>
          <w:tcPr>
            <w:tcW w:w="0" w:type="auto"/>
          </w:tcPr>
          <w:p w14:paraId="68411012"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4</w:t>
            </w:r>
          </w:p>
        </w:tc>
        <w:tc>
          <w:tcPr>
            <w:tcW w:w="0" w:type="auto"/>
          </w:tcPr>
          <w:p w14:paraId="231266F2"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Identify the key risk elements</w:t>
            </w:r>
          </w:p>
        </w:tc>
        <w:tc>
          <w:tcPr>
            <w:tcW w:w="0" w:type="auto"/>
          </w:tcPr>
          <w:p w14:paraId="140414AE" w14:textId="77777777" w:rsidR="000902BF" w:rsidRPr="00FE2366" w:rsidRDefault="00717BB7" w:rsidP="003A5506">
            <w:pPr>
              <w:pStyle w:val="ListParagraph"/>
              <w:numPr>
                <w:ilvl w:val="0"/>
                <w:numId w:val="24"/>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Four </w:t>
            </w:r>
            <w:r w:rsidR="000902BF" w:rsidRPr="00FE2366">
              <w:rPr>
                <w:rFonts w:ascii="Times New Roman" w:hAnsi="Times New Roman"/>
                <w:sz w:val="20"/>
                <w:szCs w:val="20"/>
                <w:lang w:eastAsia="en-AU"/>
              </w:rPr>
              <w:t>key risk elements identified:</w:t>
            </w:r>
          </w:p>
          <w:p w14:paraId="7B9A049D" w14:textId="77777777" w:rsidR="000902BF" w:rsidRPr="00FE2366" w:rsidRDefault="00B73D26" w:rsidP="003A5506">
            <w:pPr>
              <w:pStyle w:val="ListParagraph"/>
              <w:numPr>
                <w:ilvl w:val="0"/>
                <w:numId w:val="25"/>
              </w:numPr>
              <w:spacing w:after="0" w:line="240" w:lineRule="auto"/>
              <w:rPr>
                <w:rFonts w:ascii="Times New Roman" w:hAnsi="Times New Roman"/>
                <w:sz w:val="20"/>
                <w:szCs w:val="20"/>
                <w:lang w:eastAsia="en-AU"/>
              </w:rPr>
            </w:pPr>
            <w:r>
              <w:rPr>
                <w:rFonts w:ascii="Times New Roman" w:hAnsi="Times New Roman"/>
                <w:sz w:val="20"/>
                <w:szCs w:val="20"/>
                <w:lang w:eastAsia="en-AU"/>
              </w:rPr>
              <w:t>Reintroduction h</w:t>
            </w:r>
            <w:r w:rsidR="000902BF" w:rsidRPr="00FE2366">
              <w:rPr>
                <w:rFonts w:ascii="Times New Roman" w:hAnsi="Times New Roman"/>
                <w:sz w:val="20"/>
                <w:szCs w:val="20"/>
                <w:lang w:eastAsia="en-AU"/>
              </w:rPr>
              <w:t>azard (H)</w:t>
            </w:r>
          </w:p>
          <w:p w14:paraId="5EAFFE15" w14:textId="77777777" w:rsidR="000902BF" w:rsidRPr="00FE2366" w:rsidRDefault="00B73D26" w:rsidP="003A5506">
            <w:pPr>
              <w:pStyle w:val="ListParagraph"/>
              <w:numPr>
                <w:ilvl w:val="0"/>
                <w:numId w:val="25"/>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Population susceptibility </w:t>
            </w:r>
            <w:r w:rsidR="000902BF" w:rsidRPr="00FE2366">
              <w:rPr>
                <w:rFonts w:ascii="Times New Roman" w:hAnsi="Times New Roman"/>
                <w:sz w:val="20"/>
                <w:szCs w:val="20"/>
                <w:lang w:eastAsia="en-AU"/>
              </w:rPr>
              <w:t>(S)</w:t>
            </w:r>
          </w:p>
          <w:p w14:paraId="20B35FFF" w14:textId="77777777" w:rsidR="000902BF" w:rsidRPr="00FE2366" w:rsidRDefault="000902BF" w:rsidP="003A5506">
            <w:pPr>
              <w:pStyle w:val="ListParagraph"/>
              <w:numPr>
                <w:ilvl w:val="0"/>
                <w:numId w:val="25"/>
              </w:num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 xml:space="preserve">Detection </w:t>
            </w:r>
            <w:r w:rsidR="00B73D26">
              <w:rPr>
                <w:rFonts w:ascii="Times New Roman" w:hAnsi="Times New Roman"/>
                <w:sz w:val="20"/>
                <w:szCs w:val="20"/>
                <w:lang w:eastAsia="en-AU"/>
              </w:rPr>
              <w:t>capability</w:t>
            </w:r>
            <w:r w:rsidRPr="00FE2366">
              <w:rPr>
                <w:rFonts w:ascii="Times New Roman" w:hAnsi="Times New Roman"/>
                <w:sz w:val="20"/>
                <w:szCs w:val="20"/>
                <w:lang w:eastAsia="en-AU"/>
              </w:rPr>
              <w:t xml:space="preserve"> (D)</w:t>
            </w:r>
          </w:p>
          <w:p w14:paraId="1C76707D" w14:textId="77777777" w:rsidR="000902BF" w:rsidRDefault="00B73D26" w:rsidP="003A5506">
            <w:pPr>
              <w:pStyle w:val="ListParagraph"/>
              <w:numPr>
                <w:ilvl w:val="0"/>
                <w:numId w:val="25"/>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Response capability </w:t>
            </w:r>
            <w:r w:rsidR="000902BF" w:rsidRPr="00FE2366">
              <w:rPr>
                <w:rFonts w:ascii="Times New Roman" w:hAnsi="Times New Roman"/>
                <w:sz w:val="20"/>
                <w:szCs w:val="20"/>
                <w:lang w:eastAsia="en-AU"/>
              </w:rPr>
              <w:t>(R)</w:t>
            </w:r>
          </w:p>
          <w:p w14:paraId="06C61D64" w14:textId="77777777" w:rsidR="003A5506" w:rsidRPr="00FE2366" w:rsidRDefault="003A5506" w:rsidP="003A5506">
            <w:pPr>
              <w:pStyle w:val="ListParagraph"/>
              <w:spacing w:after="0" w:line="240" w:lineRule="auto"/>
              <w:ind w:left="678"/>
              <w:rPr>
                <w:rFonts w:ascii="Times New Roman" w:hAnsi="Times New Roman"/>
                <w:sz w:val="20"/>
                <w:szCs w:val="20"/>
                <w:lang w:eastAsia="en-AU"/>
              </w:rPr>
            </w:pPr>
          </w:p>
        </w:tc>
      </w:tr>
      <w:tr w:rsidR="00D630BC" w:rsidRPr="00FE2366" w14:paraId="23E0C99B" w14:textId="77777777" w:rsidTr="006C30CC">
        <w:tc>
          <w:tcPr>
            <w:tcW w:w="0" w:type="auto"/>
          </w:tcPr>
          <w:p w14:paraId="490D1E4A"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5</w:t>
            </w:r>
          </w:p>
        </w:tc>
        <w:tc>
          <w:tcPr>
            <w:tcW w:w="0" w:type="auto"/>
          </w:tcPr>
          <w:p w14:paraId="174FEA0E"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 xml:space="preserve">Develop focused risk questions to address </w:t>
            </w:r>
            <w:r w:rsidR="003A5506">
              <w:rPr>
                <w:rFonts w:ascii="Times New Roman" w:hAnsi="Times New Roman"/>
                <w:sz w:val="20"/>
                <w:szCs w:val="20"/>
                <w:lang w:eastAsia="en-AU"/>
              </w:rPr>
              <w:t xml:space="preserve">sub-components of </w:t>
            </w:r>
            <w:r w:rsidRPr="00FE2366">
              <w:rPr>
                <w:rFonts w:ascii="Times New Roman" w:hAnsi="Times New Roman"/>
                <w:sz w:val="20"/>
                <w:szCs w:val="20"/>
                <w:lang w:eastAsia="en-AU"/>
              </w:rPr>
              <w:t>each risk element</w:t>
            </w:r>
          </w:p>
          <w:p w14:paraId="6FD2E783" w14:textId="77777777" w:rsidR="000902BF" w:rsidRPr="00FE2366" w:rsidRDefault="000902BF" w:rsidP="003A5506">
            <w:pPr>
              <w:spacing w:after="0" w:line="240" w:lineRule="auto"/>
              <w:rPr>
                <w:rFonts w:ascii="Times New Roman" w:hAnsi="Times New Roman"/>
                <w:sz w:val="20"/>
                <w:szCs w:val="20"/>
                <w:lang w:eastAsia="en-AU"/>
              </w:rPr>
            </w:pPr>
          </w:p>
        </w:tc>
        <w:tc>
          <w:tcPr>
            <w:tcW w:w="0" w:type="auto"/>
          </w:tcPr>
          <w:p w14:paraId="090870EC" w14:textId="77777777" w:rsidR="000902BF" w:rsidRPr="00FE2366" w:rsidRDefault="00717BB7" w:rsidP="003A5506">
            <w:pPr>
              <w:pStyle w:val="ListParagraph"/>
              <w:numPr>
                <w:ilvl w:val="0"/>
                <w:numId w:val="24"/>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Eight </w:t>
            </w:r>
            <w:r w:rsidR="000902BF" w:rsidRPr="00FE2366">
              <w:rPr>
                <w:rFonts w:ascii="Times New Roman" w:hAnsi="Times New Roman"/>
                <w:sz w:val="20"/>
                <w:szCs w:val="20"/>
                <w:lang w:eastAsia="en-AU"/>
              </w:rPr>
              <w:t>focused risk questions developed</w:t>
            </w:r>
          </w:p>
        </w:tc>
      </w:tr>
      <w:tr w:rsidR="00D630BC" w:rsidRPr="00FE2366" w14:paraId="597B8DBB" w14:textId="77777777" w:rsidTr="006C30CC">
        <w:tc>
          <w:tcPr>
            <w:tcW w:w="0" w:type="auto"/>
          </w:tcPr>
          <w:p w14:paraId="01A2F7CF"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6</w:t>
            </w:r>
          </w:p>
        </w:tc>
        <w:tc>
          <w:tcPr>
            <w:tcW w:w="0" w:type="auto"/>
          </w:tcPr>
          <w:p w14:paraId="64097206"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Identify risk indicators, data sources and evaluation methods for each focused risk question</w:t>
            </w:r>
          </w:p>
          <w:p w14:paraId="5968485D" w14:textId="77777777" w:rsidR="000902BF" w:rsidRPr="00FE2366" w:rsidRDefault="000902BF" w:rsidP="003A5506">
            <w:pPr>
              <w:spacing w:after="0" w:line="240" w:lineRule="auto"/>
              <w:rPr>
                <w:rFonts w:ascii="Times New Roman" w:hAnsi="Times New Roman"/>
                <w:sz w:val="20"/>
                <w:szCs w:val="20"/>
                <w:lang w:eastAsia="en-AU"/>
              </w:rPr>
            </w:pPr>
          </w:p>
        </w:tc>
        <w:tc>
          <w:tcPr>
            <w:tcW w:w="0" w:type="auto"/>
          </w:tcPr>
          <w:p w14:paraId="10AD0A94" w14:textId="77777777" w:rsidR="000902BF" w:rsidRPr="00FE2366" w:rsidRDefault="000902BF" w:rsidP="003A5506">
            <w:pPr>
              <w:pStyle w:val="ListParagraph"/>
              <w:numPr>
                <w:ilvl w:val="0"/>
                <w:numId w:val="24"/>
              </w:num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25 risk indicators, corresponding data sources and relevant evaluation methods identified</w:t>
            </w:r>
          </w:p>
        </w:tc>
      </w:tr>
      <w:tr w:rsidR="00D630BC" w:rsidRPr="00FE2366" w14:paraId="2D609F21" w14:textId="77777777" w:rsidTr="006C30CC">
        <w:tc>
          <w:tcPr>
            <w:tcW w:w="0" w:type="auto"/>
          </w:tcPr>
          <w:p w14:paraId="73F92116"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7</w:t>
            </w:r>
          </w:p>
        </w:tc>
        <w:tc>
          <w:tcPr>
            <w:tcW w:w="0" w:type="auto"/>
          </w:tcPr>
          <w:p w14:paraId="3777473F" w14:textId="77777777" w:rsidR="009A4877"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Compile and analyse data, evaluate documentary evidence and document the outcomes for each risk indicator</w:t>
            </w:r>
          </w:p>
          <w:p w14:paraId="75F51845" w14:textId="77777777" w:rsidR="00DB7D9A" w:rsidRPr="00FE2366" w:rsidRDefault="00DB7D9A" w:rsidP="003A5506">
            <w:pPr>
              <w:spacing w:after="0" w:line="240" w:lineRule="auto"/>
              <w:rPr>
                <w:rFonts w:ascii="Times New Roman" w:hAnsi="Times New Roman"/>
                <w:sz w:val="20"/>
                <w:szCs w:val="20"/>
                <w:lang w:eastAsia="en-AU"/>
              </w:rPr>
            </w:pPr>
          </w:p>
        </w:tc>
        <w:tc>
          <w:tcPr>
            <w:tcW w:w="0" w:type="auto"/>
          </w:tcPr>
          <w:p w14:paraId="56B10DD8" w14:textId="77777777" w:rsidR="00BE7C1C" w:rsidRPr="00BE7C1C" w:rsidRDefault="00DB7D9A" w:rsidP="003A5506">
            <w:pPr>
              <w:pStyle w:val="ListParagraph"/>
              <w:numPr>
                <w:ilvl w:val="0"/>
                <w:numId w:val="24"/>
              </w:numPr>
              <w:spacing w:after="0" w:line="240" w:lineRule="auto"/>
              <w:rPr>
                <w:rFonts w:ascii="Times New Roman" w:hAnsi="Times New Roman"/>
                <w:sz w:val="20"/>
                <w:szCs w:val="20"/>
                <w:lang w:eastAsia="en-AU"/>
              </w:rPr>
            </w:pPr>
            <w:r>
              <w:rPr>
                <w:rFonts w:ascii="Times New Roman" w:hAnsi="Times New Roman"/>
                <w:sz w:val="20"/>
                <w:szCs w:val="20"/>
                <w:lang w:eastAsia="en-AU"/>
              </w:rPr>
              <w:t>Outcomes for each risk indicator briefly summarised and documented for the purpose of risk characterisation</w:t>
            </w:r>
          </w:p>
          <w:p w14:paraId="616CFE32" w14:textId="77777777" w:rsidR="00BE7C1C" w:rsidRPr="00BE7C1C" w:rsidRDefault="00BE7C1C" w:rsidP="003A5506">
            <w:pPr>
              <w:spacing w:after="0" w:line="240" w:lineRule="auto"/>
              <w:rPr>
                <w:rFonts w:ascii="Times New Roman" w:hAnsi="Times New Roman"/>
                <w:sz w:val="20"/>
                <w:szCs w:val="20"/>
                <w:lang w:eastAsia="en-AU"/>
              </w:rPr>
            </w:pPr>
          </w:p>
        </w:tc>
      </w:tr>
      <w:tr w:rsidR="00D630BC" w:rsidRPr="00FE2366" w14:paraId="730A9455" w14:textId="77777777" w:rsidTr="006C30CC">
        <w:tc>
          <w:tcPr>
            <w:tcW w:w="0" w:type="auto"/>
          </w:tcPr>
          <w:p w14:paraId="6EC57C18"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lastRenderedPageBreak/>
              <w:t>8</w:t>
            </w:r>
          </w:p>
        </w:tc>
        <w:tc>
          <w:tcPr>
            <w:tcW w:w="0" w:type="auto"/>
          </w:tcPr>
          <w:p w14:paraId="29368D05"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Risk characterisation</w:t>
            </w:r>
          </w:p>
        </w:tc>
        <w:tc>
          <w:tcPr>
            <w:tcW w:w="0" w:type="auto"/>
          </w:tcPr>
          <w:p w14:paraId="2CCCCCAA" w14:textId="77777777" w:rsidR="003A5506" w:rsidRPr="00D630BC" w:rsidRDefault="000902BF" w:rsidP="00D630BC">
            <w:pPr>
              <w:pStyle w:val="ListParagraph"/>
              <w:numPr>
                <w:ilvl w:val="0"/>
                <w:numId w:val="23"/>
              </w:num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 xml:space="preserve">Risk element and confidence coefficient scores assigned </w:t>
            </w:r>
          </w:p>
          <w:p w14:paraId="47D4530D" w14:textId="77777777" w:rsidR="000902BF" w:rsidRPr="00FE2366" w:rsidRDefault="00717BB7" w:rsidP="003A5506">
            <w:pPr>
              <w:pStyle w:val="ListParagraph"/>
              <w:numPr>
                <w:ilvl w:val="0"/>
                <w:numId w:val="23"/>
              </w:numPr>
              <w:spacing w:after="0" w:line="240" w:lineRule="auto"/>
              <w:rPr>
                <w:rFonts w:ascii="Times New Roman" w:hAnsi="Times New Roman"/>
                <w:sz w:val="20"/>
                <w:szCs w:val="20"/>
                <w:lang w:eastAsia="en-AU"/>
              </w:rPr>
            </w:pPr>
            <w:r>
              <w:rPr>
                <w:rFonts w:ascii="Times New Roman" w:hAnsi="Times New Roman"/>
                <w:sz w:val="20"/>
                <w:szCs w:val="20"/>
                <w:lang w:eastAsia="en-AU"/>
              </w:rPr>
              <w:t xml:space="preserve">One </w:t>
            </w:r>
            <w:r w:rsidR="00BE7C1C">
              <w:rPr>
                <w:rFonts w:ascii="Times New Roman" w:hAnsi="Times New Roman"/>
                <w:sz w:val="20"/>
                <w:szCs w:val="20"/>
                <w:lang w:eastAsia="en-AU"/>
              </w:rPr>
              <w:t>semi-quantitative risk characterisation e</w:t>
            </w:r>
            <w:r w:rsidR="000902BF" w:rsidRPr="00FE2366">
              <w:rPr>
                <w:rFonts w:ascii="Times New Roman" w:hAnsi="Times New Roman"/>
                <w:sz w:val="20"/>
                <w:szCs w:val="20"/>
                <w:lang w:eastAsia="en-AU"/>
              </w:rPr>
              <w:t>stimate (RCE) calculated and displayed in a risk matrix</w:t>
            </w:r>
          </w:p>
          <w:p w14:paraId="3782E387" w14:textId="77777777" w:rsidR="000902BF" w:rsidRPr="00FE2366" w:rsidRDefault="00717BB7" w:rsidP="003A5506">
            <w:pPr>
              <w:pStyle w:val="ListParagraph"/>
              <w:numPr>
                <w:ilvl w:val="0"/>
                <w:numId w:val="23"/>
              </w:numPr>
              <w:spacing w:after="0" w:line="240" w:lineRule="auto"/>
              <w:rPr>
                <w:rFonts w:ascii="Times New Roman" w:hAnsi="Times New Roman"/>
                <w:sz w:val="20"/>
                <w:szCs w:val="20"/>
                <w:lang w:eastAsia="en-AU"/>
              </w:rPr>
            </w:pPr>
            <w:r>
              <w:rPr>
                <w:rFonts w:ascii="Times New Roman" w:hAnsi="Times New Roman"/>
                <w:sz w:val="20"/>
                <w:szCs w:val="20"/>
              </w:rPr>
              <w:t xml:space="preserve">One </w:t>
            </w:r>
            <w:r w:rsidR="000902BF" w:rsidRPr="00FE2366">
              <w:rPr>
                <w:rFonts w:ascii="Times New Roman" w:hAnsi="Times New Roman"/>
                <w:sz w:val="20"/>
                <w:szCs w:val="20"/>
              </w:rPr>
              <w:t>qualitative risk characterisation derived (a defined level of risk based on descriptive risk categories)</w:t>
            </w:r>
          </w:p>
          <w:p w14:paraId="335F88A9" w14:textId="77777777" w:rsidR="000902BF" w:rsidRPr="00FE2366" w:rsidRDefault="000902BF" w:rsidP="003A5506">
            <w:pPr>
              <w:pStyle w:val="ListParagraph"/>
              <w:spacing w:after="0" w:line="240" w:lineRule="auto"/>
              <w:ind w:left="360"/>
              <w:rPr>
                <w:rFonts w:ascii="Times New Roman" w:hAnsi="Times New Roman"/>
                <w:sz w:val="20"/>
                <w:szCs w:val="20"/>
                <w:lang w:eastAsia="en-AU"/>
              </w:rPr>
            </w:pPr>
          </w:p>
        </w:tc>
      </w:tr>
      <w:tr w:rsidR="00D630BC" w:rsidRPr="00FE2366" w14:paraId="5E9C14F9" w14:textId="77777777" w:rsidTr="006C30CC">
        <w:tc>
          <w:tcPr>
            <w:tcW w:w="0" w:type="auto"/>
          </w:tcPr>
          <w:p w14:paraId="77E97204"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9</w:t>
            </w:r>
          </w:p>
        </w:tc>
        <w:tc>
          <w:tcPr>
            <w:tcW w:w="0" w:type="auto"/>
          </w:tcPr>
          <w:p w14:paraId="51C80E72"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Document the risk assessment assumptions, results, limitations and recommendations</w:t>
            </w:r>
          </w:p>
          <w:p w14:paraId="02DF0329" w14:textId="77777777" w:rsidR="000902BF" w:rsidRPr="00FE2366" w:rsidRDefault="000902BF" w:rsidP="003A5506">
            <w:pPr>
              <w:spacing w:after="0" w:line="240" w:lineRule="auto"/>
              <w:rPr>
                <w:rFonts w:ascii="Times New Roman" w:hAnsi="Times New Roman"/>
                <w:sz w:val="20"/>
                <w:szCs w:val="20"/>
                <w:lang w:eastAsia="en-AU"/>
              </w:rPr>
            </w:pPr>
          </w:p>
        </w:tc>
        <w:tc>
          <w:tcPr>
            <w:tcW w:w="0" w:type="auto"/>
          </w:tcPr>
          <w:p w14:paraId="4088E3E8" w14:textId="77777777" w:rsidR="000902BF" w:rsidRPr="00BE7C1C" w:rsidRDefault="000902BF" w:rsidP="003A5506">
            <w:pPr>
              <w:pStyle w:val="ListParagraph"/>
              <w:numPr>
                <w:ilvl w:val="0"/>
                <w:numId w:val="23"/>
              </w:numPr>
              <w:spacing w:after="0" w:line="240" w:lineRule="auto"/>
              <w:rPr>
                <w:rFonts w:ascii="Times New Roman" w:hAnsi="Times New Roman"/>
                <w:bCs/>
                <w:kern w:val="28"/>
                <w:sz w:val="20"/>
                <w:szCs w:val="20"/>
              </w:rPr>
            </w:pPr>
            <w:r w:rsidRPr="00FE2366">
              <w:rPr>
                <w:rFonts w:ascii="Times New Roman" w:hAnsi="Times New Roman"/>
                <w:bCs/>
                <w:kern w:val="28"/>
                <w:sz w:val="20"/>
                <w:szCs w:val="20"/>
              </w:rPr>
              <w:t xml:space="preserve">A formal risk assessment report prepared for the Australian Government </w:t>
            </w:r>
            <w:r w:rsidR="00F508E0" w:rsidRPr="00FE2366">
              <w:rPr>
                <w:rFonts w:ascii="Times New Roman" w:hAnsi="Times New Roman"/>
                <w:bCs/>
                <w:kern w:val="28"/>
                <w:sz w:val="20"/>
                <w:szCs w:val="20"/>
              </w:rPr>
              <w:t>D</w:t>
            </w:r>
            <w:r w:rsidR="003A4323">
              <w:rPr>
                <w:rFonts w:ascii="Times New Roman" w:hAnsi="Times New Roman"/>
                <w:bCs/>
                <w:kern w:val="28"/>
                <w:sz w:val="20"/>
                <w:szCs w:val="20"/>
              </w:rPr>
              <w:t>epartment of Health</w:t>
            </w:r>
          </w:p>
        </w:tc>
      </w:tr>
      <w:tr w:rsidR="00D630BC" w:rsidRPr="00FE2366" w14:paraId="51858F85" w14:textId="77777777" w:rsidTr="006C30CC">
        <w:tc>
          <w:tcPr>
            <w:tcW w:w="0" w:type="auto"/>
          </w:tcPr>
          <w:p w14:paraId="24DD6F32" w14:textId="77777777" w:rsidR="000902BF" w:rsidRPr="00FE2366" w:rsidRDefault="000902BF" w:rsidP="003A5506">
            <w:pPr>
              <w:spacing w:after="0" w:line="240" w:lineRule="auto"/>
              <w:jc w:val="center"/>
              <w:rPr>
                <w:rFonts w:ascii="Times New Roman" w:hAnsi="Times New Roman"/>
                <w:b/>
                <w:sz w:val="20"/>
                <w:szCs w:val="20"/>
                <w:lang w:eastAsia="en-AU"/>
              </w:rPr>
            </w:pPr>
            <w:r w:rsidRPr="00FE2366">
              <w:rPr>
                <w:rFonts w:ascii="Times New Roman" w:hAnsi="Times New Roman"/>
                <w:b/>
                <w:sz w:val="20"/>
                <w:szCs w:val="20"/>
                <w:lang w:eastAsia="en-AU"/>
              </w:rPr>
              <w:t>10</w:t>
            </w:r>
          </w:p>
        </w:tc>
        <w:tc>
          <w:tcPr>
            <w:tcW w:w="0" w:type="auto"/>
          </w:tcPr>
          <w:p w14:paraId="5DFFA9BA"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Risk communication: Disseminate the findings to relevant stakeholders</w:t>
            </w:r>
          </w:p>
          <w:p w14:paraId="341F393C" w14:textId="77777777" w:rsidR="000902BF" w:rsidRPr="00FE2366" w:rsidRDefault="000902BF" w:rsidP="003A5506">
            <w:pPr>
              <w:spacing w:after="0" w:line="240" w:lineRule="auto"/>
              <w:rPr>
                <w:rFonts w:ascii="Times New Roman" w:hAnsi="Times New Roman"/>
                <w:sz w:val="20"/>
                <w:szCs w:val="20"/>
                <w:lang w:eastAsia="en-AU"/>
              </w:rPr>
            </w:pPr>
            <w:r w:rsidRPr="00FE2366">
              <w:rPr>
                <w:rFonts w:ascii="Times New Roman" w:hAnsi="Times New Roman"/>
                <w:sz w:val="20"/>
                <w:szCs w:val="20"/>
                <w:lang w:eastAsia="en-AU"/>
              </w:rPr>
              <w:t xml:space="preserve"> </w:t>
            </w:r>
          </w:p>
        </w:tc>
        <w:tc>
          <w:tcPr>
            <w:tcW w:w="0" w:type="auto"/>
          </w:tcPr>
          <w:p w14:paraId="2CE38585" w14:textId="77777777" w:rsidR="000902BF" w:rsidRDefault="009072DF" w:rsidP="003A5506">
            <w:pPr>
              <w:pStyle w:val="ListParagraph"/>
              <w:numPr>
                <w:ilvl w:val="0"/>
                <w:numId w:val="23"/>
              </w:numPr>
              <w:spacing w:after="0" w:line="240" w:lineRule="auto"/>
              <w:rPr>
                <w:rFonts w:ascii="Times New Roman" w:hAnsi="Times New Roman"/>
                <w:bCs/>
                <w:kern w:val="28"/>
                <w:sz w:val="20"/>
                <w:szCs w:val="20"/>
              </w:rPr>
            </w:pPr>
            <w:r>
              <w:rPr>
                <w:rFonts w:ascii="Times New Roman" w:hAnsi="Times New Roman"/>
                <w:bCs/>
                <w:kern w:val="28"/>
                <w:sz w:val="20"/>
                <w:szCs w:val="20"/>
              </w:rPr>
              <w:t>The</w:t>
            </w:r>
            <w:r w:rsidR="003A4323">
              <w:rPr>
                <w:rFonts w:ascii="Times New Roman" w:hAnsi="Times New Roman"/>
                <w:bCs/>
                <w:kern w:val="28"/>
                <w:sz w:val="20"/>
                <w:szCs w:val="20"/>
              </w:rPr>
              <w:t xml:space="preserve"> formal risk assessment </w:t>
            </w:r>
            <w:r w:rsidR="000902BF" w:rsidRPr="00BE7C1C">
              <w:rPr>
                <w:rFonts w:ascii="Times New Roman" w:hAnsi="Times New Roman"/>
                <w:bCs/>
                <w:kern w:val="28"/>
                <w:sz w:val="20"/>
                <w:szCs w:val="20"/>
              </w:rPr>
              <w:t>report inform</w:t>
            </w:r>
            <w:r w:rsidR="00717BB7">
              <w:rPr>
                <w:rFonts w:ascii="Times New Roman" w:hAnsi="Times New Roman"/>
                <w:bCs/>
                <w:kern w:val="28"/>
                <w:sz w:val="20"/>
                <w:szCs w:val="20"/>
              </w:rPr>
              <w:t>s</w:t>
            </w:r>
            <w:r w:rsidR="000902BF" w:rsidRPr="00BE7C1C">
              <w:rPr>
                <w:rFonts w:ascii="Times New Roman" w:hAnsi="Times New Roman"/>
                <w:bCs/>
                <w:kern w:val="28"/>
                <w:sz w:val="20"/>
                <w:szCs w:val="20"/>
              </w:rPr>
              <w:t xml:space="preserve"> the work of the </w:t>
            </w:r>
            <w:r w:rsidR="00202945" w:rsidRPr="00BE7C1C">
              <w:rPr>
                <w:rFonts w:ascii="Times New Roman" w:hAnsi="Times New Roman"/>
                <w:bCs/>
                <w:kern w:val="28"/>
                <w:sz w:val="20"/>
                <w:szCs w:val="20"/>
              </w:rPr>
              <w:t>Australian National Certification Committee</w:t>
            </w:r>
            <w:r w:rsidR="00D630BC">
              <w:rPr>
                <w:rFonts w:ascii="Times New Roman" w:hAnsi="Times New Roman"/>
                <w:bCs/>
                <w:kern w:val="28"/>
                <w:sz w:val="20"/>
                <w:szCs w:val="20"/>
              </w:rPr>
              <w:t xml:space="preserve"> for the Eradication of Poliomyelitis </w:t>
            </w:r>
            <w:r w:rsidR="00717BB7">
              <w:rPr>
                <w:rFonts w:ascii="Times New Roman" w:hAnsi="Times New Roman"/>
                <w:bCs/>
                <w:kern w:val="28"/>
                <w:sz w:val="20"/>
                <w:szCs w:val="20"/>
              </w:rPr>
              <w:t xml:space="preserve">(NCC), </w:t>
            </w:r>
            <w:r w:rsidR="000902BF" w:rsidRPr="00BE7C1C">
              <w:rPr>
                <w:rFonts w:ascii="Times New Roman" w:hAnsi="Times New Roman"/>
                <w:bCs/>
                <w:kern w:val="28"/>
                <w:sz w:val="20"/>
                <w:szCs w:val="20"/>
              </w:rPr>
              <w:t xml:space="preserve">in preparation of annual </w:t>
            </w:r>
            <w:r w:rsidR="00D630BC">
              <w:rPr>
                <w:rFonts w:ascii="Times New Roman" w:hAnsi="Times New Roman"/>
                <w:bCs/>
                <w:kern w:val="28"/>
                <w:sz w:val="20"/>
                <w:szCs w:val="20"/>
              </w:rPr>
              <w:t xml:space="preserve">WHO </w:t>
            </w:r>
            <w:r w:rsidR="000902BF" w:rsidRPr="00BE7C1C">
              <w:rPr>
                <w:rFonts w:ascii="Times New Roman" w:hAnsi="Times New Roman"/>
                <w:bCs/>
                <w:kern w:val="28"/>
                <w:sz w:val="20"/>
                <w:szCs w:val="20"/>
              </w:rPr>
              <w:t>Wester</w:t>
            </w:r>
            <w:r w:rsidR="003A4323">
              <w:rPr>
                <w:rFonts w:ascii="Times New Roman" w:hAnsi="Times New Roman"/>
                <w:bCs/>
                <w:kern w:val="28"/>
                <w:sz w:val="20"/>
                <w:szCs w:val="20"/>
              </w:rPr>
              <w:t xml:space="preserve">n Pacific </w:t>
            </w:r>
            <w:r w:rsidR="00717BB7">
              <w:rPr>
                <w:rFonts w:ascii="Times New Roman" w:hAnsi="Times New Roman"/>
                <w:bCs/>
                <w:kern w:val="28"/>
                <w:sz w:val="20"/>
                <w:szCs w:val="20"/>
              </w:rPr>
              <w:t>Region</w:t>
            </w:r>
            <w:r w:rsidR="00717BB7" w:rsidRPr="00BE7C1C">
              <w:rPr>
                <w:rFonts w:ascii="Times New Roman" w:hAnsi="Times New Roman"/>
                <w:bCs/>
                <w:kern w:val="28"/>
                <w:sz w:val="20"/>
                <w:szCs w:val="20"/>
              </w:rPr>
              <w:t>al Certification Committee</w:t>
            </w:r>
            <w:r w:rsidR="00717BB7">
              <w:rPr>
                <w:rFonts w:ascii="Times New Roman" w:hAnsi="Times New Roman"/>
                <w:bCs/>
                <w:kern w:val="28"/>
                <w:sz w:val="20"/>
                <w:szCs w:val="20"/>
              </w:rPr>
              <w:t xml:space="preserve"> for the Eradication of Poliomyelitis </w:t>
            </w:r>
            <w:r w:rsidR="00257E81">
              <w:rPr>
                <w:rFonts w:ascii="Times New Roman" w:hAnsi="Times New Roman"/>
                <w:bCs/>
                <w:kern w:val="28"/>
                <w:sz w:val="20"/>
                <w:szCs w:val="20"/>
              </w:rPr>
              <w:t>(</w:t>
            </w:r>
            <w:r w:rsidR="003A4323">
              <w:rPr>
                <w:rFonts w:ascii="Times New Roman" w:hAnsi="Times New Roman"/>
                <w:bCs/>
                <w:kern w:val="28"/>
                <w:sz w:val="20"/>
                <w:szCs w:val="20"/>
              </w:rPr>
              <w:t>RCC</w:t>
            </w:r>
            <w:r w:rsidR="00257E81">
              <w:rPr>
                <w:rFonts w:ascii="Times New Roman" w:hAnsi="Times New Roman"/>
                <w:bCs/>
                <w:kern w:val="28"/>
                <w:sz w:val="20"/>
                <w:szCs w:val="20"/>
              </w:rPr>
              <w:t>)</w:t>
            </w:r>
            <w:r w:rsidR="003A4323">
              <w:rPr>
                <w:rFonts w:ascii="Times New Roman" w:hAnsi="Times New Roman"/>
                <w:bCs/>
                <w:kern w:val="28"/>
                <w:sz w:val="20"/>
                <w:szCs w:val="20"/>
              </w:rPr>
              <w:t xml:space="preserve"> progress reports</w:t>
            </w:r>
          </w:p>
          <w:p w14:paraId="2F86072D" w14:textId="77777777" w:rsidR="00D630BC" w:rsidRPr="00BE7C1C" w:rsidRDefault="00D630BC" w:rsidP="003A5506">
            <w:pPr>
              <w:pStyle w:val="ListParagraph"/>
              <w:numPr>
                <w:ilvl w:val="0"/>
                <w:numId w:val="23"/>
              </w:numPr>
              <w:spacing w:after="0" w:line="240" w:lineRule="auto"/>
              <w:rPr>
                <w:rFonts w:ascii="Times New Roman" w:hAnsi="Times New Roman"/>
                <w:bCs/>
                <w:kern w:val="28"/>
                <w:sz w:val="20"/>
                <w:szCs w:val="20"/>
              </w:rPr>
            </w:pPr>
            <w:r>
              <w:rPr>
                <w:rFonts w:ascii="Times New Roman" w:hAnsi="Times New Roman"/>
                <w:bCs/>
                <w:kern w:val="28"/>
                <w:sz w:val="20"/>
                <w:szCs w:val="20"/>
              </w:rPr>
              <w:t>F</w:t>
            </w:r>
            <w:r w:rsidR="003A4323">
              <w:rPr>
                <w:rFonts w:ascii="Times New Roman" w:hAnsi="Times New Roman"/>
                <w:bCs/>
                <w:kern w:val="28"/>
                <w:sz w:val="20"/>
                <w:szCs w:val="20"/>
              </w:rPr>
              <w:t>i</w:t>
            </w:r>
            <w:r>
              <w:rPr>
                <w:rFonts w:ascii="Times New Roman" w:hAnsi="Times New Roman"/>
                <w:bCs/>
                <w:kern w:val="28"/>
                <w:sz w:val="20"/>
                <w:szCs w:val="20"/>
              </w:rPr>
              <w:t xml:space="preserve">ndings shared with the Australian </w:t>
            </w:r>
            <w:r w:rsidRPr="00BE7C1C">
              <w:rPr>
                <w:rFonts w:ascii="Times New Roman" w:hAnsi="Times New Roman"/>
                <w:bCs/>
                <w:kern w:val="28"/>
                <w:sz w:val="20"/>
                <w:szCs w:val="20"/>
              </w:rPr>
              <w:t>Polio Expert Panel (PEP</w:t>
            </w:r>
            <w:r>
              <w:rPr>
                <w:rFonts w:ascii="Times New Roman" w:hAnsi="Times New Roman"/>
                <w:bCs/>
                <w:kern w:val="28"/>
                <w:sz w:val="20"/>
                <w:szCs w:val="20"/>
              </w:rPr>
              <w:t>)</w:t>
            </w:r>
          </w:p>
          <w:p w14:paraId="43CE043E" w14:textId="77777777" w:rsidR="003A5506" w:rsidRPr="00FE2366" w:rsidRDefault="003A5506" w:rsidP="009072DF">
            <w:pPr>
              <w:pStyle w:val="ListParagraph"/>
              <w:spacing w:after="0" w:line="240" w:lineRule="auto"/>
              <w:ind w:left="360"/>
              <w:rPr>
                <w:rFonts w:ascii="Times New Roman" w:hAnsi="Times New Roman"/>
                <w:sz w:val="20"/>
                <w:szCs w:val="20"/>
                <w:lang w:eastAsia="en-AU"/>
              </w:rPr>
            </w:pPr>
          </w:p>
        </w:tc>
      </w:tr>
    </w:tbl>
    <w:p w14:paraId="0BDFC8B9" w14:textId="77777777" w:rsidR="005D7CE4" w:rsidRDefault="005D7CE4" w:rsidP="003929D4">
      <w:pPr>
        <w:rPr>
          <w:rFonts w:cs="Calibri"/>
          <w:b/>
          <w:szCs w:val="24"/>
          <w:lang w:eastAsia="en-AU"/>
        </w:rPr>
      </w:pPr>
    </w:p>
    <w:p w14:paraId="232407CC" w14:textId="77777777" w:rsidR="007C4996" w:rsidRPr="00000C6B" w:rsidRDefault="00806CBF" w:rsidP="003A5506">
      <w:pPr>
        <w:spacing w:after="160" w:line="240" w:lineRule="auto"/>
        <w:rPr>
          <w:rFonts w:ascii="Times New Roman" w:hAnsi="Times New Roman"/>
          <w:b/>
          <w:sz w:val="22"/>
          <w:lang w:eastAsia="en-AU"/>
        </w:rPr>
      </w:pPr>
      <w:r w:rsidRPr="00000C6B">
        <w:rPr>
          <w:rFonts w:ascii="Times New Roman" w:hAnsi="Times New Roman"/>
          <w:b/>
          <w:sz w:val="22"/>
          <w:lang w:eastAsia="en-AU"/>
        </w:rPr>
        <w:t>Relevant steps</w:t>
      </w:r>
      <w:r w:rsidR="007C4996" w:rsidRPr="00000C6B">
        <w:rPr>
          <w:rFonts w:ascii="Times New Roman" w:hAnsi="Times New Roman"/>
          <w:b/>
          <w:sz w:val="22"/>
          <w:lang w:eastAsia="en-AU"/>
        </w:rPr>
        <w:t xml:space="preserve"> </w:t>
      </w:r>
      <w:r w:rsidR="00864569" w:rsidRPr="00000C6B">
        <w:rPr>
          <w:rFonts w:ascii="Times New Roman" w:hAnsi="Times New Roman"/>
          <w:b/>
          <w:sz w:val="22"/>
          <w:lang w:eastAsia="en-AU"/>
        </w:rPr>
        <w:t xml:space="preserve">(3 – 6 and 8) </w:t>
      </w:r>
      <w:r w:rsidR="007C4996" w:rsidRPr="00000C6B">
        <w:rPr>
          <w:rFonts w:ascii="Times New Roman" w:hAnsi="Times New Roman"/>
          <w:b/>
          <w:sz w:val="22"/>
          <w:lang w:eastAsia="en-AU"/>
        </w:rPr>
        <w:t xml:space="preserve">that pertain to </w:t>
      </w:r>
      <w:r w:rsidR="00656750" w:rsidRPr="00000C6B">
        <w:rPr>
          <w:rFonts w:ascii="Times New Roman" w:hAnsi="Times New Roman"/>
          <w:b/>
          <w:sz w:val="22"/>
          <w:lang w:eastAsia="en-AU"/>
        </w:rPr>
        <w:t xml:space="preserve">implementing </w:t>
      </w:r>
      <w:r w:rsidR="007C4996" w:rsidRPr="00000C6B">
        <w:rPr>
          <w:rFonts w:ascii="Times New Roman" w:hAnsi="Times New Roman"/>
          <w:b/>
          <w:sz w:val="22"/>
          <w:lang w:eastAsia="en-AU"/>
        </w:rPr>
        <w:t xml:space="preserve">the </w:t>
      </w:r>
      <w:r w:rsidR="00DB2E8E" w:rsidRPr="00000C6B">
        <w:rPr>
          <w:rFonts w:ascii="Times New Roman" w:hAnsi="Times New Roman"/>
          <w:b/>
          <w:sz w:val="22"/>
          <w:lang w:eastAsia="en-AU"/>
        </w:rPr>
        <w:t xml:space="preserve">risk assessment methodology are described </w:t>
      </w:r>
      <w:r w:rsidR="00F928C7" w:rsidRPr="00000C6B">
        <w:rPr>
          <w:rFonts w:ascii="Times New Roman" w:hAnsi="Times New Roman"/>
          <w:b/>
          <w:sz w:val="22"/>
          <w:lang w:eastAsia="en-AU"/>
        </w:rPr>
        <w:t xml:space="preserve">below, </w:t>
      </w:r>
      <w:r w:rsidR="00DB2E8E" w:rsidRPr="00000C6B">
        <w:rPr>
          <w:rFonts w:ascii="Times New Roman" w:hAnsi="Times New Roman"/>
          <w:b/>
          <w:sz w:val="22"/>
          <w:lang w:eastAsia="en-AU"/>
        </w:rPr>
        <w:t>in Sections 1.2 – 1.6</w:t>
      </w:r>
      <w:r w:rsidR="007C4996" w:rsidRPr="00000C6B">
        <w:rPr>
          <w:rFonts w:ascii="Times New Roman" w:hAnsi="Times New Roman"/>
          <w:b/>
          <w:sz w:val="22"/>
          <w:lang w:eastAsia="en-AU"/>
        </w:rPr>
        <w:t xml:space="preserve">. </w:t>
      </w:r>
      <w:r w:rsidR="00DB2E8E" w:rsidRPr="00000C6B">
        <w:rPr>
          <w:rFonts w:ascii="Times New Roman" w:hAnsi="Times New Roman"/>
          <w:b/>
          <w:sz w:val="22"/>
          <w:lang w:eastAsia="en-AU"/>
        </w:rPr>
        <w:br w:type="page"/>
      </w:r>
    </w:p>
    <w:p w14:paraId="384BE57E" w14:textId="77777777" w:rsidR="00D953E3" w:rsidRPr="003A5506" w:rsidRDefault="00776319" w:rsidP="00D953E3">
      <w:pPr>
        <w:pStyle w:val="Heading2"/>
        <w:pBdr>
          <w:top w:val="none" w:sz="0" w:space="0" w:color="auto"/>
          <w:bottom w:val="none" w:sz="0" w:space="0" w:color="auto"/>
        </w:pBdr>
        <w:rPr>
          <w:rFonts w:ascii="Arial" w:hAnsi="Arial" w:cs="Arial"/>
          <w:b/>
          <w:sz w:val="22"/>
          <w:szCs w:val="22"/>
        </w:rPr>
      </w:pPr>
      <w:bookmarkStart w:id="16" w:name="_Toc20238587"/>
      <w:r w:rsidRPr="003A5506">
        <w:rPr>
          <w:rFonts w:ascii="Arial" w:hAnsi="Arial" w:cs="Arial"/>
          <w:b/>
          <w:sz w:val="22"/>
          <w:szCs w:val="22"/>
        </w:rPr>
        <w:lastRenderedPageBreak/>
        <w:t xml:space="preserve">Formulate </w:t>
      </w:r>
      <w:r w:rsidR="00FA2DFE" w:rsidRPr="003A5506">
        <w:rPr>
          <w:rFonts w:ascii="Arial" w:hAnsi="Arial" w:cs="Arial"/>
          <w:b/>
          <w:sz w:val="22"/>
          <w:szCs w:val="22"/>
        </w:rPr>
        <w:t>the overarching r</w:t>
      </w:r>
      <w:r w:rsidR="00D953E3" w:rsidRPr="003A5506">
        <w:rPr>
          <w:rFonts w:ascii="Arial" w:hAnsi="Arial" w:cs="Arial"/>
          <w:b/>
          <w:sz w:val="22"/>
          <w:szCs w:val="22"/>
        </w:rPr>
        <w:t xml:space="preserve">isk </w:t>
      </w:r>
      <w:r w:rsidR="00FA2DFE" w:rsidRPr="003A5506">
        <w:rPr>
          <w:rFonts w:ascii="Arial" w:hAnsi="Arial" w:cs="Arial"/>
          <w:b/>
          <w:sz w:val="22"/>
          <w:szCs w:val="22"/>
        </w:rPr>
        <w:t>q</w:t>
      </w:r>
      <w:r w:rsidR="00D953E3" w:rsidRPr="003A5506">
        <w:rPr>
          <w:rFonts w:ascii="Arial" w:hAnsi="Arial" w:cs="Arial"/>
          <w:b/>
          <w:sz w:val="22"/>
          <w:szCs w:val="22"/>
        </w:rPr>
        <w:t>uestion</w:t>
      </w:r>
      <w:bookmarkEnd w:id="16"/>
    </w:p>
    <w:p w14:paraId="52AFD815" w14:textId="77777777" w:rsidR="00D953E3" w:rsidRDefault="00D953E3" w:rsidP="003A5506">
      <w:pPr>
        <w:spacing w:after="0" w:line="259" w:lineRule="auto"/>
        <w:jc w:val="both"/>
        <w:rPr>
          <w:rFonts w:ascii="Times New Roman" w:hAnsi="Times New Roman"/>
          <w:bCs/>
          <w:kern w:val="28"/>
          <w:sz w:val="22"/>
        </w:rPr>
      </w:pPr>
      <w:r w:rsidRPr="003A5506">
        <w:rPr>
          <w:rFonts w:ascii="Times New Roman" w:hAnsi="Times New Roman"/>
          <w:bCs/>
          <w:kern w:val="28"/>
          <w:sz w:val="22"/>
        </w:rPr>
        <w:t xml:space="preserve">The scope of the assessment </w:t>
      </w:r>
      <w:r w:rsidR="00FA2DFE" w:rsidRPr="003A5506">
        <w:rPr>
          <w:rFonts w:ascii="Times New Roman" w:hAnsi="Times New Roman"/>
          <w:bCs/>
          <w:kern w:val="28"/>
          <w:sz w:val="22"/>
        </w:rPr>
        <w:t xml:space="preserve">is </w:t>
      </w:r>
      <w:r w:rsidRPr="003A5506">
        <w:rPr>
          <w:rFonts w:ascii="Times New Roman" w:hAnsi="Times New Roman"/>
          <w:bCs/>
          <w:kern w:val="28"/>
          <w:sz w:val="22"/>
        </w:rPr>
        <w:t>defined through the formulation of an overarching risk question, which is the key question or unknown factor that the assessment seeks to answer. For the purpose of this assessment, th</w:t>
      </w:r>
      <w:r w:rsidR="00362DCD" w:rsidRPr="003A5506">
        <w:rPr>
          <w:rFonts w:ascii="Times New Roman" w:hAnsi="Times New Roman"/>
          <w:bCs/>
          <w:kern w:val="28"/>
          <w:sz w:val="22"/>
        </w:rPr>
        <w:t xml:space="preserve">e overarching risk question was </w:t>
      </w:r>
      <w:r w:rsidRPr="003A5506">
        <w:rPr>
          <w:rFonts w:ascii="Times New Roman" w:hAnsi="Times New Roman"/>
          <w:bCs/>
          <w:kern w:val="28"/>
          <w:sz w:val="22"/>
        </w:rPr>
        <w:t xml:space="preserve">defined as follows: </w:t>
      </w:r>
    </w:p>
    <w:p w14:paraId="3F017825" w14:textId="77777777" w:rsidR="003A5506" w:rsidRPr="003A5506" w:rsidRDefault="003A5506" w:rsidP="003A5506">
      <w:pPr>
        <w:spacing w:after="0" w:line="259" w:lineRule="auto"/>
        <w:jc w:val="both"/>
        <w:rPr>
          <w:rFonts w:ascii="Times New Roman" w:hAnsi="Times New Roman"/>
          <w:bCs/>
          <w:kern w:val="28"/>
          <w:sz w:val="22"/>
        </w:rPr>
      </w:pPr>
    </w:p>
    <w:tbl>
      <w:tblPr>
        <w:tblStyle w:val="TableGrid"/>
        <w:tblW w:w="0" w:type="auto"/>
        <w:tblLook w:val="04A0" w:firstRow="1" w:lastRow="0" w:firstColumn="1" w:lastColumn="0" w:noHBand="0" w:noVBand="1"/>
        <w:tblCaption w:val="What is the risk of wild-type poliovirus (WPV) OR vaccine-derived poliovirus (VDPV)  reintroduction, AND resultant outbreaks of poliovirus infection, AND sustained transmission occurring in Australia in the next five years?"/>
        <w:tblDescription w:val="What is the risk of wild-type poliovirus (WPV) OR vaccine-derived poliovirus (VDPV)  reintroduction, AND resultant outbreaks of poliovirus infection, AND sustained transmission occurring in Australia in the next five years?"/>
      </w:tblPr>
      <w:tblGrid>
        <w:gridCol w:w="8720"/>
      </w:tblGrid>
      <w:tr w:rsidR="00D953E3" w:rsidRPr="00362DCD" w14:paraId="4E3FB1FD" w14:textId="77777777" w:rsidTr="003E2305">
        <w:trPr>
          <w:tblHeader/>
        </w:trPr>
        <w:tc>
          <w:tcPr>
            <w:tcW w:w="8720" w:type="dxa"/>
            <w:shd w:val="clear" w:color="auto" w:fill="D9D9D9" w:themeFill="background1" w:themeFillShade="D9"/>
          </w:tcPr>
          <w:p w14:paraId="366AE71A" w14:textId="77777777" w:rsidR="00FD4CD8" w:rsidRDefault="00FD4CD8" w:rsidP="00362DCD">
            <w:pPr>
              <w:spacing w:line="240" w:lineRule="auto"/>
              <w:rPr>
                <w:rFonts w:asciiTheme="minorHAnsi" w:hAnsiTheme="minorHAnsi" w:cs="Arial"/>
                <w:b/>
                <w:bCs/>
                <w:i/>
                <w:kern w:val="28"/>
                <w:sz w:val="20"/>
                <w:szCs w:val="20"/>
              </w:rPr>
            </w:pPr>
          </w:p>
          <w:p w14:paraId="3E30AB1C" w14:textId="77777777" w:rsidR="00D953E3" w:rsidRPr="003A5506" w:rsidRDefault="00D953E3" w:rsidP="003A5506">
            <w:pPr>
              <w:spacing w:after="160" w:line="259" w:lineRule="auto"/>
              <w:rPr>
                <w:rFonts w:ascii="Times New Roman" w:hAnsi="Times New Roman"/>
                <w:b/>
                <w:bCs/>
                <w:i/>
                <w:kern w:val="28"/>
                <w:sz w:val="22"/>
              </w:rPr>
            </w:pPr>
            <w:r w:rsidRPr="003A5506">
              <w:rPr>
                <w:rFonts w:ascii="Times New Roman" w:hAnsi="Times New Roman"/>
                <w:b/>
                <w:bCs/>
                <w:i/>
                <w:kern w:val="28"/>
                <w:sz w:val="22"/>
              </w:rPr>
              <w:t xml:space="preserve">What is the risk </w:t>
            </w:r>
            <w:r w:rsidR="00FD4CD8" w:rsidRPr="003A5506">
              <w:rPr>
                <w:rFonts w:ascii="Times New Roman" w:hAnsi="Times New Roman"/>
                <w:b/>
                <w:bCs/>
                <w:i/>
                <w:kern w:val="28"/>
                <w:sz w:val="22"/>
              </w:rPr>
              <w:t>of wild-type poliovirus</w:t>
            </w:r>
            <w:r w:rsidR="009A2C9D" w:rsidRPr="003A5506">
              <w:rPr>
                <w:rFonts w:ascii="Times New Roman" w:hAnsi="Times New Roman"/>
                <w:b/>
                <w:bCs/>
                <w:i/>
                <w:kern w:val="28"/>
                <w:sz w:val="22"/>
              </w:rPr>
              <w:t xml:space="preserve"> (WPV) </w:t>
            </w:r>
            <w:r w:rsidR="00362DCD" w:rsidRPr="003A5506">
              <w:rPr>
                <w:rFonts w:ascii="Times New Roman" w:hAnsi="Times New Roman"/>
                <w:b/>
                <w:bCs/>
                <w:i/>
                <w:kern w:val="28"/>
                <w:sz w:val="22"/>
              </w:rPr>
              <w:t>OR</w:t>
            </w:r>
            <w:r w:rsidRPr="003A5506">
              <w:rPr>
                <w:rFonts w:ascii="Times New Roman" w:hAnsi="Times New Roman"/>
                <w:b/>
                <w:bCs/>
                <w:i/>
                <w:kern w:val="28"/>
                <w:sz w:val="22"/>
              </w:rPr>
              <w:t xml:space="preserve"> vac</w:t>
            </w:r>
            <w:r w:rsidR="00FD4CD8" w:rsidRPr="003A5506">
              <w:rPr>
                <w:rFonts w:ascii="Times New Roman" w:hAnsi="Times New Roman"/>
                <w:b/>
                <w:bCs/>
                <w:i/>
                <w:kern w:val="28"/>
                <w:sz w:val="22"/>
              </w:rPr>
              <w:t xml:space="preserve">cine-derived poliovirus </w:t>
            </w:r>
            <w:r w:rsidR="009A2C9D" w:rsidRPr="003A5506">
              <w:rPr>
                <w:rFonts w:ascii="Times New Roman" w:hAnsi="Times New Roman"/>
                <w:b/>
                <w:bCs/>
                <w:i/>
                <w:kern w:val="28"/>
                <w:sz w:val="22"/>
              </w:rPr>
              <w:t>(VDPV)</w:t>
            </w:r>
            <w:r w:rsidR="009A2C9D" w:rsidRPr="003A5506">
              <w:rPr>
                <w:rStyle w:val="FootnoteReference"/>
                <w:rFonts w:ascii="Times New Roman" w:hAnsi="Times New Roman"/>
                <w:b/>
                <w:bCs/>
                <w:i/>
                <w:kern w:val="28"/>
                <w:sz w:val="22"/>
              </w:rPr>
              <w:footnoteReference w:id="1"/>
            </w:r>
            <w:r w:rsidR="00EC77B7">
              <w:rPr>
                <w:rFonts w:ascii="Times New Roman" w:hAnsi="Times New Roman"/>
                <w:b/>
                <w:bCs/>
                <w:i/>
                <w:kern w:val="28"/>
                <w:sz w:val="22"/>
              </w:rPr>
              <w:t xml:space="preserve"> </w:t>
            </w:r>
            <w:r w:rsidR="00EC77B7" w:rsidRPr="003A5506">
              <w:rPr>
                <w:rFonts w:ascii="Times New Roman" w:hAnsi="Times New Roman"/>
                <w:b/>
                <w:bCs/>
                <w:i/>
                <w:kern w:val="28"/>
                <w:sz w:val="22"/>
              </w:rPr>
              <w:t>reintroduction</w:t>
            </w:r>
            <w:r w:rsidRPr="003A5506">
              <w:rPr>
                <w:rFonts w:ascii="Times New Roman" w:hAnsi="Times New Roman"/>
                <w:b/>
                <w:bCs/>
                <w:i/>
                <w:kern w:val="28"/>
                <w:sz w:val="22"/>
              </w:rPr>
              <w:t>, AND resultant outbreaks of poliovirus infection, AND sustained transmission occurring in A</w:t>
            </w:r>
            <w:r w:rsidR="009072DF">
              <w:rPr>
                <w:rFonts w:ascii="Times New Roman" w:hAnsi="Times New Roman"/>
                <w:b/>
                <w:bCs/>
                <w:i/>
                <w:kern w:val="28"/>
                <w:sz w:val="22"/>
              </w:rPr>
              <w:t>ustralia in the next five years?</w:t>
            </w:r>
          </w:p>
          <w:p w14:paraId="6C2122C4" w14:textId="77777777" w:rsidR="00FD4CD8" w:rsidRPr="00362DCD" w:rsidRDefault="00FD4CD8" w:rsidP="00362DCD">
            <w:pPr>
              <w:spacing w:line="240" w:lineRule="auto"/>
              <w:rPr>
                <w:rFonts w:asciiTheme="minorHAnsi" w:hAnsiTheme="minorHAnsi" w:cs="Arial"/>
                <w:b/>
                <w:bCs/>
                <w:i/>
                <w:kern w:val="28"/>
                <w:sz w:val="20"/>
                <w:szCs w:val="20"/>
              </w:rPr>
            </w:pPr>
          </w:p>
        </w:tc>
      </w:tr>
    </w:tbl>
    <w:p w14:paraId="7C9C0941" w14:textId="77777777" w:rsidR="00362DCD" w:rsidRDefault="00362DCD" w:rsidP="00D953E3">
      <w:pPr>
        <w:rPr>
          <w:szCs w:val="24"/>
        </w:rPr>
      </w:pPr>
    </w:p>
    <w:p w14:paraId="091BF45C" w14:textId="77777777" w:rsidR="00D953E3" w:rsidRPr="003A5506" w:rsidRDefault="00D953E3" w:rsidP="003A5506">
      <w:pPr>
        <w:spacing w:after="160" w:line="259" w:lineRule="auto"/>
        <w:jc w:val="both"/>
        <w:rPr>
          <w:rFonts w:ascii="Times New Roman" w:hAnsi="Times New Roman"/>
          <w:bCs/>
          <w:kern w:val="28"/>
          <w:sz w:val="22"/>
        </w:rPr>
      </w:pPr>
      <w:r w:rsidRPr="003A5506">
        <w:rPr>
          <w:rFonts w:ascii="Times New Roman" w:hAnsi="Times New Roman"/>
          <w:bCs/>
          <w:kern w:val="28"/>
          <w:sz w:val="22"/>
        </w:rPr>
        <w:t xml:space="preserve">Answering the risk question requires systematic evaluation of the multiple components relating to the </w:t>
      </w:r>
      <w:r w:rsidR="00F24571" w:rsidRPr="003A5506">
        <w:rPr>
          <w:rFonts w:ascii="Times New Roman" w:hAnsi="Times New Roman"/>
          <w:bCs/>
          <w:kern w:val="28"/>
          <w:sz w:val="22"/>
        </w:rPr>
        <w:t>likelihood and</w:t>
      </w:r>
      <w:r w:rsidRPr="003A5506">
        <w:rPr>
          <w:rFonts w:ascii="Times New Roman" w:hAnsi="Times New Roman"/>
          <w:bCs/>
          <w:kern w:val="28"/>
          <w:sz w:val="22"/>
        </w:rPr>
        <w:t xml:space="preserve"> impact (consequences) of the introduction, exposure to, establishment and spread of a hazard (</w:t>
      </w:r>
      <w:r w:rsidR="004D1706" w:rsidRPr="003A5506">
        <w:rPr>
          <w:rFonts w:ascii="Times New Roman" w:hAnsi="Times New Roman"/>
          <w:bCs/>
          <w:kern w:val="28"/>
          <w:sz w:val="22"/>
        </w:rPr>
        <w:t xml:space="preserve">wild-type or </w:t>
      </w:r>
      <w:r w:rsidR="009D16DF" w:rsidRPr="003A5506">
        <w:rPr>
          <w:rFonts w:ascii="Times New Roman" w:hAnsi="Times New Roman"/>
          <w:bCs/>
          <w:kern w:val="28"/>
          <w:sz w:val="22"/>
        </w:rPr>
        <w:t xml:space="preserve">vaccine-derived </w:t>
      </w:r>
      <w:r w:rsidRPr="003A5506">
        <w:rPr>
          <w:rFonts w:ascii="Times New Roman" w:hAnsi="Times New Roman"/>
          <w:bCs/>
          <w:kern w:val="28"/>
          <w:sz w:val="22"/>
        </w:rPr>
        <w:t xml:space="preserve">poliovirus), whilst incorporating the relevant </w:t>
      </w:r>
      <w:r w:rsidR="001E4413">
        <w:rPr>
          <w:rFonts w:ascii="Times New Roman" w:hAnsi="Times New Roman"/>
          <w:bCs/>
          <w:kern w:val="28"/>
          <w:sz w:val="22"/>
        </w:rPr>
        <w:t>(global, regional and national</w:t>
      </w:r>
      <w:r w:rsidRPr="003A5506">
        <w:rPr>
          <w:rFonts w:ascii="Times New Roman" w:hAnsi="Times New Roman"/>
          <w:bCs/>
          <w:kern w:val="28"/>
          <w:sz w:val="22"/>
        </w:rPr>
        <w:t>) context and stipulating a tim</w:t>
      </w:r>
      <w:r w:rsidR="009072DF">
        <w:rPr>
          <w:rFonts w:ascii="Times New Roman" w:hAnsi="Times New Roman"/>
          <w:bCs/>
          <w:kern w:val="28"/>
          <w:sz w:val="22"/>
        </w:rPr>
        <w:t>eframe covered by the assessment</w:t>
      </w:r>
      <w:r w:rsidRPr="003A5506">
        <w:rPr>
          <w:rFonts w:ascii="Times New Roman" w:hAnsi="Times New Roman"/>
          <w:bCs/>
          <w:kern w:val="28"/>
          <w:sz w:val="22"/>
        </w:rPr>
        <w:t>.</w:t>
      </w:r>
    </w:p>
    <w:p w14:paraId="107A16B6" w14:textId="77777777" w:rsidR="005D7CE4" w:rsidRPr="00362DCD" w:rsidRDefault="005D7CE4" w:rsidP="00D953E3">
      <w:pPr>
        <w:rPr>
          <w:rFonts w:asciiTheme="minorHAnsi" w:hAnsiTheme="minorHAnsi" w:cs="Arial"/>
          <w:bCs/>
          <w:kern w:val="28"/>
          <w:szCs w:val="24"/>
        </w:rPr>
      </w:pPr>
      <w:r>
        <w:rPr>
          <w:rFonts w:asciiTheme="minorHAnsi" w:hAnsiTheme="minorHAnsi" w:cs="Arial"/>
          <w:bCs/>
          <w:kern w:val="28"/>
          <w:szCs w:val="24"/>
        </w:rPr>
        <w:br w:type="page"/>
      </w:r>
    </w:p>
    <w:p w14:paraId="36C5FAD1" w14:textId="77777777" w:rsidR="00F20453" w:rsidRPr="009A4877" w:rsidRDefault="00FA2DFE" w:rsidP="00F20453">
      <w:pPr>
        <w:pStyle w:val="Heading2"/>
        <w:pBdr>
          <w:top w:val="none" w:sz="0" w:space="0" w:color="auto"/>
          <w:bottom w:val="none" w:sz="0" w:space="0" w:color="auto"/>
        </w:pBdr>
        <w:rPr>
          <w:rFonts w:ascii="Arial" w:hAnsi="Arial" w:cs="Arial"/>
          <w:b/>
          <w:sz w:val="22"/>
          <w:szCs w:val="22"/>
        </w:rPr>
      </w:pPr>
      <w:bookmarkStart w:id="17" w:name="_Toc521667405"/>
      <w:bookmarkStart w:id="18" w:name="_Toc20238588"/>
      <w:r w:rsidRPr="009A4877">
        <w:rPr>
          <w:rFonts w:ascii="Arial" w:hAnsi="Arial" w:cs="Arial"/>
          <w:b/>
          <w:sz w:val="22"/>
          <w:szCs w:val="22"/>
        </w:rPr>
        <w:lastRenderedPageBreak/>
        <w:t>Identify the key r</w:t>
      </w:r>
      <w:r w:rsidR="00F20453" w:rsidRPr="009A4877">
        <w:rPr>
          <w:rFonts w:ascii="Arial" w:hAnsi="Arial" w:cs="Arial"/>
          <w:b/>
          <w:sz w:val="22"/>
          <w:szCs w:val="22"/>
        </w:rPr>
        <w:t>isk elements</w:t>
      </w:r>
      <w:bookmarkEnd w:id="17"/>
      <w:bookmarkEnd w:id="18"/>
      <w:r w:rsidR="00F20453" w:rsidRPr="009A4877">
        <w:rPr>
          <w:rFonts w:ascii="Arial" w:hAnsi="Arial" w:cs="Arial"/>
          <w:b/>
          <w:sz w:val="22"/>
          <w:szCs w:val="22"/>
        </w:rPr>
        <w:t xml:space="preserve"> </w:t>
      </w:r>
    </w:p>
    <w:p w14:paraId="6433EE54" w14:textId="77777777" w:rsidR="00380341" w:rsidRDefault="00F20453" w:rsidP="009A4877">
      <w:pPr>
        <w:spacing w:after="160" w:line="259" w:lineRule="auto"/>
        <w:jc w:val="both"/>
        <w:rPr>
          <w:rFonts w:ascii="Times New Roman" w:hAnsi="Times New Roman"/>
          <w:bCs/>
          <w:kern w:val="28"/>
          <w:sz w:val="22"/>
        </w:rPr>
      </w:pPr>
      <w:r w:rsidRPr="00923F05">
        <w:rPr>
          <w:rFonts w:ascii="Times New Roman" w:hAnsi="Times New Roman"/>
          <w:bCs/>
          <w:kern w:val="28"/>
          <w:sz w:val="22"/>
        </w:rPr>
        <w:t xml:space="preserve">The overarching risk question is </w:t>
      </w:r>
      <w:r w:rsidR="00362DCD" w:rsidRPr="00923F05">
        <w:rPr>
          <w:rFonts w:ascii="Times New Roman" w:hAnsi="Times New Roman"/>
          <w:bCs/>
          <w:kern w:val="28"/>
          <w:sz w:val="22"/>
        </w:rPr>
        <w:t>comprehensive, but also fairly complex, being</w:t>
      </w:r>
      <w:r w:rsidRPr="00923F05">
        <w:rPr>
          <w:rFonts w:ascii="Times New Roman" w:hAnsi="Times New Roman"/>
          <w:bCs/>
          <w:kern w:val="28"/>
          <w:sz w:val="22"/>
        </w:rPr>
        <w:t xml:space="preserve"> comprised of multiple components relatin</w:t>
      </w:r>
      <w:r w:rsidR="00672875" w:rsidRPr="00923F05">
        <w:rPr>
          <w:rFonts w:ascii="Times New Roman" w:hAnsi="Times New Roman"/>
          <w:bCs/>
          <w:kern w:val="28"/>
          <w:sz w:val="22"/>
        </w:rPr>
        <w:t xml:space="preserve">g to the likelihood and </w:t>
      </w:r>
      <w:r w:rsidRPr="00923F05">
        <w:rPr>
          <w:rFonts w:ascii="Times New Roman" w:hAnsi="Times New Roman"/>
          <w:bCs/>
          <w:kern w:val="28"/>
          <w:sz w:val="22"/>
        </w:rPr>
        <w:t>impact of the reintroduction</w:t>
      </w:r>
      <w:r w:rsidR="00672875" w:rsidRPr="00923F05">
        <w:rPr>
          <w:rFonts w:ascii="Times New Roman" w:hAnsi="Times New Roman"/>
          <w:bCs/>
          <w:kern w:val="28"/>
          <w:sz w:val="22"/>
        </w:rPr>
        <w:t xml:space="preserve"> of poliovirus</w:t>
      </w:r>
      <w:r w:rsidRPr="00923F05">
        <w:rPr>
          <w:rFonts w:ascii="Times New Roman" w:hAnsi="Times New Roman"/>
          <w:bCs/>
          <w:kern w:val="28"/>
          <w:sz w:val="22"/>
        </w:rPr>
        <w:t xml:space="preserve">, exposure of susceptible populations, the establishment of infection and </w:t>
      </w:r>
      <w:r w:rsidR="00362DCD" w:rsidRPr="00923F05">
        <w:rPr>
          <w:rFonts w:ascii="Times New Roman" w:hAnsi="Times New Roman"/>
          <w:bCs/>
          <w:kern w:val="28"/>
          <w:sz w:val="22"/>
        </w:rPr>
        <w:t xml:space="preserve">sustained </w:t>
      </w:r>
      <w:r w:rsidR="00FA2DFE" w:rsidRPr="00923F05">
        <w:rPr>
          <w:rFonts w:ascii="Times New Roman" w:hAnsi="Times New Roman"/>
          <w:bCs/>
          <w:kern w:val="28"/>
          <w:sz w:val="22"/>
        </w:rPr>
        <w:t xml:space="preserve">transmission </w:t>
      </w:r>
      <w:r w:rsidRPr="00923F05">
        <w:rPr>
          <w:rFonts w:ascii="Times New Roman" w:hAnsi="Times New Roman"/>
          <w:bCs/>
          <w:kern w:val="28"/>
          <w:sz w:val="22"/>
        </w:rPr>
        <w:t xml:space="preserve">of poliovirus in the Australian population. To facilitate systematic evaluation, the </w:t>
      </w:r>
      <w:r w:rsidR="00672875" w:rsidRPr="00923F05">
        <w:rPr>
          <w:rFonts w:ascii="Times New Roman" w:hAnsi="Times New Roman"/>
          <w:bCs/>
          <w:kern w:val="28"/>
          <w:sz w:val="22"/>
        </w:rPr>
        <w:t xml:space="preserve">overarching </w:t>
      </w:r>
      <w:r w:rsidRPr="00923F05">
        <w:rPr>
          <w:rFonts w:ascii="Times New Roman" w:hAnsi="Times New Roman"/>
          <w:bCs/>
          <w:kern w:val="28"/>
          <w:sz w:val="22"/>
        </w:rPr>
        <w:t>risk questi</w:t>
      </w:r>
      <w:r w:rsidR="00672875" w:rsidRPr="00923F05">
        <w:rPr>
          <w:rFonts w:ascii="Times New Roman" w:hAnsi="Times New Roman"/>
          <w:bCs/>
          <w:kern w:val="28"/>
          <w:sz w:val="22"/>
        </w:rPr>
        <w:t xml:space="preserve">on is deconstructed </w:t>
      </w:r>
      <w:r w:rsidRPr="00923F05">
        <w:rPr>
          <w:rFonts w:ascii="Times New Roman" w:hAnsi="Times New Roman"/>
          <w:bCs/>
          <w:kern w:val="28"/>
          <w:sz w:val="22"/>
        </w:rPr>
        <w:t>into</w:t>
      </w:r>
      <w:r w:rsidR="00672875" w:rsidRPr="00923F05">
        <w:rPr>
          <w:rFonts w:ascii="Times New Roman" w:hAnsi="Times New Roman"/>
          <w:bCs/>
          <w:kern w:val="28"/>
          <w:sz w:val="22"/>
        </w:rPr>
        <w:t xml:space="preserve"> its constituent components, and </w:t>
      </w:r>
      <w:r w:rsidRPr="00923F05">
        <w:rPr>
          <w:rFonts w:ascii="Times New Roman" w:hAnsi="Times New Roman"/>
          <w:bCs/>
          <w:kern w:val="28"/>
          <w:sz w:val="22"/>
        </w:rPr>
        <w:t>summarised as four key risk elements</w:t>
      </w:r>
      <w:r w:rsidR="00C5042A" w:rsidRPr="00923F05">
        <w:rPr>
          <w:rFonts w:ascii="Times New Roman" w:hAnsi="Times New Roman"/>
          <w:bCs/>
          <w:kern w:val="28"/>
          <w:sz w:val="22"/>
        </w:rPr>
        <w:t xml:space="preserve"> (</w:t>
      </w:r>
      <w:r w:rsidR="00C5042A" w:rsidRPr="00923F05">
        <w:rPr>
          <w:rFonts w:ascii="Times New Roman" w:hAnsi="Times New Roman"/>
          <w:bCs/>
          <w:kern w:val="28"/>
          <w:sz w:val="22"/>
        </w:rPr>
        <w:fldChar w:fldCharType="begin"/>
      </w:r>
      <w:r w:rsidR="00C5042A" w:rsidRPr="00923F05">
        <w:rPr>
          <w:rFonts w:ascii="Times New Roman" w:hAnsi="Times New Roman"/>
          <w:bCs/>
          <w:kern w:val="28"/>
          <w:sz w:val="22"/>
        </w:rPr>
        <w:instrText xml:space="preserve"> REF _Ref525031088 \h </w:instrText>
      </w:r>
      <w:r w:rsidR="00923F05" w:rsidRPr="00923F05">
        <w:rPr>
          <w:rFonts w:ascii="Times New Roman" w:hAnsi="Times New Roman"/>
          <w:bCs/>
          <w:kern w:val="28"/>
          <w:sz w:val="22"/>
        </w:rPr>
        <w:instrText xml:space="preserve"> \* MERGEFORMAT </w:instrText>
      </w:r>
      <w:r w:rsidR="00C5042A" w:rsidRPr="00923F05">
        <w:rPr>
          <w:rFonts w:ascii="Times New Roman" w:hAnsi="Times New Roman"/>
          <w:bCs/>
          <w:kern w:val="28"/>
          <w:sz w:val="22"/>
        </w:rPr>
      </w:r>
      <w:r w:rsidR="00C5042A" w:rsidRPr="00923F05">
        <w:rPr>
          <w:rFonts w:ascii="Times New Roman" w:hAnsi="Times New Roman"/>
          <w:bCs/>
          <w:kern w:val="28"/>
          <w:sz w:val="22"/>
        </w:rPr>
        <w:fldChar w:fldCharType="separate"/>
      </w:r>
      <w:r w:rsidR="00AE3396" w:rsidRPr="00923F05">
        <w:rPr>
          <w:rFonts w:ascii="Times New Roman" w:hAnsi="Times New Roman"/>
          <w:color w:val="auto"/>
          <w:sz w:val="22"/>
        </w:rPr>
        <w:t xml:space="preserve">Table </w:t>
      </w:r>
      <w:r w:rsidR="00AE3396" w:rsidRPr="00923F05">
        <w:rPr>
          <w:rFonts w:ascii="Times New Roman" w:hAnsi="Times New Roman"/>
          <w:noProof/>
          <w:color w:val="auto"/>
          <w:sz w:val="22"/>
        </w:rPr>
        <w:t>2</w:t>
      </w:r>
      <w:r w:rsidR="00C5042A" w:rsidRPr="00923F05">
        <w:rPr>
          <w:rFonts w:ascii="Times New Roman" w:hAnsi="Times New Roman"/>
          <w:bCs/>
          <w:kern w:val="28"/>
          <w:sz w:val="22"/>
        </w:rPr>
        <w:fldChar w:fldCharType="end"/>
      </w:r>
      <w:r w:rsidR="00FA2DFE" w:rsidRPr="00923F05">
        <w:rPr>
          <w:rFonts w:ascii="Times New Roman" w:hAnsi="Times New Roman"/>
          <w:bCs/>
          <w:kern w:val="28"/>
          <w:sz w:val="22"/>
        </w:rPr>
        <w:t>).</w:t>
      </w:r>
    </w:p>
    <w:p w14:paraId="374AF484" w14:textId="77777777" w:rsidR="00000C6B" w:rsidRPr="00923F05" w:rsidRDefault="00000C6B" w:rsidP="009A4877">
      <w:pPr>
        <w:spacing w:after="160" w:line="259" w:lineRule="auto"/>
        <w:jc w:val="both"/>
        <w:rPr>
          <w:rFonts w:ascii="Times New Roman" w:hAnsi="Times New Roman"/>
          <w:bCs/>
          <w:kern w:val="28"/>
          <w:sz w:val="22"/>
        </w:rPr>
      </w:pPr>
    </w:p>
    <w:p w14:paraId="51934A49" w14:textId="77777777" w:rsidR="002E4D6A" w:rsidRPr="00000C6B" w:rsidRDefault="008E29DB" w:rsidP="008E29DB">
      <w:pPr>
        <w:pStyle w:val="Caption"/>
        <w:rPr>
          <w:rFonts w:ascii="Times New Roman" w:hAnsi="Times New Roman"/>
          <w:bCs/>
          <w:color w:val="auto"/>
          <w:kern w:val="28"/>
          <w:sz w:val="22"/>
          <w:szCs w:val="22"/>
        </w:rPr>
      </w:pPr>
      <w:bookmarkStart w:id="19" w:name="_Ref525031088"/>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2</w:t>
      </w:r>
      <w:r w:rsidRPr="00000C6B">
        <w:rPr>
          <w:rFonts w:ascii="Times New Roman" w:hAnsi="Times New Roman"/>
          <w:color w:val="auto"/>
          <w:sz w:val="22"/>
          <w:szCs w:val="22"/>
        </w:rPr>
        <w:fldChar w:fldCharType="end"/>
      </w:r>
      <w:bookmarkEnd w:id="19"/>
      <w:r w:rsidR="00C5042A" w:rsidRPr="00000C6B">
        <w:rPr>
          <w:rFonts w:ascii="Times New Roman" w:hAnsi="Times New Roman"/>
          <w:bCs/>
          <w:color w:val="auto"/>
          <w:kern w:val="28"/>
          <w:sz w:val="22"/>
          <w:szCs w:val="22"/>
        </w:rPr>
        <w:t xml:space="preserve">: </w:t>
      </w:r>
      <w:r w:rsidR="004B1363" w:rsidRPr="00000C6B">
        <w:rPr>
          <w:rFonts w:ascii="Times New Roman" w:hAnsi="Times New Roman"/>
          <w:color w:val="auto"/>
          <w:sz w:val="22"/>
          <w:szCs w:val="22"/>
        </w:rPr>
        <w:t>R</w:t>
      </w:r>
      <w:r w:rsidR="00461E12" w:rsidRPr="00000C6B">
        <w:rPr>
          <w:rFonts w:ascii="Times New Roman" w:hAnsi="Times New Roman"/>
          <w:color w:val="auto"/>
          <w:sz w:val="22"/>
          <w:szCs w:val="22"/>
        </w:rPr>
        <w:t>isk characterisation components and key risk elements in the comprehensive national polio risk assessment process</w:t>
      </w:r>
    </w:p>
    <w:tbl>
      <w:tblPr>
        <w:tblStyle w:val="TableGrid"/>
        <w:tblW w:w="0" w:type="auto"/>
        <w:tblLook w:val="04A0" w:firstRow="1" w:lastRow="0" w:firstColumn="1" w:lastColumn="0" w:noHBand="0" w:noVBand="1"/>
        <w:tblCaption w:val="Table 2: Risk characterisation components and key risk elements in the comprehensive national polio risk assessment process"/>
        <w:tblDescription w:val="Table shows risk characterisation components and key risk elements in the comprehensive national polio risk assessment process"/>
      </w:tblPr>
      <w:tblGrid>
        <w:gridCol w:w="1592"/>
        <w:gridCol w:w="459"/>
        <w:gridCol w:w="4181"/>
        <w:gridCol w:w="2784"/>
      </w:tblGrid>
      <w:tr w:rsidR="00A9655E" w:rsidRPr="009A4877" w14:paraId="7CE65452" w14:textId="77777777" w:rsidTr="00A9655E">
        <w:trPr>
          <w:tblHeader/>
        </w:trPr>
        <w:tc>
          <w:tcPr>
            <w:tcW w:w="0" w:type="auto"/>
            <w:shd w:val="clear" w:color="auto" w:fill="D9D9D9" w:themeFill="background1" w:themeFillShade="D9"/>
          </w:tcPr>
          <w:p w14:paraId="1A95C6A9" w14:textId="77777777" w:rsidR="00A9655E" w:rsidRPr="009A4877" w:rsidRDefault="00A9655E" w:rsidP="009A4877">
            <w:pPr>
              <w:spacing w:after="0" w:line="240" w:lineRule="auto"/>
              <w:jc w:val="center"/>
              <w:rPr>
                <w:rFonts w:ascii="Times New Roman" w:hAnsi="Times New Roman"/>
                <w:b/>
                <w:bCs/>
                <w:kern w:val="28"/>
                <w:sz w:val="20"/>
                <w:szCs w:val="20"/>
              </w:rPr>
            </w:pPr>
            <w:r w:rsidRPr="009A4877">
              <w:rPr>
                <w:rFonts w:ascii="Times New Roman" w:hAnsi="Times New Roman"/>
                <w:b/>
                <w:bCs/>
                <w:kern w:val="28"/>
                <w:sz w:val="20"/>
                <w:szCs w:val="20"/>
              </w:rPr>
              <w:t xml:space="preserve">Risk assessment component </w:t>
            </w:r>
          </w:p>
          <w:p w14:paraId="7EF309B2" w14:textId="77777777" w:rsidR="00A9655E" w:rsidRPr="009A4877" w:rsidRDefault="00A9655E" w:rsidP="009A4877">
            <w:pPr>
              <w:spacing w:after="0" w:line="240" w:lineRule="auto"/>
              <w:jc w:val="center"/>
              <w:rPr>
                <w:rFonts w:ascii="Times New Roman" w:hAnsi="Times New Roman"/>
                <w:b/>
                <w:bCs/>
                <w:kern w:val="28"/>
                <w:sz w:val="20"/>
                <w:szCs w:val="20"/>
              </w:rPr>
            </w:pPr>
            <w:r w:rsidRPr="009A4877">
              <w:rPr>
                <w:rFonts w:ascii="Times New Roman" w:hAnsi="Times New Roman"/>
                <w:b/>
                <w:bCs/>
                <w:kern w:val="28"/>
                <w:sz w:val="20"/>
                <w:szCs w:val="20"/>
              </w:rPr>
              <w:t>(WHO Guidelines)</w:t>
            </w:r>
          </w:p>
        </w:tc>
        <w:tc>
          <w:tcPr>
            <w:tcW w:w="4633" w:type="dxa"/>
            <w:gridSpan w:val="2"/>
            <w:shd w:val="clear" w:color="auto" w:fill="D9D9D9" w:themeFill="background1" w:themeFillShade="D9"/>
          </w:tcPr>
          <w:p w14:paraId="4CC7FCBB" w14:textId="77777777" w:rsidR="00A9655E" w:rsidRPr="009A4877" w:rsidRDefault="00A9655E" w:rsidP="00A9655E">
            <w:pPr>
              <w:spacing w:after="0" w:line="240" w:lineRule="auto"/>
              <w:jc w:val="center"/>
              <w:rPr>
                <w:rFonts w:ascii="Times New Roman" w:hAnsi="Times New Roman"/>
                <w:b/>
                <w:bCs/>
                <w:kern w:val="28"/>
                <w:sz w:val="20"/>
                <w:szCs w:val="20"/>
              </w:rPr>
            </w:pPr>
            <w:r>
              <w:rPr>
                <w:rFonts w:ascii="Times New Roman" w:hAnsi="Times New Roman"/>
                <w:b/>
                <w:bCs/>
                <w:kern w:val="28"/>
                <w:sz w:val="20"/>
                <w:szCs w:val="20"/>
              </w:rPr>
              <w:t>Risk element</w:t>
            </w:r>
          </w:p>
        </w:tc>
        <w:tc>
          <w:tcPr>
            <w:tcW w:w="2784" w:type="dxa"/>
            <w:shd w:val="clear" w:color="auto" w:fill="D9D9D9" w:themeFill="background1" w:themeFillShade="D9"/>
          </w:tcPr>
          <w:p w14:paraId="2F377092" w14:textId="77777777" w:rsidR="00A9655E" w:rsidRPr="009A4877" w:rsidRDefault="00A9655E" w:rsidP="009A4877">
            <w:pPr>
              <w:spacing w:after="0" w:line="240" w:lineRule="auto"/>
              <w:jc w:val="center"/>
              <w:rPr>
                <w:rFonts w:ascii="Times New Roman" w:hAnsi="Times New Roman"/>
                <w:b/>
                <w:bCs/>
                <w:kern w:val="28"/>
                <w:sz w:val="20"/>
                <w:szCs w:val="20"/>
              </w:rPr>
            </w:pPr>
            <w:r>
              <w:rPr>
                <w:rFonts w:ascii="Times New Roman" w:hAnsi="Times New Roman"/>
                <w:b/>
                <w:bCs/>
                <w:kern w:val="28"/>
                <w:sz w:val="20"/>
                <w:szCs w:val="20"/>
              </w:rPr>
              <w:t>Sub-components</w:t>
            </w:r>
          </w:p>
        </w:tc>
      </w:tr>
      <w:tr w:rsidR="00A9655E" w:rsidRPr="009A4877" w14:paraId="29D2D8ED" w14:textId="77777777" w:rsidTr="00A9655E">
        <w:tc>
          <w:tcPr>
            <w:tcW w:w="0" w:type="auto"/>
          </w:tcPr>
          <w:p w14:paraId="2B3DD257" w14:textId="77777777" w:rsidR="00A9655E" w:rsidRPr="009A4877" w:rsidRDefault="00A9655E" w:rsidP="009A4877">
            <w:pPr>
              <w:spacing w:after="0" w:line="240" w:lineRule="auto"/>
              <w:rPr>
                <w:rFonts w:ascii="Times New Roman" w:hAnsi="Times New Roman"/>
                <w:bCs/>
                <w:kern w:val="28"/>
                <w:sz w:val="20"/>
                <w:szCs w:val="20"/>
              </w:rPr>
            </w:pPr>
          </w:p>
          <w:p w14:paraId="7DBB1384" w14:textId="77777777" w:rsidR="00A9655E" w:rsidRPr="009A4877" w:rsidRDefault="00A9655E" w:rsidP="00E2721E">
            <w:pPr>
              <w:spacing w:after="0" w:line="240" w:lineRule="auto"/>
              <w:ind w:left="113" w:right="113"/>
              <w:jc w:val="center"/>
              <w:rPr>
                <w:rFonts w:ascii="Times New Roman" w:hAnsi="Times New Roman"/>
                <w:b/>
                <w:bCs/>
                <w:kern w:val="28"/>
                <w:sz w:val="20"/>
                <w:szCs w:val="20"/>
              </w:rPr>
            </w:pPr>
            <w:r w:rsidRPr="009A4877">
              <w:rPr>
                <w:rFonts w:ascii="Times New Roman" w:hAnsi="Times New Roman"/>
                <w:b/>
                <w:bCs/>
                <w:kern w:val="28"/>
                <w:sz w:val="20"/>
                <w:szCs w:val="20"/>
              </w:rPr>
              <w:t>Hazard assessment</w:t>
            </w:r>
          </w:p>
        </w:tc>
        <w:tc>
          <w:tcPr>
            <w:tcW w:w="0" w:type="auto"/>
            <w:vMerge w:val="restart"/>
            <w:textDirection w:val="btLr"/>
          </w:tcPr>
          <w:p w14:paraId="0CE8ACD6" w14:textId="77777777" w:rsidR="00A9655E" w:rsidRPr="009A4877" w:rsidRDefault="00A9655E" w:rsidP="006F3508">
            <w:pPr>
              <w:spacing w:after="0" w:line="240" w:lineRule="auto"/>
              <w:ind w:left="113" w:right="113"/>
              <w:jc w:val="center"/>
              <w:rPr>
                <w:rFonts w:ascii="Times New Roman" w:hAnsi="Times New Roman"/>
                <w:b/>
                <w:bCs/>
                <w:kern w:val="28"/>
                <w:sz w:val="20"/>
                <w:szCs w:val="20"/>
              </w:rPr>
            </w:pPr>
            <w:r w:rsidRPr="009A4877">
              <w:rPr>
                <w:rFonts w:ascii="Times New Roman" w:hAnsi="Times New Roman"/>
                <w:b/>
                <w:bCs/>
                <w:kern w:val="28"/>
                <w:sz w:val="20"/>
                <w:szCs w:val="20"/>
              </w:rPr>
              <w:t>Likelihood</w:t>
            </w:r>
          </w:p>
        </w:tc>
        <w:tc>
          <w:tcPr>
            <w:tcW w:w="4181" w:type="dxa"/>
          </w:tcPr>
          <w:p w14:paraId="553B4736" w14:textId="77777777" w:rsidR="00A9655E" w:rsidRPr="00A9655E" w:rsidRDefault="00A9655E" w:rsidP="00A9655E">
            <w:pPr>
              <w:pStyle w:val="ListParagraph"/>
              <w:spacing w:after="0" w:line="240" w:lineRule="auto"/>
              <w:ind w:left="357"/>
              <w:rPr>
                <w:rFonts w:ascii="Times New Roman" w:hAnsi="Times New Roman"/>
                <w:b/>
                <w:bCs/>
                <w:kern w:val="28"/>
                <w:sz w:val="20"/>
                <w:szCs w:val="20"/>
              </w:rPr>
            </w:pPr>
            <w:r w:rsidRPr="00A9655E">
              <w:rPr>
                <w:rFonts w:ascii="Times New Roman" w:hAnsi="Times New Roman"/>
                <w:b/>
                <w:bCs/>
                <w:kern w:val="28"/>
                <w:sz w:val="20"/>
                <w:szCs w:val="20"/>
              </w:rPr>
              <w:t>Reintroduction hazard (H)</w:t>
            </w:r>
          </w:p>
          <w:p w14:paraId="5E27C8AB" w14:textId="77777777" w:rsidR="00A9655E" w:rsidRPr="009A4877" w:rsidRDefault="00A9655E" w:rsidP="009A4877">
            <w:pPr>
              <w:pStyle w:val="ListParagraph"/>
              <w:numPr>
                <w:ilvl w:val="0"/>
                <w:numId w:val="4"/>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 xml:space="preserve">Likelihood of poliovirus importation </w:t>
            </w:r>
          </w:p>
          <w:p w14:paraId="374A3119" w14:textId="77777777" w:rsidR="00A9655E" w:rsidRDefault="00A9655E" w:rsidP="009A4877">
            <w:pPr>
              <w:pStyle w:val="ListParagraph"/>
              <w:numPr>
                <w:ilvl w:val="0"/>
                <w:numId w:val="4"/>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Likelihood of laboratory containment failure</w:t>
            </w:r>
          </w:p>
          <w:p w14:paraId="344A51EB" w14:textId="77777777" w:rsidR="00A9655E" w:rsidRPr="009A4877" w:rsidRDefault="00A9655E" w:rsidP="00A9655E">
            <w:pPr>
              <w:pStyle w:val="ListParagraph"/>
              <w:spacing w:after="0" w:line="240" w:lineRule="auto"/>
              <w:ind w:left="357"/>
              <w:rPr>
                <w:rFonts w:ascii="Times New Roman" w:hAnsi="Times New Roman"/>
                <w:bCs/>
                <w:kern w:val="28"/>
                <w:sz w:val="20"/>
                <w:szCs w:val="20"/>
              </w:rPr>
            </w:pPr>
          </w:p>
        </w:tc>
        <w:tc>
          <w:tcPr>
            <w:tcW w:w="2784" w:type="dxa"/>
          </w:tcPr>
          <w:p w14:paraId="223562F0" w14:textId="77777777" w:rsidR="00A9655E" w:rsidRPr="00A9655E" w:rsidRDefault="00A9655E" w:rsidP="00A9655E">
            <w:pPr>
              <w:pStyle w:val="ListParagraph"/>
              <w:numPr>
                <w:ilvl w:val="0"/>
                <w:numId w:val="4"/>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Poliovirus importation threats</w:t>
            </w:r>
            <w:r w:rsidR="00843B04">
              <w:rPr>
                <w:rFonts w:ascii="Times New Roman" w:hAnsi="Times New Roman"/>
                <w:bCs/>
                <w:kern w:val="28"/>
                <w:sz w:val="20"/>
                <w:szCs w:val="20"/>
              </w:rPr>
              <w:t xml:space="preserve"> (infectious travellers)</w:t>
            </w:r>
          </w:p>
          <w:p w14:paraId="75215E5C" w14:textId="77777777" w:rsidR="00A9655E" w:rsidRPr="00A9655E" w:rsidRDefault="00A9655E" w:rsidP="009A4877">
            <w:pPr>
              <w:pStyle w:val="ListParagraph"/>
              <w:numPr>
                <w:ilvl w:val="0"/>
                <w:numId w:val="4"/>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Laboratory containment policies, practices and import regulations</w:t>
            </w:r>
          </w:p>
          <w:p w14:paraId="1C2DF313" w14:textId="77777777" w:rsidR="00A9655E" w:rsidRPr="009A4877" w:rsidRDefault="00A9655E" w:rsidP="009A4877">
            <w:pPr>
              <w:spacing w:after="0" w:line="240" w:lineRule="auto"/>
              <w:rPr>
                <w:rFonts w:ascii="Times New Roman" w:hAnsi="Times New Roman"/>
                <w:bCs/>
                <w:kern w:val="28"/>
                <w:sz w:val="20"/>
                <w:szCs w:val="20"/>
              </w:rPr>
            </w:pPr>
          </w:p>
        </w:tc>
      </w:tr>
      <w:tr w:rsidR="00A9655E" w:rsidRPr="009A4877" w14:paraId="168F9B40" w14:textId="77777777" w:rsidTr="00A9655E">
        <w:tc>
          <w:tcPr>
            <w:tcW w:w="0" w:type="auto"/>
          </w:tcPr>
          <w:p w14:paraId="18D8B858" w14:textId="77777777" w:rsidR="00A9655E" w:rsidRPr="009A4877" w:rsidRDefault="00A9655E" w:rsidP="00A9655E">
            <w:pPr>
              <w:spacing w:after="0" w:line="240" w:lineRule="auto"/>
              <w:jc w:val="center"/>
              <w:rPr>
                <w:rFonts w:ascii="Times New Roman" w:hAnsi="Times New Roman"/>
                <w:bCs/>
                <w:kern w:val="28"/>
                <w:sz w:val="20"/>
                <w:szCs w:val="20"/>
              </w:rPr>
            </w:pPr>
          </w:p>
          <w:p w14:paraId="4D24BCF1" w14:textId="77777777" w:rsidR="00A9655E" w:rsidRPr="009A4877" w:rsidRDefault="00A9655E" w:rsidP="00A9655E">
            <w:pPr>
              <w:spacing w:after="0" w:line="240" w:lineRule="auto"/>
              <w:jc w:val="center"/>
              <w:rPr>
                <w:rFonts w:ascii="Times New Roman" w:hAnsi="Times New Roman"/>
                <w:bCs/>
                <w:kern w:val="28"/>
                <w:sz w:val="20"/>
                <w:szCs w:val="20"/>
              </w:rPr>
            </w:pPr>
          </w:p>
          <w:p w14:paraId="15715381" w14:textId="77777777" w:rsidR="00A9655E" w:rsidRPr="009A4877" w:rsidRDefault="00A9655E" w:rsidP="00A9655E">
            <w:pPr>
              <w:spacing w:after="0" w:line="240" w:lineRule="auto"/>
              <w:jc w:val="center"/>
              <w:rPr>
                <w:rFonts w:ascii="Times New Roman" w:hAnsi="Times New Roman"/>
                <w:bCs/>
                <w:kern w:val="28"/>
                <w:sz w:val="20"/>
                <w:szCs w:val="20"/>
              </w:rPr>
            </w:pPr>
            <w:r w:rsidRPr="009A4877">
              <w:rPr>
                <w:rFonts w:ascii="Times New Roman" w:hAnsi="Times New Roman"/>
                <w:b/>
                <w:bCs/>
                <w:kern w:val="28"/>
                <w:sz w:val="20"/>
                <w:szCs w:val="20"/>
              </w:rPr>
              <w:t>Exposure assessment</w:t>
            </w:r>
          </w:p>
        </w:tc>
        <w:tc>
          <w:tcPr>
            <w:tcW w:w="0" w:type="auto"/>
            <w:vMerge/>
          </w:tcPr>
          <w:p w14:paraId="379D2932" w14:textId="77777777" w:rsidR="00A9655E" w:rsidRPr="009A4877" w:rsidRDefault="00A9655E" w:rsidP="009A4877">
            <w:pPr>
              <w:spacing w:after="0" w:line="240" w:lineRule="auto"/>
              <w:rPr>
                <w:rFonts w:ascii="Times New Roman" w:hAnsi="Times New Roman"/>
                <w:bCs/>
                <w:kern w:val="28"/>
                <w:sz w:val="20"/>
                <w:szCs w:val="20"/>
              </w:rPr>
            </w:pPr>
          </w:p>
        </w:tc>
        <w:tc>
          <w:tcPr>
            <w:tcW w:w="4181" w:type="dxa"/>
          </w:tcPr>
          <w:p w14:paraId="234238E2" w14:textId="77777777" w:rsidR="00A9655E" w:rsidRDefault="00A9655E" w:rsidP="00A9655E">
            <w:pPr>
              <w:pStyle w:val="ListParagraph"/>
              <w:spacing w:after="0" w:line="240" w:lineRule="auto"/>
              <w:ind w:left="357"/>
              <w:rPr>
                <w:rFonts w:ascii="Times New Roman" w:hAnsi="Times New Roman"/>
                <w:bCs/>
                <w:kern w:val="28"/>
                <w:sz w:val="20"/>
                <w:szCs w:val="20"/>
              </w:rPr>
            </w:pPr>
            <w:r w:rsidRPr="00A9655E">
              <w:rPr>
                <w:rFonts w:ascii="Times New Roman" w:hAnsi="Times New Roman"/>
                <w:b/>
                <w:bCs/>
                <w:kern w:val="28"/>
                <w:sz w:val="20"/>
                <w:szCs w:val="20"/>
              </w:rPr>
              <w:t>Population susceptibility (S</w:t>
            </w:r>
            <w:r>
              <w:rPr>
                <w:rFonts w:ascii="Times New Roman" w:hAnsi="Times New Roman"/>
                <w:bCs/>
                <w:kern w:val="28"/>
                <w:sz w:val="20"/>
                <w:szCs w:val="20"/>
              </w:rPr>
              <w:t>)</w:t>
            </w:r>
          </w:p>
          <w:p w14:paraId="3E8D0826" w14:textId="77777777" w:rsidR="00A9655E" w:rsidRPr="009A4877" w:rsidRDefault="00A9655E" w:rsidP="009A4877">
            <w:pPr>
              <w:pStyle w:val="ListParagraph"/>
              <w:numPr>
                <w:ilvl w:val="0"/>
                <w:numId w:val="5"/>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 xml:space="preserve">Likelihood of exposure to poliovirus, and establishment of infection and outbreak(s) in vulnerable subpopulations </w:t>
            </w:r>
          </w:p>
          <w:p w14:paraId="437E6FAC" w14:textId="77777777" w:rsidR="00A9655E" w:rsidRPr="009A4877" w:rsidRDefault="00A9655E" w:rsidP="009A4877">
            <w:pPr>
              <w:pStyle w:val="ListParagraph"/>
              <w:numPr>
                <w:ilvl w:val="0"/>
                <w:numId w:val="5"/>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Likelihood of sustained transmission of poliovirus in the general population</w:t>
            </w:r>
          </w:p>
          <w:p w14:paraId="648EF977" w14:textId="77777777" w:rsidR="00A9655E" w:rsidRPr="009A4877" w:rsidRDefault="00A9655E" w:rsidP="009A4877">
            <w:pPr>
              <w:pStyle w:val="ListParagraph"/>
              <w:spacing w:after="0" w:line="240" w:lineRule="auto"/>
              <w:ind w:left="357"/>
              <w:rPr>
                <w:rFonts w:ascii="Times New Roman" w:hAnsi="Times New Roman"/>
                <w:bCs/>
                <w:kern w:val="28"/>
                <w:sz w:val="20"/>
                <w:szCs w:val="20"/>
              </w:rPr>
            </w:pPr>
          </w:p>
        </w:tc>
        <w:tc>
          <w:tcPr>
            <w:tcW w:w="2784" w:type="dxa"/>
          </w:tcPr>
          <w:p w14:paraId="5C053E38" w14:textId="77777777" w:rsidR="00A9655E" w:rsidRPr="00A9655E" w:rsidRDefault="00A9655E" w:rsidP="00A9655E">
            <w:pPr>
              <w:pStyle w:val="ListParagraph"/>
              <w:numPr>
                <w:ilvl w:val="0"/>
                <w:numId w:val="43"/>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Population immunity profile, including vulnerable subpopulations</w:t>
            </w:r>
          </w:p>
          <w:p w14:paraId="5030CB13" w14:textId="77777777" w:rsidR="00A9655E" w:rsidRPr="00A9655E" w:rsidRDefault="00A9655E" w:rsidP="00A9655E">
            <w:pPr>
              <w:pStyle w:val="ListParagraph"/>
              <w:numPr>
                <w:ilvl w:val="0"/>
                <w:numId w:val="4"/>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National immunisation program (NIP) performance and delivery</w:t>
            </w:r>
          </w:p>
          <w:p w14:paraId="7AEB84D8" w14:textId="77777777" w:rsidR="00A9655E" w:rsidRPr="00A9655E" w:rsidRDefault="00A9655E" w:rsidP="00A9655E">
            <w:pPr>
              <w:pStyle w:val="ListParagraph"/>
              <w:numPr>
                <w:ilvl w:val="0"/>
                <w:numId w:val="4"/>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Population access to water, sanitation and hygiene (WASH) services</w:t>
            </w:r>
          </w:p>
          <w:p w14:paraId="385456B8" w14:textId="77777777" w:rsidR="00A9655E" w:rsidRPr="009A4877" w:rsidRDefault="00A9655E" w:rsidP="009A4877">
            <w:pPr>
              <w:spacing w:after="0" w:line="240" w:lineRule="auto"/>
              <w:rPr>
                <w:rFonts w:ascii="Times New Roman" w:hAnsi="Times New Roman"/>
                <w:bCs/>
                <w:kern w:val="28"/>
                <w:sz w:val="20"/>
                <w:szCs w:val="20"/>
              </w:rPr>
            </w:pPr>
          </w:p>
        </w:tc>
      </w:tr>
      <w:tr w:rsidR="00A9655E" w:rsidRPr="009A4877" w14:paraId="323A2637" w14:textId="77777777" w:rsidTr="00A9655E">
        <w:tc>
          <w:tcPr>
            <w:tcW w:w="0" w:type="auto"/>
            <w:vMerge w:val="restart"/>
          </w:tcPr>
          <w:p w14:paraId="1E43A7E4" w14:textId="77777777" w:rsidR="00A9655E" w:rsidRPr="009A4877" w:rsidRDefault="00A9655E" w:rsidP="00A9655E">
            <w:pPr>
              <w:spacing w:after="0" w:line="240" w:lineRule="auto"/>
              <w:jc w:val="center"/>
              <w:rPr>
                <w:rFonts w:ascii="Times New Roman" w:hAnsi="Times New Roman"/>
                <w:bCs/>
                <w:kern w:val="28"/>
                <w:sz w:val="20"/>
                <w:szCs w:val="20"/>
              </w:rPr>
            </w:pPr>
          </w:p>
          <w:p w14:paraId="248C8DCD" w14:textId="77777777" w:rsidR="00A9655E" w:rsidRPr="009A4877" w:rsidRDefault="00A9655E" w:rsidP="00A9655E">
            <w:pPr>
              <w:spacing w:after="0" w:line="240" w:lineRule="auto"/>
              <w:jc w:val="center"/>
              <w:rPr>
                <w:rFonts w:ascii="Times New Roman" w:hAnsi="Times New Roman"/>
                <w:bCs/>
                <w:kern w:val="28"/>
                <w:sz w:val="20"/>
                <w:szCs w:val="20"/>
              </w:rPr>
            </w:pPr>
          </w:p>
          <w:p w14:paraId="3F28BF40" w14:textId="77777777" w:rsidR="00A9655E" w:rsidRPr="009A4877" w:rsidRDefault="00A9655E" w:rsidP="00A9655E">
            <w:pPr>
              <w:spacing w:after="0" w:line="240" w:lineRule="auto"/>
              <w:jc w:val="center"/>
              <w:rPr>
                <w:rFonts w:ascii="Times New Roman" w:hAnsi="Times New Roman"/>
                <w:bCs/>
                <w:kern w:val="28"/>
                <w:sz w:val="20"/>
                <w:szCs w:val="20"/>
              </w:rPr>
            </w:pPr>
          </w:p>
          <w:p w14:paraId="193DC28F" w14:textId="77777777" w:rsidR="00A9655E" w:rsidRPr="009A4877" w:rsidRDefault="00A9655E" w:rsidP="00A9655E">
            <w:pPr>
              <w:spacing w:after="0" w:line="240" w:lineRule="auto"/>
              <w:ind w:left="113" w:right="113"/>
              <w:jc w:val="center"/>
              <w:rPr>
                <w:rFonts w:ascii="Times New Roman" w:hAnsi="Times New Roman"/>
                <w:bCs/>
                <w:kern w:val="28"/>
                <w:sz w:val="20"/>
                <w:szCs w:val="20"/>
              </w:rPr>
            </w:pPr>
            <w:r w:rsidRPr="009A4877">
              <w:rPr>
                <w:rFonts w:ascii="Times New Roman" w:hAnsi="Times New Roman"/>
                <w:b/>
                <w:bCs/>
                <w:kern w:val="28"/>
                <w:sz w:val="20"/>
                <w:szCs w:val="20"/>
              </w:rPr>
              <w:t>Context assessment</w:t>
            </w:r>
          </w:p>
        </w:tc>
        <w:tc>
          <w:tcPr>
            <w:tcW w:w="0" w:type="auto"/>
            <w:vMerge w:val="restart"/>
            <w:textDirection w:val="btLr"/>
          </w:tcPr>
          <w:p w14:paraId="715DA649" w14:textId="77777777" w:rsidR="00A9655E" w:rsidRPr="009A4877" w:rsidRDefault="00A9655E" w:rsidP="006F3508">
            <w:pPr>
              <w:spacing w:after="0" w:line="240" w:lineRule="auto"/>
              <w:ind w:left="113" w:right="113"/>
              <w:jc w:val="center"/>
              <w:rPr>
                <w:rFonts w:ascii="Times New Roman" w:hAnsi="Times New Roman"/>
                <w:b/>
                <w:bCs/>
                <w:kern w:val="28"/>
                <w:sz w:val="20"/>
                <w:szCs w:val="20"/>
              </w:rPr>
            </w:pPr>
            <w:r w:rsidRPr="009A4877">
              <w:rPr>
                <w:rFonts w:ascii="Times New Roman" w:hAnsi="Times New Roman"/>
                <w:b/>
                <w:bCs/>
                <w:kern w:val="28"/>
                <w:sz w:val="20"/>
                <w:szCs w:val="20"/>
              </w:rPr>
              <w:t>Impact</w:t>
            </w:r>
          </w:p>
          <w:p w14:paraId="30C14385" w14:textId="77777777" w:rsidR="00A9655E" w:rsidRPr="009A4877" w:rsidRDefault="00A9655E" w:rsidP="009A4877">
            <w:pPr>
              <w:spacing w:after="0" w:line="240" w:lineRule="auto"/>
              <w:ind w:left="113" w:right="113"/>
              <w:rPr>
                <w:rFonts w:ascii="Times New Roman" w:hAnsi="Times New Roman"/>
                <w:b/>
                <w:bCs/>
                <w:kern w:val="28"/>
                <w:sz w:val="20"/>
                <w:szCs w:val="20"/>
              </w:rPr>
            </w:pPr>
          </w:p>
        </w:tc>
        <w:tc>
          <w:tcPr>
            <w:tcW w:w="4181" w:type="dxa"/>
          </w:tcPr>
          <w:p w14:paraId="014808AE" w14:textId="77777777" w:rsidR="00A9655E" w:rsidRPr="00A9655E" w:rsidRDefault="00A9655E" w:rsidP="00A9655E">
            <w:pPr>
              <w:pStyle w:val="ListParagraph"/>
              <w:spacing w:after="0" w:line="240" w:lineRule="auto"/>
              <w:ind w:left="357"/>
              <w:rPr>
                <w:rFonts w:ascii="Times New Roman" w:hAnsi="Times New Roman"/>
                <w:b/>
                <w:bCs/>
                <w:kern w:val="28"/>
                <w:sz w:val="20"/>
                <w:szCs w:val="20"/>
              </w:rPr>
            </w:pPr>
            <w:r w:rsidRPr="00A9655E">
              <w:rPr>
                <w:rFonts w:ascii="Times New Roman" w:hAnsi="Times New Roman"/>
                <w:b/>
                <w:bCs/>
                <w:kern w:val="28"/>
                <w:sz w:val="20"/>
                <w:szCs w:val="20"/>
              </w:rPr>
              <w:t>Detection capability (D)</w:t>
            </w:r>
          </w:p>
          <w:p w14:paraId="4381BA00" w14:textId="77777777" w:rsidR="00A9655E" w:rsidRPr="009A4877" w:rsidRDefault="00A9655E" w:rsidP="009A4877">
            <w:pPr>
              <w:pStyle w:val="ListParagraph"/>
              <w:numPr>
                <w:ilvl w:val="0"/>
                <w:numId w:val="6"/>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Likelihood of delayed detection due to suboptimal surveillance, resulting in a significant disease burden at population level and associated public health social, economic, reputational and political consequences</w:t>
            </w:r>
          </w:p>
          <w:p w14:paraId="62C97415" w14:textId="77777777" w:rsidR="00A9655E" w:rsidRPr="009A4877" w:rsidRDefault="00A9655E" w:rsidP="009A4877">
            <w:pPr>
              <w:pStyle w:val="ListParagraph"/>
              <w:spacing w:after="0" w:line="240" w:lineRule="auto"/>
              <w:ind w:left="357"/>
              <w:rPr>
                <w:rFonts w:ascii="Times New Roman" w:hAnsi="Times New Roman"/>
                <w:bCs/>
                <w:kern w:val="28"/>
                <w:sz w:val="20"/>
                <w:szCs w:val="20"/>
              </w:rPr>
            </w:pPr>
          </w:p>
        </w:tc>
        <w:tc>
          <w:tcPr>
            <w:tcW w:w="2784" w:type="dxa"/>
          </w:tcPr>
          <w:p w14:paraId="65772603"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Poliovirus surveillance system quality and performance (clinical, enterovirus and environmental components)</w:t>
            </w:r>
          </w:p>
          <w:p w14:paraId="26FA3FDF"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 xml:space="preserve">Nationally notifiable status and supporting surveillance infrastructure </w:t>
            </w:r>
          </w:p>
          <w:p w14:paraId="69710E5F"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Track record of imported case and environmental detection event management and outcomes</w:t>
            </w:r>
          </w:p>
          <w:p w14:paraId="314153D7" w14:textId="77777777" w:rsidR="00A9655E" w:rsidRPr="009A4877" w:rsidRDefault="00A9655E" w:rsidP="00A9655E">
            <w:pPr>
              <w:spacing w:after="0" w:line="240" w:lineRule="auto"/>
              <w:rPr>
                <w:rFonts w:ascii="Times New Roman" w:hAnsi="Times New Roman"/>
                <w:bCs/>
                <w:kern w:val="28"/>
                <w:sz w:val="20"/>
                <w:szCs w:val="20"/>
              </w:rPr>
            </w:pPr>
          </w:p>
        </w:tc>
      </w:tr>
      <w:tr w:rsidR="00A9655E" w:rsidRPr="009A4877" w14:paraId="0B2D1D7C" w14:textId="77777777" w:rsidTr="00A9655E">
        <w:tc>
          <w:tcPr>
            <w:tcW w:w="0" w:type="auto"/>
            <w:vMerge/>
          </w:tcPr>
          <w:p w14:paraId="7BD8CDEA" w14:textId="77777777" w:rsidR="00A9655E" w:rsidRPr="009A4877" w:rsidRDefault="00A9655E" w:rsidP="009A4877">
            <w:pPr>
              <w:spacing w:after="0" w:line="240" w:lineRule="auto"/>
              <w:rPr>
                <w:rFonts w:ascii="Times New Roman" w:hAnsi="Times New Roman"/>
                <w:bCs/>
                <w:kern w:val="28"/>
                <w:sz w:val="20"/>
                <w:szCs w:val="20"/>
              </w:rPr>
            </w:pPr>
          </w:p>
        </w:tc>
        <w:tc>
          <w:tcPr>
            <w:tcW w:w="0" w:type="auto"/>
            <w:vMerge/>
          </w:tcPr>
          <w:p w14:paraId="47608437" w14:textId="77777777" w:rsidR="00A9655E" w:rsidRPr="009A4877" w:rsidRDefault="00A9655E" w:rsidP="009A4877">
            <w:pPr>
              <w:spacing w:after="0" w:line="240" w:lineRule="auto"/>
              <w:rPr>
                <w:rFonts w:ascii="Times New Roman" w:hAnsi="Times New Roman"/>
                <w:bCs/>
                <w:kern w:val="28"/>
                <w:sz w:val="20"/>
                <w:szCs w:val="20"/>
              </w:rPr>
            </w:pPr>
          </w:p>
        </w:tc>
        <w:tc>
          <w:tcPr>
            <w:tcW w:w="4181" w:type="dxa"/>
          </w:tcPr>
          <w:p w14:paraId="5CBD15B5" w14:textId="77777777" w:rsidR="00A9655E" w:rsidRPr="00A9655E" w:rsidRDefault="00A9655E" w:rsidP="00A9655E">
            <w:pPr>
              <w:pStyle w:val="ListParagraph"/>
              <w:spacing w:after="0" w:line="240" w:lineRule="auto"/>
              <w:ind w:left="357"/>
              <w:rPr>
                <w:rFonts w:ascii="Times New Roman" w:hAnsi="Times New Roman"/>
                <w:b/>
                <w:bCs/>
                <w:kern w:val="28"/>
                <w:sz w:val="20"/>
                <w:szCs w:val="20"/>
              </w:rPr>
            </w:pPr>
            <w:r w:rsidRPr="00A9655E">
              <w:rPr>
                <w:rFonts w:ascii="Times New Roman" w:hAnsi="Times New Roman"/>
                <w:b/>
                <w:bCs/>
                <w:kern w:val="28"/>
                <w:sz w:val="20"/>
                <w:szCs w:val="20"/>
              </w:rPr>
              <w:t>Response capability (R)</w:t>
            </w:r>
          </w:p>
          <w:p w14:paraId="5CF6B7E3" w14:textId="77777777" w:rsidR="00A9655E" w:rsidRPr="009A4877" w:rsidRDefault="00A9655E" w:rsidP="009A4877">
            <w:pPr>
              <w:pStyle w:val="ListParagraph"/>
              <w:numPr>
                <w:ilvl w:val="0"/>
                <w:numId w:val="6"/>
              </w:numPr>
              <w:spacing w:after="0" w:line="240" w:lineRule="auto"/>
              <w:ind w:left="357"/>
              <w:rPr>
                <w:rFonts w:ascii="Times New Roman" w:hAnsi="Times New Roman"/>
                <w:bCs/>
                <w:kern w:val="28"/>
                <w:sz w:val="20"/>
                <w:szCs w:val="20"/>
              </w:rPr>
            </w:pPr>
            <w:r w:rsidRPr="009A4877">
              <w:rPr>
                <w:rFonts w:ascii="Times New Roman" w:hAnsi="Times New Roman"/>
                <w:bCs/>
                <w:kern w:val="28"/>
                <w:sz w:val="20"/>
                <w:szCs w:val="20"/>
              </w:rPr>
              <w:t>Likelihood of a suboptimal outbreak response, or other external factors contributing to a failure of containment and control, resulting in a significant disease burden at population level and associated public health, social, economic, reputational and political consequences</w:t>
            </w:r>
          </w:p>
          <w:p w14:paraId="7FF97852" w14:textId="77777777" w:rsidR="00A9655E" w:rsidRPr="009A4877" w:rsidRDefault="00A9655E" w:rsidP="009A4877">
            <w:pPr>
              <w:pStyle w:val="ListParagraph"/>
              <w:spacing w:after="0" w:line="240" w:lineRule="auto"/>
              <w:ind w:left="357"/>
              <w:rPr>
                <w:rFonts w:ascii="Times New Roman" w:hAnsi="Times New Roman"/>
                <w:bCs/>
                <w:kern w:val="28"/>
                <w:sz w:val="20"/>
                <w:szCs w:val="20"/>
              </w:rPr>
            </w:pPr>
          </w:p>
        </w:tc>
        <w:tc>
          <w:tcPr>
            <w:tcW w:w="2784" w:type="dxa"/>
          </w:tcPr>
          <w:p w14:paraId="2089E178"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Health system infrastructure, system and IHR core capacities</w:t>
            </w:r>
          </w:p>
          <w:p w14:paraId="649B7FD9"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Polio outbreak response preparedness</w:t>
            </w:r>
          </w:p>
          <w:p w14:paraId="3C849E12" w14:textId="77777777" w:rsidR="00A9655E" w:rsidRPr="00A9655E" w:rsidRDefault="00A9655E" w:rsidP="00A9655E">
            <w:pPr>
              <w:pStyle w:val="ListParagraph"/>
              <w:numPr>
                <w:ilvl w:val="0"/>
                <w:numId w:val="42"/>
              </w:numPr>
              <w:spacing w:after="0" w:line="240" w:lineRule="auto"/>
              <w:rPr>
                <w:rFonts w:ascii="Times New Roman" w:hAnsi="Times New Roman"/>
                <w:bCs/>
                <w:kern w:val="28"/>
                <w:sz w:val="20"/>
                <w:szCs w:val="20"/>
              </w:rPr>
            </w:pPr>
            <w:r w:rsidRPr="00A9655E">
              <w:rPr>
                <w:rFonts w:ascii="Times New Roman" w:hAnsi="Times New Roman"/>
                <w:bCs/>
                <w:kern w:val="28"/>
                <w:sz w:val="20"/>
                <w:szCs w:val="20"/>
              </w:rPr>
              <w:t xml:space="preserve">Socio-political stability </w:t>
            </w:r>
          </w:p>
          <w:p w14:paraId="46B0E424" w14:textId="77777777" w:rsidR="00A9655E" w:rsidRPr="009A4877" w:rsidRDefault="00A9655E" w:rsidP="00A9655E">
            <w:pPr>
              <w:spacing w:after="0" w:line="240" w:lineRule="auto"/>
              <w:rPr>
                <w:rFonts w:ascii="Times New Roman" w:hAnsi="Times New Roman"/>
                <w:bCs/>
                <w:kern w:val="28"/>
                <w:sz w:val="20"/>
                <w:szCs w:val="20"/>
              </w:rPr>
            </w:pPr>
          </w:p>
        </w:tc>
      </w:tr>
    </w:tbl>
    <w:p w14:paraId="5CD0E0CE" w14:textId="77777777" w:rsidR="005D7CE4" w:rsidRDefault="005D7CE4" w:rsidP="005D7CE4">
      <w:r>
        <w:br w:type="page"/>
      </w:r>
    </w:p>
    <w:p w14:paraId="544D38F8" w14:textId="77777777" w:rsidR="00FA2DFE" w:rsidRPr="00CE0131" w:rsidRDefault="00FA2DFE" w:rsidP="00E6443C">
      <w:pPr>
        <w:pStyle w:val="Heading2"/>
        <w:pBdr>
          <w:top w:val="none" w:sz="0" w:space="0" w:color="auto"/>
          <w:bottom w:val="none" w:sz="0" w:space="0" w:color="auto"/>
        </w:pBdr>
        <w:rPr>
          <w:rFonts w:ascii="Arial" w:hAnsi="Arial" w:cs="Arial"/>
          <w:b/>
          <w:sz w:val="22"/>
          <w:szCs w:val="22"/>
        </w:rPr>
      </w:pPr>
      <w:bookmarkStart w:id="20" w:name="_Toc20238589"/>
      <w:r w:rsidRPr="00CE0131">
        <w:rPr>
          <w:rFonts w:ascii="Arial" w:hAnsi="Arial" w:cs="Arial"/>
          <w:b/>
          <w:sz w:val="22"/>
          <w:szCs w:val="22"/>
        </w:rPr>
        <w:lastRenderedPageBreak/>
        <w:t>Develop focused risk questions</w:t>
      </w:r>
      <w:r w:rsidR="004B1363" w:rsidRPr="00CE0131">
        <w:rPr>
          <w:rFonts w:ascii="Arial" w:hAnsi="Arial" w:cs="Arial"/>
          <w:b/>
          <w:sz w:val="22"/>
          <w:szCs w:val="22"/>
        </w:rPr>
        <w:t xml:space="preserve"> to address each risk element</w:t>
      </w:r>
      <w:bookmarkEnd w:id="20"/>
    </w:p>
    <w:p w14:paraId="318F5EC8" w14:textId="77777777" w:rsidR="00C04EA1" w:rsidRDefault="00B57877" w:rsidP="00256AA8">
      <w:pPr>
        <w:spacing w:after="160" w:line="259" w:lineRule="auto"/>
        <w:jc w:val="both"/>
        <w:rPr>
          <w:rFonts w:ascii="Times New Roman" w:hAnsi="Times New Roman"/>
          <w:bCs/>
          <w:kern w:val="28"/>
          <w:sz w:val="22"/>
        </w:rPr>
      </w:pPr>
      <w:r w:rsidRPr="00256AA8">
        <w:rPr>
          <w:rFonts w:ascii="Times New Roman" w:hAnsi="Times New Roman"/>
          <w:bCs/>
          <w:kern w:val="28"/>
          <w:sz w:val="22"/>
        </w:rPr>
        <w:t xml:space="preserve">The next step in the process involves reframing of the risk </w:t>
      </w:r>
      <w:r w:rsidR="004B1363" w:rsidRPr="00256AA8">
        <w:rPr>
          <w:rFonts w:ascii="Times New Roman" w:hAnsi="Times New Roman"/>
          <w:bCs/>
          <w:kern w:val="28"/>
          <w:sz w:val="22"/>
        </w:rPr>
        <w:t xml:space="preserve">characterisation </w:t>
      </w:r>
      <w:r w:rsidRPr="00256AA8">
        <w:rPr>
          <w:rFonts w:ascii="Times New Roman" w:hAnsi="Times New Roman"/>
          <w:bCs/>
          <w:kern w:val="28"/>
          <w:sz w:val="22"/>
        </w:rPr>
        <w:t>components into eight, more specific, focused risk questions (A – H) that the assessment will seek to answer</w:t>
      </w:r>
      <w:r w:rsidR="004B1363" w:rsidRPr="00256AA8">
        <w:rPr>
          <w:rFonts w:ascii="Times New Roman" w:hAnsi="Times New Roman"/>
          <w:bCs/>
          <w:kern w:val="28"/>
          <w:sz w:val="22"/>
        </w:rPr>
        <w:t xml:space="preserve"> to address each risk element </w:t>
      </w:r>
      <w:r w:rsidRPr="00256AA8">
        <w:rPr>
          <w:rFonts w:ascii="Times New Roman" w:hAnsi="Times New Roman"/>
          <w:bCs/>
          <w:kern w:val="28"/>
          <w:sz w:val="22"/>
        </w:rPr>
        <w:t>(</w:t>
      </w:r>
      <w:r w:rsidR="00C5042A" w:rsidRPr="00256AA8">
        <w:rPr>
          <w:rFonts w:ascii="Times New Roman" w:hAnsi="Times New Roman"/>
          <w:bCs/>
          <w:kern w:val="28"/>
          <w:sz w:val="22"/>
        </w:rPr>
        <w:fldChar w:fldCharType="begin"/>
      </w:r>
      <w:r w:rsidR="00C5042A" w:rsidRPr="00256AA8">
        <w:rPr>
          <w:rFonts w:ascii="Times New Roman" w:hAnsi="Times New Roman"/>
          <w:bCs/>
          <w:kern w:val="28"/>
          <w:sz w:val="22"/>
        </w:rPr>
        <w:instrText xml:space="preserve"> REF _Ref525031138 \h </w:instrText>
      </w:r>
      <w:r w:rsidR="00256AA8" w:rsidRPr="00256AA8">
        <w:rPr>
          <w:rFonts w:ascii="Times New Roman" w:hAnsi="Times New Roman"/>
          <w:bCs/>
          <w:kern w:val="28"/>
          <w:sz w:val="22"/>
        </w:rPr>
        <w:instrText xml:space="preserve"> \* MERGEFORMAT </w:instrText>
      </w:r>
      <w:r w:rsidR="00C5042A" w:rsidRPr="00256AA8">
        <w:rPr>
          <w:rFonts w:ascii="Times New Roman" w:hAnsi="Times New Roman"/>
          <w:bCs/>
          <w:kern w:val="28"/>
          <w:sz w:val="22"/>
        </w:rPr>
      </w:r>
      <w:r w:rsidR="00C5042A" w:rsidRPr="00256AA8">
        <w:rPr>
          <w:rFonts w:ascii="Times New Roman" w:hAnsi="Times New Roman"/>
          <w:bCs/>
          <w:kern w:val="28"/>
          <w:sz w:val="22"/>
        </w:rPr>
        <w:fldChar w:fldCharType="separate"/>
      </w:r>
      <w:r w:rsidR="00AE3396" w:rsidRPr="00256AA8">
        <w:rPr>
          <w:rFonts w:ascii="Times New Roman" w:hAnsi="Times New Roman"/>
          <w:color w:val="auto"/>
          <w:sz w:val="22"/>
        </w:rPr>
        <w:t xml:space="preserve">Table </w:t>
      </w:r>
      <w:r w:rsidR="00AE3396" w:rsidRPr="00256AA8">
        <w:rPr>
          <w:rFonts w:ascii="Times New Roman" w:hAnsi="Times New Roman"/>
          <w:noProof/>
          <w:color w:val="auto"/>
          <w:sz w:val="22"/>
        </w:rPr>
        <w:t>3</w:t>
      </w:r>
      <w:r w:rsidR="00C5042A" w:rsidRPr="00256AA8">
        <w:rPr>
          <w:rFonts w:ascii="Times New Roman" w:hAnsi="Times New Roman"/>
          <w:bCs/>
          <w:kern w:val="28"/>
          <w:sz w:val="22"/>
        </w:rPr>
        <w:fldChar w:fldCharType="end"/>
      </w:r>
      <w:r w:rsidR="00C5042A" w:rsidRPr="00256AA8">
        <w:rPr>
          <w:rFonts w:ascii="Times New Roman" w:hAnsi="Times New Roman"/>
          <w:bCs/>
          <w:kern w:val="28"/>
          <w:sz w:val="22"/>
        </w:rPr>
        <w:t>).</w:t>
      </w:r>
    </w:p>
    <w:p w14:paraId="6433EC94" w14:textId="77777777" w:rsidR="00000C6B" w:rsidRPr="00256AA8" w:rsidRDefault="00000C6B" w:rsidP="00256AA8">
      <w:pPr>
        <w:spacing w:after="160" w:line="259" w:lineRule="auto"/>
        <w:jc w:val="both"/>
        <w:rPr>
          <w:rFonts w:ascii="Times New Roman" w:hAnsi="Times New Roman"/>
          <w:bCs/>
          <w:kern w:val="28"/>
          <w:sz w:val="22"/>
        </w:rPr>
      </w:pPr>
    </w:p>
    <w:p w14:paraId="3707E65F" w14:textId="77777777" w:rsidR="008538FB" w:rsidRPr="00000C6B" w:rsidRDefault="00C5042A" w:rsidP="00C5042A">
      <w:pPr>
        <w:pStyle w:val="Caption"/>
        <w:rPr>
          <w:rFonts w:ascii="Times New Roman" w:hAnsi="Times New Roman"/>
          <w:b w:val="0"/>
          <w:bCs/>
          <w:color w:val="auto"/>
          <w:kern w:val="28"/>
          <w:sz w:val="22"/>
          <w:szCs w:val="22"/>
        </w:rPr>
      </w:pPr>
      <w:bookmarkStart w:id="21" w:name="_Ref525031138"/>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3</w:t>
      </w:r>
      <w:r w:rsidRPr="00000C6B">
        <w:rPr>
          <w:rFonts w:ascii="Times New Roman" w:hAnsi="Times New Roman"/>
          <w:color w:val="auto"/>
          <w:sz w:val="22"/>
          <w:szCs w:val="22"/>
        </w:rPr>
        <w:fldChar w:fldCharType="end"/>
      </w:r>
      <w:bookmarkEnd w:id="21"/>
      <w:r w:rsidR="008538FB" w:rsidRPr="00000C6B">
        <w:rPr>
          <w:rFonts w:ascii="Times New Roman" w:hAnsi="Times New Roman"/>
          <w:color w:val="auto"/>
          <w:sz w:val="22"/>
          <w:szCs w:val="22"/>
        </w:rPr>
        <w:t xml:space="preserve">:  Focused risk questions, categorised by </w:t>
      </w:r>
      <w:r w:rsidR="004B1363" w:rsidRPr="00000C6B">
        <w:rPr>
          <w:rFonts w:ascii="Times New Roman" w:hAnsi="Times New Roman"/>
          <w:color w:val="auto"/>
          <w:sz w:val="22"/>
          <w:szCs w:val="22"/>
        </w:rPr>
        <w:t xml:space="preserve">key </w:t>
      </w:r>
      <w:r w:rsidR="008538FB" w:rsidRPr="00000C6B">
        <w:rPr>
          <w:rFonts w:ascii="Times New Roman" w:hAnsi="Times New Roman"/>
          <w:color w:val="auto"/>
          <w:sz w:val="22"/>
          <w:szCs w:val="22"/>
        </w:rPr>
        <w:t>risk element</w:t>
      </w:r>
    </w:p>
    <w:tbl>
      <w:tblPr>
        <w:tblStyle w:val="TableGrid"/>
        <w:tblW w:w="0" w:type="auto"/>
        <w:tblLook w:val="04A0" w:firstRow="1" w:lastRow="0" w:firstColumn="1" w:lastColumn="0" w:noHBand="0" w:noVBand="1"/>
        <w:tblCaption w:val="Table 3:  Focused risk questions, categorised by key risk element"/>
        <w:tblDescription w:val="Table shows focused risk questions, categorised by key risk element"/>
      </w:tblPr>
      <w:tblGrid>
        <w:gridCol w:w="1789"/>
        <w:gridCol w:w="7227"/>
      </w:tblGrid>
      <w:tr w:rsidR="008538FB" w:rsidRPr="00256AA8" w14:paraId="713783B5" w14:textId="77777777" w:rsidTr="003E2305">
        <w:trPr>
          <w:tblHeader/>
        </w:trPr>
        <w:tc>
          <w:tcPr>
            <w:tcW w:w="0" w:type="auto"/>
            <w:shd w:val="clear" w:color="auto" w:fill="D9D9D9" w:themeFill="background1" w:themeFillShade="D9"/>
          </w:tcPr>
          <w:p w14:paraId="451DA6F9" w14:textId="77777777" w:rsidR="008538FB" w:rsidRPr="00256AA8" w:rsidRDefault="008538FB" w:rsidP="00256AA8">
            <w:pPr>
              <w:spacing w:after="0" w:line="240" w:lineRule="auto"/>
              <w:jc w:val="center"/>
              <w:rPr>
                <w:rFonts w:ascii="Times New Roman" w:hAnsi="Times New Roman"/>
                <w:b/>
                <w:bCs/>
                <w:kern w:val="28"/>
                <w:sz w:val="20"/>
                <w:szCs w:val="20"/>
              </w:rPr>
            </w:pPr>
            <w:r w:rsidRPr="00256AA8">
              <w:rPr>
                <w:rFonts w:ascii="Times New Roman" w:hAnsi="Times New Roman"/>
                <w:b/>
                <w:bCs/>
                <w:kern w:val="28"/>
                <w:sz w:val="20"/>
                <w:szCs w:val="20"/>
              </w:rPr>
              <w:t>Risk element</w:t>
            </w:r>
          </w:p>
        </w:tc>
        <w:tc>
          <w:tcPr>
            <w:tcW w:w="0" w:type="auto"/>
            <w:shd w:val="clear" w:color="auto" w:fill="D9D9D9" w:themeFill="background1" w:themeFillShade="D9"/>
          </w:tcPr>
          <w:p w14:paraId="1D9B7DD8" w14:textId="77777777" w:rsidR="008538FB" w:rsidRPr="00256AA8" w:rsidRDefault="008538FB" w:rsidP="00256AA8">
            <w:pPr>
              <w:spacing w:after="0" w:line="240" w:lineRule="auto"/>
              <w:jc w:val="center"/>
              <w:rPr>
                <w:rFonts w:ascii="Times New Roman" w:hAnsi="Times New Roman"/>
                <w:b/>
                <w:bCs/>
                <w:kern w:val="28"/>
                <w:sz w:val="20"/>
                <w:szCs w:val="20"/>
              </w:rPr>
            </w:pPr>
            <w:r w:rsidRPr="00256AA8">
              <w:rPr>
                <w:rFonts w:ascii="Times New Roman" w:hAnsi="Times New Roman"/>
                <w:b/>
                <w:bCs/>
                <w:kern w:val="28"/>
                <w:sz w:val="20"/>
                <w:szCs w:val="20"/>
              </w:rPr>
              <w:t>Focused risk question</w:t>
            </w:r>
          </w:p>
        </w:tc>
      </w:tr>
      <w:tr w:rsidR="008538FB" w:rsidRPr="00256AA8" w14:paraId="5045A385" w14:textId="77777777" w:rsidTr="006C30CC">
        <w:tc>
          <w:tcPr>
            <w:tcW w:w="0" w:type="auto"/>
          </w:tcPr>
          <w:p w14:paraId="79C4B874" w14:textId="77777777" w:rsidR="00A13A41" w:rsidRPr="00256AA8" w:rsidRDefault="00256AA8" w:rsidP="00A9655E">
            <w:pPr>
              <w:spacing w:after="0" w:line="240" w:lineRule="auto"/>
              <w:jc w:val="center"/>
              <w:rPr>
                <w:rFonts w:ascii="Times New Roman" w:hAnsi="Times New Roman"/>
                <w:b/>
                <w:bCs/>
                <w:kern w:val="28"/>
                <w:sz w:val="20"/>
                <w:szCs w:val="20"/>
              </w:rPr>
            </w:pPr>
            <w:r>
              <w:rPr>
                <w:rFonts w:ascii="Times New Roman" w:hAnsi="Times New Roman"/>
                <w:b/>
                <w:bCs/>
                <w:kern w:val="28"/>
                <w:sz w:val="20"/>
                <w:szCs w:val="20"/>
              </w:rPr>
              <w:t>Reintroduction hazard</w:t>
            </w:r>
            <w:r w:rsidR="008538FB" w:rsidRPr="00256AA8">
              <w:rPr>
                <w:rFonts w:ascii="Times New Roman" w:hAnsi="Times New Roman"/>
                <w:b/>
                <w:bCs/>
                <w:kern w:val="28"/>
                <w:sz w:val="20"/>
                <w:szCs w:val="20"/>
              </w:rPr>
              <w:t xml:space="preserve"> (H)</w:t>
            </w:r>
          </w:p>
          <w:p w14:paraId="0AE5242B" w14:textId="77777777" w:rsidR="008538FB" w:rsidRPr="00256AA8" w:rsidRDefault="008538FB" w:rsidP="00A9655E">
            <w:pPr>
              <w:spacing w:after="0" w:line="240" w:lineRule="auto"/>
              <w:jc w:val="center"/>
              <w:rPr>
                <w:rFonts w:ascii="Times New Roman" w:hAnsi="Times New Roman"/>
                <w:bCs/>
                <w:kern w:val="28"/>
                <w:sz w:val="20"/>
                <w:szCs w:val="20"/>
              </w:rPr>
            </w:pPr>
          </w:p>
        </w:tc>
        <w:tc>
          <w:tcPr>
            <w:tcW w:w="0" w:type="auto"/>
          </w:tcPr>
          <w:p w14:paraId="13A93A00" w14:textId="77777777" w:rsidR="008538FB" w:rsidRPr="00256AA8" w:rsidRDefault="008538FB" w:rsidP="00256AA8">
            <w:pPr>
              <w:pStyle w:val="ListParagraph"/>
              <w:numPr>
                <w:ilvl w:val="0"/>
                <w:numId w:val="7"/>
              </w:numPr>
              <w:spacing w:after="0" w:line="240" w:lineRule="auto"/>
              <w:rPr>
                <w:rFonts w:ascii="Times New Roman" w:hAnsi="Times New Roman"/>
                <w:bCs/>
                <w:i/>
                <w:kern w:val="28"/>
                <w:sz w:val="20"/>
                <w:szCs w:val="20"/>
              </w:rPr>
            </w:pPr>
            <w:r w:rsidRPr="00256AA8">
              <w:rPr>
                <w:rFonts w:ascii="Times New Roman" w:hAnsi="Times New Roman"/>
                <w:i/>
                <w:sz w:val="20"/>
                <w:szCs w:val="20"/>
              </w:rPr>
              <w:t>What is the likelihood of</w:t>
            </w:r>
            <w:r w:rsidR="00256AA8">
              <w:rPr>
                <w:rFonts w:ascii="Times New Roman" w:hAnsi="Times New Roman"/>
                <w:i/>
                <w:sz w:val="20"/>
                <w:szCs w:val="20"/>
              </w:rPr>
              <w:t xml:space="preserve"> wild-type poliovirus (WPV) or </w:t>
            </w:r>
            <w:r w:rsidR="004D1706" w:rsidRPr="00256AA8">
              <w:rPr>
                <w:rFonts w:ascii="Times New Roman" w:hAnsi="Times New Roman"/>
                <w:i/>
                <w:sz w:val="20"/>
                <w:szCs w:val="20"/>
              </w:rPr>
              <w:t>vaccine-derived poliovirus (</w:t>
            </w:r>
            <w:r w:rsidRPr="00256AA8">
              <w:rPr>
                <w:rFonts w:ascii="Times New Roman" w:hAnsi="Times New Roman"/>
                <w:i/>
                <w:sz w:val="20"/>
                <w:szCs w:val="20"/>
              </w:rPr>
              <w:t>VDPV) importation through an infectious traveller? (Australian citizens and residents included)</w:t>
            </w:r>
          </w:p>
          <w:p w14:paraId="5E22C433" w14:textId="77777777" w:rsidR="008538FB" w:rsidRPr="00256AA8" w:rsidRDefault="008538FB" w:rsidP="00256AA8">
            <w:pPr>
              <w:pStyle w:val="ListParagraph"/>
              <w:numPr>
                <w:ilvl w:val="0"/>
                <w:numId w:val="7"/>
              </w:numPr>
              <w:spacing w:after="0" w:line="240" w:lineRule="auto"/>
              <w:rPr>
                <w:rFonts w:ascii="Times New Roman" w:hAnsi="Times New Roman"/>
                <w:bCs/>
                <w:i/>
                <w:kern w:val="28"/>
                <w:sz w:val="20"/>
                <w:szCs w:val="20"/>
              </w:rPr>
            </w:pPr>
            <w:r w:rsidRPr="00256AA8">
              <w:rPr>
                <w:rFonts w:ascii="Times New Roman" w:hAnsi="Times New Roman"/>
                <w:bCs/>
                <w:i/>
                <w:kern w:val="28"/>
                <w:sz w:val="20"/>
                <w:szCs w:val="20"/>
              </w:rPr>
              <w:t>What is the likelihood of poliovirus reintroduction associated with a failure in laboratory containment policies, practices or import regulations?</w:t>
            </w:r>
          </w:p>
          <w:p w14:paraId="76CDCD30" w14:textId="77777777" w:rsidR="008538FB" w:rsidRPr="00256AA8" w:rsidRDefault="008538FB" w:rsidP="00256AA8">
            <w:pPr>
              <w:pStyle w:val="ListParagraph"/>
              <w:spacing w:after="0" w:line="240" w:lineRule="auto"/>
              <w:ind w:left="468"/>
              <w:rPr>
                <w:rFonts w:ascii="Times New Roman" w:hAnsi="Times New Roman"/>
                <w:bCs/>
                <w:i/>
                <w:kern w:val="28"/>
                <w:sz w:val="20"/>
                <w:szCs w:val="20"/>
              </w:rPr>
            </w:pPr>
            <w:r w:rsidRPr="00256AA8">
              <w:rPr>
                <w:rFonts w:ascii="Times New Roman" w:hAnsi="Times New Roman"/>
                <w:bCs/>
                <w:i/>
                <w:kern w:val="28"/>
                <w:sz w:val="20"/>
                <w:szCs w:val="20"/>
              </w:rPr>
              <w:t xml:space="preserve"> </w:t>
            </w:r>
          </w:p>
        </w:tc>
      </w:tr>
      <w:tr w:rsidR="008538FB" w:rsidRPr="00256AA8" w14:paraId="42EF2597" w14:textId="77777777" w:rsidTr="006C30CC">
        <w:tc>
          <w:tcPr>
            <w:tcW w:w="0" w:type="auto"/>
          </w:tcPr>
          <w:p w14:paraId="1A9F138A" w14:textId="77777777" w:rsidR="008538FB" w:rsidRPr="00256AA8" w:rsidRDefault="00256AA8" w:rsidP="00A9655E">
            <w:pPr>
              <w:spacing w:after="0" w:line="240" w:lineRule="auto"/>
              <w:jc w:val="center"/>
              <w:rPr>
                <w:rFonts w:ascii="Times New Roman" w:hAnsi="Times New Roman"/>
                <w:b/>
                <w:bCs/>
                <w:kern w:val="28"/>
                <w:sz w:val="20"/>
                <w:szCs w:val="20"/>
              </w:rPr>
            </w:pPr>
            <w:r>
              <w:rPr>
                <w:rFonts w:ascii="Times New Roman" w:hAnsi="Times New Roman"/>
                <w:b/>
                <w:bCs/>
                <w:kern w:val="28"/>
                <w:sz w:val="20"/>
                <w:szCs w:val="20"/>
              </w:rPr>
              <w:t xml:space="preserve">Population susceptibility </w:t>
            </w:r>
            <w:r w:rsidR="008538FB" w:rsidRPr="00256AA8">
              <w:rPr>
                <w:rFonts w:ascii="Times New Roman" w:hAnsi="Times New Roman"/>
                <w:b/>
                <w:bCs/>
                <w:kern w:val="28"/>
                <w:sz w:val="20"/>
                <w:szCs w:val="20"/>
              </w:rPr>
              <w:t>(S)</w:t>
            </w:r>
          </w:p>
        </w:tc>
        <w:tc>
          <w:tcPr>
            <w:tcW w:w="0" w:type="auto"/>
          </w:tcPr>
          <w:p w14:paraId="63BD5006" w14:textId="77777777" w:rsidR="008538FB" w:rsidRPr="00256AA8" w:rsidRDefault="008538FB"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Which population groups have the highest likelihood of exposure to poliovirus infection</w:t>
            </w:r>
            <w:r w:rsidR="007B5536" w:rsidRPr="00256AA8">
              <w:rPr>
                <w:rFonts w:ascii="Times New Roman" w:hAnsi="Times New Roman"/>
                <w:i/>
                <w:sz w:val="20"/>
                <w:szCs w:val="20"/>
              </w:rPr>
              <w:t xml:space="preserve"> (vulnerable</w:t>
            </w:r>
            <w:r w:rsidRPr="00256AA8">
              <w:rPr>
                <w:rFonts w:ascii="Times New Roman" w:hAnsi="Times New Roman"/>
                <w:i/>
                <w:sz w:val="20"/>
                <w:szCs w:val="20"/>
              </w:rPr>
              <w:t xml:space="preserve"> </w:t>
            </w:r>
            <w:r w:rsidR="00AA5801" w:rsidRPr="00256AA8">
              <w:rPr>
                <w:rFonts w:ascii="Times New Roman" w:hAnsi="Times New Roman"/>
                <w:i/>
                <w:sz w:val="20"/>
                <w:szCs w:val="20"/>
              </w:rPr>
              <w:t>sub</w:t>
            </w:r>
            <w:r w:rsidRPr="00256AA8">
              <w:rPr>
                <w:rFonts w:ascii="Times New Roman" w:hAnsi="Times New Roman"/>
                <w:i/>
                <w:sz w:val="20"/>
                <w:szCs w:val="20"/>
              </w:rPr>
              <w:t>populations)?</w:t>
            </w:r>
          </w:p>
          <w:p w14:paraId="70B3ED8A" w14:textId="77777777" w:rsidR="008538FB" w:rsidRPr="00256AA8" w:rsidRDefault="007B5536"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How susceptible are vulnerable</w:t>
            </w:r>
            <w:r w:rsidR="008538FB" w:rsidRPr="00256AA8">
              <w:rPr>
                <w:rFonts w:ascii="Times New Roman" w:hAnsi="Times New Roman"/>
                <w:i/>
                <w:sz w:val="20"/>
                <w:szCs w:val="20"/>
              </w:rPr>
              <w:t xml:space="preserve"> </w:t>
            </w:r>
            <w:r w:rsidR="00AA5801" w:rsidRPr="00256AA8">
              <w:rPr>
                <w:rFonts w:ascii="Times New Roman" w:hAnsi="Times New Roman"/>
                <w:i/>
                <w:sz w:val="20"/>
                <w:szCs w:val="20"/>
              </w:rPr>
              <w:t>sub</w:t>
            </w:r>
            <w:r w:rsidR="008538FB" w:rsidRPr="00256AA8">
              <w:rPr>
                <w:rFonts w:ascii="Times New Roman" w:hAnsi="Times New Roman"/>
                <w:i/>
                <w:sz w:val="20"/>
                <w:szCs w:val="20"/>
              </w:rPr>
              <w:t xml:space="preserve">populations to establishment </w:t>
            </w:r>
            <w:r w:rsidR="00EB77E4" w:rsidRPr="00256AA8">
              <w:rPr>
                <w:rFonts w:ascii="Times New Roman" w:hAnsi="Times New Roman"/>
                <w:i/>
                <w:sz w:val="20"/>
                <w:szCs w:val="20"/>
              </w:rPr>
              <w:t xml:space="preserve">of infection </w:t>
            </w:r>
            <w:r w:rsidR="008538FB" w:rsidRPr="00256AA8">
              <w:rPr>
                <w:rFonts w:ascii="Times New Roman" w:hAnsi="Times New Roman"/>
                <w:i/>
                <w:sz w:val="20"/>
                <w:szCs w:val="20"/>
              </w:rPr>
              <w:t>and outbreaks of poliovirus infection?</w:t>
            </w:r>
          </w:p>
          <w:p w14:paraId="41ACAE89" w14:textId="77777777" w:rsidR="008538FB" w:rsidRPr="00256AA8" w:rsidRDefault="008538FB"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 xml:space="preserve">What is the likelihood of sustained (ongoing) transmission of poliovirus occurring in the general population? </w:t>
            </w:r>
          </w:p>
          <w:p w14:paraId="18B08AB9" w14:textId="77777777" w:rsidR="008538FB" w:rsidRPr="00256AA8" w:rsidRDefault="008538FB"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 xml:space="preserve">What is the likelihood of environmental contamination due to suboptimal water, sanitation and hygiene (WASH) infrastructure, constituting a </w:t>
            </w:r>
            <w:r w:rsidR="00147F89" w:rsidRPr="00256AA8">
              <w:rPr>
                <w:rFonts w:ascii="Times New Roman" w:hAnsi="Times New Roman"/>
                <w:i/>
                <w:sz w:val="20"/>
                <w:szCs w:val="20"/>
              </w:rPr>
              <w:t xml:space="preserve">persistent </w:t>
            </w:r>
            <w:r w:rsidR="00AA5801" w:rsidRPr="00256AA8">
              <w:rPr>
                <w:rFonts w:ascii="Times New Roman" w:hAnsi="Times New Roman"/>
                <w:i/>
                <w:sz w:val="20"/>
                <w:szCs w:val="20"/>
              </w:rPr>
              <w:t xml:space="preserve">source of </w:t>
            </w:r>
            <w:r w:rsidRPr="00256AA8">
              <w:rPr>
                <w:rFonts w:ascii="Times New Roman" w:hAnsi="Times New Roman"/>
                <w:i/>
                <w:sz w:val="20"/>
                <w:szCs w:val="20"/>
              </w:rPr>
              <w:t>poliovirus tr</w:t>
            </w:r>
            <w:r w:rsidR="00AA5801" w:rsidRPr="00256AA8">
              <w:rPr>
                <w:rFonts w:ascii="Times New Roman" w:hAnsi="Times New Roman"/>
                <w:i/>
                <w:sz w:val="20"/>
                <w:szCs w:val="20"/>
              </w:rPr>
              <w:t xml:space="preserve">ansmission risk to vulnerable subpopulations </w:t>
            </w:r>
            <w:r w:rsidRPr="00256AA8">
              <w:rPr>
                <w:rFonts w:ascii="Times New Roman" w:hAnsi="Times New Roman"/>
                <w:i/>
                <w:sz w:val="20"/>
                <w:szCs w:val="20"/>
              </w:rPr>
              <w:t>and the general population?</w:t>
            </w:r>
          </w:p>
          <w:p w14:paraId="47C6A396" w14:textId="77777777" w:rsidR="008538FB" w:rsidRPr="00256AA8" w:rsidRDefault="008538FB" w:rsidP="00256AA8">
            <w:pPr>
              <w:pStyle w:val="ListParagraph"/>
              <w:spacing w:after="0" w:line="240" w:lineRule="auto"/>
              <w:ind w:left="468"/>
              <w:rPr>
                <w:rFonts w:ascii="Times New Roman" w:hAnsi="Times New Roman"/>
                <w:i/>
                <w:sz w:val="20"/>
                <w:szCs w:val="20"/>
              </w:rPr>
            </w:pPr>
          </w:p>
          <w:p w14:paraId="2A7E9D2A" w14:textId="77777777" w:rsidR="008538FB" w:rsidRDefault="008538FB" w:rsidP="00256AA8">
            <w:pPr>
              <w:spacing w:after="0" w:line="240" w:lineRule="auto"/>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the likelihood of cVDPV emergence a</w:t>
            </w:r>
            <w:r w:rsidR="007729DC" w:rsidRPr="00256AA8">
              <w:rPr>
                <w:rFonts w:ascii="Times New Roman" w:hAnsi="Times New Roman"/>
                <w:bCs/>
                <w:kern w:val="28"/>
                <w:sz w:val="20"/>
                <w:szCs w:val="20"/>
              </w:rPr>
              <w:t xml:space="preserve">ssociated with suboptimal immunisation </w:t>
            </w:r>
            <w:r w:rsidRPr="00256AA8">
              <w:rPr>
                <w:rFonts w:ascii="Times New Roman" w:hAnsi="Times New Roman"/>
                <w:bCs/>
                <w:kern w:val="28"/>
                <w:sz w:val="20"/>
                <w:szCs w:val="20"/>
              </w:rPr>
              <w:t xml:space="preserve">coverage rates could be included as an additional focused risk question in countries or contexts where </w:t>
            </w:r>
            <w:r w:rsidR="001F45C4">
              <w:rPr>
                <w:rFonts w:ascii="Times New Roman" w:hAnsi="Times New Roman"/>
                <w:bCs/>
                <w:kern w:val="28"/>
                <w:sz w:val="20"/>
                <w:szCs w:val="20"/>
              </w:rPr>
              <w:t>oral polio vaccine (</w:t>
            </w:r>
            <w:r w:rsidRPr="00256AA8">
              <w:rPr>
                <w:rFonts w:ascii="Times New Roman" w:hAnsi="Times New Roman"/>
                <w:bCs/>
                <w:kern w:val="28"/>
                <w:sz w:val="20"/>
                <w:szCs w:val="20"/>
              </w:rPr>
              <w:t>OPV</w:t>
            </w:r>
            <w:r w:rsidR="001F45C4">
              <w:rPr>
                <w:rFonts w:ascii="Times New Roman" w:hAnsi="Times New Roman"/>
                <w:bCs/>
                <w:kern w:val="28"/>
                <w:sz w:val="20"/>
                <w:szCs w:val="20"/>
              </w:rPr>
              <w:t>)</w:t>
            </w:r>
            <w:r w:rsidRPr="00256AA8">
              <w:rPr>
                <w:rFonts w:ascii="Times New Roman" w:hAnsi="Times New Roman"/>
                <w:bCs/>
                <w:kern w:val="28"/>
                <w:sz w:val="20"/>
                <w:szCs w:val="20"/>
              </w:rPr>
              <w:t xml:space="preserve"> is still utilised at the time of assessment (n</w:t>
            </w:r>
            <w:r w:rsidR="008B2AEC" w:rsidRPr="00256AA8">
              <w:rPr>
                <w:rFonts w:ascii="Times New Roman" w:hAnsi="Times New Roman"/>
                <w:bCs/>
                <w:kern w:val="28"/>
                <w:sz w:val="20"/>
                <w:szCs w:val="20"/>
              </w:rPr>
              <w:t xml:space="preserve">ot applicable to </w:t>
            </w:r>
            <w:r w:rsidRPr="00256AA8">
              <w:rPr>
                <w:rFonts w:ascii="Times New Roman" w:hAnsi="Times New Roman"/>
                <w:bCs/>
                <w:kern w:val="28"/>
                <w:sz w:val="20"/>
                <w:szCs w:val="20"/>
              </w:rPr>
              <w:t>Australia).</w:t>
            </w:r>
          </w:p>
          <w:p w14:paraId="56602EC5" w14:textId="77777777" w:rsidR="00256AA8" w:rsidRPr="00256AA8" w:rsidRDefault="00256AA8" w:rsidP="00256AA8">
            <w:pPr>
              <w:spacing w:after="0" w:line="240" w:lineRule="auto"/>
              <w:rPr>
                <w:rFonts w:ascii="Times New Roman" w:hAnsi="Times New Roman"/>
                <w:i/>
                <w:sz w:val="20"/>
                <w:szCs w:val="20"/>
              </w:rPr>
            </w:pPr>
          </w:p>
        </w:tc>
      </w:tr>
      <w:tr w:rsidR="008538FB" w:rsidRPr="00256AA8" w14:paraId="2FDA3841" w14:textId="77777777" w:rsidTr="006C30CC">
        <w:tc>
          <w:tcPr>
            <w:tcW w:w="0" w:type="auto"/>
          </w:tcPr>
          <w:p w14:paraId="6B81EC84" w14:textId="77777777" w:rsidR="008538FB" w:rsidRPr="00256AA8" w:rsidRDefault="00256AA8" w:rsidP="00A9655E">
            <w:pPr>
              <w:spacing w:after="0" w:line="240" w:lineRule="auto"/>
              <w:jc w:val="center"/>
              <w:rPr>
                <w:rFonts w:ascii="Times New Roman" w:hAnsi="Times New Roman"/>
                <w:bCs/>
                <w:kern w:val="28"/>
                <w:sz w:val="20"/>
                <w:szCs w:val="20"/>
              </w:rPr>
            </w:pPr>
            <w:r>
              <w:rPr>
                <w:rFonts w:ascii="Times New Roman" w:hAnsi="Times New Roman"/>
                <w:b/>
                <w:bCs/>
                <w:kern w:val="28"/>
                <w:sz w:val="20"/>
                <w:szCs w:val="20"/>
              </w:rPr>
              <w:t>Detection capability</w:t>
            </w:r>
            <w:r w:rsidR="00450799">
              <w:rPr>
                <w:rFonts w:ascii="Times New Roman" w:hAnsi="Times New Roman"/>
                <w:b/>
                <w:bCs/>
                <w:kern w:val="28"/>
                <w:sz w:val="20"/>
                <w:szCs w:val="20"/>
              </w:rPr>
              <w:t xml:space="preserve"> </w:t>
            </w:r>
            <w:r w:rsidR="008538FB" w:rsidRPr="00256AA8">
              <w:rPr>
                <w:rFonts w:ascii="Times New Roman" w:hAnsi="Times New Roman"/>
                <w:b/>
                <w:bCs/>
                <w:kern w:val="28"/>
                <w:sz w:val="20"/>
                <w:szCs w:val="20"/>
              </w:rPr>
              <w:t>(D)</w:t>
            </w:r>
          </w:p>
        </w:tc>
        <w:tc>
          <w:tcPr>
            <w:tcW w:w="0" w:type="auto"/>
          </w:tcPr>
          <w:p w14:paraId="725B7BE9" w14:textId="77777777" w:rsidR="008538FB" w:rsidRPr="00256AA8" w:rsidRDefault="008538FB"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What is the likelihood of detection of an outbreak(s) of poliovirus infection being substantially delayed, or low-level sustained (ongoing) transmission remaining undetected?</w:t>
            </w:r>
          </w:p>
          <w:p w14:paraId="3AAD9281" w14:textId="77777777" w:rsidR="008538FB" w:rsidRPr="00256AA8" w:rsidRDefault="008538FB" w:rsidP="00256AA8">
            <w:pPr>
              <w:spacing w:after="0" w:line="240" w:lineRule="auto"/>
              <w:rPr>
                <w:rFonts w:ascii="Times New Roman" w:hAnsi="Times New Roman"/>
                <w:bCs/>
                <w:kern w:val="28"/>
                <w:sz w:val="20"/>
                <w:szCs w:val="20"/>
              </w:rPr>
            </w:pPr>
          </w:p>
        </w:tc>
      </w:tr>
      <w:tr w:rsidR="008538FB" w:rsidRPr="00256AA8" w14:paraId="2707F970" w14:textId="77777777" w:rsidTr="006C30CC">
        <w:tc>
          <w:tcPr>
            <w:tcW w:w="0" w:type="auto"/>
          </w:tcPr>
          <w:p w14:paraId="61ACE3D6" w14:textId="77777777" w:rsidR="008538FB" w:rsidRPr="00256AA8" w:rsidRDefault="00256AA8" w:rsidP="00450799">
            <w:pPr>
              <w:spacing w:after="0" w:line="240" w:lineRule="auto"/>
              <w:jc w:val="center"/>
              <w:rPr>
                <w:rFonts w:ascii="Times New Roman" w:hAnsi="Times New Roman"/>
                <w:bCs/>
                <w:kern w:val="28"/>
                <w:sz w:val="20"/>
                <w:szCs w:val="20"/>
              </w:rPr>
            </w:pPr>
            <w:r>
              <w:rPr>
                <w:rFonts w:ascii="Times New Roman" w:hAnsi="Times New Roman"/>
                <w:b/>
                <w:bCs/>
                <w:kern w:val="28"/>
                <w:sz w:val="20"/>
                <w:szCs w:val="20"/>
              </w:rPr>
              <w:t xml:space="preserve">Response Capability </w:t>
            </w:r>
            <w:r w:rsidR="008538FB" w:rsidRPr="00256AA8">
              <w:rPr>
                <w:rFonts w:ascii="Times New Roman" w:hAnsi="Times New Roman"/>
                <w:b/>
                <w:bCs/>
                <w:kern w:val="28"/>
                <w:sz w:val="20"/>
                <w:szCs w:val="20"/>
              </w:rPr>
              <w:t>(R)</w:t>
            </w:r>
          </w:p>
        </w:tc>
        <w:tc>
          <w:tcPr>
            <w:tcW w:w="0" w:type="auto"/>
          </w:tcPr>
          <w:p w14:paraId="40AD7ADC" w14:textId="77777777" w:rsidR="008538FB" w:rsidRDefault="008538FB" w:rsidP="00256AA8">
            <w:pPr>
              <w:pStyle w:val="ListParagraph"/>
              <w:numPr>
                <w:ilvl w:val="0"/>
                <w:numId w:val="7"/>
              </w:numPr>
              <w:spacing w:after="0" w:line="240" w:lineRule="auto"/>
              <w:rPr>
                <w:rFonts w:ascii="Times New Roman" w:hAnsi="Times New Roman"/>
                <w:i/>
                <w:sz w:val="20"/>
                <w:szCs w:val="20"/>
              </w:rPr>
            </w:pPr>
            <w:r w:rsidRPr="00256AA8">
              <w:rPr>
                <w:rFonts w:ascii="Times New Roman" w:hAnsi="Times New Roman"/>
                <w:i/>
                <w:sz w:val="20"/>
                <w:szCs w:val="20"/>
              </w:rPr>
              <w:t>What is the likelihood of very delayed or unsuccessful containment and control, should outbreaks of pol</w:t>
            </w:r>
            <w:r w:rsidR="00C04EA1" w:rsidRPr="00256AA8">
              <w:rPr>
                <w:rFonts w:ascii="Times New Roman" w:hAnsi="Times New Roman"/>
                <w:i/>
                <w:sz w:val="20"/>
                <w:szCs w:val="20"/>
              </w:rPr>
              <w:t>iovirus infection occur?</w:t>
            </w:r>
          </w:p>
          <w:p w14:paraId="5A4F15E6" w14:textId="77777777" w:rsidR="006C30CC" w:rsidRPr="00256AA8" w:rsidRDefault="006C30CC" w:rsidP="006C30CC">
            <w:pPr>
              <w:pStyle w:val="ListParagraph"/>
              <w:spacing w:after="0" w:line="240" w:lineRule="auto"/>
              <w:ind w:left="468"/>
              <w:rPr>
                <w:rFonts w:ascii="Times New Roman" w:hAnsi="Times New Roman"/>
                <w:i/>
                <w:sz w:val="20"/>
                <w:szCs w:val="20"/>
              </w:rPr>
            </w:pPr>
          </w:p>
        </w:tc>
      </w:tr>
    </w:tbl>
    <w:p w14:paraId="77F91234" w14:textId="77777777" w:rsidR="00B57877" w:rsidRDefault="00215A5C" w:rsidP="00F20453">
      <w:r>
        <w:br w:type="page"/>
      </w:r>
    </w:p>
    <w:p w14:paraId="293C50E6" w14:textId="77777777" w:rsidR="007B5536" w:rsidRPr="00256AA8" w:rsidRDefault="005D7CE4" w:rsidP="007B5536">
      <w:pPr>
        <w:pStyle w:val="Heading2"/>
        <w:pBdr>
          <w:top w:val="none" w:sz="0" w:space="0" w:color="auto"/>
          <w:bottom w:val="none" w:sz="0" w:space="0" w:color="auto"/>
        </w:pBdr>
        <w:rPr>
          <w:rFonts w:ascii="Arial" w:hAnsi="Arial" w:cs="Arial"/>
          <w:b/>
          <w:sz w:val="22"/>
          <w:szCs w:val="22"/>
        </w:rPr>
      </w:pPr>
      <w:bookmarkStart w:id="22" w:name="_Toc20238590"/>
      <w:r w:rsidRPr="00256AA8">
        <w:rPr>
          <w:rFonts w:ascii="Arial" w:hAnsi="Arial" w:cs="Arial"/>
          <w:b/>
          <w:sz w:val="22"/>
          <w:szCs w:val="22"/>
        </w:rPr>
        <w:lastRenderedPageBreak/>
        <w:t>Identify</w:t>
      </w:r>
      <w:r w:rsidR="007729DC" w:rsidRPr="00256AA8">
        <w:rPr>
          <w:rFonts w:ascii="Arial" w:hAnsi="Arial" w:cs="Arial"/>
          <w:b/>
          <w:sz w:val="22"/>
          <w:szCs w:val="22"/>
        </w:rPr>
        <w:t xml:space="preserve"> risk indicators, </w:t>
      </w:r>
      <w:r w:rsidR="007B5536" w:rsidRPr="00256AA8">
        <w:rPr>
          <w:rFonts w:ascii="Arial" w:hAnsi="Arial" w:cs="Arial"/>
          <w:b/>
          <w:sz w:val="22"/>
          <w:szCs w:val="22"/>
        </w:rPr>
        <w:t xml:space="preserve">data sources </w:t>
      </w:r>
      <w:r w:rsidR="007729DC" w:rsidRPr="00256AA8">
        <w:rPr>
          <w:rFonts w:ascii="Arial" w:hAnsi="Arial" w:cs="Arial"/>
          <w:b/>
          <w:sz w:val="22"/>
          <w:szCs w:val="22"/>
        </w:rPr>
        <w:t>and evaluation method</w:t>
      </w:r>
      <w:r w:rsidRPr="00256AA8">
        <w:rPr>
          <w:rFonts w:ascii="Arial" w:hAnsi="Arial" w:cs="Arial"/>
          <w:b/>
          <w:sz w:val="22"/>
          <w:szCs w:val="22"/>
        </w:rPr>
        <w:t>(s)</w:t>
      </w:r>
      <w:r w:rsidR="007729DC" w:rsidRPr="00256AA8">
        <w:rPr>
          <w:rFonts w:ascii="Arial" w:hAnsi="Arial" w:cs="Arial"/>
          <w:b/>
          <w:sz w:val="22"/>
          <w:szCs w:val="22"/>
        </w:rPr>
        <w:t xml:space="preserve"> </w:t>
      </w:r>
      <w:r w:rsidR="007B5536" w:rsidRPr="00256AA8">
        <w:rPr>
          <w:rFonts w:ascii="Arial" w:hAnsi="Arial" w:cs="Arial"/>
          <w:b/>
          <w:sz w:val="22"/>
          <w:szCs w:val="22"/>
        </w:rPr>
        <w:t>for each focused risk question</w:t>
      </w:r>
      <w:bookmarkEnd w:id="22"/>
    </w:p>
    <w:p w14:paraId="09F852B6" w14:textId="77777777" w:rsidR="007B5536" w:rsidRPr="00256AA8" w:rsidRDefault="007B5536" w:rsidP="00256AA8">
      <w:pPr>
        <w:pStyle w:val="BodyText"/>
        <w:spacing w:after="160" w:line="259" w:lineRule="auto"/>
        <w:rPr>
          <w:rFonts w:ascii="Times New Roman" w:hAnsi="Times New Roman"/>
          <w:bCs/>
          <w:kern w:val="28"/>
          <w:sz w:val="22"/>
        </w:rPr>
      </w:pPr>
      <w:r w:rsidRPr="00256AA8">
        <w:rPr>
          <w:rFonts w:ascii="Times New Roman" w:hAnsi="Times New Roman"/>
          <w:bCs/>
          <w:kern w:val="28"/>
          <w:sz w:val="22"/>
        </w:rPr>
        <w:t xml:space="preserve">The </w:t>
      </w:r>
      <w:r w:rsidR="00436582" w:rsidRPr="00256AA8">
        <w:rPr>
          <w:rFonts w:ascii="Times New Roman" w:hAnsi="Times New Roman"/>
          <w:bCs/>
          <w:kern w:val="28"/>
          <w:sz w:val="22"/>
        </w:rPr>
        <w:t xml:space="preserve">eight </w:t>
      </w:r>
      <w:r w:rsidRPr="00256AA8">
        <w:rPr>
          <w:rFonts w:ascii="Times New Roman" w:hAnsi="Times New Roman"/>
          <w:bCs/>
          <w:kern w:val="28"/>
          <w:sz w:val="22"/>
        </w:rPr>
        <w:t xml:space="preserve">focused risk questions which address the </w:t>
      </w:r>
      <w:r w:rsidR="00091E4E" w:rsidRPr="00256AA8">
        <w:rPr>
          <w:rFonts w:ascii="Times New Roman" w:hAnsi="Times New Roman"/>
          <w:bCs/>
          <w:kern w:val="28"/>
          <w:sz w:val="22"/>
        </w:rPr>
        <w:t xml:space="preserve">four key </w:t>
      </w:r>
      <w:r w:rsidRPr="00256AA8">
        <w:rPr>
          <w:rFonts w:ascii="Times New Roman" w:hAnsi="Times New Roman"/>
          <w:bCs/>
          <w:kern w:val="28"/>
          <w:sz w:val="22"/>
        </w:rPr>
        <w:t xml:space="preserve">risk elements may be evaluated according to a </w:t>
      </w:r>
      <w:r w:rsidR="00C5042A" w:rsidRPr="00256AA8">
        <w:rPr>
          <w:rFonts w:ascii="Times New Roman" w:hAnsi="Times New Roman"/>
          <w:bCs/>
          <w:kern w:val="28"/>
          <w:sz w:val="22"/>
        </w:rPr>
        <w:t>set of specified risk indicators (</w:t>
      </w:r>
      <w:r w:rsidR="00C5042A" w:rsidRPr="00256AA8">
        <w:rPr>
          <w:rFonts w:ascii="Times New Roman" w:hAnsi="Times New Roman"/>
          <w:bCs/>
          <w:kern w:val="28"/>
          <w:sz w:val="22"/>
        </w:rPr>
        <w:fldChar w:fldCharType="begin"/>
      </w:r>
      <w:r w:rsidR="00C5042A" w:rsidRPr="00256AA8">
        <w:rPr>
          <w:rFonts w:ascii="Times New Roman" w:hAnsi="Times New Roman"/>
          <w:bCs/>
          <w:kern w:val="28"/>
          <w:sz w:val="22"/>
        </w:rPr>
        <w:instrText xml:space="preserve"> REF _Ref525031200 \h </w:instrText>
      </w:r>
      <w:r w:rsidR="00256AA8" w:rsidRPr="00256AA8">
        <w:rPr>
          <w:rFonts w:ascii="Times New Roman" w:hAnsi="Times New Roman"/>
          <w:bCs/>
          <w:kern w:val="28"/>
          <w:sz w:val="22"/>
        </w:rPr>
        <w:instrText xml:space="preserve"> \* MERGEFORMAT </w:instrText>
      </w:r>
      <w:r w:rsidR="00C5042A" w:rsidRPr="00256AA8">
        <w:rPr>
          <w:rFonts w:ascii="Times New Roman" w:hAnsi="Times New Roman"/>
          <w:bCs/>
          <w:kern w:val="28"/>
          <w:sz w:val="22"/>
        </w:rPr>
      </w:r>
      <w:r w:rsidR="00C5042A" w:rsidRPr="00256AA8">
        <w:rPr>
          <w:rFonts w:ascii="Times New Roman" w:hAnsi="Times New Roman"/>
          <w:bCs/>
          <w:kern w:val="28"/>
          <w:sz w:val="22"/>
        </w:rPr>
        <w:fldChar w:fldCharType="separate"/>
      </w:r>
      <w:r w:rsidR="00AE3396" w:rsidRPr="00256AA8">
        <w:rPr>
          <w:rFonts w:ascii="Times New Roman" w:hAnsi="Times New Roman"/>
          <w:color w:val="auto"/>
          <w:sz w:val="22"/>
        </w:rPr>
        <w:t xml:space="preserve">Table </w:t>
      </w:r>
      <w:r w:rsidR="00AE3396" w:rsidRPr="00256AA8">
        <w:rPr>
          <w:rFonts w:ascii="Times New Roman" w:hAnsi="Times New Roman"/>
          <w:noProof/>
          <w:color w:val="auto"/>
          <w:sz w:val="22"/>
        </w:rPr>
        <w:t>4</w:t>
      </w:r>
      <w:r w:rsidR="00C5042A" w:rsidRPr="00256AA8">
        <w:rPr>
          <w:rFonts w:ascii="Times New Roman" w:hAnsi="Times New Roman"/>
          <w:bCs/>
          <w:kern w:val="28"/>
          <w:sz w:val="22"/>
        </w:rPr>
        <w:fldChar w:fldCharType="end"/>
      </w:r>
      <w:r w:rsidR="00C5042A" w:rsidRPr="00256AA8">
        <w:rPr>
          <w:rFonts w:ascii="Times New Roman" w:hAnsi="Times New Roman"/>
          <w:bCs/>
          <w:kern w:val="28"/>
          <w:sz w:val="22"/>
        </w:rPr>
        <w:t>)</w:t>
      </w:r>
      <w:r w:rsidRPr="00256AA8">
        <w:rPr>
          <w:rFonts w:ascii="Times New Roman" w:hAnsi="Times New Roman"/>
          <w:bCs/>
          <w:kern w:val="28"/>
          <w:sz w:val="22"/>
        </w:rPr>
        <w:t xml:space="preserve">. Each numbered indicator requires qualitative documentary evidence or quantitative data in a specified format, accessed from various sources. Systematic evaluation of the evidence for each indicator also requires a proposed methodology or approach, which varies according to the nature of the information </w:t>
      </w:r>
      <w:r w:rsidR="00091E4E" w:rsidRPr="00256AA8">
        <w:rPr>
          <w:rFonts w:ascii="Times New Roman" w:hAnsi="Times New Roman"/>
          <w:bCs/>
          <w:kern w:val="28"/>
          <w:sz w:val="22"/>
        </w:rPr>
        <w:t xml:space="preserve">to be evaluated </w:t>
      </w:r>
      <w:r w:rsidRPr="00256AA8">
        <w:rPr>
          <w:rFonts w:ascii="Times New Roman" w:hAnsi="Times New Roman"/>
          <w:bCs/>
          <w:kern w:val="28"/>
          <w:sz w:val="22"/>
        </w:rPr>
        <w:t>(e.g. descriptive analyses of quantitative dat</w:t>
      </w:r>
      <w:r w:rsidR="0064255A" w:rsidRPr="00256AA8">
        <w:rPr>
          <w:rFonts w:ascii="Times New Roman" w:hAnsi="Times New Roman"/>
          <w:bCs/>
          <w:kern w:val="28"/>
          <w:sz w:val="22"/>
        </w:rPr>
        <w:t>a, versus descriptive evaluation</w:t>
      </w:r>
      <w:r w:rsidR="007729DC" w:rsidRPr="00256AA8">
        <w:rPr>
          <w:rFonts w:ascii="Times New Roman" w:hAnsi="Times New Roman"/>
          <w:bCs/>
          <w:kern w:val="28"/>
          <w:sz w:val="22"/>
        </w:rPr>
        <w:t xml:space="preserve"> of the </w:t>
      </w:r>
      <w:r w:rsidR="00436582" w:rsidRPr="00256AA8">
        <w:rPr>
          <w:rFonts w:ascii="Times New Roman" w:hAnsi="Times New Roman"/>
          <w:bCs/>
          <w:kern w:val="28"/>
          <w:sz w:val="22"/>
        </w:rPr>
        <w:t xml:space="preserve">content, </w:t>
      </w:r>
      <w:r w:rsidR="007729DC" w:rsidRPr="00256AA8">
        <w:rPr>
          <w:rFonts w:ascii="Times New Roman" w:hAnsi="Times New Roman"/>
          <w:bCs/>
          <w:kern w:val="28"/>
          <w:sz w:val="22"/>
        </w:rPr>
        <w:t xml:space="preserve">quality and completeness </w:t>
      </w:r>
      <w:r w:rsidRPr="00256AA8">
        <w:rPr>
          <w:rFonts w:ascii="Times New Roman" w:hAnsi="Times New Roman"/>
          <w:bCs/>
          <w:kern w:val="28"/>
          <w:sz w:val="22"/>
        </w:rPr>
        <w:t>of documentary e</w:t>
      </w:r>
      <w:r w:rsidR="00436582" w:rsidRPr="00256AA8">
        <w:rPr>
          <w:rFonts w:ascii="Times New Roman" w:hAnsi="Times New Roman"/>
          <w:bCs/>
          <w:kern w:val="28"/>
          <w:sz w:val="22"/>
        </w:rPr>
        <w:t>vidence – i.e. use of a</w:t>
      </w:r>
      <w:r w:rsidRPr="00256AA8">
        <w:rPr>
          <w:rFonts w:ascii="Times New Roman" w:hAnsi="Times New Roman"/>
          <w:bCs/>
          <w:kern w:val="28"/>
          <w:sz w:val="22"/>
        </w:rPr>
        <w:t xml:space="preserve"> mixed-methods approach)</w:t>
      </w:r>
      <w:r w:rsidR="007729DC" w:rsidRPr="00256AA8">
        <w:rPr>
          <w:rFonts w:ascii="Times New Roman" w:hAnsi="Times New Roman"/>
          <w:bCs/>
          <w:kern w:val="28"/>
          <w:sz w:val="22"/>
        </w:rPr>
        <w:t>.</w:t>
      </w:r>
    </w:p>
    <w:p w14:paraId="1689CAB7" w14:textId="77777777" w:rsidR="00256AA8" w:rsidRDefault="00256AA8" w:rsidP="00C5042A">
      <w:pPr>
        <w:pStyle w:val="Caption"/>
        <w:rPr>
          <w:rFonts w:ascii="Arial" w:hAnsi="Arial" w:cs="Arial"/>
          <w:color w:val="auto"/>
          <w:sz w:val="22"/>
          <w:szCs w:val="22"/>
        </w:rPr>
      </w:pPr>
      <w:bookmarkStart w:id="23" w:name="_Ref525031200"/>
    </w:p>
    <w:p w14:paraId="3F32839B" w14:textId="77777777" w:rsidR="00256AA8" w:rsidRPr="00000C6B" w:rsidRDefault="00C5042A" w:rsidP="00256AA8">
      <w:pPr>
        <w:pStyle w:val="Caption"/>
        <w:rPr>
          <w:rFonts w:ascii="Times New Roman" w:hAnsi="Times New Roman"/>
          <w:color w:val="auto"/>
          <w:sz w:val="22"/>
          <w:szCs w:val="22"/>
        </w:rPr>
      </w:pPr>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4</w:t>
      </w:r>
      <w:r w:rsidRPr="00000C6B">
        <w:rPr>
          <w:rFonts w:ascii="Times New Roman" w:hAnsi="Times New Roman"/>
          <w:color w:val="auto"/>
          <w:sz w:val="22"/>
          <w:szCs w:val="22"/>
        </w:rPr>
        <w:fldChar w:fldCharType="end"/>
      </w:r>
      <w:bookmarkEnd w:id="23"/>
      <w:r w:rsidRPr="00000C6B">
        <w:rPr>
          <w:rFonts w:ascii="Times New Roman" w:hAnsi="Times New Roman"/>
          <w:color w:val="auto"/>
          <w:sz w:val="22"/>
          <w:szCs w:val="22"/>
        </w:rPr>
        <w:t xml:space="preserve">: </w:t>
      </w:r>
      <w:r w:rsidR="007729DC" w:rsidRPr="00000C6B">
        <w:rPr>
          <w:rFonts w:ascii="Times New Roman" w:hAnsi="Times New Roman"/>
          <w:color w:val="auto"/>
          <w:sz w:val="22"/>
          <w:szCs w:val="22"/>
        </w:rPr>
        <w:t>Risk indicators, data requirements and proposed evaluation method for each focused risk question</w:t>
      </w:r>
      <w:r w:rsidRPr="00000C6B">
        <w:rPr>
          <w:rFonts w:ascii="Times New Roman" w:hAnsi="Times New Roman"/>
          <w:color w:val="auto"/>
          <w:sz w:val="22"/>
          <w:szCs w:val="22"/>
        </w:rPr>
        <w:t xml:space="preserve"> (A – G)</w:t>
      </w:r>
    </w:p>
    <w:tbl>
      <w:tblPr>
        <w:tblStyle w:val="TableGrid"/>
        <w:tblW w:w="0" w:type="auto"/>
        <w:tblLook w:val="04A0" w:firstRow="1" w:lastRow="0" w:firstColumn="1" w:lastColumn="0" w:noHBand="0" w:noVBand="1"/>
        <w:tblCaption w:val="Table 4: Risk indicators, data requirements and proposed evaluation method for each focused risk question (A – G)"/>
        <w:tblDescription w:val="Table shows risk indicators, data requirements and proposed evaluation method for each focused risk question (A – G)"/>
      </w:tblPr>
      <w:tblGrid>
        <w:gridCol w:w="1027"/>
        <w:gridCol w:w="4325"/>
        <w:gridCol w:w="3664"/>
      </w:tblGrid>
      <w:tr w:rsidR="001B2794" w:rsidRPr="00706BD5" w14:paraId="50A0EE37" w14:textId="77777777" w:rsidTr="006C30CC">
        <w:trPr>
          <w:tblHeader/>
        </w:trPr>
        <w:tc>
          <w:tcPr>
            <w:tcW w:w="0" w:type="auto"/>
            <w:shd w:val="clear" w:color="auto" w:fill="D9D9D9" w:themeFill="background1" w:themeFillShade="D9"/>
          </w:tcPr>
          <w:p w14:paraId="0FEFA2D5" w14:textId="77777777" w:rsidR="001B2794" w:rsidRPr="00256AA8" w:rsidRDefault="001B2794" w:rsidP="00C522C4">
            <w:pPr>
              <w:spacing w:after="0" w:line="240" w:lineRule="auto"/>
              <w:jc w:val="center"/>
              <w:rPr>
                <w:rFonts w:ascii="Times New Roman" w:hAnsi="Times New Roman"/>
                <w:b/>
                <w:bCs/>
                <w:kern w:val="28"/>
                <w:sz w:val="20"/>
                <w:szCs w:val="20"/>
              </w:rPr>
            </w:pPr>
            <w:r w:rsidRPr="00256AA8">
              <w:rPr>
                <w:rFonts w:ascii="Times New Roman" w:hAnsi="Times New Roman"/>
                <w:b/>
                <w:bCs/>
                <w:kern w:val="28"/>
                <w:sz w:val="20"/>
                <w:szCs w:val="20"/>
              </w:rPr>
              <w:t>Focused risk question</w:t>
            </w:r>
          </w:p>
          <w:p w14:paraId="774690D4" w14:textId="77777777" w:rsidR="001B2794" w:rsidRPr="00256AA8" w:rsidRDefault="001B2794" w:rsidP="00C522C4">
            <w:pPr>
              <w:spacing w:after="0" w:line="240" w:lineRule="auto"/>
              <w:jc w:val="center"/>
              <w:rPr>
                <w:rFonts w:ascii="Times New Roman" w:hAnsi="Times New Roman"/>
                <w:b/>
                <w:bCs/>
                <w:kern w:val="28"/>
                <w:sz w:val="20"/>
                <w:szCs w:val="20"/>
              </w:rPr>
            </w:pPr>
          </w:p>
        </w:tc>
        <w:tc>
          <w:tcPr>
            <w:tcW w:w="0" w:type="auto"/>
            <w:shd w:val="clear" w:color="auto" w:fill="D9D9D9" w:themeFill="background1" w:themeFillShade="D9"/>
          </w:tcPr>
          <w:p w14:paraId="692F11D8" w14:textId="77777777" w:rsidR="001B2794" w:rsidRPr="00256AA8" w:rsidRDefault="001B2794" w:rsidP="00C522C4">
            <w:pPr>
              <w:spacing w:after="0" w:line="240" w:lineRule="auto"/>
              <w:jc w:val="center"/>
              <w:rPr>
                <w:rFonts w:ascii="Times New Roman" w:hAnsi="Times New Roman"/>
                <w:b/>
                <w:bCs/>
                <w:kern w:val="28"/>
                <w:sz w:val="20"/>
                <w:szCs w:val="20"/>
              </w:rPr>
            </w:pPr>
            <w:r w:rsidRPr="00256AA8">
              <w:rPr>
                <w:rFonts w:ascii="Times New Roman" w:hAnsi="Times New Roman"/>
                <w:b/>
                <w:bCs/>
                <w:kern w:val="28"/>
                <w:sz w:val="20"/>
                <w:szCs w:val="20"/>
              </w:rPr>
              <w:t>Risk Indicators</w:t>
            </w:r>
          </w:p>
          <w:p w14:paraId="4DCC7CFC" w14:textId="77777777" w:rsidR="001B2794" w:rsidRPr="00256AA8" w:rsidRDefault="001B2794" w:rsidP="00C522C4">
            <w:pPr>
              <w:spacing w:after="0" w:line="240" w:lineRule="auto"/>
              <w:jc w:val="center"/>
              <w:rPr>
                <w:rFonts w:ascii="Times New Roman" w:hAnsi="Times New Roman"/>
                <w:b/>
                <w:bCs/>
                <w:kern w:val="28"/>
                <w:sz w:val="20"/>
                <w:szCs w:val="20"/>
              </w:rPr>
            </w:pPr>
          </w:p>
        </w:tc>
        <w:tc>
          <w:tcPr>
            <w:tcW w:w="0" w:type="auto"/>
            <w:shd w:val="clear" w:color="auto" w:fill="D9D9D9" w:themeFill="background1" w:themeFillShade="D9"/>
          </w:tcPr>
          <w:p w14:paraId="38E3B081" w14:textId="77777777" w:rsidR="001B2794" w:rsidRPr="00256AA8" w:rsidRDefault="001B2794" w:rsidP="00C522C4">
            <w:pPr>
              <w:spacing w:after="0" w:line="240" w:lineRule="auto"/>
              <w:jc w:val="center"/>
              <w:rPr>
                <w:rFonts w:ascii="Times New Roman" w:hAnsi="Times New Roman"/>
                <w:b/>
                <w:bCs/>
                <w:kern w:val="28"/>
                <w:sz w:val="20"/>
                <w:szCs w:val="20"/>
              </w:rPr>
            </w:pPr>
            <w:r w:rsidRPr="00256AA8">
              <w:rPr>
                <w:rFonts w:ascii="Times New Roman" w:hAnsi="Times New Roman"/>
                <w:b/>
                <w:bCs/>
                <w:kern w:val="28"/>
                <w:sz w:val="20"/>
                <w:szCs w:val="20"/>
              </w:rPr>
              <w:t>Data requirements, proposed format or evaluation method, and source(s)</w:t>
            </w:r>
          </w:p>
          <w:p w14:paraId="11F7205B" w14:textId="77777777" w:rsidR="001B2794" w:rsidRPr="00256AA8" w:rsidRDefault="001B2794" w:rsidP="00C522C4">
            <w:pPr>
              <w:spacing w:after="0" w:line="240" w:lineRule="auto"/>
              <w:jc w:val="center"/>
              <w:rPr>
                <w:rFonts w:ascii="Times New Roman" w:hAnsi="Times New Roman"/>
                <w:b/>
                <w:bCs/>
                <w:kern w:val="28"/>
                <w:sz w:val="20"/>
                <w:szCs w:val="20"/>
              </w:rPr>
            </w:pPr>
          </w:p>
        </w:tc>
      </w:tr>
      <w:tr w:rsidR="001B2794" w:rsidRPr="00706BD5" w14:paraId="09C0DC5A" w14:textId="77777777" w:rsidTr="006C30CC">
        <w:tc>
          <w:tcPr>
            <w:tcW w:w="0" w:type="auto"/>
            <w:vMerge w:val="restart"/>
          </w:tcPr>
          <w:p w14:paraId="48DFA5CC"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A</w:t>
            </w:r>
          </w:p>
        </w:tc>
        <w:tc>
          <w:tcPr>
            <w:tcW w:w="0" w:type="auto"/>
          </w:tcPr>
          <w:p w14:paraId="46E85994"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current epidemiological situation with respect to WPV and VDPV globally, and pertinent developments in the global polio eradication drive, particularly in the Asia-Pacific (WHO Western Pacific and Southeast Asia) regions.</w:t>
            </w:r>
          </w:p>
          <w:p w14:paraId="5AC14DC4" w14:textId="77777777" w:rsidR="001B2794" w:rsidRPr="00256AA8" w:rsidRDefault="001B2794" w:rsidP="00C522C4">
            <w:pPr>
              <w:pStyle w:val="ListParagraph"/>
              <w:spacing w:after="0" w:line="240" w:lineRule="auto"/>
              <w:ind w:left="394"/>
              <w:rPr>
                <w:rFonts w:ascii="Times New Roman" w:hAnsi="Times New Roman"/>
                <w:bCs/>
                <w:kern w:val="28"/>
                <w:sz w:val="20"/>
                <w:szCs w:val="20"/>
              </w:rPr>
            </w:pPr>
          </w:p>
          <w:p w14:paraId="44D15196"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Characterise the highest risk source regions globally, including listing high risk (endemic, outbreak and key at-risk) countries, as classified by the Global Polio Eradication Initiative (GPEI).</w:t>
            </w:r>
            <w:r w:rsidRPr="00256AA8">
              <w:rPr>
                <w:rFonts w:ascii="Times New Roman" w:hAnsi="Times New Roman"/>
                <w:bCs/>
                <w:kern w:val="28"/>
                <w:sz w:val="20"/>
                <w:szCs w:val="20"/>
              </w:rPr>
              <w:br/>
            </w:r>
          </w:p>
          <w:p w14:paraId="2D33CB39"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Identify polio risk countries</w:t>
            </w:r>
            <w:r w:rsidRPr="00256AA8">
              <w:rPr>
                <w:rStyle w:val="FootnoteReference"/>
                <w:rFonts w:ascii="Times New Roman" w:hAnsi="Times New Roman"/>
                <w:bCs/>
                <w:kern w:val="28"/>
                <w:sz w:val="20"/>
                <w:szCs w:val="20"/>
              </w:rPr>
              <w:footnoteReference w:id="2"/>
            </w:r>
            <w:r w:rsidRPr="00256AA8">
              <w:rPr>
                <w:rFonts w:ascii="Times New Roman" w:hAnsi="Times New Roman"/>
                <w:bCs/>
                <w:kern w:val="28"/>
                <w:sz w:val="20"/>
                <w:szCs w:val="20"/>
              </w:rPr>
              <w:t xml:space="preserve"> relevant to the Australian national context, as well as high risk population groups from these source countries most likely to import poliovirus into Australia.</w:t>
            </w:r>
          </w:p>
          <w:p w14:paraId="37081A7B" w14:textId="77777777" w:rsidR="001B2794" w:rsidRPr="00256AA8" w:rsidRDefault="001B2794" w:rsidP="00C522C4">
            <w:pPr>
              <w:spacing w:after="0" w:line="240" w:lineRule="auto"/>
              <w:rPr>
                <w:rFonts w:ascii="Times New Roman" w:hAnsi="Times New Roman"/>
                <w:bCs/>
                <w:kern w:val="28"/>
                <w:sz w:val="20"/>
                <w:szCs w:val="20"/>
              </w:rPr>
            </w:pPr>
          </w:p>
        </w:tc>
        <w:tc>
          <w:tcPr>
            <w:tcW w:w="0" w:type="auto"/>
          </w:tcPr>
          <w:p w14:paraId="4CECB32E"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Literature review restricted to the current global epidemiology of poliovirus and pertinent developments in the global eradication initiative, including WHO or GPEI reports and surveillance data.</w:t>
            </w:r>
          </w:p>
          <w:p w14:paraId="2FA2C507" w14:textId="77777777" w:rsidR="001B2794" w:rsidRPr="00256AA8" w:rsidRDefault="001B2794" w:rsidP="00C522C4">
            <w:pPr>
              <w:pStyle w:val="ListParagraph"/>
              <w:numPr>
                <w:ilvl w:val="0"/>
                <w:numId w:val="9"/>
              </w:numPr>
              <w:spacing w:after="0" w:line="240" w:lineRule="auto"/>
              <w:ind w:left="360"/>
              <w:rPr>
                <w:rFonts w:ascii="Times New Roman" w:hAnsi="Times New Roman"/>
                <w:b/>
                <w:bCs/>
                <w:kern w:val="28"/>
                <w:sz w:val="20"/>
                <w:szCs w:val="20"/>
              </w:rPr>
            </w:pPr>
            <w:r w:rsidRPr="00256AA8">
              <w:rPr>
                <w:rFonts w:ascii="Times New Roman" w:hAnsi="Times New Roman"/>
                <w:bCs/>
                <w:kern w:val="28"/>
                <w:sz w:val="20"/>
                <w:szCs w:val="20"/>
              </w:rPr>
              <w:t>UNICEF OPV immunisation coverage data and water, sanitation and hygiene (WASH) data.</w:t>
            </w:r>
          </w:p>
          <w:p w14:paraId="126D64CE"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 xml:space="preserve">Identify criteria and generate a list of polio risk countries relevant to Australia, for which traveller arrivals data and settlement data will be requested from the Australian Government </w:t>
            </w:r>
            <w:r w:rsidR="000174B7">
              <w:rPr>
                <w:rFonts w:ascii="Times New Roman" w:hAnsi="Times New Roman"/>
                <w:bCs/>
                <w:kern w:val="28"/>
                <w:sz w:val="20"/>
                <w:szCs w:val="20"/>
              </w:rPr>
              <w:t>Departments of Home Affairs (</w:t>
            </w:r>
            <w:r w:rsidRPr="00256AA8">
              <w:rPr>
                <w:rFonts w:ascii="Times New Roman" w:hAnsi="Times New Roman"/>
                <w:bCs/>
                <w:kern w:val="28"/>
                <w:sz w:val="20"/>
                <w:szCs w:val="20"/>
              </w:rPr>
              <w:t>DHA</w:t>
            </w:r>
            <w:r w:rsidR="000174B7">
              <w:rPr>
                <w:rFonts w:ascii="Times New Roman" w:hAnsi="Times New Roman"/>
                <w:bCs/>
                <w:kern w:val="28"/>
                <w:sz w:val="20"/>
                <w:szCs w:val="20"/>
              </w:rPr>
              <w:t>)</w:t>
            </w:r>
            <w:r w:rsidRPr="00256AA8">
              <w:rPr>
                <w:rFonts w:ascii="Times New Roman" w:hAnsi="Times New Roman"/>
                <w:bCs/>
                <w:kern w:val="28"/>
                <w:sz w:val="20"/>
                <w:szCs w:val="20"/>
              </w:rPr>
              <w:t xml:space="preserve"> and </w:t>
            </w:r>
            <w:r w:rsidR="000174B7">
              <w:rPr>
                <w:rFonts w:ascii="Times New Roman" w:hAnsi="Times New Roman"/>
                <w:bCs/>
                <w:kern w:val="28"/>
                <w:sz w:val="20"/>
                <w:szCs w:val="20"/>
              </w:rPr>
              <w:t>Social Services (</w:t>
            </w:r>
            <w:r w:rsidRPr="00256AA8">
              <w:rPr>
                <w:rFonts w:ascii="Times New Roman" w:hAnsi="Times New Roman"/>
                <w:bCs/>
                <w:kern w:val="28"/>
                <w:sz w:val="20"/>
                <w:szCs w:val="20"/>
              </w:rPr>
              <w:t>DSS</w:t>
            </w:r>
            <w:r w:rsidR="000174B7">
              <w:rPr>
                <w:rFonts w:ascii="Times New Roman" w:hAnsi="Times New Roman"/>
                <w:bCs/>
                <w:kern w:val="28"/>
                <w:sz w:val="20"/>
                <w:szCs w:val="20"/>
              </w:rPr>
              <w:t>)</w:t>
            </w:r>
            <w:r w:rsidRPr="00256AA8">
              <w:rPr>
                <w:rFonts w:ascii="Times New Roman" w:hAnsi="Times New Roman"/>
                <w:bCs/>
                <w:kern w:val="28"/>
                <w:sz w:val="20"/>
                <w:szCs w:val="20"/>
              </w:rPr>
              <w:t>.</w:t>
            </w:r>
          </w:p>
        </w:tc>
      </w:tr>
      <w:tr w:rsidR="001B2794" w:rsidRPr="00706BD5" w14:paraId="5092B184" w14:textId="77777777" w:rsidTr="006C30CC">
        <w:tc>
          <w:tcPr>
            <w:tcW w:w="0" w:type="auto"/>
            <w:vMerge/>
          </w:tcPr>
          <w:p w14:paraId="46D20DEF"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036D6E3B"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Briefly describe Australia’s offshore investment in global polio eradication efforts to as part of offshore risk reduction strategies. </w:t>
            </w:r>
          </w:p>
          <w:p w14:paraId="182A9033" w14:textId="77777777" w:rsidR="001B2794" w:rsidRPr="00256AA8" w:rsidRDefault="001B2794" w:rsidP="00C522C4">
            <w:pPr>
              <w:pStyle w:val="ListParagraph"/>
              <w:spacing w:after="0" w:line="240" w:lineRule="auto"/>
              <w:ind w:left="394"/>
              <w:rPr>
                <w:rFonts w:ascii="Times New Roman" w:hAnsi="Times New Roman"/>
                <w:bCs/>
                <w:kern w:val="28"/>
                <w:sz w:val="20"/>
                <w:szCs w:val="20"/>
              </w:rPr>
            </w:pPr>
          </w:p>
        </w:tc>
        <w:tc>
          <w:tcPr>
            <w:tcW w:w="0" w:type="auto"/>
          </w:tcPr>
          <w:p w14:paraId="33EAA1EF"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Qualitative evaluation and descriptive overview of Government policy, procedural documents or websites.</w:t>
            </w:r>
          </w:p>
          <w:p w14:paraId="4B532A83" w14:textId="77777777" w:rsidR="001B2794" w:rsidRPr="00256AA8" w:rsidRDefault="001B2794" w:rsidP="00C522C4">
            <w:pPr>
              <w:pStyle w:val="ListParagraph"/>
              <w:spacing w:after="0" w:line="240" w:lineRule="auto"/>
              <w:ind w:left="361"/>
              <w:rPr>
                <w:rFonts w:ascii="Times New Roman" w:hAnsi="Times New Roman"/>
                <w:bCs/>
                <w:kern w:val="28"/>
                <w:sz w:val="20"/>
                <w:szCs w:val="20"/>
              </w:rPr>
            </w:pPr>
          </w:p>
        </w:tc>
      </w:tr>
      <w:tr w:rsidR="001B2794" w:rsidRPr="00706BD5" w14:paraId="5299F952" w14:textId="77777777" w:rsidTr="006C30CC">
        <w:tc>
          <w:tcPr>
            <w:tcW w:w="0" w:type="auto"/>
            <w:vMerge/>
          </w:tcPr>
          <w:p w14:paraId="26B0EB33"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6C3BB9A0"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Quantify the number and relative proportion of traveller arrivals to Australia from polio risk countries for the preceding five years.</w:t>
            </w:r>
          </w:p>
          <w:p w14:paraId="4A4D0E82" w14:textId="77777777" w:rsidR="001B2794" w:rsidRPr="00256AA8" w:rsidRDefault="001B2794" w:rsidP="00C522C4">
            <w:pPr>
              <w:pStyle w:val="ListParagraph"/>
              <w:spacing w:after="0" w:line="240" w:lineRule="auto"/>
              <w:ind w:left="394"/>
              <w:rPr>
                <w:rFonts w:ascii="Times New Roman" w:hAnsi="Times New Roman"/>
                <w:bCs/>
                <w:kern w:val="28"/>
                <w:sz w:val="20"/>
                <w:szCs w:val="20"/>
              </w:rPr>
            </w:pPr>
          </w:p>
        </w:tc>
        <w:tc>
          <w:tcPr>
            <w:tcW w:w="0" w:type="auto"/>
          </w:tcPr>
          <w:p w14:paraId="093273E9"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Descriptive analyses, e.g. tables or figures displaying recent trends (crude numbers and relative proportions) of traveller arrivals per year, per traveller class using Australian Government DHA data.</w:t>
            </w:r>
          </w:p>
          <w:p w14:paraId="6F956D96" w14:textId="77777777" w:rsidR="001B2794" w:rsidRPr="00256AA8" w:rsidRDefault="001B2794" w:rsidP="00C522C4">
            <w:pPr>
              <w:pStyle w:val="ListParagraph"/>
              <w:spacing w:after="0" w:line="240" w:lineRule="auto"/>
              <w:ind w:left="361"/>
              <w:rPr>
                <w:rFonts w:ascii="Times New Roman" w:hAnsi="Times New Roman"/>
                <w:bCs/>
                <w:kern w:val="28"/>
                <w:sz w:val="20"/>
                <w:szCs w:val="20"/>
              </w:rPr>
            </w:pPr>
          </w:p>
        </w:tc>
      </w:tr>
      <w:tr w:rsidR="001B2794" w:rsidRPr="00706BD5" w14:paraId="5DC272E9" w14:textId="77777777" w:rsidTr="006C30CC">
        <w:tc>
          <w:tcPr>
            <w:tcW w:w="0" w:type="auto"/>
            <w:vMerge/>
          </w:tcPr>
          <w:p w14:paraId="77FE92EE"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7C57B3FC"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Describe existing Government policies, procedures or requirements to mitigate the likelihood of poliovirus reintroduction by infectious travellers.</w:t>
            </w:r>
          </w:p>
          <w:p w14:paraId="4BA0D0BE" w14:textId="77777777" w:rsidR="001B2794" w:rsidRPr="00256AA8" w:rsidRDefault="001B2794" w:rsidP="00C522C4">
            <w:pPr>
              <w:pStyle w:val="ListParagraph"/>
              <w:spacing w:after="0" w:line="240" w:lineRule="auto"/>
              <w:ind w:left="394"/>
              <w:rPr>
                <w:rFonts w:ascii="Times New Roman" w:hAnsi="Times New Roman"/>
                <w:bCs/>
                <w:kern w:val="28"/>
                <w:sz w:val="20"/>
                <w:szCs w:val="20"/>
              </w:rPr>
            </w:pPr>
          </w:p>
        </w:tc>
        <w:tc>
          <w:tcPr>
            <w:tcW w:w="0" w:type="auto"/>
          </w:tcPr>
          <w:p w14:paraId="7374EF26"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Qualitative evaluation and descriptive overview of Government policy, procedural documents or websites.</w:t>
            </w:r>
          </w:p>
          <w:p w14:paraId="680774BF" w14:textId="77777777" w:rsidR="001B2794" w:rsidRPr="00256AA8" w:rsidRDefault="001B2794" w:rsidP="00C522C4">
            <w:pPr>
              <w:pStyle w:val="ListParagraph"/>
              <w:numPr>
                <w:ilvl w:val="0"/>
                <w:numId w:val="9"/>
              </w:numPr>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 xml:space="preserve">Semi-structured interviews or correspondence with relevant </w:t>
            </w:r>
            <w:r w:rsidRPr="00256AA8">
              <w:rPr>
                <w:rFonts w:ascii="Times New Roman" w:hAnsi="Times New Roman"/>
                <w:bCs/>
                <w:kern w:val="28"/>
                <w:sz w:val="20"/>
                <w:szCs w:val="20"/>
              </w:rPr>
              <w:lastRenderedPageBreak/>
              <w:t xml:space="preserve">Australian Government Department of Health, </w:t>
            </w:r>
            <w:r w:rsidR="006171C4">
              <w:rPr>
                <w:rFonts w:ascii="Times New Roman" w:hAnsi="Times New Roman"/>
                <w:bCs/>
                <w:kern w:val="28"/>
                <w:sz w:val="20"/>
                <w:szCs w:val="20"/>
              </w:rPr>
              <w:t xml:space="preserve">Foreign Affairs and Trade (DFAT) </w:t>
            </w:r>
            <w:r w:rsidRPr="00256AA8">
              <w:rPr>
                <w:rFonts w:ascii="Times New Roman" w:hAnsi="Times New Roman"/>
                <w:bCs/>
                <w:kern w:val="28"/>
                <w:sz w:val="20"/>
                <w:szCs w:val="20"/>
              </w:rPr>
              <w:t>or DHA staff.</w:t>
            </w:r>
          </w:p>
          <w:p w14:paraId="0116AB9E"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r>
      <w:tr w:rsidR="001B2794" w:rsidRPr="00706BD5" w14:paraId="1FE13887" w14:textId="77777777" w:rsidTr="006C30CC">
        <w:tc>
          <w:tcPr>
            <w:tcW w:w="0" w:type="auto"/>
          </w:tcPr>
          <w:p w14:paraId="07BF3C6D"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lastRenderedPageBreak/>
              <w:t>B</w:t>
            </w:r>
          </w:p>
        </w:tc>
        <w:tc>
          <w:tcPr>
            <w:tcW w:w="0" w:type="auto"/>
          </w:tcPr>
          <w:p w14:paraId="4E7DD021"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List designated Poliovirus Essential Facilities (PEF) in Australia.</w:t>
            </w:r>
          </w:p>
          <w:p w14:paraId="4BA6541C" w14:textId="77777777" w:rsidR="001B2794" w:rsidRPr="00256AA8" w:rsidRDefault="001B2794" w:rsidP="00C522C4">
            <w:pPr>
              <w:pStyle w:val="ListParagraph"/>
              <w:spacing w:after="0" w:line="240" w:lineRule="auto"/>
              <w:ind w:left="391"/>
              <w:rPr>
                <w:rFonts w:ascii="Times New Roman" w:hAnsi="Times New Roman"/>
                <w:bCs/>
                <w:kern w:val="28"/>
                <w:sz w:val="20"/>
                <w:szCs w:val="20"/>
              </w:rPr>
            </w:pPr>
          </w:p>
          <w:p w14:paraId="46F59302"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national inventory of WPV, potentially infectious materials and associated verification procedures.</w:t>
            </w:r>
          </w:p>
          <w:p w14:paraId="56158F96" w14:textId="77777777" w:rsidR="001B2794" w:rsidRPr="00256AA8" w:rsidRDefault="001B2794" w:rsidP="00C522C4">
            <w:pPr>
              <w:pStyle w:val="ListParagraph"/>
              <w:spacing w:after="0" w:line="240" w:lineRule="auto"/>
              <w:ind w:left="391"/>
              <w:rPr>
                <w:rFonts w:ascii="Times New Roman" w:hAnsi="Times New Roman"/>
                <w:bCs/>
                <w:kern w:val="28"/>
                <w:sz w:val="20"/>
                <w:szCs w:val="20"/>
              </w:rPr>
            </w:pPr>
          </w:p>
          <w:p w14:paraId="143261DC"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Briefly describe relevant laboratory quality assurance processes, standards and regulations which serve to strengthen appropriate poliovirus containment and to progress implementation of the </w:t>
            </w:r>
            <w:r w:rsidRPr="00256AA8">
              <w:rPr>
                <w:rFonts w:ascii="Times New Roman" w:hAnsi="Times New Roman"/>
                <w:bCs/>
                <w:i/>
                <w:kern w:val="28"/>
                <w:sz w:val="20"/>
                <w:szCs w:val="20"/>
              </w:rPr>
              <w:t>WHO Global Action Plan to minimize poliovirus facility-associated risk after type-specific eradication of wild polioviruses and sequential cessation of oral polio vaccine use</w:t>
            </w:r>
            <w:r w:rsidRPr="00256AA8">
              <w:rPr>
                <w:rFonts w:ascii="Times New Roman" w:hAnsi="Times New Roman"/>
                <w:bCs/>
                <w:kern w:val="28"/>
                <w:sz w:val="20"/>
                <w:szCs w:val="20"/>
              </w:rPr>
              <w:t xml:space="preserve"> (</w:t>
            </w:r>
            <w:r w:rsidRPr="00256AA8">
              <w:rPr>
                <w:rFonts w:ascii="Times New Roman" w:hAnsi="Times New Roman"/>
                <w:b/>
                <w:bCs/>
                <w:kern w:val="28"/>
                <w:sz w:val="20"/>
                <w:szCs w:val="20"/>
              </w:rPr>
              <w:t>GAPIII</w:t>
            </w:r>
            <w:r w:rsidRPr="00256AA8">
              <w:rPr>
                <w:rFonts w:ascii="Times New Roman" w:hAnsi="Times New Roman"/>
                <w:bCs/>
                <w:kern w:val="28"/>
                <w:sz w:val="20"/>
                <w:szCs w:val="20"/>
              </w:rPr>
              <w:t>).</w:t>
            </w:r>
          </w:p>
          <w:p w14:paraId="6BE0EBC4" w14:textId="77777777" w:rsidR="001B2794" w:rsidRPr="00256AA8" w:rsidRDefault="001B2794" w:rsidP="00C522C4">
            <w:pPr>
              <w:pStyle w:val="ListParagraph"/>
              <w:spacing w:after="0" w:line="240" w:lineRule="auto"/>
              <w:ind w:left="391"/>
              <w:rPr>
                <w:rFonts w:ascii="Times New Roman" w:hAnsi="Times New Roman"/>
                <w:bCs/>
                <w:kern w:val="28"/>
                <w:sz w:val="20"/>
                <w:szCs w:val="20"/>
              </w:rPr>
            </w:pPr>
          </w:p>
          <w:p w14:paraId="2EC1BCE9" w14:textId="77777777" w:rsidR="001B2794" w:rsidRPr="00256AA8" w:rsidRDefault="001B2794" w:rsidP="00C522C4">
            <w:pPr>
              <w:pStyle w:val="ListParagraph"/>
              <w:spacing w:after="0" w:line="240" w:lineRule="auto"/>
              <w:ind w:left="391"/>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The assessment does not extend to evaluation of biosafety risk management for laboratory facilities, including PEFs.</w:t>
            </w:r>
          </w:p>
          <w:p w14:paraId="5978F01D" w14:textId="77777777" w:rsidR="001B2794" w:rsidRPr="00256AA8" w:rsidRDefault="001B2794" w:rsidP="00C522C4">
            <w:pPr>
              <w:pStyle w:val="ListParagraph"/>
              <w:spacing w:after="0" w:line="240" w:lineRule="auto"/>
              <w:ind w:left="391"/>
              <w:rPr>
                <w:rFonts w:ascii="Times New Roman" w:hAnsi="Times New Roman"/>
                <w:bCs/>
                <w:kern w:val="28"/>
                <w:sz w:val="20"/>
                <w:szCs w:val="20"/>
              </w:rPr>
            </w:pPr>
          </w:p>
        </w:tc>
        <w:tc>
          <w:tcPr>
            <w:tcW w:w="0" w:type="auto"/>
          </w:tcPr>
          <w:p w14:paraId="0FA06E97"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Qualitative evaluation and descriptive overview of information contained in annual Australian </w:t>
            </w:r>
            <w:r w:rsidR="00843B04">
              <w:rPr>
                <w:rFonts w:ascii="Times New Roman" w:hAnsi="Times New Roman"/>
                <w:bCs/>
                <w:kern w:val="28"/>
                <w:sz w:val="20"/>
                <w:szCs w:val="20"/>
              </w:rPr>
              <w:t>National Certification Committee for the Eradication of Poliomyelitis (</w:t>
            </w:r>
            <w:r w:rsidRPr="00256AA8">
              <w:rPr>
                <w:rFonts w:ascii="Times New Roman" w:hAnsi="Times New Roman"/>
                <w:bCs/>
                <w:kern w:val="28"/>
                <w:sz w:val="20"/>
                <w:szCs w:val="20"/>
              </w:rPr>
              <w:t>NCC</w:t>
            </w:r>
            <w:r w:rsidR="00843B04">
              <w:rPr>
                <w:rFonts w:ascii="Times New Roman" w:hAnsi="Times New Roman"/>
                <w:bCs/>
                <w:kern w:val="28"/>
                <w:sz w:val="20"/>
                <w:szCs w:val="20"/>
              </w:rPr>
              <w:t>) progress reports to WHO Western Pacific Regional Certification Committee (</w:t>
            </w:r>
            <w:r w:rsidRPr="00256AA8">
              <w:rPr>
                <w:rFonts w:ascii="Times New Roman" w:hAnsi="Times New Roman"/>
                <w:bCs/>
                <w:kern w:val="28"/>
                <w:sz w:val="20"/>
                <w:szCs w:val="20"/>
              </w:rPr>
              <w:t>RCC</w:t>
            </w:r>
            <w:r w:rsidR="00843B04">
              <w:rPr>
                <w:rFonts w:ascii="Times New Roman" w:hAnsi="Times New Roman"/>
                <w:bCs/>
                <w:kern w:val="28"/>
                <w:sz w:val="20"/>
                <w:szCs w:val="20"/>
              </w:rPr>
              <w:t>)</w:t>
            </w:r>
            <w:r w:rsidRPr="00256AA8">
              <w:rPr>
                <w:rFonts w:ascii="Times New Roman" w:hAnsi="Times New Roman"/>
                <w:bCs/>
                <w:kern w:val="28"/>
                <w:sz w:val="20"/>
                <w:szCs w:val="20"/>
              </w:rPr>
              <w:t>.</w:t>
            </w:r>
          </w:p>
          <w:p w14:paraId="18BF5978"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Semi-structured interv</w:t>
            </w:r>
            <w:r w:rsidR="00843B04">
              <w:rPr>
                <w:rFonts w:ascii="Times New Roman" w:hAnsi="Times New Roman"/>
                <w:bCs/>
                <w:kern w:val="28"/>
                <w:sz w:val="20"/>
                <w:szCs w:val="20"/>
              </w:rPr>
              <w:t>iews or correspondence with subject matter experts</w:t>
            </w:r>
            <w:r w:rsidRPr="00256AA8">
              <w:rPr>
                <w:rFonts w:ascii="Times New Roman" w:hAnsi="Times New Roman"/>
                <w:bCs/>
                <w:kern w:val="28"/>
                <w:sz w:val="20"/>
                <w:szCs w:val="20"/>
              </w:rPr>
              <w:t xml:space="preserve"> from </w:t>
            </w:r>
            <w:r w:rsidR="00843B04">
              <w:rPr>
                <w:rFonts w:ascii="Times New Roman" w:hAnsi="Times New Roman"/>
                <w:bCs/>
                <w:kern w:val="28"/>
                <w:sz w:val="20"/>
                <w:szCs w:val="20"/>
              </w:rPr>
              <w:t>the National Enterovirus Reference Laboratory (</w:t>
            </w:r>
            <w:r w:rsidRPr="00256AA8">
              <w:rPr>
                <w:rFonts w:ascii="Times New Roman" w:hAnsi="Times New Roman"/>
                <w:bCs/>
                <w:kern w:val="28"/>
                <w:sz w:val="20"/>
                <w:szCs w:val="20"/>
              </w:rPr>
              <w:t>NERL</w:t>
            </w:r>
            <w:r w:rsidR="00843B04">
              <w:rPr>
                <w:rFonts w:ascii="Times New Roman" w:hAnsi="Times New Roman"/>
                <w:bCs/>
                <w:kern w:val="28"/>
                <w:sz w:val="20"/>
                <w:szCs w:val="20"/>
              </w:rPr>
              <w:t>)</w:t>
            </w:r>
            <w:r w:rsidRPr="00256AA8">
              <w:rPr>
                <w:rFonts w:ascii="Times New Roman" w:hAnsi="Times New Roman"/>
                <w:bCs/>
                <w:kern w:val="28"/>
                <w:sz w:val="20"/>
                <w:szCs w:val="20"/>
              </w:rPr>
              <w:t xml:space="preserve"> and </w:t>
            </w:r>
            <w:r w:rsidR="00843B04" w:rsidRPr="00843B04">
              <w:rPr>
                <w:rFonts w:ascii="Times New Roman" w:hAnsi="Times New Roman"/>
                <w:bCs/>
                <w:kern w:val="28"/>
                <w:sz w:val="20"/>
                <w:szCs w:val="20"/>
              </w:rPr>
              <w:t xml:space="preserve">National Authority for Containment </w:t>
            </w:r>
            <w:r w:rsidR="00843B04">
              <w:rPr>
                <w:rFonts w:ascii="Times New Roman" w:hAnsi="Times New Roman"/>
                <w:bCs/>
                <w:kern w:val="28"/>
                <w:sz w:val="20"/>
                <w:szCs w:val="20"/>
              </w:rPr>
              <w:t>(</w:t>
            </w:r>
            <w:r w:rsidRPr="00256AA8">
              <w:rPr>
                <w:rFonts w:ascii="Times New Roman" w:hAnsi="Times New Roman"/>
                <w:bCs/>
                <w:kern w:val="28"/>
                <w:sz w:val="20"/>
                <w:szCs w:val="20"/>
              </w:rPr>
              <w:t>NAC</w:t>
            </w:r>
            <w:r w:rsidR="00843B04">
              <w:rPr>
                <w:rFonts w:ascii="Times New Roman" w:hAnsi="Times New Roman"/>
                <w:bCs/>
                <w:kern w:val="28"/>
                <w:sz w:val="20"/>
                <w:szCs w:val="20"/>
              </w:rPr>
              <w:t>)</w:t>
            </w:r>
            <w:r w:rsidRPr="00256AA8">
              <w:rPr>
                <w:rFonts w:ascii="Times New Roman" w:hAnsi="Times New Roman"/>
                <w:bCs/>
                <w:kern w:val="28"/>
                <w:sz w:val="20"/>
                <w:szCs w:val="20"/>
              </w:rPr>
              <w:t>.</w:t>
            </w:r>
          </w:p>
          <w:p w14:paraId="7FD8166C" w14:textId="77777777" w:rsidR="001B2794" w:rsidRPr="00256AA8" w:rsidRDefault="001B2794" w:rsidP="00C522C4">
            <w:pPr>
              <w:pStyle w:val="ListParagraph"/>
              <w:numPr>
                <w:ilvl w:val="0"/>
                <w:numId w:val="10"/>
              </w:numPr>
              <w:spacing w:after="0" w:line="240" w:lineRule="auto"/>
              <w:rPr>
                <w:rFonts w:ascii="Times New Roman" w:hAnsi="Times New Roman"/>
                <w:b/>
                <w:bCs/>
                <w:kern w:val="28"/>
                <w:sz w:val="20"/>
                <w:szCs w:val="20"/>
              </w:rPr>
            </w:pPr>
            <w:r w:rsidRPr="00256AA8">
              <w:rPr>
                <w:rFonts w:ascii="Times New Roman" w:hAnsi="Times New Roman"/>
                <w:bCs/>
                <w:kern w:val="28"/>
                <w:sz w:val="20"/>
                <w:szCs w:val="20"/>
              </w:rPr>
              <w:t>Qualitative evaluation and descriptive overview of documentary evidence provided by the Australian Government Department of Health, NERL, and/or NCC.</w:t>
            </w:r>
          </w:p>
        </w:tc>
      </w:tr>
      <w:tr w:rsidR="001B2794" w:rsidRPr="00706BD5" w14:paraId="7DE7D4D5" w14:textId="77777777" w:rsidTr="006C30CC">
        <w:tc>
          <w:tcPr>
            <w:tcW w:w="0" w:type="auto"/>
          </w:tcPr>
          <w:p w14:paraId="1E42604C"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C</w:t>
            </w:r>
          </w:p>
        </w:tc>
        <w:tc>
          <w:tcPr>
            <w:tcW w:w="0" w:type="auto"/>
          </w:tcPr>
          <w:p w14:paraId="7375017F" w14:textId="77777777" w:rsidR="001B2794" w:rsidRPr="00256AA8" w:rsidRDefault="001B2794" w:rsidP="00C522C4">
            <w:pPr>
              <w:pStyle w:val="ListParagraph"/>
              <w:numPr>
                <w:ilvl w:val="0"/>
                <w:numId w:val="8"/>
              </w:numPr>
              <w:spacing w:after="0" w:line="240" w:lineRule="auto"/>
              <w:rPr>
                <w:rFonts w:ascii="Times New Roman" w:hAnsi="Times New Roman"/>
                <w:sz w:val="20"/>
                <w:szCs w:val="20"/>
              </w:rPr>
            </w:pPr>
            <w:r w:rsidRPr="00256AA8">
              <w:rPr>
                <w:rFonts w:ascii="Times New Roman" w:hAnsi="Times New Roman"/>
                <w:bCs/>
                <w:kern w:val="28"/>
                <w:sz w:val="20"/>
                <w:szCs w:val="20"/>
              </w:rPr>
              <w:t>Describe key demographic characteristics (pertinent to poliovirus epidemiology) and settlement patterns in Australia of long-term or permanent arrivals from polio risk countries for the preceding five years.</w:t>
            </w:r>
          </w:p>
          <w:p w14:paraId="6AC766AF" w14:textId="77777777" w:rsidR="001B2794" w:rsidRPr="00256AA8" w:rsidRDefault="001B2794" w:rsidP="00C522C4">
            <w:pPr>
              <w:pStyle w:val="BodyText"/>
              <w:spacing w:after="0" w:line="240" w:lineRule="auto"/>
              <w:rPr>
                <w:rFonts w:ascii="Times New Roman" w:hAnsi="Times New Roman"/>
                <w:sz w:val="20"/>
                <w:szCs w:val="20"/>
              </w:rPr>
            </w:pPr>
          </w:p>
        </w:tc>
        <w:tc>
          <w:tcPr>
            <w:tcW w:w="0" w:type="auto"/>
          </w:tcPr>
          <w:p w14:paraId="7EBB4A05" w14:textId="77777777" w:rsidR="001B2794" w:rsidRPr="00256AA8" w:rsidRDefault="001B2794" w:rsidP="00C522C4">
            <w:pPr>
              <w:pStyle w:val="ListParagraph"/>
              <w:numPr>
                <w:ilvl w:val="0"/>
                <w:numId w:val="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Descriptive analysis of DSS settlement data for long-term or permanent arrivals from polio risk countries. specifically:</w:t>
            </w:r>
          </w:p>
          <w:p w14:paraId="7213AB28" w14:textId="77777777" w:rsidR="001B2794" w:rsidRPr="00256AA8" w:rsidRDefault="001B2794" w:rsidP="00C522C4">
            <w:pPr>
              <w:pStyle w:val="ListParagraph"/>
              <w:numPr>
                <w:ilvl w:val="0"/>
                <w:numId w:val="11"/>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Age group upon arrival in Australia; and </w:t>
            </w:r>
          </w:p>
          <w:p w14:paraId="779A1BC8" w14:textId="77777777" w:rsidR="001B2794" w:rsidRPr="00256AA8" w:rsidRDefault="001B2794" w:rsidP="00C522C4">
            <w:pPr>
              <w:pStyle w:val="ListParagraph"/>
              <w:numPr>
                <w:ilvl w:val="0"/>
                <w:numId w:val="11"/>
              </w:numPr>
              <w:spacing w:after="0" w:line="240" w:lineRule="auto"/>
              <w:rPr>
                <w:rFonts w:ascii="Times New Roman" w:hAnsi="Times New Roman"/>
                <w:sz w:val="20"/>
                <w:szCs w:val="20"/>
              </w:rPr>
            </w:pPr>
            <w:r w:rsidRPr="00256AA8">
              <w:rPr>
                <w:rFonts w:ascii="Times New Roman" w:hAnsi="Times New Roman"/>
                <w:bCs/>
                <w:kern w:val="28"/>
                <w:sz w:val="20"/>
                <w:szCs w:val="20"/>
              </w:rPr>
              <w:t>Settlement patterns (e.g. statistical area level 3 (SA3) of last known address of settlement).</w:t>
            </w:r>
          </w:p>
          <w:p w14:paraId="6E28CA67"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assessment outputs may include,</w:t>
            </w:r>
            <w:r w:rsidR="006C2F12" w:rsidRPr="00256AA8">
              <w:rPr>
                <w:rFonts w:ascii="Times New Roman" w:hAnsi="Times New Roman"/>
                <w:bCs/>
                <w:kern w:val="28"/>
                <w:sz w:val="20"/>
                <w:szCs w:val="20"/>
              </w:rPr>
              <w:t xml:space="preserve"> e.g. ch</w:t>
            </w:r>
            <w:r w:rsidRPr="00256AA8">
              <w:rPr>
                <w:rFonts w:ascii="Times New Roman" w:hAnsi="Times New Roman"/>
                <w:bCs/>
                <w:kern w:val="28"/>
                <w:sz w:val="20"/>
                <w:szCs w:val="20"/>
              </w:rPr>
              <w:t xml:space="preserve">oropleth maps depicting localities of new migrant settlement, which may be overlayed with areas of suboptimal immunisation coverage and/or suboptimal surveillance performance to generate a polio risk map. </w:t>
            </w:r>
          </w:p>
          <w:p w14:paraId="2DE9D046" w14:textId="77777777" w:rsidR="001B2794" w:rsidRPr="00256AA8" w:rsidRDefault="001B2794" w:rsidP="00C522C4">
            <w:pPr>
              <w:pStyle w:val="ListParagraph"/>
              <w:spacing w:after="0" w:line="240" w:lineRule="auto"/>
              <w:ind w:left="796"/>
              <w:rPr>
                <w:rFonts w:ascii="Times New Roman" w:hAnsi="Times New Roman"/>
                <w:sz w:val="20"/>
                <w:szCs w:val="20"/>
              </w:rPr>
            </w:pPr>
          </w:p>
        </w:tc>
      </w:tr>
      <w:tr w:rsidR="001B2794" w:rsidRPr="00706BD5" w14:paraId="543EE700" w14:textId="77777777" w:rsidTr="006C30CC">
        <w:tc>
          <w:tcPr>
            <w:tcW w:w="0" w:type="auto"/>
          </w:tcPr>
          <w:p w14:paraId="41DCF38D"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D</w:t>
            </w:r>
          </w:p>
        </w:tc>
        <w:tc>
          <w:tcPr>
            <w:tcW w:w="0" w:type="auto"/>
          </w:tcPr>
          <w:p w14:paraId="547851F2"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available information on the polio immunity profile of long-term or permanent arrivals from polio risk countries, relative to the Australian general population.</w:t>
            </w:r>
          </w:p>
          <w:p w14:paraId="26EC9612"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p w14:paraId="5D45EC41"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Describe the polio immunity profile of vulnerable subpopulations in Australia, including children and the Aboriginal and Torres Strait Islander community.</w:t>
            </w:r>
          </w:p>
          <w:p w14:paraId="5E8570E6" w14:textId="77777777" w:rsidR="001B2794" w:rsidRPr="00256AA8" w:rsidRDefault="001B2794" w:rsidP="00C522C4">
            <w:pPr>
              <w:spacing w:after="0" w:line="240" w:lineRule="auto"/>
              <w:rPr>
                <w:rFonts w:ascii="Times New Roman" w:hAnsi="Times New Roman"/>
                <w:bCs/>
                <w:kern w:val="28"/>
                <w:sz w:val="20"/>
                <w:szCs w:val="20"/>
              </w:rPr>
            </w:pPr>
          </w:p>
          <w:p w14:paraId="404907FD"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Describe any supplementary immunisation activities (SIAs), e.g. catch-up immunisation </w:t>
            </w:r>
            <w:r w:rsidRPr="00256AA8">
              <w:rPr>
                <w:rFonts w:ascii="Times New Roman" w:hAnsi="Times New Roman"/>
                <w:bCs/>
                <w:kern w:val="28"/>
                <w:sz w:val="20"/>
                <w:szCs w:val="20"/>
              </w:rPr>
              <w:lastRenderedPageBreak/>
              <w:t>policies or programs targeting vulnerable subpopulations.</w:t>
            </w:r>
          </w:p>
          <w:p w14:paraId="4CC445FB" w14:textId="77777777" w:rsidR="001B2794" w:rsidRPr="00256AA8" w:rsidRDefault="001B2794" w:rsidP="00C522C4">
            <w:pPr>
              <w:pStyle w:val="BodyText"/>
              <w:spacing w:after="0" w:line="240" w:lineRule="auto"/>
              <w:rPr>
                <w:rFonts w:ascii="Times New Roman" w:hAnsi="Times New Roman"/>
                <w:sz w:val="20"/>
                <w:szCs w:val="20"/>
              </w:rPr>
            </w:pPr>
          </w:p>
        </w:tc>
        <w:tc>
          <w:tcPr>
            <w:tcW w:w="0" w:type="auto"/>
          </w:tcPr>
          <w:p w14:paraId="20BD9C8E" w14:textId="77777777" w:rsidR="001B2794" w:rsidRPr="00256AA8" w:rsidRDefault="001B2794" w:rsidP="00C522C4">
            <w:pPr>
              <w:pStyle w:val="ListParagraph"/>
              <w:numPr>
                <w:ilvl w:val="0"/>
                <w:numId w:val="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lastRenderedPageBreak/>
              <w:t>Qualitative evaluation and descriptive overview of Government policy, procedural documents or websites, outlining health care service provision to vulnerable subpopulations relevant to poliovirus.</w:t>
            </w:r>
          </w:p>
          <w:p w14:paraId="252BBC6B" w14:textId="77777777" w:rsidR="001B2794" w:rsidRPr="00256AA8" w:rsidRDefault="001B2794" w:rsidP="00C522C4">
            <w:pPr>
              <w:pStyle w:val="ListParagraph"/>
              <w:numPr>
                <w:ilvl w:val="0"/>
                <w:numId w:val="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Semi-structured interviews or correspondence with</w:t>
            </w:r>
            <w:r w:rsidRPr="00256AA8">
              <w:rPr>
                <w:rFonts w:ascii="Times New Roman" w:hAnsi="Times New Roman"/>
                <w:b/>
                <w:bCs/>
                <w:kern w:val="28"/>
                <w:sz w:val="20"/>
                <w:szCs w:val="20"/>
              </w:rPr>
              <w:t xml:space="preserve"> </w:t>
            </w:r>
            <w:r w:rsidRPr="00256AA8">
              <w:rPr>
                <w:rFonts w:ascii="Times New Roman" w:hAnsi="Times New Roman"/>
                <w:bCs/>
                <w:kern w:val="28"/>
                <w:sz w:val="20"/>
                <w:szCs w:val="20"/>
              </w:rPr>
              <w:t>relevant Australian Government Department of Health, DHA, DSS, DFAT staff</w:t>
            </w:r>
            <w:r w:rsidR="00843B04">
              <w:rPr>
                <w:rFonts w:ascii="Times New Roman" w:hAnsi="Times New Roman"/>
                <w:bCs/>
                <w:kern w:val="28"/>
                <w:sz w:val="20"/>
                <w:szCs w:val="20"/>
              </w:rPr>
              <w:t>.</w:t>
            </w:r>
          </w:p>
          <w:p w14:paraId="19E81DA1" w14:textId="77777777" w:rsidR="001B2794" w:rsidRPr="00256AA8" w:rsidRDefault="001B2794" w:rsidP="00C522C4">
            <w:pPr>
              <w:pStyle w:val="ListParagraph"/>
              <w:numPr>
                <w:ilvl w:val="0"/>
                <w:numId w:val="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lastRenderedPageBreak/>
              <w:t>Descriptive analysis of Australian Government Department of Health Immunisation Branch data.</w:t>
            </w:r>
          </w:p>
          <w:p w14:paraId="78C56B46" w14:textId="77777777" w:rsidR="001B2794" w:rsidRPr="00256AA8" w:rsidRDefault="001B2794" w:rsidP="00C522C4">
            <w:pPr>
              <w:pStyle w:val="ListParagraph"/>
              <w:numPr>
                <w:ilvl w:val="0"/>
                <w:numId w:val="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of information or descriptive analysis of data contained in annual Australian NCC progress reports, NERL annual reports.</w:t>
            </w:r>
          </w:p>
          <w:p w14:paraId="48B148B3"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r>
      <w:tr w:rsidR="001B2794" w:rsidRPr="00706BD5" w14:paraId="28A8A8F6" w14:textId="77777777" w:rsidTr="006C30CC">
        <w:tc>
          <w:tcPr>
            <w:tcW w:w="0" w:type="auto"/>
          </w:tcPr>
          <w:p w14:paraId="0C30BB07"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lastRenderedPageBreak/>
              <w:t>E</w:t>
            </w:r>
          </w:p>
        </w:tc>
        <w:tc>
          <w:tcPr>
            <w:tcW w:w="0" w:type="auto"/>
          </w:tcPr>
          <w:p w14:paraId="4483AEB8"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Describe the performance and delivery of the Australian National Immunisation Program (NIP) in relation to immunisation coverage against poliovirus.</w:t>
            </w:r>
          </w:p>
          <w:p w14:paraId="0AD2A502" w14:textId="77777777" w:rsidR="001B2794" w:rsidRPr="00256AA8" w:rsidRDefault="001B2794" w:rsidP="00C522C4">
            <w:pPr>
              <w:pStyle w:val="ListParagraph"/>
              <w:spacing w:after="0" w:line="240" w:lineRule="auto"/>
              <w:ind w:left="394"/>
              <w:rPr>
                <w:rFonts w:ascii="Times New Roman" w:hAnsi="Times New Roman"/>
                <w:bCs/>
                <w:kern w:val="28"/>
                <w:sz w:val="20"/>
                <w:szCs w:val="20"/>
              </w:rPr>
            </w:pPr>
          </w:p>
          <w:p w14:paraId="4E11013D"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Describe the polio immunity profile of the Australian general population.</w:t>
            </w:r>
          </w:p>
          <w:p w14:paraId="7D694DE2" w14:textId="77777777" w:rsidR="001B2794" w:rsidRPr="00256AA8" w:rsidRDefault="001B2794" w:rsidP="00C522C4">
            <w:pPr>
              <w:spacing w:after="0" w:line="240" w:lineRule="auto"/>
              <w:rPr>
                <w:rFonts w:ascii="Times New Roman" w:hAnsi="Times New Roman"/>
                <w:bCs/>
                <w:kern w:val="28"/>
                <w:sz w:val="20"/>
                <w:szCs w:val="20"/>
              </w:rPr>
            </w:pPr>
          </w:p>
          <w:p w14:paraId="4BDDD74E"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Evaluate polio immunisation coverage at statistical area level (SA3) to identify localities of suboptimal coverage and/or suboptimal population immunity against poliovirus.</w:t>
            </w:r>
          </w:p>
          <w:p w14:paraId="18999D16"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p w14:paraId="582C0EFC" w14:textId="77777777" w:rsidR="001B2794" w:rsidRPr="00256AA8" w:rsidRDefault="001B2794" w:rsidP="00C522C4">
            <w:pPr>
              <w:pStyle w:val="BodyText"/>
              <w:spacing w:after="0" w:line="240" w:lineRule="auto"/>
              <w:rPr>
                <w:rFonts w:ascii="Times New Roman" w:hAnsi="Times New Roman"/>
                <w:sz w:val="20"/>
                <w:szCs w:val="20"/>
              </w:rPr>
            </w:pPr>
          </w:p>
        </w:tc>
        <w:tc>
          <w:tcPr>
            <w:tcW w:w="0" w:type="auto"/>
          </w:tcPr>
          <w:p w14:paraId="2D47CA04" w14:textId="77777777" w:rsidR="001B2794" w:rsidRPr="00256AA8" w:rsidRDefault="001B2794" w:rsidP="00C522C4">
            <w:pPr>
              <w:pStyle w:val="ListParagraph"/>
              <w:numPr>
                <w:ilvl w:val="0"/>
                <w:numId w:val="12"/>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 overview of results from the most recent National Polio Serosurvey Report (2012–2013) (draft publication from NCIRS).</w:t>
            </w:r>
          </w:p>
          <w:p w14:paraId="361DC795" w14:textId="77777777" w:rsidR="001B2794" w:rsidRPr="00256AA8" w:rsidRDefault="001B2794" w:rsidP="00C522C4">
            <w:pPr>
              <w:pStyle w:val="ListParagraph"/>
              <w:numPr>
                <w:ilvl w:val="0"/>
                <w:numId w:val="12"/>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Descriptive analysis of Australian Government Department of Health Immunisation Branch data</w:t>
            </w:r>
            <w:r w:rsidR="00843B04">
              <w:rPr>
                <w:rFonts w:ascii="Times New Roman" w:hAnsi="Times New Roman"/>
                <w:bCs/>
                <w:kern w:val="28"/>
                <w:sz w:val="20"/>
                <w:szCs w:val="20"/>
              </w:rPr>
              <w:t>.</w:t>
            </w:r>
          </w:p>
          <w:p w14:paraId="2F7E6796" w14:textId="77777777" w:rsidR="001B2794" w:rsidRPr="00256AA8" w:rsidRDefault="001B2794" w:rsidP="00C522C4">
            <w:pPr>
              <w:pStyle w:val="ListParagraph"/>
              <w:numPr>
                <w:ilvl w:val="0"/>
                <w:numId w:val="12"/>
              </w:numPr>
              <w:spacing w:after="0" w:line="240" w:lineRule="auto"/>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relevant outputs may include, </w:t>
            </w:r>
            <w:r w:rsidR="006C2F12" w:rsidRPr="00256AA8">
              <w:rPr>
                <w:rFonts w:ascii="Times New Roman" w:hAnsi="Times New Roman"/>
                <w:bCs/>
                <w:kern w:val="28"/>
                <w:sz w:val="20"/>
                <w:szCs w:val="20"/>
              </w:rPr>
              <w:t>e.g. ch</w:t>
            </w:r>
            <w:r w:rsidRPr="00256AA8">
              <w:rPr>
                <w:rFonts w:ascii="Times New Roman" w:hAnsi="Times New Roman"/>
                <w:bCs/>
                <w:kern w:val="28"/>
                <w:sz w:val="20"/>
                <w:szCs w:val="20"/>
              </w:rPr>
              <w:t>oropleth maps depicting localities of suboptimal immunisation coverage, which may be overlayed with areas with suboptimal surveillance performance and localities of new migrant settlement to generate a polio risk map.</w:t>
            </w:r>
          </w:p>
          <w:p w14:paraId="1F58B1C6" w14:textId="77777777" w:rsidR="001B2794" w:rsidRPr="00256AA8" w:rsidRDefault="001B2794" w:rsidP="00C522C4">
            <w:pPr>
              <w:pStyle w:val="ListParagraph"/>
              <w:spacing w:after="0" w:line="240" w:lineRule="auto"/>
              <w:ind w:left="410"/>
              <w:rPr>
                <w:rFonts w:ascii="Times New Roman" w:hAnsi="Times New Roman"/>
                <w:bCs/>
                <w:kern w:val="28"/>
                <w:sz w:val="20"/>
                <w:szCs w:val="20"/>
              </w:rPr>
            </w:pPr>
          </w:p>
        </w:tc>
      </w:tr>
      <w:tr w:rsidR="001B2794" w:rsidRPr="00706BD5" w14:paraId="1C29578D" w14:textId="77777777" w:rsidTr="006C30CC">
        <w:tc>
          <w:tcPr>
            <w:tcW w:w="0" w:type="auto"/>
          </w:tcPr>
          <w:p w14:paraId="6966A966"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F</w:t>
            </w:r>
          </w:p>
        </w:tc>
        <w:tc>
          <w:tcPr>
            <w:tcW w:w="0" w:type="auto"/>
          </w:tcPr>
          <w:p w14:paraId="227DAB90" w14:textId="77777777" w:rsidR="001B2794" w:rsidRPr="00256AA8" w:rsidRDefault="001B2794" w:rsidP="00C522C4">
            <w:pPr>
              <w:pStyle w:val="BodyText"/>
              <w:numPr>
                <w:ilvl w:val="0"/>
                <w:numId w:val="8"/>
              </w:numPr>
              <w:spacing w:after="0" w:line="240" w:lineRule="auto"/>
              <w:jc w:val="left"/>
              <w:rPr>
                <w:rFonts w:ascii="Times New Roman" w:hAnsi="Times New Roman"/>
                <w:sz w:val="20"/>
                <w:szCs w:val="20"/>
              </w:rPr>
            </w:pPr>
            <w:r w:rsidRPr="00256AA8">
              <w:rPr>
                <w:rFonts w:ascii="Times New Roman" w:hAnsi="Times New Roman"/>
                <w:bCs/>
                <w:kern w:val="28"/>
                <w:sz w:val="20"/>
                <w:szCs w:val="20"/>
              </w:rPr>
              <w:t>Briefly describe Australia’s current water, sanitation and hygiene (WASH) infrastructure, including vulnerable subpopulation groups’ access to these services, in relation to the system’s capacity to minimise environmental contamination which may constitute a persistent source of poliovirus transmission risk</w:t>
            </w:r>
            <w:r w:rsidR="00BA2C33">
              <w:rPr>
                <w:rFonts w:ascii="Times New Roman" w:hAnsi="Times New Roman"/>
                <w:bCs/>
                <w:kern w:val="28"/>
                <w:sz w:val="20"/>
                <w:szCs w:val="20"/>
              </w:rPr>
              <w:t>.</w:t>
            </w:r>
          </w:p>
        </w:tc>
        <w:tc>
          <w:tcPr>
            <w:tcW w:w="0" w:type="auto"/>
          </w:tcPr>
          <w:p w14:paraId="4A2B704E" w14:textId="77777777" w:rsidR="001B2794" w:rsidRPr="00256AA8" w:rsidRDefault="001B2794" w:rsidP="00C522C4">
            <w:pPr>
              <w:pStyle w:val="ListParagraph"/>
              <w:numPr>
                <w:ilvl w:val="0"/>
                <w:numId w:val="13"/>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and descriptive overview of Australian Government, NGO or academic documents, websites or research reports.</w:t>
            </w:r>
          </w:p>
          <w:p w14:paraId="7F8034A0" w14:textId="77777777" w:rsidR="001B2794" w:rsidRPr="00256AA8" w:rsidRDefault="001B2794" w:rsidP="00C522C4">
            <w:pPr>
              <w:pStyle w:val="ListParagraph"/>
              <w:numPr>
                <w:ilvl w:val="0"/>
                <w:numId w:val="13"/>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Descriptive analysis of UNICEF Joint Monitoring Programme (JMP) data.</w:t>
            </w:r>
          </w:p>
          <w:p w14:paraId="746FEB96" w14:textId="77777777" w:rsidR="001B2794" w:rsidRPr="00256AA8" w:rsidRDefault="001B2794" w:rsidP="00C522C4">
            <w:pPr>
              <w:pStyle w:val="ListParagraph"/>
              <w:numPr>
                <w:ilvl w:val="0"/>
                <w:numId w:val="13"/>
              </w:numPr>
              <w:spacing w:after="0" w:line="240" w:lineRule="auto"/>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JMP captures the percentage of the population using improved drinking water sources and sanitation facilities by using nationally representative household surveys, censuses, and other data.</w:t>
            </w:r>
          </w:p>
          <w:p w14:paraId="04ADD74D" w14:textId="77777777" w:rsidR="001B2794" w:rsidRPr="00256AA8" w:rsidRDefault="001B2794" w:rsidP="00C522C4">
            <w:pPr>
              <w:spacing w:after="0" w:line="240" w:lineRule="auto"/>
              <w:rPr>
                <w:rFonts w:ascii="Times New Roman" w:hAnsi="Times New Roman"/>
                <w:bCs/>
                <w:kern w:val="28"/>
                <w:sz w:val="20"/>
                <w:szCs w:val="20"/>
              </w:rPr>
            </w:pPr>
          </w:p>
        </w:tc>
      </w:tr>
      <w:tr w:rsidR="001B2794" w:rsidRPr="00706BD5" w14:paraId="2504E56F" w14:textId="77777777" w:rsidTr="006C30CC">
        <w:tc>
          <w:tcPr>
            <w:tcW w:w="0" w:type="auto"/>
            <w:vMerge w:val="restart"/>
          </w:tcPr>
          <w:p w14:paraId="791086FF"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G</w:t>
            </w:r>
          </w:p>
        </w:tc>
        <w:tc>
          <w:tcPr>
            <w:tcW w:w="0" w:type="auto"/>
          </w:tcPr>
          <w:p w14:paraId="0A17EF7C"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components, structure, function and quality of the Australian Poliovirus Surveillance Program, including a descriptive analysis of recent non-polio acute flaccid paralysis (AFP) detection rates and other WHO-recommended poliovirus surveillance performance indicators at national and sub-national level for the preceding five years.</w:t>
            </w:r>
          </w:p>
          <w:p w14:paraId="534B0B7D" w14:textId="77777777" w:rsidR="001B2794" w:rsidRPr="00256AA8" w:rsidRDefault="001B2794" w:rsidP="00C522C4">
            <w:pPr>
              <w:pStyle w:val="ListParagraph"/>
              <w:spacing w:after="0" w:line="240" w:lineRule="auto"/>
              <w:ind w:left="357"/>
              <w:rPr>
                <w:rFonts w:ascii="Times New Roman" w:hAnsi="Times New Roman"/>
                <w:bCs/>
                <w:kern w:val="28"/>
                <w:sz w:val="20"/>
                <w:szCs w:val="20"/>
              </w:rPr>
            </w:pPr>
          </w:p>
          <w:p w14:paraId="01049108" w14:textId="77777777" w:rsidR="001B2794" w:rsidRPr="00256AA8" w:rsidRDefault="001B2794" w:rsidP="00C522C4">
            <w:pPr>
              <w:pStyle w:val="ListParagraph"/>
              <w:spacing w:after="0" w:line="240" w:lineRule="auto"/>
              <w:ind w:left="357"/>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The assessment does not extend to a formal evaluation of the Australian poliovirus surveillance system. </w:t>
            </w:r>
          </w:p>
          <w:p w14:paraId="273C927C" w14:textId="77777777" w:rsidR="001B2794" w:rsidRPr="00256AA8" w:rsidRDefault="001B2794" w:rsidP="00C522C4">
            <w:pPr>
              <w:pStyle w:val="BodyText"/>
              <w:spacing w:after="0" w:line="240" w:lineRule="auto"/>
              <w:jc w:val="left"/>
              <w:rPr>
                <w:rFonts w:ascii="Times New Roman" w:hAnsi="Times New Roman"/>
                <w:sz w:val="20"/>
                <w:szCs w:val="20"/>
              </w:rPr>
            </w:pPr>
          </w:p>
        </w:tc>
        <w:tc>
          <w:tcPr>
            <w:tcW w:w="0" w:type="auto"/>
          </w:tcPr>
          <w:p w14:paraId="59CC69D3"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of information or descriptive analysis of data contained in annual Australian NCC progress reports, NERL annual reports.</w:t>
            </w:r>
          </w:p>
          <w:p w14:paraId="1204B3A3"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
                <w:bCs/>
                <w:kern w:val="28"/>
                <w:sz w:val="20"/>
                <w:szCs w:val="20"/>
              </w:rPr>
              <w:t>Note:</w:t>
            </w:r>
            <w:r w:rsidRPr="00256AA8">
              <w:rPr>
                <w:rFonts w:ascii="Times New Roman" w:hAnsi="Times New Roman"/>
                <w:bCs/>
                <w:kern w:val="28"/>
                <w:sz w:val="20"/>
                <w:szCs w:val="20"/>
              </w:rPr>
              <w:t xml:space="preserve"> assessment outputs may include,</w:t>
            </w:r>
            <w:r w:rsidR="006C2F12" w:rsidRPr="00256AA8">
              <w:rPr>
                <w:rFonts w:ascii="Times New Roman" w:hAnsi="Times New Roman"/>
                <w:bCs/>
                <w:kern w:val="28"/>
                <w:sz w:val="20"/>
                <w:szCs w:val="20"/>
              </w:rPr>
              <w:t xml:space="preserve"> e.g. ch</w:t>
            </w:r>
            <w:r w:rsidRPr="00256AA8">
              <w:rPr>
                <w:rFonts w:ascii="Times New Roman" w:hAnsi="Times New Roman"/>
                <w:bCs/>
                <w:kern w:val="28"/>
                <w:sz w:val="20"/>
                <w:szCs w:val="20"/>
              </w:rPr>
              <w:t xml:space="preserve">oropleth maps depicting localities of suboptimal surveillance performance, which may be overlayed with areas of suboptimal immunisation coverage and/or localities of new migrant settlement to generate a poliovirus risk map. </w:t>
            </w:r>
          </w:p>
          <w:p w14:paraId="596C2644" w14:textId="77777777" w:rsidR="001B2794" w:rsidRPr="00256AA8" w:rsidRDefault="001B2794" w:rsidP="00C522C4">
            <w:pPr>
              <w:pStyle w:val="BodyText"/>
              <w:spacing w:after="0" w:line="240" w:lineRule="auto"/>
              <w:jc w:val="left"/>
              <w:rPr>
                <w:rFonts w:ascii="Times New Roman" w:hAnsi="Times New Roman"/>
                <w:sz w:val="20"/>
                <w:szCs w:val="20"/>
              </w:rPr>
            </w:pPr>
          </w:p>
        </w:tc>
      </w:tr>
      <w:tr w:rsidR="001B2794" w:rsidRPr="00706BD5" w14:paraId="59310495" w14:textId="77777777" w:rsidTr="006C30CC">
        <w:tc>
          <w:tcPr>
            <w:tcW w:w="0" w:type="auto"/>
            <w:vMerge/>
          </w:tcPr>
          <w:p w14:paraId="47E287EC"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58855634"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Briefly describe the key components, structure, function, and quality of Australia’s </w:t>
            </w:r>
            <w:r w:rsidRPr="00256AA8">
              <w:rPr>
                <w:rFonts w:ascii="Times New Roman" w:hAnsi="Times New Roman"/>
                <w:bCs/>
                <w:kern w:val="28"/>
                <w:sz w:val="20"/>
                <w:szCs w:val="20"/>
              </w:rPr>
              <w:lastRenderedPageBreak/>
              <w:t>supplementary surveillance activities, including enterovirus surveillance and environmental surveillance (ENV) programs.</w:t>
            </w:r>
          </w:p>
          <w:p w14:paraId="0E48F132"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c>
          <w:tcPr>
            <w:tcW w:w="0" w:type="auto"/>
          </w:tcPr>
          <w:p w14:paraId="1F59B8A6"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lastRenderedPageBreak/>
              <w:t xml:space="preserve">Qualitative evaluation and descriptive overview of information, and/or </w:t>
            </w:r>
            <w:r w:rsidRPr="00256AA8">
              <w:rPr>
                <w:rFonts w:ascii="Times New Roman" w:hAnsi="Times New Roman"/>
                <w:bCs/>
                <w:kern w:val="28"/>
                <w:sz w:val="20"/>
                <w:szCs w:val="20"/>
              </w:rPr>
              <w:lastRenderedPageBreak/>
              <w:t>descriptive analysis of data contained in NERL annual reports.</w:t>
            </w:r>
          </w:p>
          <w:p w14:paraId="500D7598"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Semi-structured interviews or correspondence with NERL SMEs.</w:t>
            </w:r>
          </w:p>
          <w:p w14:paraId="2F653863" w14:textId="77777777" w:rsidR="001B2794" w:rsidRPr="00256AA8" w:rsidRDefault="001B2794" w:rsidP="00C522C4">
            <w:pPr>
              <w:pStyle w:val="ListParagraph"/>
              <w:spacing w:after="0" w:line="240" w:lineRule="auto"/>
              <w:ind w:left="410"/>
              <w:rPr>
                <w:rFonts w:ascii="Times New Roman" w:hAnsi="Times New Roman"/>
                <w:b/>
                <w:bCs/>
                <w:kern w:val="28"/>
                <w:sz w:val="20"/>
                <w:szCs w:val="20"/>
              </w:rPr>
            </w:pPr>
          </w:p>
        </w:tc>
      </w:tr>
      <w:tr w:rsidR="001B2794" w:rsidRPr="00706BD5" w14:paraId="417DE4B9" w14:textId="77777777" w:rsidTr="006C30CC">
        <w:tc>
          <w:tcPr>
            <w:tcW w:w="0" w:type="auto"/>
            <w:vMerge/>
          </w:tcPr>
          <w:p w14:paraId="4889A112"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62F4FA51"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Describe requirements for poliovirus notification nationally in the context of the Nationally Notifiable Disease Surveillance System (NNDSS).</w:t>
            </w:r>
          </w:p>
          <w:p w14:paraId="6B33D9E7"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c>
          <w:tcPr>
            <w:tcW w:w="0" w:type="auto"/>
          </w:tcPr>
          <w:p w14:paraId="3F3B6303"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and descriptive overview of Australian Government Department of Health policies and agreements, procedural documents or websites.</w:t>
            </w:r>
          </w:p>
          <w:p w14:paraId="645239BD" w14:textId="77777777" w:rsidR="001B2794" w:rsidRPr="00256AA8" w:rsidRDefault="001B2794" w:rsidP="00C522C4">
            <w:pPr>
              <w:pStyle w:val="ListParagraph"/>
              <w:spacing w:after="0" w:line="240" w:lineRule="auto"/>
              <w:ind w:left="410"/>
              <w:rPr>
                <w:rFonts w:ascii="Times New Roman" w:hAnsi="Times New Roman"/>
                <w:bCs/>
                <w:kern w:val="28"/>
                <w:sz w:val="20"/>
                <w:szCs w:val="20"/>
              </w:rPr>
            </w:pPr>
          </w:p>
        </w:tc>
      </w:tr>
      <w:tr w:rsidR="001B2794" w:rsidRPr="00706BD5" w14:paraId="58350699" w14:textId="77777777" w:rsidTr="006C30CC">
        <w:tc>
          <w:tcPr>
            <w:tcW w:w="0" w:type="auto"/>
            <w:vMerge/>
          </w:tcPr>
          <w:p w14:paraId="15BC579D"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7579E3AB"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most recent imported case detection and environmental detection events in Australia, including the public health response, relevant timelines and outcome.</w:t>
            </w:r>
          </w:p>
          <w:p w14:paraId="60201BD1"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c>
          <w:tcPr>
            <w:tcW w:w="0" w:type="auto"/>
          </w:tcPr>
          <w:p w14:paraId="4AD81524"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and descriptive overview of Australian Government Department of Health procedural or response documents.</w:t>
            </w:r>
          </w:p>
          <w:p w14:paraId="5EAFD55A"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NERL annual reports. </w:t>
            </w:r>
          </w:p>
          <w:p w14:paraId="1A98BE48" w14:textId="77777777" w:rsidR="001B2794" w:rsidRPr="00256AA8" w:rsidRDefault="001B2794" w:rsidP="00C522C4">
            <w:pPr>
              <w:pStyle w:val="ListParagraph"/>
              <w:numPr>
                <w:ilvl w:val="0"/>
                <w:numId w:val="10"/>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Peer-reviewed literature documenting relevant events.</w:t>
            </w:r>
          </w:p>
          <w:p w14:paraId="70C888CD" w14:textId="77777777" w:rsidR="001B2794" w:rsidRPr="00256AA8" w:rsidRDefault="001B2794" w:rsidP="00C522C4">
            <w:pPr>
              <w:pStyle w:val="ListParagraph"/>
              <w:spacing w:after="0" w:line="240" w:lineRule="auto"/>
              <w:ind w:left="410"/>
              <w:rPr>
                <w:rFonts w:ascii="Times New Roman" w:hAnsi="Times New Roman"/>
                <w:bCs/>
                <w:kern w:val="28"/>
                <w:sz w:val="20"/>
                <w:szCs w:val="20"/>
              </w:rPr>
            </w:pPr>
          </w:p>
        </w:tc>
      </w:tr>
      <w:tr w:rsidR="001B2794" w:rsidRPr="00706BD5" w14:paraId="1337F182" w14:textId="77777777" w:rsidTr="006C30CC">
        <w:tc>
          <w:tcPr>
            <w:tcW w:w="0" w:type="auto"/>
            <w:vMerge w:val="restart"/>
          </w:tcPr>
          <w:p w14:paraId="054B0B9B" w14:textId="77777777" w:rsidR="001B2794" w:rsidRPr="00256AA8" w:rsidRDefault="001B2794" w:rsidP="00C522C4">
            <w:pPr>
              <w:pStyle w:val="BodyText"/>
              <w:spacing w:after="0" w:line="240" w:lineRule="auto"/>
              <w:jc w:val="center"/>
              <w:rPr>
                <w:rFonts w:ascii="Times New Roman" w:hAnsi="Times New Roman"/>
                <w:b/>
                <w:sz w:val="20"/>
                <w:szCs w:val="20"/>
              </w:rPr>
            </w:pPr>
            <w:r w:rsidRPr="00256AA8">
              <w:rPr>
                <w:rFonts w:ascii="Times New Roman" w:hAnsi="Times New Roman"/>
                <w:b/>
                <w:sz w:val="20"/>
                <w:szCs w:val="20"/>
              </w:rPr>
              <w:t>H</w:t>
            </w:r>
          </w:p>
        </w:tc>
        <w:tc>
          <w:tcPr>
            <w:tcW w:w="0" w:type="auto"/>
          </w:tcPr>
          <w:p w14:paraId="2B08DBA1"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outcome of recent evaluation of Australia’s healthcare infrastructure, system and International Health Regulations (IHR) core capacities, specifically:</w:t>
            </w:r>
          </w:p>
          <w:p w14:paraId="0DDE6A4F" w14:textId="77777777" w:rsidR="001B2794" w:rsidRPr="00256AA8" w:rsidRDefault="001B2794" w:rsidP="00C522C4">
            <w:pPr>
              <w:pStyle w:val="ListParagraph"/>
              <w:numPr>
                <w:ilvl w:val="0"/>
                <w:numId w:val="15"/>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Whether a legislative framework to implement the IHR (2005) is in place; and</w:t>
            </w:r>
          </w:p>
          <w:p w14:paraId="28A122BB" w14:textId="77777777" w:rsidR="001B2794" w:rsidRDefault="001B2794" w:rsidP="00C522C4">
            <w:pPr>
              <w:pStyle w:val="ListParagraph"/>
              <w:numPr>
                <w:ilvl w:val="0"/>
                <w:numId w:val="15"/>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Capability and functions to prepare for, detect and respond to health security threats.</w:t>
            </w:r>
          </w:p>
          <w:p w14:paraId="48BE2518" w14:textId="77777777" w:rsidR="001E4413" w:rsidRPr="00256AA8" w:rsidRDefault="001E4413" w:rsidP="001E4413">
            <w:pPr>
              <w:pStyle w:val="ListParagraph"/>
              <w:spacing w:after="0" w:line="240" w:lineRule="auto"/>
              <w:ind w:left="819"/>
              <w:rPr>
                <w:rFonts w:ascii="Times New Roman" w:hAnsi="Times New Roman"/>
                <w:bCs/>
                <w:kern w:val="28"/>
                <w:sz w:val="20"/>
                <w:szCs w:val="20"/>
              </w:rPr>
            </w:pPr>
          </w:p>
        </w:tc>
        <w:tc>
          <w:tcPr>
            <w:tcW w:w="0" w:type="auto"/>
          </w:tcPr>
          <w:p w14:paraId="41A1D64C"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Qualitative evaluation and descriptive overview of Australian Government Department of Health policy, procedural documents or websites; and/or </w:t>
            </w:r>
          </w:p>
          <w:p w14:paraId="78A6ED82" w14:textId="77777777" w:rsidR="001B2794"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WHO Joint External Evaluation (JEE) of IHR core capacities for Australia mission report</w:t>
            </w:r>
            <w:r w:rsidR="00843B04">
              <w:rPr>
                <w:rFonts w:ascii="Times New Roman" w:hAnsi="Times New Roman"/>
                <w:bCs/>
                <w:kern w:val="28"/>
                <w:sz w:val="20"/>
                <w:szCs w:val="20"/>
              </w:rPr>
              <w:t>.</w:t>
            </w:r>
          </w:p>
          <w:p w14:paraId="36F29481" w14:textId="77777777" w:rsidR="00256AA8" w:rsidRPr="00256AA8" w:rsidRDefault="00256AA8" w:rsidP="00C522C4">
            <w:pPr>
              <w:pStyle w:val="ListParagraph"/>
              <w:spacing w:after="0" w:line="240" w:lineRule="auto"/>
              <w:ind w:left="410"/>
              <w:rPr>
                <w:rFonts w:ascii="Times New Roman" w:hAnsi="Times New Roman"/>
                <w:bCs/>
                <w:kern w:val="28"/>
                <w:sz w:val="20"/>
                <w:szCs w:val="20"/>
              </w:rPr>
            </w:pPr>
          </w:p>
        </w:tc>
      </w:tr>
      <w:tr w:rsidR="001B2794" w:rsidRPr="00706BD5" w14:paraId="57B3F980" w14:textId="77777777" w:rsidTr="006C30CC">
        <w:tc>
          <w:tcPr>
            <w:tcW w:w="0" w:type="auto"/>
            <w:vMerge/>
          </w:tcPr>
          <w:p w14:paraId="6438B721"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6ED661F3"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the purpose, structure and key components of Australia’s Poliovirus Infection Outbreak Response Plan.</w:t>
            </w:r>
          </w:p>
          <w:p w14:paraId="317895DF"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c>
          <w:tcPr>
            <w:tcW w:w="0" w:type="auto"/>
          </w:tcPr>
          <w:p w14:paraId="7A1A69BE"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Qualitative evaluation and descriptive overview of information contained in the Australian Poliomyelitis Outbreak Response Plan, including documenting relevant reviews and content updates. </w:t>
            </w:r>
          </w:p>
          <w:p w14:paraId="6257A724" w14:textId="77777777" w:rsidR="001B2794" w:rsidRPr="00256AA8" w:rsidRDefault="001B2794" w:rsidP="00C522C4">
            <w:pPr>
              <w:pStyle w:val="BodyText"/>
              <w:spacing w:after="0" w:line="240" w:lineRule="auto"/>
              <w:jc w:val="left"/>
              <w:rPr>
                <w:rFonts w:ascii="Times New Roman" w:hAnsi="Times New Roman"/>
                <w:sz w:val="20"/>
                <w:szCs w:val="20"/>
              </w:rPr>
            </w:pPr>
          </w:p>
        </w:tc>
      </w:tr>
      <w:tr w:rsidR="001B2794" w:rsidRPr="00706BD5" w14:paraId="76BCDF2A" w14:textId="77777777" w:rsidTr="006C30CC">
        <w:tc>
          <w:tcPr>
            <w:tcW w:w="0" w:type="auto"/>
            <w:vMerge/>
          </w:tcPr>
          <w:p w14:paraId="2E779325"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3C54BEA5"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established processes, procedures and resources (e.g. expert committees) available to conduct rapid risk assessment and provide prompt advice on response plan activation; response strategies and frequency of exercises/meetings /correspondence to maintain polio outbreak response readiness.</w:t>
            </w:r>
          </w:p>
          <w:p w14:paraId="1A228F5E"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p w14:paraId="3AE2D14E"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r w:rsidRPr="00256AA8">
              <w:rPr>
                <w:rFonts w:ascii="Times New Roman" w:hAnsi="Times New Roman"/>
                <w:bCs/>
                <w:kern w:val="28"/>
                <w:sz w:val="20"/>
                <w:szCs w:val="20"/>
              </w:rPr>
              <w:t xml:space="preserve"> </w:t>
            </w:r>
          </w:p>
        </w:tc>
        <w:tc>
          <w:tcPr>
            <w:tcW w:w="0" w:type="auto"/>
          </w:tcPr>
          <w:p w14:paraId="2A84741B"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Qualitative evaluation and brief descriptive overview of information contained in the Australian Poliovirus Infection Outbreak Response Plan.</w:t>
            </w:r>
          </w:p>
          <w:p w14:paraId="3666F053"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Semi-structured interviews or correspondence with relevant NCC and </w:t>
            </w:r>
            <w:r w:rsidR="00FF7048">
              <w:rPr>
                <w:rFonts w:ascii="Times New Roman" w:hAnsi="Times New Roman"/>
                <w:bCs/>
                <w:kern w:val="28"/>
                <w:sz w:val="20"/>
                <w:szCs w:val="20"/>
              </w:rPr>
              <w:t>Polio Expert Panel (</w:t>
            </w:r>
            <w:r w:rsidRPr="00256AA8">
              <w:rPr>
                <w:rFonts w:ascii="Times New Roman" w:hAnsi="Times New Roman"/>
                <w:bCs/>
                <w:kern w:val="28"/>
                <w:sz w:val="20"/>
                <w:szCs w:val="20"/>
              </w:rPr>
              <w:t>PEP</w:t>
            </w:r>
            <w:r w:rsidR="00FF7048">
              <w:rPr>
                <w:rFonts w:ascii="Times New Roman" w:hAnsi="Times New Roman"/>
                <w:bCs/>
                <w:kern w:val="28"/>
                <w:sz w:val="20"/>
                <w:szCs w:val="20"/>
              </w:rPr>
              <w:t>)</w:t>
            </w:r>
            <w:r w:rsidRPr="00256AA8">
              <w:rPr>
                <w:rFonts w:ascii="Times New Roman" w:hAnsi="Times New Roman"/>
                <w:bCs/>
                <w:kern w:val="28"/>
                <w:sz w:val="20"/>
                <w:szCs w:val="20"/>
              </w:rPr>
              <w:t xml:space="preserve"> members, Australian Government Department of Health staff and Communicable Diseases Network Australia (CDNA) members.</w:t>
            </w:r>
          </w:p>
          <w:p w14:paraId="261E62B1" w14:textId="77777777" w:rsidR="001B2794" w:rsidRPr="00256AA8" w:rsidRDefault="001B2794" w:rsidP="00C522C4">
            <w:pPr>
              <w:pStyle w:val="ListParagraph"/>
              <w:spacing w:after="0" w:line="240" w:lineRule="auto"/>
              <w:ind w:left="410"/>
              <w:rPr>
                <w:rFonts w:ascii="Times New Roman" w:hAnsi="Times New Roman"/>
                <w:bCs/>
                <w:kern w:val="28"/>
                <w:sz w:val="20"/>
                <w:szCs w:val="20"/>
              </w:rPr>
            </w:pPr>
          </w:p>
        </w:tc>
      </w:tr>
      <w:tr w:rsidR="001B2794" w:rsidRPr="00706BD5" w14:paraId="416327EE" w14:textId="77777777" w:rsidTr="006C30CC">
        <w:tc>
          <w:tcPr>
            <w:tcW w:w="0" w:type="auto"/>
            <w:vMerge/>
          </w:tcPr>
          <w:p w14:paraId="46CA374F" w14:textId="77777777" w:rsidR="001B2794" w:rsidRPr="00256AA8" w:rsidRDefault="001B2794" w:rsidP="00C522C4">
            <w:pPr>
              <w:pStyle w:val="BodyText"/>
              <w:spacing w:after="0" w:line="240" w:lineRule="auto"/>
              <w:jc w:val="center"/>
              <w:rPr>
                <w:rFonts w:ascii="Times New Roman" w:hAnsi="Times New Roman"/>
                <w:b/>
                <w:sz w:val="20"/>
                <w:szCs w:val="20"/>
              </w:rPr>
            </w:pPr>
          </w:p>
        </w:tc>
        <w:tc>
          <w:tcPr>
            <w:tcW w:w="0" w:type="auto"/>
          </w:tcPr>
          <w:p w14:paraId="56B89EA6" w14:textId="77777777" w:rsidR="001B2794" w:rsidRPr="00256AA8" w:rsidRDefault="001B2794" w:rsidP="00C522C4">
            <w:pPr>
              <w:pStyle w:val="ListParagraph"/>
              <w:numPr>
                <w:ilvl w:val="0"/>
                <w:numId w:val="8"/>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Briefly describe in general terms, any environmental, public health, social, geopolitical, economic or other risk factors that could contribute to a sustained polio transmission risk or potentially undermine an outbreak response in Australia.</w:t>
            </w:r>
          </w:p>
          <w:p w14:paraId="03AB350D" w14:textId="77777777" w:rsidR="001B2794" w:rsidRPr="00256AA8" w:rsidRDefault="001B2794" w:rsidP="00C522C4">
            <w:pPr>
              <w:pStyle w:val="ListParagraph"/>
              <w:spacing w:after="0" w:line="240" w:lineRule="auto"/>
              <w:ind w:left="360"/>
              <w:rPr>
                <w:rFonts w:ascii="Times New Roman" w:hAnsi="Times New Roman"/>
                <w:bCs/>
                <w:kern w:val="28"/>
                <w:sz w:val="20"/>
                <w:szCs w:val="20"/>
              </w:rPr>
            </w:pPr>
          </w:p>
        </w:tc>
        <w:tc>
          <w:tcPr>
            <w:tcW w:w="0" w:type="auto"/>
          </w:tcPr>
          <w:p w14:paraId="5A1EF908"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lastRenderedPageBreak/>
              <w:t>Human Development or Global Peace indices.</w:t>
            </w:r>
          </w:p>
          <w:p w14:paraId="7144826B" w14:textId="77777777" w:rsidR="001B2794" w:rsidRPr="00256AA8" w:rsidRDefault="001B2794" w:rsidP="00C522C4">
            <w:pPr>
              <w:pStyle w:val="ListParagraph"/>
              <w:numPr>
                <w:ilvl w:val="0"/>
                <w:numId w:val="16"/>
              </w:numPr>
              <w:spacing w:after="0" w:line="240" w:lineRule="auto"/>
              <w:rPr>
                <w:rFonts w:ascii="Times New Roman" w:hAnsi="Times New Roman"/>
                <w:bCs/>
                <w:kern w:val="28"/>
                <w:sz w:val="20"/>
                <w:szCs w:val="20"/>
              </w:rPr>
            </w:pPr>
            <w:r w:rsidRPr="00256AA8">
              <w:rPr>
                <w:rFonts w:ascii="Times New Roman" w:hAnsi="Times New Roman"/>
                <w:bCs/>
                <w:kern w:val="28"/>
                <w:sz w:val="20"/>
                <w:szCs w:val="20"/>
              </w:rPr>
              <w:t xml:space="preserve">Include brief reference to conditions that allow poliovirus circulation to persist, and risk factors, e.g. natural disasters, geopolitical conflict, </w:t>
            </w:r>
            <w:r w:rsidRPr="00256AA8">
              <w:rPr>
                <w:rFonts w:ascii="Times New Roman" w:hAnsi="Times New Roman"/>
                <w:bCs/>
                <w:kern w:val="28"/>
                <w:sz w:val="20"/>
                <w:szCs w:val="20"/>
              </w:rPr>
              <w:lastRenderedPageBreak/>
              <w:t>economic crises, or other epidemiological or socio-political factors that may change Australia’s risk profile or potentially undermine an outbreak response.</w:t>
            </w:r>
          </w:p>
          <w:p w14:paraId="6C4C2CE4" w14:textId="77777777" w:rsidR="001B2794" w:rsidRPr="00256AA8" w:rsidRDefault="001B2794" w:rsidP="00C522C4">
            <w:pPr>
              <w:pStyle w:val="ListParagraph"/>
              <w:spacing w:after="0" w:line="240" w:lineRule="auto"/>
              <w:ind w:left="410"/>
              <w:rPr>
                <w:rFonts w:ascii="Times New Roman" w:hAnsi="Times New Roman"/>
                <w:bCs/>
                <w:kern w:val="28"/>
                <w:sz w:val="20"/>
                <w:szCs w:val="20"/>
              </w:rPr>
            </w:pPr>
          </w:p>
        </w:tc>
      </w:tr>
    </w:tbl>
    <w:p w14:paraId="13FFAE1B" w14:textId="77777777" w:rsidR="00AC6595" w:rsidRDefault="00AC6595" w:rsidP="007B5536">
      <w:pPr>
        <w:pStyle w:val="BodyText"/>
      </w:pPr>
    </w:p>
    <w:p w14:paraId="52C6F0B6" w14:textId="77777777" w:rsidR="001D520E" w:rsidRPr="00256AA8" w:rsidRDefault="001D520E" w:rsidP="005A682D">
      <w:pPr>
        <w:pStyle w:val="Heading2"/>
        <w:pBdr>
          <w:top w:val="none" w:sz="0" w:space="0" w:color="auto"/>
          <w:bottom w:val="none" w:sz="0" w:space="0" w:color="auto"/>
        </w:pBdr>
        <w:rPr>
          <w:rFonts w:ascii="Arial" w:hAnsi="Arial" w:cs="Arial"/>
          <w:b/>
          <w:sz w:val="22"/>
          <w:szCs w:val="22"/>
        </w:rPr>
      </w:pPr>
      <w:bookmarkStart w:id="24" w:name="_Ref525139156"/>
      <w:bookmarkStart w:id="25" w:name="_Ref525139167"/>
      <w:bookmarkStart w:id="26" w:name="_Toc20238591"/>
      <w:r w:rsidRPr="00256AA8">
        <w:rPr>
          <w:rFonts w:ascii="Arial" w:hAnsi="Arial" w:cs="Arial"/>
          <w:b/>
          <w:sz w:val="22"/>
          <w:szCs w:val="22"/>
        </w:rPr>
        <w:t>Risk characterisation (bringing it all together)</w:t>
      </w:r>
      <w:bookmarkEnd w:id="24"/>
      <w:bookmarkEnd w:id="25"/>
      <w:bookmarkEnd w:id="26"/>
      <w:r w:rsidRPr="00256AA8">
        <w:rPr>
          <w:rFonts w:ascii="Arial" w:hAnsi="Arial" w:cs="Arial"/>
          <w:b/>
          <w:sz w:val="22"/>
          <w:szCs w:val="22"/>
        </w:rPr>
        <w:t xml:space="preserve"> </w:t>
      </w:r>
    </w:p>
    <w:p w14:paraId="350D6B15" w14:textId="77777777" w:rsidR="00DA60ED" w:rsidRPr="00256AA8" w:rsidRDefault="00A05FB9" w:rsidP="00256AA8">
      <w:pPr>
        <w:spacing w:after="160" w:line="259" w:lineRule="auto"/>
        <w:jc w:val="both"/>
        <w:rPr>
          <w:rFonts w:ascii="Times New Roman" w:hAnsi="Times New Roman"/>
          <w:sz w:val="22"/>
          <w:lang w:eastAsia="en-AU"/>
        </w:rPr>
      </w:pPr>
      <w:r w:rsidRPr="00256AA8">
        <w:rPr>
          <w:rFonts w:ascii="Times New Roman" w:hAnsi="Times New Roman"/>
          <w:sz w:val="22"/>
          <w:lang w:eastAsia="en-AU"/>
        </w:rPr>
        <w:t>Once data or documen</w:t>
      </w:r>
      <w:r w:rsidR="000B34F4" w:rsidRPr="00256AA8">
        <w:rPr>
          <w:rFonts w:ascii="Times New Roman" w:hAnsi="Times New Roman"/>
          <w:sz w:val="22"/>
          <w:lang w:eastAsia="en-AU"/>
        </w:rPr>
        <w:t>tary evidence for each of the 25</w:t>
      </w:r>
      <w:r w:rsidRPr="00256AA8">
        <w:rPr>
          <w:rFonts w:ascii="Times New Roman" w:hAnsi="Times New Roman"/>
          <w:sz w:val="22"/>
          <w:lang w:eastAsia="en-AU"/>
        </w:rPr>
        <w:t xml:space="preserve"> risk indicators have been compiled, analysed or evaluated and the outcomes documented (Step 7 in the risk assessment process), t</w:t>
      </w:r>
      <w:r w:rsidR="00DA60ED" w:rsidRPr="00256AA8">
        <w:rPr>
          <w:rFonts w:ascii="Times New Roman" w:hAnsi="Times New Roman"/>
          <w:bCs/>
          <w:kern w:val="28"/>
          <w:sz w:val="22"/>
        </w:rPr>
        <w:t xml:space="preserve">he following </w:t>
      </w:r>
      <w:r w:rsidR="00D46174" w:rsidRPr="00256AA8">
        <w:rPr>
          <w:rFonts w:ascii="Times New Roman" w:hAnsi="Times New Roman"/>
          <w:bCs/>
          <w:kern w:val="28"/>
          <w:sz w:val="22"/>
        </w:rPr>
        <w:t xml:space="preserve">formula </w:t>
      </w:r>
      <w:r w:rsidR="00DA60ED" w:rsidRPr="00256AA8">
        <w:rPr>
          <w:rFonts w:ascii="Times New Roman" w:hAnsi="Times New Roman"/>
          <w:bCs/>
          <w:kern w:val="28"/>
          <w:sz w:val="22"/>
        </w:rPr>
        <w:t>allows generation of a semi-quantitative risk characterisation estimate (RCE) which may be plotted in a risk matrix.</w:t>
      </w:r>
      <w:r w:rsidR="00A41ECA" w:rsidRPr="00256AA8">
        <w:rPr>
          <w:rFonts w:ascii="Times New Roman" w:hAnsi="Times New Roman"/>
          <w:bCs/>
          <w:kern w:val="28"/>
          <w:sz w:val="22"/>
        </w:rPr>
        <w:t xml:space="preserve"> </w:t>
      </w:r>
      <w:r w:rsidR="00DA60ED" w:rsidRPr="00256AA8">
        <w:rPr>
          <w:rFonts w:ascii="Times New Roman" w:hAnsi="Times New Roman"/>
          <w:bCs/>
          <w:kern w:val="28"/>
          <w:sz w:val="22"/>
        </w:rPr>
        <w:t xml:space="preserve">The RCE comprises the plotted product of the four risk elements, as follows: </w:t>
      </w:r>
    </w:p>
    <w:p w14:paraId="5ED1CCDC" w14:textId="77777777" w:rsidR="00DA60ED" w:rsidRPr="00256AA8" w:rsidRDefault="00DA60ED" w:rsidP="00256AA8">
      <w:pPr>
        <w:pStyle w:val="ListParagraph"/>
        <w:numPr>
          <w:ilvl w:val="0"/>
          <w:numId w:val="6"/>
        </w:numPr>
        <w:spacing w:after="160" w:line="259" w:lineRule="auto"/>
        <w:jc w:val="both"/>
        <w:rPr>
          <w:rFonts w:ascii="Times New Roman" w:hAnsi="Times New Roman"/>
          <w:bCs/>
          <w:kern w:val="28"/>
          <w:sz w:val="22"/>
        </w:rPr>
      </w:pPr>
      <w:r w:rsidRPr="00256AA8">
        <w:rPr>
          <w:rFonts w:ascii="Times New Roman" w:hAnsi="Times New Roman"/>
          <w:bCs/>
          <w:kern w:val="28"/>
          <w:sz w:val="22"/>
        </w:rPr>
        <w:t>RCE = Likelihood x Impact</w:t>
      </w:r>
      <w:r w:rsidR="006045ED" w:rsidRPr="00256AA8">
        <w:rPr>
          <w:rFonts w:ascii="Times New Roman" w:hAnsi="Times New Roman"/>
          <w:bCs/>
          <w:kern w:val="28"/>
          <w:sz w:val="22"/>
        </w:rPr>
        <w:t xml:space="preserve">, where </w:t>
      </w:r>
    </w:p>
    <w:p w14:paraId="31ACF1A9" w14:textId="77777777" w:rsidR="00DA60ED" w:rsidRPr="00256AA8" w:rsidRDefault="00DA60ED" w:rsidP="00256AA8">
      <w:pPr>
        <w:pStyle w:val="ListParagraph"/>
        <w:numPr>
          <w:ilvl w:val="0"/>
          <w:numId w:val="6"/>
        </w:numPr>
        <w:spacing w:after="160" w:line="259" w:lineRule="auto"/>
        <w:jc w:val="both"/>
        <w:rPr>
          <w:rFonts w:ascii="Times New Roman" w:hAnsi="Times New Roman"/>
          <w:bCs/>
          <w:kern w:val="28"/>
          <w:sz w:val="22"/>
        </w:rPr>
      </w:pPr>
      <w:r w:rsidRPr="00256AA8">
        <w:rPr>
          <w:rFonts w:ascii="Times New Roman" w:hAnsi="Times New Roman"/>
          <w:bCs/>
          <w:kern w:val="28"/>
          <w:sz w:val="22"/>
        </w:rPr>
        <w:t>Likelihood score = (</w:t>
      </w:r>
      <w:r w:rsidRPr="00256AA8">
        <w:rPr>
          <w:rFonts w:ascii="Times New Roman" w:hAnsi="Times New Roman"/>
          <w:bCs/>
          <w:i/>
          <w:kern w:val="28"/>
          <w:sz w:val="22"/>
        </w:rPr>
        <w:t>w1*H*c1) + (w2*S*c2)</w:t>
      </w:r>
    </w:p>
    <w:p w14:paraId="52BF9CC9" w14:textId="77777777" w:rsidR="00C5042A" w:rsidRPr="009B49DD" w:rsidRDefault="00DA60ED" w:rsidP="00256AA8">
      <w:pPr>
        <w:pStyle w:val="ListParagraph"/>
        <w:numPr>
          <w:ilvl w:val="0"/>
          <w:numId w:val="6"/>
        </w:numPr>
        <w:spacing w:after="160" w:line="259" w:lineRule="auto"/>
        <w:jc w:val="both"/>
        <w:rPr>
          <w:rFonts w:ascii="Times New Roman" w:hAnsi="Times New Roman"/>
          <w:bCs/>
          <w:kern w:val="28"/>
          <w:sz w:val="22"/>
        </w:rPr>
      </w:pPr>
      <w:r w:rsidRPr="00256AA8">
        <w:rPr>
          <w:rFonts w:ascii="Times New Roman" w:hAnsi="Times New Roman"/>
          <w:bCs/>
          <w:kern w:val="28"/>
          <w:sz w:val="22"/>
        </w:rPr>
        <w:t>Impact score =</w:t>
      </w:r>
      <w:r w:rsidRPr="00256AA8">
        <w:rPr>
          <w:rFonts w:ascii="Times New Roman" w:hAnsi="Times New Roman"/>
          <w:bCs/>
          <w:i/>
          <w:kern w:val="28"/>
          <w:sz w:val="22"/>
        </w:rPr>
        <w:t xml:space="preserve"> (w3*D*c3) </w:t>
      </w:r>
      <w:r w:rsidRPr="00256AA8">
        <w:rPr>
          <w:rFonts w:ascii="Times New Roman" w:hAnsi="Times New Roman"/>
          <w:bCs/>
          <w:kern w:val="28"/>
          <w:sz w:val="22"/>
        </w:rPr>
        <w:t xml:space="preserve">+ </w:t>
      </w:r>
      <w:r w:rsidRPr="00256AA8">
        <w:rPr>
          <w:rFonts w:ascii="Times New Roman" w:hAnsi="Times New Roman"/>
          <w:bCs/>
          <w:i/>
          <w:kern w:val="28"/>
          <w:sz w:val="22"/>
        </w:rPr>
        <w:t>(w4*R*c4)</w:t>
      </w:r>
    </w:p>
    <w:p w14:paraId="1BEEB44C" w14:textId="77777777" w:rsidR="00B661CA" w:rsidRPr="00256AA8" w:rsidRDefault="00C5042A" w:rsidP="00256AA8">
      <w:pPr>
        <w:spacing w:after="160" w:line="259" w:lineRule="auto"/>
        <w:jc w:val="both"/>
        <w:rPr>
          <w:rFonts w:ascii="Times New Roman" w:hAnsi="Times New Roman"/>
          <w:bCs/>
          <w:kern w:val="28"/>
          <w:sz w:val="22"/>
        </w:rPr>
      </w:pPr>
      <w:r w:rsidRPr="00256AA8">
        <w:rPr>
          <w:rFonts w:ascii="Times New Roman" w:hAnsi="Times New Roman"/>
          <w:bCs/>
          <w:kern w:val="28"/>
          <w:sz w:val="22"/>
        </w:rPr>
        <w:t>Each risk element is weighted and confidence-assessed to derive the RCE (</w:t>
      </w:r>
      <w:r w:rsidRPr="00256AA8">
        <w:rPr>
          <w:rFonts w:ascii="Times New Roman" w:hAnsi="Times New Roman"/>
          <w:bCs/>
          <w:kern w:val="28"/>
          <w:sz w:val="22"/>
        </w:rPr>
        <w:fldChar w:fldCharType="begin"/>
      </w:r>
      <w:r w:rsidRPr="00256AA8">
        <w:rPr>
          <w:rFonts w:ascii="Times New Roman" w:hAnsi="Times New Roman"/>
          <w:bCs/>
          <w:kern w:val="28"/>
          <w:sz w:val="22"/>
        </w:rPr>
        <w:instrText xml:space="preserve"> REF _Ref525031331 \h </w:instrText>
      </w:r>
      <w:r w:rsidR="00256AA8" w:rsidRPr="00256AA8">
        <w:rPr>
          <w:rFonts w:ascii="Times New Roman" w:hAnsi="Times New Roman"/>
          <w:bCs/>
          <w:kern w:val="28"/>
          <w:sz w:val="22"/>
        </w:rPr>
        <w:instrText xml:space="preserve"> \* MERGEFORMAT </w:instrText>
      </w:r>
      <w:r w:rsidRPr="00256AA8">
        <w:rPr>
          <w:rFonts w:ascii="Times New Roman" w:hAnsi="Times New Roman"/>
          <w:bCs/>
          <w:kern w:val="28"/>
          <w:sz w:val="22"/>
        </w:rPr>
      </w:r>
      <w:r w:rsidRPr="00256AA8">
        <w:rPr>
          <w:rFonts w:ascii="Times New Roman" w:hAnsi="Times New Roman"/>
          <w:bCs/>
          <w:kern w:val="28"/>
          <w:sz w:val="22"/>
        </w:rPr>
        <w:fldChar w:fldCharType="separate"/>
      </w:r>
      <w:r w:rsidR="00AE3396" w:rsidRPr="00256AA8">
        <w:rPr>
          <w:rFonts w:ascii="Times New Roman" w:hAnsi="Times New Roman"/>
          <w:color w:val="auto"/>
          <w:sz w:val="22"/>
        </w:rPr>
        <w:t xml:space="preserve">Table </w:t>
      </w:r>
      <w:r w:rsidR="00AE3396" w:rsidRPr="00256AA8">
        <w:rPr>
          <w:rFonts w:ascii="Times New Roman" w:hAnsi="Times New Roman"/>
          <w:noProof/>
          <w:color w:val="auto"/>
          <w:sz w:val="22"/>
        </w:rPr>
        <w:t>5</w:t>
      </w:r>
      <w:r w:rsidRPr="00256AA8">
        <w:rPr>
          <w:rFonts w:ascii="Times New Roman" w:hAnsi="Times New Roman"/>
          <w:bCs/>
          <w:kern w:val="28"/>
          <w:sz w:val="22"/>
        </w:rPr>
        <w:fldChar w:fldCharType="end"/>
      </w:r>
      <w:r w:rsidRPr="00256AA8">
        <w:rPr>
          <w:rFonts w:ascii="Times New Roman" w:hAnsi="Times New Roman"/>
          <w:bCs/>
          <w:kern w:val="28"/>
          <w:sz w:val="22"/>
        </w:rPr>
        <w:t>).</w:t>
      </w:r>
    </w:p>
    <w:p w14:paraId="2F8782F4" w14:textId="77777777" w:rsidR="00DA60ED" w:rsidRPr="00000C6B" w:rsidRDefault="00C5042A" w:rsidP="00C5042A">
      <w:pPr>
        <w:pStyle w:val="Caption"/>
        <w:rPr>
          <w:rFonts w:ascii="Times New Roman" w:hAnsi="Times New Roman"/>
          <w:bCs/>
          <w:color w:val="auto"/>
          <w:kern w:val="28"/>
          <w:sz w:val="22"/>
          <w:szCs w:val="22"/>
        </w:rPr>
      </w:pPr>
      <w:bookmarkStart w:id="27" w:name="_Ref525031331"/>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5</w:t>
      </w:r>
      <w:r w:rsidRPr="00000C6B">
        <w:rPr>
          <w:rFonts w:ascii="Times New Roman" w:hAnsi="Times New Roman"/>
          <w:color w:val="auto"/>
          <w:sz w:val="22"/>
          <w:szCs w:val="22"/>
        </w:rPr>
        <w:fldChar w:fldCharType="end"/>
      </w:r>
      <w:bookmarkEnd w:id="27"/>
      <w:r w:rsidRPr="00000C6B">
        <w:rPr>
          <w:rFonts w:ascii="Times New Roman" w:hAnsi="Times New Roman"/>
          <w:color w:val="auto"/>
          <w:sz w:val="22"/>
          <w:szCs w:val="22"/>
        </w:rPr>
        <w:t xml:space="preserve">: </w:t>
      </w:r>
      <w:r w:rsidR="00016238" w:rsidRPr="00000C6B">
        <w:rPr>
          <w:rFonts w:ascii="Times New Roman" w:hAnsi="Times New Roman"/>
          <w:bCs/>
          <w:color w:val="auto"/>
          <w:kern w:val="28"/>
          <w:sz w:val="22"/>
          <w:szCs w:val="22"/>
        </w:rPr>
        <w:t xml:space="preserve">Variables </w:t>
      </w:r>
      <w:r w:rsidR="00D46174" w:rsidRPr="00000C6B">
        <w:rPr>
          <w:rFonts w:ascii="Times New Roman" w:hAnsi="Times New Roman"/>
          <w:bCs/>
          <w:color w:val="auto"/>
          <w:kern w:val="28"/>
          <w:sz w:val="22"/>
          <w:szCs w:val="22"/>
        </w:rPr>
        <w:t>used to calculate the risk c</w:t>
      </w:r>
      <w:r w:rsidRPr="00000C6B">
        <w:rPr>
          <w:rFonts w:ascii="Times New Roman" w:hAnsi="Times New Roman"/>
          <w:bCs/>
          <w:color w:val="auto"/>
          <w:kern w:val="28"/>
          <w:sz w:val="22"/>
          <w:szCs w:val="22"/>
        </w:rPr>
        <w:t>haracterisation estimate (RCE)</w:t>
      </w:r>
    </w:p>
    <w:tbl>
      <w:tblPr>
        <w:tblStyle w:val="TableGrid"/>
        <w:tblW w:w="0" w:type="auto"/>
        <w:tblLook w:val="04A0" w:firstRow="1" w:lastRow="0" w:firstColumn="1" w:lastColumn="0" w:noHBand="0" w:noVBand="1"/>
        <w:tblCaption w:val="Table 5: Variables used to calculate the risk characterisation estimate (RCE)"/>
        <w:tblDescription w:val="Table shows variables used to calculate the risk characterisation estimate (RCE)"/>
      </w:tblPr>
      <w:tblGrid>
        <w:gridCol w:w="861"/>
        <w:gridCol w:w="8155"/>
      </w:tblGrid>
      <w:tr w:rsidR="00DA60ED" w:rsidRPr="009B49DD" w14:paraId="716AB878" w14:textId="77777777" w:rsidTr="003E2305">
        <w:trPr>
          <w:tblHeader/>
        </w:trPr>
        <w:tc>
          <w:tcPr>
            <w:tcW w:w="0" w:type="auto"/>
            <w:shd w:val="clear" w:color="auto" w:fill="D9D9D9" w:themeFill="background1" w:themeFillShade="D9"/>
          </w:tcPr>
          <w:p w14:paraId="7CB79F15"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Symbol</w:t>
            </w:r>
          </w:p>
        </w:tc>
        <w:tc>
          <w:tcPr>
            <w:tcW w:w="0" w:type="auto"/>
            <w:shd w:val="clear" w:color="auto" w:fill="D9D9D9" w:themeFill="background1" w:themeFillShade="D9"/>
          </w:tcPr>
          <w:p w14:paraId="2B5EDDAB" w14:textId="77777777" w:rsidR="00DA60ED" w:rsidRPr="009B49DD" w:rsidRDefault="00E04C42"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Description</w:t>
            </w:r>
          </w:p>
        </w:tc>
      </w:tr>
      <w:tr w:rsidR="00DA60ED" w:rsidRPr="009B49DD" w14:paraId="53457FA8" w14:textId="77777777" w:rsidTr="006C30CC">
        <w:tc>
          <w:tcPr>
            <w:tcW w:w="0" w:type="auto"/>
          </w:tcPr>
          <w:p w14:paraId="2633BB26"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w</w:t>
            </w:r>
          </w:p>
        </w:tc>
        <w:tc>
          <w:tcPr>
            <w:tcW w:w="0" w:type="auto"/>
          </w:tcPr>
          <w:p w14:paraId="299F557B" w14:textId="77777777" w:rsidR="00DA60ED" w:rsidRDefault="00DA60ED" w:rsidP="00C522C4">
            <w:pPr>
              <w:spacing w:after="0" w:line="240" w:lineRule="auto"/>
              <w:rPr>
                <w:rFonts w:ascii="Times New Roman" w:hAnsi="Times New Roman"/>
                <w:bCs/>
                <w:kern w:val="28"/>
                <w:sz w:val="20"/>
                <w:szCs w:val="20"/>
              </w:rPr>
            </w:pPr>
            <w:r w:rsidRPr="009B49DD">
              <w:rPr>
                <w:rFonts w:ascii="Times New Roman" w:hAnsi="Times New Roman"/>
                <w:bCs/>
                <w:kern w:val="28"/>
                <w:sz w:val="20"/>
                <w:szCs w:val="20"/>
              </w:rPr>
              <w:t>A proportional weighting factor, which incorporates an estimate of the relative importance of the risk element in the overall risk characterisation</w:t>
            </w:r>
            <w:r w:rsidRPr="009B49DD">
              <w:rPr>
                <w:rStyle w:val="FootnoteReference"/>
                <w:rFonts w:ascii="Times New Roman" w:hAnsi="Times New Roman"/>
                <w:bCs/>
                <w:kern w:val="28"/>
                <w:sz w:val="20"/>
                <w:szCs w:val="20"/>
              </w:rPr>
              <w:footnoteReference w:id="3"/>
            </w:r>
          </w:p>
          <w:p w14:paraId="609F1DC2" w14:textId="77777777" w:rsidR="009B49DD" w:rsidRPr="009B49DD" w:rsidRDefault="009B49DD" w:rsidP="00C522C4">
            <w:pPr>
              <w:spacing w:after="0" w:line="240" w:lineRule="auto"/>
              <w:rPr>
                <w:rFonts w:ascii="Times New Roman" w:hAnsi="Times New Roman"/>
                <w:bCs/>
                <w:kern w:val="28"/>
                <w:sz w:val="20"/>
                <w:szCs w:val="20"/>
              </w:rPr>
            </w:pPr>
          </w:p>
        </w:tc>
      </w:tr>
      <w:tr w:rsidR="00DA60ED" w:rsidRPr="009B49DD" w14:paraId="0B90C5C0" w14:textId="77777777" w:rsidTr="006C30CC">
        <w:tc>
          <w:tcPr>
            <w:tcW w:w="0" w:type="auto"/>
          </w:tcPr>
          <w:p w14:paraId="2C3F2441"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c</w:t>
            </w:r>
          </w:p>
        </w:tc>
        <w:tc>
          <w:tcPr>
            <w:tcW w:w="0" w:type="auto"/>
          </w:tcPr>
          <w:p w14:paraId="0D5E8B63" w14:textId="77777777" w:rsidR="00DA60ED" w:rsidRPr="009B49DD" w:rsidRDefault="00DA60ED" w:rsidP="00C522C4">
            <w:pPr>
              <w:spacing w:after="0" w:line="240" w:lineRule="auto"/>
              <w:rPr>
                <w:rFonts w:ascii="Times New Roman" w:hAnsi="Times New Roman"/>
                <w:bCs/>
                <w:kern w:val="28"/>
                <w:sz w:val="20"/>
                <w:szCs w:val="20"/>
              </w:rPr>
            </w:pPr>
            <w:r w:rsidRPr="009B49DD">
              <w:rPr>
                <w:rFonts w:ascii="Times New Roman" w:hAnsi="Times New Roman"/>
                <w:bCs/>
                <w:kern w:val="28"/>
                <w:sz w:val="20"/>
                <w:szCs w:val="20"/>
              </w:rPr>
              <w:t>A confidence coefficie</w:t>
            </w:r>
            <w:r w:rsidR="005A0ABA" w:rsidRPr="009B49DD">
              <w:rPr>
                <w:rFonts w:ascii="Times New Roman" w:hAnsi="Times New Roman"/>
                <w:bCs/>
                <w:kern w:val="28"/>
                <w:sz w:val="20"/>
                <w:szCs w:val="20"/>
              </w:rPr>
              <w:t xml:space="preserve">nt score, which incorporates an </w:t>
            </w:r>
            <w:r w:rsidRPr="009B49DD">
              <w:rPr>
                <w:rFonts w:ascii="Times New Roman" w:hAnsi="Times New Roman"/>
                <w:bCs/>
                <w:kern w:val="28"/>
                <w:sz w:val="20"/>
                <w:szCs w:val="20"/>
              </w:rPr>
              <w:t>estimate of confidence in the reliability, quality and completeness of information assessed for each element</w:t>
            </w:r>
          </w:p>
          <w:p w14:paraId="7F160A29" w14:textId="77777777" w:rsidR="00DA60ED" w:rsidRPr="009B49DD" w:rsidRDefault="00DA60ED" w:rsidP="00C522C4">
            <w:pPr>
              <w:spacing w:after="0" w:line="240" w:lineRule="auto"/>
              <w:rPr>
                <w:rFonts w:ascii="Times New Roman" w:hAnsi="Times New Roman"/>
                <w:bCs/>
                <w:kern w:val="28"/>
                <w:sz w:val="20"/>
                <w:szCs w:val="20"/>
              </w:rPr>
            </w:pPr>
          </w:p>
        </w:tc>
      </w:tr>
      <w:tr w:rsidR="00DA60ED" w:rsidRPr="009B49DD" w14:paraId="253F14AC" w14:textId="77777777" w:rsidTr="006C30CC">
        <w:tc>
          <w:tcPr>
            <w:tcW w:w="0" w:type="auto"/>
          </w:tcPr>
          <w:p w14:paraId="4BFF1E28"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H</w:t>
            </w:r>
          </w:p>
        </w:tc>
        <w:tc>
          <w:tcPr>
            <w:tcW w:w="0" w:type="auto"/>
          </w:tcPr>
          <w:p w14:paraId="1534C258" w14:textId="77777777" w:rsidR="00DA60ED" w:rsidRDefault="009B49DD" w:rsidP="00C522C4">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Reintroduction hazard risk element </w:t>
            </w:r>
            <w:r w:rsidR="00DA60ED" w:rsidRPr="009B49DD">
              <w:rPr>
                <w:rFonts w:ascii="Times New Roman" w:hAnsi="Times New Roman"/>
                <w:bCs/>
                <w:kern w:val="28"/>
                <w:sz w:val="20"/>
                <w:szCs w:val="20"/>
              </w:rPr>
              <w:t xml:space="preserve">score </w:t>
            </w:r>
          </w:p>
          <w:p w14:paraId="24106D55" w14:textId="77777777" w:rsidR="009B49DD" w:rsidRPr="009B49DD" w:rsidRDefault="009B49DD" w:rsidP="00C522C4">
            <w:pPr>
              <w:spacing w:after="0" w:line="240" w:lineRule="auto"/>
              <w:rPr>
                <w:rFonts w:ascii="Times New Roman" w:hAnsi="Times New Roman"/>
                <w:bCs/>
                <w:kern w:val="28"/>
                <w:sz w:val="20"/>
                <w:szCs w:val="20"/>
              </w:rPr>
            </w:pPr>
          </w:p>
        </w:tc>
      </w:tr>
      <w:tr w:rsidR="00DA60ED" w:rsidRPr="009B49DD" w14:paraId="2F4DA56C" w14:textId="77777777" w:rsidTr="006C30CC">
        <w:tc>
          <w:tcPr>
            <w:tcW w:w="0" w:type="auto"/>
          </w:tcPr>
          <w:p w14:paraId="0008C635"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S</w:t>
            </w:r>
          </w:p>
        </w:tc>
        <w:tc>
          <w:tcPr>
            <w:tcW w:w="0" w:type="auto"/>
          </w:tcPr>
          <w:p w14:paraId="6BA889D0" w14:textId="77777777" w:rsidR="00DA60ED" w:rsidRDefault="009B49DD" w:rsidP="00C522C4">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Population susceptibility risk element </w:t>
            </w:r>
            <w:r w:rsidR="00DA60ED" w:rsidRPr="009B49DD">
              <w:rPr>
                <w:rFonts w:ascii="Times New Roman" w:hAnsi="Times New Roman"/>
                <w:bCs/>
                <w:kern w:val="28"/>
                <w:sz w:val="20"/>
                <w:szCs w:val="20"/>
              </w:rPr>
              <w:t xml:space="preserve">score </w:t>
            </w:r>
          </w:p>
          <w:p w14:paraId="3BBBD0FF" w14:textId="77777777" w:rsidR="009B49DD" w:rsidRPr="009B49DD" w:rsidRDefault="009B49DD" w:rsidP="00C522C4">
            <w:pPr>
              <w:spacing w:after="0" w:line="240" w:lineRule="auto"/>
              <w:rPr>
                <w:rFonts w:ascii="Times New Roman" w:hAnsi="Times New Roman"/>
                <w:bCs/>
                <w:kern w:val="28"/>
                <w:sz w:val="20"/>
                <w:szCs w:val="20"/>
              </w:rPr>
            </w:pPr>
          </w:p>
        </w:tc>
      </w:tr>
      <w:tr w:rsidR="00DA60ED" w:rsidRPr="009B49DD" w14:paraId="6BFCEEA7" w14:textId="77777777" w:rsidTr="006C30CC">
        <w:tc>
          <w:tcPr>
            <w:tcW w:w="0" w:type="auto"/>
          </w:tcPr>
          <w:p w14:paraId="50CFF175"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D</w:t>
            </w:r>
          </w:p>
        </w:tc>
        <w:tc>
          <w:tcPr>
            <w:tcW w:w="0" w:type="auto"/>
          </w:tcPr>
          <w:p w14:paraId="546EEB72" w14:textId="77777777" w:rsidR="00DA60ED" w:rsidRDefault="00DA60ED" w:rsidP="00C522C4">
            <w:pPr>
              <w:spacing w:after="0" w:line="240" w:lineRule="auto"/>
              <w:rPr>
                <w:rFonts w:ascii="Times New Roman" w:hAnsi="Times New Roman"/>
                <w:bCs/>
                <w:kern w:val="28"/>
                <w:sz w:val="20"/>
                <w:szCs w:val="20"/>
              </w:rPr>
            </w:pPr>
            <w:r w:rsidRPr="009B49DD">
              <w:rPr>
                <w:rFonts w:ascii="Times New Roman" w:hAnsi="Times New Roman"/>
                <w:bCs/>
                <w:kern w:val="28"/>
                <w:sz w:val="20"/>
                <w:szCs w:val="20"/>
              </w:rPr>
              <w:t xml:space="preserve">Detection </w:t>
            </w:r>
            <w:r w:rsidR="009B49DD">
              <w:rPr>
                <w:rFonts w:ascii="Times New Roman" w:hAnsi="Times New Roman"/>
                <w:bCs/>
                <w:kern w:val="28"/>
                <w:sz w:val="20"/>
                <w:szCs w:val="20"/>
              </w:rPr>
              <w:t xml:space="preserve">capability risk element </w:t>
            </w:r>
            <w:r w:rsidRPr="009B49DD">
              <w:rPr>
                <w:rFonts w:ascii="Times New Roman" w:hAnsi="Times New Roman"/>
                <w:bCs/>
                <w:kern w:val="28"/>
                <w:sz w:val="20"/>
                <w:szCs w:val="20"/>
              </w:rPr>
              <w:t xml:space="preserve">score </w:t>
            </w:r>
          </w:p>
          <w:p w14:paraId="3E4B5B5E" w14:textId="77777777" w:rsidR="009B49DD" w:rsidRPr="009B49DD" w:rsidRDefault="009B49DD" w:rsidP="00C522C4">
            <w:pPr>
              <w:spacing w:after="0" w:line="240" w:lineRule="auto"/>
              <w:rPr>
                <w:rFonts w:ascii="Times New Roman" w:hAnsi="Times New Roman"/>
                <w:bCs/>
                <w:kern w:val="28"/>
                <w:sz w:val="20"/>
                <w:szCs w:val="20"/>
              </w:rPr>
            </w:pPr>
          </w:p>
        </w:tc>
      </w:tr>
      <w:tr w:rsidR="00DA60ED" w:rsidRPr="009B49DD" w14:paraId="05A0DFD0" w14:textId="77777777" w:rsidTr="006C30CC">
        <w:tc>
          <w:tcPr>
            <w:tcW w:w="0" w:type="auto"/>
          </w:tcPr>
          <w:p w14:paraId="615C5DC6" w14:textId="77777777" w:rsidR="00DA60ED" w:rsidRPr="009B49DD" w:rsidRDefault="00DA60ED" w:rsidP="00C522C4">
            <w:pPr>
              <w:spacing w:after="0" w:line="240" w:lineRule="auto"/>
              <w:jc w:val="center"/>
              <w:rPr>
                <w:rFonts w:ascii="Times New Roman" w:hAnsi="Times New Roman"/>
                <w:b/>
                <w:bCs/>
                <w:kern w:val="28"/>
                <w:sz w:val="20"/>
                <w:szCs w:val="20"/>
              </w:rPr>
            </w:pPr>
            <w:r w:rsidRPr="009B49DD">
              <w:rPr>
                <w:rFonts w:ascii="Times New Roman" w:hAnsi="Times New Roman"/>
                <w:b/>
                <w:bCs/>
                <w:kern w:val="28"/>
                <w:sz w:val="20"/>
                <w:szCs w:val="20"/>
              </w:rPr>
              <w:t>R</w:t>
            </w:r>
          </w:p>
        </w:tc>
        <w:tc>
          <w:tcPr>
            <w:tcW w:w="0" w:type="auto"/>
          </w:tcPr>
          <w:p w14:paraId="2F865E5B" w14:textId="77777777" w:rsidR="00DA60ED" w:rsidRDefault="009B49DD" w:rsidP="00C522C4">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Response capability risk element </w:t>
            </w:r>
            <w:r w:rsidR="00DA60ED" w:rsidRPr="009B49DD">
              <w:rPr>
                <w:rFonts w:ascii="Times New Roman" w:hAnsi="Times New Roman"/>
                <w:bCs/>
                <w:kern w:val="28"/>
                <w:sz w:val="20"/>
                <w:szCs w:val="20"/>
              </w:rPr>
              <w:t>score</w:t>
            </w:r>
          </w:p>
          <w:p w14:paraId="50DE9256" w14:textId="77777777" w:rsidR="009B49DD" w:rsidRPr="009B49DD" w:rsidRDefault="009B49DD" w:rsidP="00C522C4">
            <w:pPr>
              <w:spacing w:after="0" w:line="240" w:lineRule="auto"/>
              <w:rPr>
                <w:rFonts w:ascii="Times New Roman" w:hAnsi="Times New Roman"/>
                <w:bCs/>
                <w:kern w:val="28"/>
                <w:sz w:val="20"/>
                <w:szCs w:val="20"/>
              </w:rPr>
            </w:pPr>
          </w:p>
        </w:tc>
      </w:tr>
    </w:tbl>
    <w:p w14:paraId="07B6D7A1" w14:textId="77777777" w:rsidR="00DA60ED" w:rsidRPr="00DA60ED" w:rsidRDefault="00DA60ED" w:rsidP="00DA60ED">
      <w:pPr>
        <w:rPr>
          <w:rFonts w:asciiTheme="minorHAnsi" w:hAnsiTheme="minorHAnsi" w:cs="Arial"/>
          <w:bCs/>
          <w:kern w:val="28"/>
          <w:szCs w:val="24"/>
        </w:rPr>
      </w:pPr>
    </w:p>
    <w:p w14:paraId="0C7ADD49" w14:textId="77777777" w:rsidR="00843B04" w:rsidRDefault="00DA60ED" w:rsidP="009B49DD">
      <w:pPr>
        <w:spacing w:after="160" w:line="259" w:lineRule="auto"/>
        <w:jc w:val="both"/>
        <w:rPr>
          <w:rFonts w:ascii="Times New Roman" w:hAnsi="Times New Roman"/>
          <w:sz w:val="22"/>
        </w:rPr>
      </w:pPr>
      <w:r w:rsidRPr="009B49DD">
        <w:rPr>
          <w:rFonts w:ascii="Times New Roman" w:hAnsi="Times New Roman"/>
          <w:bCs/>
          <w:kern w:val="28"/>
          <w:sz w:val="22"/>
        </w:rPr>
        <w:t xml:space="preserve">The </w:t>
      </w:r>
      <w:r w:rsidRPr="009B49DD">
        <w:rPr>
          <w:rFonts w:ascii="Times New Roman" w:hAnsi="Times New Roman"/>
          <w:b/>
          <w:bCs/>
          <w:kern w:val="28"/>
          <w:sz w:val="22"/>
        </w:rPr>
        <w:t>likelihood score</w:t>
      </w:r>
      <w:r w:rsidRPr="009B49DD">
        <w:rPr>
          <w:rFonts w:ascii="Times New Roman" w:hAnsi="Times New Roman"/>
          <w:bCs/>
          <w:kern w:val="28"/>
          <w:sz w:val="22"/>
        </w:rPr>
        <w:t xml:space="preserve"> therefore comprises the sum of the weighted hazard and susceptibility assessment scores; whereas the </w:t>
      </w:r>
      <w:r w:rsidRPr="009B49DD">
        <w:rPr>
          <w:rFonts w:ascii="Times New Roman" w:hAnsi="Times New Roman"/>
          <w:b/>
          <w:bCs/>
          <w:kern w:val="28"/>
          <w:sz w:val="22"/>
        </w:rPr>
        <w:t>impact score</w:t>
      </w:r>
      <w:r w:rsidRPr="009B49DD">
        <w:rPr>
          <w:rFonts w:ascii="Times New Roman" w:hAnsi="Times New Roman"/>
          <w:bCs/>
          <w:kern w:val="28"/>
          <w:sz w:val="22"/>
        </w:rPr>
        <w:t xml:space="preserve"> comprises the sum of the weighted detection and response scores. The final RCE comprises the plotted intersection of the respective likelihood and impact scores in a risk matrix as a point estimate</w:t>
      </w:r>
      <w:r w:rsidR="003C2001" w:rsidRPr="009B49DD">
        <w:rPr>
          <w:rFonts w:ascii="Times New Roman" w:hAnsi="Times New Roman"/>
          <w:bCs/>
          <w:kern w:val="28"/>
          <w:sz w:val="22"/>
        </w:rPr>
        <w:t xml:space="preserve"> (refer to </w:t>
      </w:r>
      <w:r w:rsidR="003C2001" w:rsidRPr="009B49DD">
        <w:rPr>
          <w:rFonts w:ascii="Times New Roman" w:hAnsi="Times New Roman"/>
          <w:bCs/>
          <w:kern w:val="28"/>
          <w:sz w:val="22"/>
        </w:rPr>
        <w:fldChar w:fldCharType="begin"/>
      </w:r>
      <w:r w:rsidR="003C2001" w:rsidRPr="009B49DD">
        <w:rPr>
          <w:rFonts w:ascii="Times New Roman" w:hAnsi="Times New Roman"/>
          <w:bCs/>
          <w:kern w:val="28"/>
          <w:sz w:val="22"/>
        </w:rPr>
        <w:instrText xml:space="preserve"> REF _Ref525139346 \h </w:instrText>
      </w:r>
      <w:r w:rsidR="009B49DD" w:rsidRPr="009B49DD">
        <w:rPr>
          <w:rFonts w:ascii="Times New Roman" w:hAnsi="Times New Roman"/>
          <w:bCs/>
          <w:kern w:val="28"/>
          <w:sz w:val="22"/>
        </w:rPr>
        <w:instrText xml:space="preserve"> \* MERGEFORMAT </w:instrText>
      </w:r>
      <w:r w:rsidR="003C2001" w:rsidRPr="009B49DD">
        <w:rPr>
          <w:rFonts w:ascii="Times New Roman" w:hAnsi="Times New Roman"/>
          <w:bCs/>
          <w:kern w:val="28"/>
          <w:sz w:val="22"/>
        </w:rPr>
      </w:r>
      <w:r w:rsidR="003C2001" w:rsidRPr="009B49DD">
        <w:rPr>
          <w:rFonts w:ascii="Times New Roman" w:hAnsi="Times New Roman"/>
          <w:bCs/>
          <w:kern w:val="28"/>
          <w:sz w:val="22"/>
        </w:rPr>
        <w:fldChar w:fldCharType="separate"/>
      </w:r>
      <w:r w:rsidR="00AE3396" w:rsidRPr="009B49DD">
        <w:rPr>
          <w:rFonts w:ascii="Times New Roman" w:hAnsi="Times New Roman"/>
          <w:color w:val="auto"/>
          <w:sz w:val="22"/>
        </w:rPr>
        <w:t xml:space="preserve">Figure </w:t>
      </w:r>
      <w:r w:rsidR="00AE3396" w:rsidRPr="009B49DD">
        <w:rPr>
          <w:rFonts w:ascii="Times New Roman" w:hAnsi="Times New Roman"/>
          <w:noProof/>
          <w:color w:val="auto"/>
          <w:sz w:val="22"/>
        </w:rPr>
        <w:t>1</w:t>
      </w:r>
      <w:r w:rsidR="003C2001" w:rsidRPr="009B49DD">
        <w:rPr>
          <w:rFonts w:ascii="Times New Roman" w:hAnsi="Times New Roman"/>
          <w:bCs/>
          <w:kern w:val="28"/>
          <w:sz w:val="22"/>
        </w:rPr>
        <w:fldChar w:fldCharType="end"/>
      </w:r>
      <w:r w:rsidR="003C2001" w:rsidRPr="009B49DD">
        <w:rPr>
          <w:rFonts w:ascii="Times New Roman" w:hAnsi="Times New Roman"/>
          <w:bCs/>
          <w:kern w:val="28"/>
          <w:sz w:val="22"/>
        </w:rPr>
        <w:t>)</w:t>
      </w:r>
      <w:r w:rsidRPr="009B49DD">
        <w:rPr>
          <w:rFonts w:ascii="Times New Roman" w:hAnsi="Times New Roman"/>
          <w:bCs/>
          <w:kern w:val="28"/>
          <w:sz w:val="22"/>
        </w:rPr>
        <w:t>, with defined thresholds representing descriptive risk categories (</w:t>
      </w:r>
      <w:r w:rsidRPr="009B49DD">
        <w:rPr>
          <w:rFonts w:ascii="Times New Roman" w:hAnsi="Times New Roman"/>
          <w:b/>
          <w:bCs/>
          <w:kern w:val="28"/>
          <w:sz w:val="22"/>
        </w:rPr>
        <w:t xml:space="preserve">Very Low, Low, Moderate, High </w:t>
      </w:r>
      <w:r w:rsidRPr="009B49DD">
        <w:rPr>
          <w:rFonts w:ascii="Times New Roman" w:hAnsi="Times New Roman"/>
          <w:bCs/>
          <w:kern w:val="28"/>
          <w:sz w:val="22"/>
        </w:rPr>
        <w:t>and</w:t>
      </w:r>
      <w:r w:rsidRPr="009B49DD">
        <w:rPr>
          <w:rFonts w:ascii="Times New Roman" w:hAnsi="Times New Roman"/>
          <w:b/>
          <w:bCs/>
          <w:kern w:val="28"/>
          <w:sz w:val="22"/>
        </w:rPr>
        <w:t xml:space="preserve"> Very High</w:t>
      </w:r>
      <w:r w:rsidRPr="009B49DD">
        <w:rPr>
          <w:rFonts w:ascii="Times New Roman" w:hAnsi="Times New Roman"/>
          <w:bCs/>
          <w:kern w:val="28"/>
          <w:sz w:val="22"/>
        </w:rPr>
        <w:t>)</w:t>
      </w:r>
      <w:r w:rsidR="00D46174" w:rsidRPr="009B49DD">
        <w:rPr>
          <w:rFonts w:ascii="Times New Roman" w:hAnsi="Times New Roman"/>
          <w:bCs/>
          <w:kern w:val="28"/>
          <w:sz w:val="22"/>
        </w:rPr>
        <w:t xml:space="preserve">. A </w:t>
      </w:r>
      <w:r w:rsidR="007D07DA" w:rsidRPr="009B49DD">
        <w:rPr>
          <w:rFonts w:ascii="Times New Roman" w:hAnsi="Times New Roman"/>
          <w:bCs/>
          <w:kern w:val="28"/>
          <w:sz w:val="22"/>
        </w:rPr>
        <w:t>Microsoft</w:t>
      </w:r>
      <w:r w:rsidR="00FE5448" w:rsidRPr="009B49DD">
        <w:rPr>
          <w:rFonts w:ascii="Times New Roman" w:hAnsi="Times New Roman"/>
          <w:bCs/>
          <w:kern w:val="28"/>
          <w:sz w:val="22"/>
        </w:rPr>
        <w:t xml:space="preserve"> Excel-based tool was constructed </w:t>
      </w:r>
      <w:r w:rsidR="00D46174" w:rsidRPr="009B49DD">
        <w:rPr>
          <w:rFonts w:ascii="Times New Roman" w:hAnsi="Times New Roman"/>
          <w:bCs/>
          <w:kern w:val="28"/>
          <w:sz w:val="22"/>
        </w:rPr>
        <w:t xml:space="preserve">to allow automated calculation and display </w:t>
      </w:r>
      <w:r w:rsidR="00D27445" w:rsidRPr="009B49DD">
        <w:rPr>
          <w:rFonts w:ascii="Times New Roman" w:hAnsi="Times New Roman"/>
          <w:bCs/>
          <w:kern w:val="28"/>
          <w:sz w:val="22"/>
        </w:rPr>
        <w:t>the overall results of the risk assessment</w:t>
      </w:r>
      <w:r w:rsidR="00D46174" w:rsidRPr="009B49DD">
        <w:rPr>
          <w:rFonts w:ascii="Times New Roman" w:hAnsi="Times New Roman"/>
          <w:bCs/>
          <w:kern w:val="28"/>
          <w:sz w:val="22"/>
        </w:rPr>
        <w:t xml:space="preserve"> </w:t>
      </w:r>
      <w:r w:rsidR="007D07DA" w:rsidRPr="009B49DD">
        <w:rPr>
          <w:rFonts w:ascii="Times New Roman" w:hAnsi="Times New Roman"/>
          <w:bCs/>
          <w:kern w:val="28"/>
          <w:sz w:val="22"/>
        </w:rPr>
        <w:t xml:space="preserve">as a </w:t>
      </w:r>
      <w:r w:rsidR="007D07DA" w:rsidRPr="009B49DD">
        <w:rPr>
          <w:rFonts w:ascii="Times New Roman" w:hAnsi="Times New Roman"/>
          <w:bCs/>
          <w:kern w:val="28"/>
          <w:sz w:val="22"/>
        </w:rPr>
        <w:lastRenderedPageBreak/>
        <w:t>semi-quant</w:t>
      </w:r>
      <w:r w:rsidR="001D03FB" w:rsidRPr="009B49DD">
        <w:rPr>
          <w:rFonts w:ascii="Times New Roman" w:hAnsi="Times New Roman"/>
          <w:bCs/>
          <w:kern w:val="28"/>
          <w:sz w:val="22"/>
        </w:rPr>
        <w:t xml:space="preserve">itative RCE, </w:t>
      </w:r>
      <w:r w:rsidR="007D07DA" w:rsidRPr="009B49DD">
        <w:rPr>
          <w:rFonts w:ascii="Times New Roman" w:hAnsi="Times New Roman"/>
          <w:bCs/>
          <w:kern w:val="28"/>
          <w:sz w:val="22"/>
        </w:rPr>
        <w:t xml:space="preserve">and to allow </w:t>
      </w:r>
      <w:r w:rsidR="007D07DA" w:rsidRPr="009B49DD">
        <w:rPr>
          <w:rFonts w:ascii="Times New Roman" w:hAnsi="Times New Roman"/>
          <w:sz w:val="22"/>
        </w:rPr>
        <w:t>qualitative risk characterisation (</w:t>
      </w:r>
      <w:r w:rsidR="001D03FB" w:rsidRPr="009B49DD">
        <w:rPr>
          <w:rFonts w:ascii="Times New Roman" w:hAnsi="Times New Roman"/>
          <w:sz w:val="22"/>
        </w:rPr>
        <w:t xml:space="preserve">assignment of </w:t>
      </w:r>
      <w:r w:rsidR="007D07DA" w:rsidRPr="009B49DD">
        <w:rPr>
          <w:rFonts w:ascii="Times New Roman" w:hAnsi="Times New Roman"/>
          <w:sz w:val="22"/>
        </w:rPr>
        <w:t>a defined level of risk based</w:t>
      </w:r>
      <w:r w:rsidR="003C2001" w:rsidRPr="009B49DD">
        <w:rPr>
          <w:rFonts w:ascii="Times New Roman" w:hAnsi="Times New Roman"/>
          <w:sz w:val="22"/>
        </w:rPr>
        <w:t xml:space="preserve"> on descriptive risk categories – refer to </w:t>
      </w:r>
      <w:r w:rsidR="003C2001" w:rsidRPr="009B49DD">
        <w:rPr>
          <w:rFonts w:ascii="Times New Roman" w:hAnsi="Times New Roman"/>
          <w:sz w:val="22"/>
        </w:rPr>
        <w:fldChar w:fldCharType="begin"/>
      </w:r>
      <w:r w:rsidR="003C2001" w:rsidRPr="009B49DD">
        <w:rPr>
          <w:rFonts w:ascii="Times New Roman" w:hAnsi="Times New Roman"/>
          <w:sz w:val="22"/>
        </w:rPr>
        <w:instrText xml:space="preserve"> REF _Ref525139403 \h </w:instrText>
      </w:r>
      <w:r w:rsidR="009B49DD" w:rsidRPr="009B49DD">
        <w:rPr>
          <w:rFonts w:ascii="Times New Roman" w:hAnsi="Times New Roman"/>
          <w:sz w:val="22"/>
        </w:rPr>
        <w:instrText xml:space="preserve"> \* MERGEFORMAT </w:instrText>
      </w:r>
      <w:r w:rsidR="003C2001" w:rsidRPr="009B49DD">
        <w:rPr>
          <w:rFonts w:ascii="Times New Roman" w:hAnsi="Times New Roman"/>
          <w:sz w:val="22"/>
        </w:rPr>
      </w:r>
      <w:r w:rsidR="003C2001" w:rsidRPr="009B49DD">
        <w:rPr>
          <w:rFonts w:ascii="Times New Roman" w:hAnsi="Times New Roman"/>
          <w:sz w:val="22"/>
        </w:rPr>
        <w:fldChar w:fldCharType="separate"/>
      </w:r>
      <w:r w:rsidR="00AE3396" w:rsidRPr="009B49DD">
        <w:rPr>
          <w:rFonts w:ascii="Times New Roman" w:hAnsi="Times New Roman"/>
          <w:color w:val="auto"/>
          <w:sz w:val="22"/>
        </w:rPr>
        <w:t xml:space="preserve">Figure </w:t>
      </w:r>
      <w:r w:rsidR="00AE3396" w:rsidRPr="009B49DD">
        <w:rPr>
          <w:rFonts w:ascii="Times New Roman" w:hAnsi="Times New Roman"/>
          <w:noProof/>
          <w:color w:val="auto"/>
          <w:sz w:val="22"/>
        </w:rPr>
        <w:t>2</w:t>
      </w:r>
      <w:r w:rsidR="003C2001" w:rsidRPr="009B49DD">
        <w:rPr>
          <w:rFonts w:ascii="Times New Roman" w:hAnsi="Times New Roman"/>
          <w:sz w:val="22"/>
        </w:rPr>
        <w:fldChar w:fldCharType="end"/>
      </w:r>
      <w:r w:rsidR="003C2001" w:rsidRPr="009B49DD">
        <w:rPr>
          <w:rFonts w:ascii="Times New Roman" w:hAnsi="Times New Roman"/>
          <w:sz w:val="22"/>
        </w:rPr>
        <w:t xml:space="preserve"> and </w:t>
      </w:r>
      <w:r w:rsidR="003C2001" w:rsidRPr="009B49DD">
        <w:rPr>
          <w:rFonts w:ascii="Times New Roman" w:hAnsi="Times New Roman"/>
          <w:sz w:val="22"/>
        </w:rPr>
        <w:fldChar w:fldCharType="begin"/>
      </w:r>
      <w:r w:rsidR="003C2001" w:rsidRPr="009B49DD">
        <w:rPr>
          <w:rFonts w:ascii="Times New Roman" w:hAnsi="Times New Roman"/>
          <w:sz w:val="22"/>
        </w:rPr>
        <w:instrText xml:space="preserve"> REF _Ref525038750 \h </w:instrText>
      </w:r>
      <w:r w:rsidR="009B49DD" w:rsidRPr="009B49DD">
        <w:rPr>
          <w:rFonts w:ascii="Times New Roman" w:hAnsi="Times New Roman"/>
          <w:sz w:val="22"/>
        </w:rPr>
        <w:instrText xml:space="preserve"> \* MERGEFORMAT </w:instrText>
      </w:r>
      <w:r w:rsidR="003C2001" w:rsidRPr="009B49DD">
        <w:rPr>
          <w:rFonts w:ascii="Times New Roman" w:hAnsi="Times New Roman"/>
          <w:sz w:val="22"/>
        </w:rPr>
      </w:r>
      <w:r w:rsidR="003C2001" w:rsidRPr="009B49DD">
        <w:rPr>
          <w:rFonts w:ascii="Times New Roman" w:hAnsi="Times New Roman"/>
          <w:sz w:val="22"/>
        </w:rPr>
        <w:fldChar w:fldCharType="separate"/>
      </w:r>
      <w:r w:rsidR="00AE3396" w:rsidRPr="009B49DD">
        <w:rPr>
          <w:rFonts w:ascii="Times New Roman" w:hAnsi="Times New Roman"/>
          <w:color w:val="auto"/>
          <w:sz w:val="22"/>
        </w:rPr>
        <w:t xml:space="preserve">Table </w:t>
      </w:r>
      <w:r w:rsidR="00AE3396" w:rsidRPr="009B49DD">
        <w:rPr>
          <w:rFonts w:ascii="Times New Roman" w:hAnsi="Times New Roman"/>
          <w:noProof/>
          <w:color w:val="auto"/>
          <w:sz w:val="22"/>
        </w:rPr>
        <w:t>14</w:t>
      </w:r>
      <w:r w:rsidR="003C2001" w:rsidRPr="009B49DD">
        <w:rPr>
          <w:rFonts w:ascii="Times New Roman" w:hAnsi="Times New Roman"/>
          <w:sz w:val="22"/>
        </w:rPr>
        <w:fldChar w:fldCharType="end"/>
      </w:r>
      <w:r w:rsidR="003C2001" w:rsidRPr="009B49DD">
        <w:rPr>
          <w:rFonts w:ascii="Times New Roman" w:hAnsi="Times New Roman"/>
          <w:sz w:val="22"/>
        </w:rPr>
        <w:t>)</w:t>
      </w:r>
      <w:r w:rsidR="001E4413">
        <w:rPr>
          <w:rFonts w:ascii="Times New Roman" w:hAnsi="Times New Roman"/>
          <w:sz w:val="22"/>
        </w:rPr>
        <w:t xml:space="preserve">. </w:t>
      </w:r>
    </w:p>
    <w:p w14:paraId="6087E9EC" w14:textId="77777777" w:rsidR="009B49DD" w:rsidRDefault="003C2001" w:rsidP="009B49DD">
      <w:pPr>
        <w:spacing w:after="160" w:line="259" w:lineRule="auto"/>
        <w:jc w:val="both"/>
        <w:rPr>
          <w:rFonts w:ascii="Times New Roman" w:hAnsi="Times New Roman"/>
          <w:sz w:val="22"/>
        </w:rPr>
      </w:pPr>
      <w:r w:rsidRPr="009B49DD">
        <w:rPr>
          <w:rFonts w:ascii="Times New Roman" w:hAnsi="Times New Roman"/>
          <w:sz w:val="22"/>
        </w:rPr>
        <w:t xml:space="preserve">Section </w:t>
      </w:r>
      <w:r w:rsidRPr="009B49DD">
        <w:rPr>
          <w:rFonts w:ascii="Times New Roman" w:hAnsi="Times New Roman"/>
          <w:sz w:val="22"/>
        </w:rPr>
        <w:fldChar w:fldCharType="begin"/>
      </w:r>
      <w:r w:rsidRPr="009B49DD">
        <w:rPr>
          <w:rFonts w:ascii="Times New Roman" w:hAnsi="Times New Roman"/>
          <w:sz w:val="22"/>
        </w:rPr>
        <w:instrText xml:space="preserve"> REF _Ref525031424 \r \h </w:instrText>
      </w:r>
      <w:r w:rsidR="009B49DD" w:rsidRPr="009B49DD">
        <w:rPr>
          <w:rFonts w:ascii="Times New Roman" w:hAnsi="Times New Roman"/>
          <w:sz w:val="22"/>
        </w:rPr>
        <w:instrText xml:space="preserve"> \* MERGEFORMAT </w:instrText>
      </w:r>
      <w:r w:rsidRPr="009B49DD">
        <w:rPr>
          <w:rFonts w:ascii="Times New Roman" w:hAnsi="Times New Roman"/>
          <w:sz w:val="22"/>
        </w:rPr>
      </w:r>
      <w:r w:rsidRPr="009B49DD">
        <w:rPr>
          <w:rFonts w:ascii="Times New Roman" w:hAnsi="Times New Roman"/>
          <w:sz w:val="22"/>
        </w:rPr>
        <w:fldChar w:fldCharType="separate"/>
      </w:r>
      <w:r w:rsidR="00AE3396" w:rsidRPr="009B49DD">
        <w:rPr>
          <w:rFonts w:ascii="Times New Roman" w:hAnsi="Times New Roman"/>
          <w:sz w:val="22"/>
        </w:rPr>
        <w:t>1.6.4</w:t>
      </w:r>
      <w:r w:rsidRPr="009B49DD">
        <w:rPr>
          <w:rFonts w:ascii="Times New Roman" w:hAnsi="Times New Roman"/>
          <w:sz w:val="22"/>
        </w:rPr>
        <w:fldChar w:fldCharType="end"/>
      </w:r>
      <w:r w:rsidR="006C30CC">
        <w:rPr>
          <w:rFonts w:ascii="Times New Roman" w:hAnsi="Times New Roman"/>
          <w:sz w:val="22"/>
        </w:rPr>
        <w:t xml:space="preserve"> provides further detail.</w:t>
      </w:r>
    </w:p>
    <w:p w14:paraId="5925E99C" w14:textId="77777777" w:rsidR="00843B04" w:rsidRPr="000174B7" w:rsidRDefault="00843B04" w:rsidP="009B49DD">
      <w:pPr>
        <w:spacing w:after="160" w:line="259" w:lineRule="auto"/>
        <w:jc w:val="both"/>
        <w:rPr>
          <w:rFonts w:ascii="Times New Roman" w:hAnsi="Times New Roman"/>
          <w:bCs/>
          <w:kern w:val="28"/>
          <w:sz w:val="22"/>
        </w:rPr>
      </w:pPr>
    </w:p>
    <w:p w14:paraId="1E7FEE93" w14:textId="77777777" w:rsidR="00A719DB" w:rsidRPr="0055121F" w:rsidRDefault="00566EC2" w:rsidP="00A719DB">
      <w:pPr>
        <w:pStyle w:val="Heading3"/>
        <w:rPr>
          <w:rFonts w:ascii="Arial" w:hAnsi="Arial" w:cs="Arial"/>
          <w:color w:val="auto"/>
          <w:sz w:val="22"/>
          <w:szCs w:val="22"/>
        </w:rPr>
      </w:pPr>
      <w:bookmarkStart w:id="28" w:name="_Toc20238592"/>
      <w:r w:rsidRPr="0055121F">
        <w:rPr>
          <w:rFonts w:ascii="Arial" w:hAnsi="Arial" w:cs="Arial"/>
          <w:color w:val="auto"/>
          <w:sz w:val="22"/>
          <w:szCs w:val="22"/>
        </w:rPr>
        <w:t>Risk element scores</w:t>
      </w:r>
      <w:bookmarkEnd w:id="28"/>
      <w:r w:rsidRPr="0055121F">
        <w:rPr>
          <w:rFonts w:ascii="Arial" w:hAnsi="Arial" w:cs="Arial"/>
          <w:color w:val="auto"/>
          <w:sz w:val="22"/>
          <w:szCs w:val="22"/>
        </w:rPr>
        <w:t xml:space="preserve"> </w:t>
      </w:r>
    </w:p>
    <w:p w14:paraId="2CF03C45" w14:textId="77777777" w:rsidR="00C14D32" w:rsidRDefault="00C14D32" w:rsidP="0055121F">
      <w:pPr>
        <w:spacing w:after="160" w:line="259" w:lineRule="auto"/>
        <w:jc w:val="both"/>
        <w:rPr>
          <w:rFonts w:ascii="Times New Roman" w:hAnsi="Times New Roman"/>
          <w:bCs/>
          <w:kern w:val="28"/>
          <w:sz w:val="22"/>
        </w:rPr>
      </w:pPr>
      <w:r w:rsidRPr="0055121F">
        <w:rPr>
          <w:rFonts w:ascii="Times New Roman" w:hAnsi="Times New Roman"/>
          <w:bCs/>
          <w:kern w:val="28"/>
          <w:sz w:val="22"/>
        </w:rPr>
        <w:t>The four key risk elements may be individually scored according to specified criteria relevant to the element, as defined through one or more focused risk questions and risk indicators. A summary of how the eight focused risk questions (</w:t>
      </w:r>
      <w:r w:rsidRPr="0055121F">
        <w:rPr>
          <w:rFonts w:ascii="Times New Roman" w:hAnsi="Times New Roman"/>
          <w:bCs/>
          <w:kern w:val="28"/>
          <w:sz w:val="22"/>
        </w:rPr>
        <w:fldChar w:fldCharType="begin"/>
      </w:r>
      <w:r w:rsidRPr="0055121F">
        <w:rPr>
          <w:rFonts w:ascii="Times New Roman" w:hAnsi="Times New Roman"/>
          <w:bCs/>
          <w:kern w:val="28"/>
          <w:sz w:val="22"/>
        </w:rPr>
        <w:instrText xml:space="preserve"> REF _Ref525031138 \h </w:instrText>
      </w:r>
      <w:r w:rsidR="0055121F" w:rsidRPr="0055121F">
        <w:rPr>
          <w:rFonts w:ascii="Times New Roman" w:hAnsi="Times New Roman"/>
          <w:bCs/>
          <w:kern w:val="28"/>
          <w:sz w:val="22"/>
        </w:rPr>
        <w:instrText xml:space="preserve"> \* MERGEFORMAT </w:instrText>
      </w:r>
      <w:r w:rsidRPr="0055121F">
        <w:rPr>
          <w:rFonts w:ascii="Times New Roman" w:hAnsi="Times New Roman"/>
          <w:bCs/>
          <w:kern w:val="28"/>
          <w:sz w:val="22"/>
        </w:rPr>
      </w:r>
      <w:r w:rsidRPr="0055121F">
        <w:rPr>
          <w:rFonts w:ascii="Times New Roman" w:hAnsi="Times New Roman"/>
          <w:bCs/>
          <w:kern w:val="28"/>
          <w:sz w:val="22"/>
        </w:rPr>
        <w:fldChar w:fldCharType="separate"/>
      </w:r>
      <w:r w:rsidR="00AE3396" w:rsidRPr="0055121F">
        <w:rPr>
          <w:rFonts w:ascii="Times New Roman" w:hAnsi="Times New Roman"/>
          <w:color w:val="auto"/>
          <w:sz w:val="22"/>
        </w:rPr>
        <w:t xml:space="preserve">Table </w:t>
      </w:r>
      <w:r w:rsidR="00AE3396" w:rsidRPr="0055121F">
        <w:rPr>
          <w:rFonts w:ascii="Times New Roman" w:hAnsi="Times New Roman"/>
          <w:noProof/>
          <w:color w:val="auto"/>
          <w:sz w:val="22"/>
        </w:rPr>
        <w:t>3</w:t>
      </w:r>
      <w:r w:rsidRPr="0055121F">
        <w:rPr>
          <w:rFonts w:ascii="Times New Roman" w:hAnsi="Times New Roman"/>
          <w:bCs/>
          <w:kern w:val="28"/>
          <w:sz w:val="22"/>
        </w:rPr>
        <w:fldChar w:fldCharType="end"/>
      </w:r>
      <w:r w:rsidRPr="0055121F">
        <w:rPr>
          <w:rFonts w:ascii="Times New Roman" w:hAnsi="Times New Roman"/>
          <w:bCs/>
          <w:kern w:val="28"/>
          <w:sz w:val="22"/>
        </w:rPr>
        <w:t>) and 25 risk indicators (</w:t>
      </w:r>
      <w:r w:rsidRPr="0055121F">
        <w:rPr>
          <w:rFonts w:ascii="Times New Roman" w:hAnsi="Times New Roman"/>
          <w:bCs/>
          <w:kern w:val="28"/>
          <w:sz w:val="22"/>
        </w:rPr>
        <w:fldChar w:fldCharType="begin"/>
      </w:r>
      <w:r w:rsidRPr="0055121F">
        <w:rPr>
          <w:rFonts w:ascii="Times New Roman" w:hAnsi="Times New Roman"/>
          <w:bCs/>
          <w:kern w:val="28"/>
          <w:sz w:val="22"/>
        </w:rPr>
        <w:instrText xml:space="preserve"> REF _Ref525031200 \h </w:instrText>
      </w:r>
      <w:r w:rsidR="0055121F" w:rsidRPr="0055121F">
        <w:rPr>
          <w:rFonts w:ascii="Times New Roman" w:hAnsi="Times New Roman"/>
          <w:bCs/>
          <w:kern w:val="28"/>
          <w:sz w:val="22"/>
        </w:rPr>
        <w:instrText xml:space="preserve"> \* MERGEFORMAT </w:instrText>
      </w:r>
      <w:r w:rsidRPr="0055121F">
        <w:rPr>
          <w:rFonts w:ascii="Times New Roman" w:hAnsi="Times New Roman"/>
          <w:bCs/>
          <w:kern w:val="28"/>
          <w:sz w:val="22"/>
        </w:rPr>
      </w:r>
      <w:r w:rsidRPr="0055121F">
        <w:rPr>
          <w:rFonts w:ascii="Times New Roman" w:hAnsi="Times New Roman"/>
          <w:bCs/>
          <w:kern w:val="28"/>
          <w:sz w:val="22"/>
        </w:rPr>
        <w:fldChar w:fldCharType="separate"/>
      </w:r>
      <w:r w:rsidR="00AE3396" w:rsidRPr="0055121F">
        <w:rPr>
          <w:rFonts w:ascii="Times New Roman" w:hAnsi="Times New Roman"/>
          <w:color w:val="auto"/>
          <w:sz w:val="22"/>
        </w:rPr>
        <w:t xml:space="preserve">Table </w:t>
      </w:r>
      <w:r w:rsidR="00AE3396" w:rsidRPr="0055121F">
        <w:rPr>
          <w:rFonts w:ascii="Times New Roman" w:hAnsi="Times New Roman"/>
          <w:noProof/>
          <w:color w:val="auto"/>
          <w:sz w:val="22"/>
        </w:rPr>
        <w:t>4</w:t>
      </w:r>
      <w:r w:rsidRPr="0055121F">
        <w:rPr>
          <w:rFonts w:ascii="Times New Roman" w:hAnsi="Times New Roman"/>
          <w:bCs/>
          <w:kern w:val="28"/>
          <w:sz w:val="22"/>
        </w:rPr>
        <w:fldChar w:fldCharType="end"/>
      </w:r>
      <w:r w:rsidRPr="0055121F">
        <w:rPr>
          <w:rFonts w:ascii="Times New Roman" w:hAnsi="Times New Roman"/>
          <w:bCs/>
          <w:kern w:val="28"/>
          <w:sz w:val="22"/>
        </w:rPr>
        <w:t>) relate to each of the four key risk elements is provided (</w:t>
      </w:r>
      <w:r w:rsidR="003C2001" w:rsidRPr="0055121F">
        <w:rPr>
          <w:rFonts w:ascii="Times New Roman" w:hAnsi="Times New Roman"/>
          <w:bCs/>
          <w:kern w:val="28"/>
          <w:sz w:val="22"/>
        </w:rPr>
        <w:fldChar w:fldCharType="begin"/>
      </w:r>
      <w:r w:rsidR="003C2001" w:rsidRPr="0055121F">
        <w:rPr>
          <w:rFonts w:ascii="Times New Roman" w:hAnsi="Times New Roman"/>
          <w:bCs/>
          <w:kern w:val="28"/>
          <w:sz w:val="22"/>
        </w:rPr>
        <w:instrText xml:space="preserve"> REF _Ref525139063 \h </w:instrText>
      </w:r>
      <w:r w:rsidR="0055121F" w:rsidRPr="0055121F">
        <w:rPr>
          <w:rFonts w:ascii="Times New Roman" w:hAnsi="Times New Roman"/>
          <w:bCs/>
          <w:kern w:val="28"/>
          <w:sz w:val="22"/>
        </w:rPr>
        <w:instrText xml:space="preserve"> \* MERGEFORMAT </w:instrText>
      </w:r>
      <w:r w:rsidR="003C2001" w:rsidRPr="0055121F">
        <w:rPr>
          <w:rFonts w:ascii="Times New Roman" w:hAnsi="Times New Roman"/>
          <w:bCs/>
          <w:kern w:val="28"/>
          <w:sz w:val="22"/>
        </w:rPr>
      </w:r>
      <w:r w:rsidR="003C2001" w:rsidRPr="0055121F">
        <w:rPr>
          <w:rFonts w:ascii="Times New Roman" w:hAnsi="Times New Roman"/>
          <w:bCs/>
          <w:kern w:val="28"/>
          <w:sz w:val="22"/>
        </w:rPr>
        <w:fldChar w:fldCharType="separate"/>
      </w:r>
      <w:r w:rsidR="00AE3396" w:rsidRPr="0055121F">
        <w:rPr>
          <w:rFonts w:ascii="Times New Roman" w:hAnsi="Times New Roman"/>
          <w:color w:val="auto"/>
          <w:sz w:val="22"/>
        </w:rPr>
        <w:t xml:space="preserve">Table </w:t>
      </w:r>
      <w:r w:rsidR="00AE3396" w:rsidRPr="0055121F">
        <w:rPr>
          <w:rFonts w:ascii="Times New Roman" w:hAnsi="Times New Roman"/>
          <w:noProof/>
          <w:color w:val="auto"/>
          <w:sz w:val="22"/>
        </w:rPr>
        <w:t>6</w:t>
      </w:r>
      <w:r w:rsidR="003C2001" w:rsidRPr="0055121F">
        <w:rPr>
          <w:rFonts w:ascii="Times New Roman" w:hAnsi="Times New Roman"/>
          <w:bCs/>
          <w:kern w:val="28"/>
          <w:sz w:val="22"/>
        </w:rPr>
        <w:fldChar w:fldCharType="end"/>
      </w:r>
      <w:r w:rsidRPr="0055121F">
        <w:rPr>
          <w:rFonts w:ascii="Times New Roman" w:hAnsi="Times New Roman"/>
          <w:bCs/>
          <w:kern w:val="28"/>
          <w:sz w:val="22"/>
        </w:rPr>
        <w:t>).</w:t>
      </w:r>
    </w:p>
    <w:p w14:paraId="1744E5C1" w14:textId="77777777" w:rsidR="0055121F" w:rsidRPr="0055121F" w:rsidRDefault="0055121F" w:rsidP="0055121F">
      <w:pPr>
        <w:spacing w:after="160" w:line="259" w:lineRule="auto"/>
        <w:jc w:val="both"/>
        <w:rPr>
          <w:rFonts w:ascii="Times New Roman" w:hAnsi="Times New Roman"/>
          <w:bCs/>
          <w:kern w:val="28"/>
          <w:sz w:val="22"/>
        </w:rPr>
      </w:pPr>
    </w:p>
    <w:p w14:paraId="492EE9EA" w14:textId="77777777" w:rsidR="00C14D32" w:rsidRPr="00000C6B" w:rsidRDefault="00C14D32" w:rsidP="00C14D32">
      <w:pPr>
        <w:pStyle w:val="Caption"/>
        <w:rPr>
          <w:rFonts w:ascii="Times New Roman" w:hAnsi="Times New Roman"/>
          <w:color w:val="auto"/>
          <w:sz w:val="22"/>
          <w:szCs w:val="22"/>
        </w:rPr>
      </w:pPr>
      <w:bookmarkStart w:id="29" w:name="_Ref525139063"/>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6</w:t>
      </w:r>
      <w:r w:rsidRPr="00000C6B">
        <w:rPr>
          <w:rFonts w:ascii="Times New Roman" w:hAnsi="Times New Roman"/>
          <w:color w:val="auto"/>
          <w:sz w:val="22"/>
          <w:szCs w:val="22"/>
        </w:rPr>
        <w:fldChar w:fldCharType="end"/>
      </w:r>
      <w:bookmarkEnd w:id="29"/>
      <w:r w:rsidRPr="00000C6B">
        <w:rPr>
          <w:rFonts w:ascii="Times New Roman" w:hAnsi="Times New Roman"/>
          <w:color w:val="auto"/>
          <w:sz w:val="22"/>
          <w:szCs w:val="22"/>
        </w:rPr>
        <w:t>: Risk elements, with relevant focused risk questions and risk indicators</w:t>
      </w:r>
    </w:p>
    <w:tbl>
      <w:tblPr>
        <w:tblStyle w:val="TableGrid"/>
        <w:tblW w:w="0" w:type="auto"/>
        <w:jc w:val="center"/>
        <w:tblLook w:val="04A0" w:firstRow="1" w:lastRow="0" w:firstColumn="1" w:lastColumn="0" w:noHBand="0" w:noVBand="1"/>
        <w:tblCaption w:val="Table 6: Risk elements, with relevant focused risk questions and risk indicators"/>
        <w:tblDescription w:val="Table shows risk elements, with relevant focused risk questions and risk indicators"/>
      </w:tblPr>
      <w:tblGrid>
        <w:gridCol w:w="2835"/>
        <w:gridCol w:w="1701"/>
        <w:gridCol w:w="1701"/>
      </w:tblGrid>
      <w:tr w:rsidR="00C14D32" w:rsidRPr="0055121F" w14:paraId="7C35B5B1" w14:textId="77777777" w:rsidTr="003E2305">
        <w:trPr>
          <w:tblHeader/>
          <w:jc w:val="center"/>
        </w:trPr>
        <w:tc>
          <w:tcPr>
            <w:tcW w:w="2835" w:type="dxa"/>
            <w:shd w:val="clear" w:color="auto" w:fill="D9D9D9" w:themeFill="background1" w:themeFillShade="D9"/>
          </w:tcPr>
          <w:p w14:paraId="27D096D1" w14:textId="77777777" w:rsidR="00C14D32" w:rsidRPr="0055121F" w:rsidRDefault="00C14D32" w:rsidP="0055121F">
            <w:pPr>
              <w:spacing w:after="0" w:line="240" w:lineRule="auto"/>
              <w:jc w:val="center"/>
              <w:rPr>
                <w:rFonts w:ascii="Times New Roman" w:hAnsi="Times New Roman"/>
                <w:b/>
                <w:sz w:val="20"/>
                <w:szCs w:val="20"/>
              </w:rPr>
            </w:pPr>
            <w:r w:rsidRPr="0055121F">
              <w:rPr>
                <w:rFonts w:ascii="Times New Roman" w:hAnsi="Times New Roman"/>
                <w:b/>
                <w:sz w:val="20"/>
                <w:szCs w:val="20"/>
              </w:rPr>
              <w:t>Risk element</w:t>
            </w:r>
          </w:p>
        </w:tc>
        <w:tc>
          <w:tcPr>
            <w:tcW w:w="1701" w:type="dxa"/>
            <w:shd w:val="clear" w:color="auto" w:fill="D9D9D9" w:themeFill="background1" w:themeFillShade="D9"/>
          </w:tcPr>
          <w:p w14:paraId="08369D7B" w14:textId="77777777" w:rsidR="00C14D32" w:rsidRPr="0055121F" w:rsidRDefault="00C14D32" w:rsidP="0055121F">
            <w:pPr>
              <w:spacing w:after="0" w:line="240" w:lineRule="auto"/>
              <w:jc w:val="center"/>
              <w:rPr>
                <w:rFonts w:ascii="Times New Roman" w:hAnsi="Times New Roman"/>
                <w:b/>
                <w:sz w:val="20"/>
                <w:szCs w:val="20"/>
              </w:rPr>
            </w:pPr>
            <w:r w:rsidRPr="0055121F">
              <w:rPr>
                <w:rFonts w:ascii="Times New Roman" w:hAnsi="Times New Roman"/>
                <w:b/>
                <w:sz w:val="20"/>
                <w:szCs w:val="20"/>
              </w:rPr>
              <w:t>Focused risk question</w:t>
            </w:r>
          </w:p>
        </w:tc>
        <w:tc>
          <w:tcPr>
            <w:tcW w:w="1701" w:type="dxa"/>
            <w:shd w:val="clear" w:color="auto" w:fill="D9D9D9" w:themeFill="background1" w:themeFillShade="D9"/>
          </w:tcPr>
          <w:p w14:paraId="32442B16" w14:textId="77777777" w:rsidR="00C14D32" w:rsidRPr="0055121F" w:rsidRDefault="00C14D32" w:rsidP="0055121F">
            <w:pPr>
              <w:spacing w:after="0" w:line="240" w:lineRule="auto"/>
              <w:jc w:val="center"/>
              <w:rPr>
                <w:rFonts w:ascii="Times New Roman" w:hAnsi="Times New Roman"/>
                <w:b/>
                <w:sz w:val="20"/>
                <w:szCs w:val="20"/>
              </w:rPr>
            </w:pPr>
            <w:r w:rsidRPr="0055121F">
              <w:rPr>
                <w:rFonts w:ascii="Times New Roman" w:hAnsi="Times New Roman"/>
                <w:b/>
                <w:sz w:val="20"/>
                <w:szCs w:val="20"/>
              </w:rPr>
              <w:t>Risk indicator number (1 – 25)</w:t>
            </w:r>
          </w:p>
        </w:tc>
      </w:tr>
      <w:tr w:rsidR="00C14D32" w:rsidRPr="0055121F" w14:paraId="6CA1C30E" w14:textId="77777777" w:rsidTr="004D1706">
        <w:trPr>
          <w:jc w:val="center"/>
        </w:trPr>
        <w:tc>
          <w:tcPr>
            <w:tcW w:w="2835" w:type="dxa"/>
            <w:vMerge w:val="restart"/>
          </w:tcPr>
          <w:p w14:paraId="33884B2D" w14:textId="77777777" w:rsidR="00C14D32" w:rsidRPr="0055121F" w:rsidRDefault="0055121F" w:rsidP="0055121F">
            <w:pPr>
              <w:spacing w:after="0" w:line="240" w:lineRule="auto"/>
              <w:jc w:val="right"/>
              <w:rPr>
                <w:rFonts w:ascii="Times New Roman" w:hAnsi="Times New Roman"/>
                <w:sz w:val="20"/>
                <w:szCs w:val="20"/>
              </w:rPr>
            </w:pPr>
            <w:r>
              <w:rPr>
                <w:rFonts w:ascii="Times New Roman" w:hAnsi="Times New Roman"/>
                <w:sz w:val="20"/>
                <w:szCs w:val="20"/>
              </w:rPr>
              <w:t xml:space="preserve">Reintroduction hazard </w:t>
            </w:r>
            <w:r w:rsidR="00C14D32" w:rsidRPr="0055121F">
              <w:rPr>
                <w:rFonts w:ascii="Times New Roman" w:hAnsi="Times New Roman"/>
                <w:sz w:val="20"/>
                <w:szCs w:val="20"/>
              </w:rPr>
              <w:t>(H)</w:t>
            </w:r>
          </w:p>
        </w:tc>
        <w:tc>
          <w:tcPr>
            <w:tcW w:w="1701" w:type="dxa"/>
          </w:tcPr>
          <w:p w14:paraId="0EB8CB34"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A</w:t>
            </w:r>
          </w:p>
        </w:tc>
        <w:tc>
          <w:tcPr>
            <w:tcW w:w="1701" w:type="dxa"/>
          </w:tcPr>
          <w:p w14:paraId="625832CD"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1 – 6</w:t>
            </w:r>
          </w:p>
        </w:tc>
      </w:tr>
      <w:tr w:rsidR="00C14D32" w:rsidRPr="0055121F" w14:paraId="69AEF338" w14:textId="77777777" w:rsidTr="004D1706">
        <w:trPr>
          <w:jc w:val="center"/>
        </w:trPr>
        <w:tc>
          <w:tcPr>
            <w:tcW w:w="2835" w:type="dxa"/>
            <w:vMerge/>
          </w:tcPr>
          <w:p w14:paraId="14C4CF19" w14:textId="77777777" w:rsidR="00C14D32" w:rsidRPr="0055121F" w:rsidRDefault="00C14D32" w:rsidP="0055121F">
            <w:pPr>
              <w:spacing w:after="0" w:line="240" w:lineRule="auto"/>
              <w:jc w:val="right"/>
              <w:rPr>
                <w:rFonts w:ascii="Times New Roman" w:hAnsi="Times New Roman"/>
                <w:sz w:val="20"/>
                <w:szCs w:val="20"/>
              </w:rPr>
            </w:pPr>
          </w:p>
        </w:tc>
        <w:tc>
          <w:tcPr>
            <w:tcW w:w="1701" w:type="dxa"/>
          </w:tcPr>
          <w:p w14:paraId="5D49B1D8"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B</w:t>
            </w:r>
          </w:p>
        </w:tc>
        <w:tc>
          <w:tcPr>
            <w:tcW w:w="1701" w:type="dxa"/>
          </w:tcPr>
          <w:p w14:paraId="6F389B69"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 xml:space="preserve">7 – 9 </w:t>
            </w:r>
          </w:p>
        </w:tc>
      </w:tr>
      <w:tr w:rsidR="00C14D32" w:rsidRPr="0055121F" w14:paraId="726ACCBE" w14:textId="77777777" w:rsidTr="004D1706">
        <w:trPr>
          <w:jc w:val="center"/>
        </w:trPr>
        <w:tc>
          <w:tcPr>
            <w:tcW w:w="2835" w:type="dxa"/>
            <w:vMerge w:val="restart"/>
          </w:tcPr>
          <w:p w14:paraId="77B590B8" w14:textId="77777777" w:rsidR="00C14D32" w:rsidRPr="0055121F" w:rsidRDefault="0055121F" w:rsidP="0055121F">
            <w:pPr>
              <w:spacing w:after="0" w:line="240" w:lineRule="auto"/>
              <w:jc w:val="right"/>
              <w:rPr>
                <w:rFonts w:ascii="Times New Roman" w:hAnsi="Times New Roman"/>
                <w:sz w:val="20"/>
                <w:szCs w:val="20"/>
              </w:rPr>
            </w:pPr>
            <w:r>
              <w:rPr>
                <w:rFonts w:ascii="Times New Roman" w:hAnsi="Times New Roman"/>
                <w:sz w:val="20"/>
                <w:szCs w:val="20"/>
              </w:rPr>
              <w:t>Population susceptibility</w:t>
            </w:r>
            <w:r w:rsidR="00C14D32" w:rsidRPr="0055121F">
              <w:rPr>
                <w:rFonts w:ascii="Times New Roman" w:hAnsi="Times New Roman"/>
                <w:sz w:val="20"/>
                <w:szCs w:val="20"/>
              </w:rPr>
              <w:t xml:space="preserve"> (S)</w:t>
            </w:r>
          </w:p>
        </w:tc>
        <w:tc>
          <w:tcPr>
            <w:tcW w:w="1701" w:type="dxa"/>
          </w:tcPr>
          <w:p w14:paraId="0B7DD9D5"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C</w:t>
            </w:r>
          </w:p>
        </w:tc>
        <w:tc>
          <w:tcPr>
            <w:tcW w:w="1701" w:type="dxa"/>
          </w:tcPr>
          <w:p w14:paraId="761A84EF"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10</w:t>
            </w:r>
          </w:p>
        </w:tc>
      </w:tr>
      <w:tr w:rsidR="00C14D32" w:rsidRPr="0055121F" w14:paraId="6ABAABB7" w14:textId="77777777" w:rsidTr="004D1706">
        <w:trPr>
          <w:jc w:val="center"/>
        </w:trPr>
        <w:tc>
          <w:tcPr>
            <w:tcW w:w="2835" w:type="dxa"/>
            <w:vMerge/>
          </w:tcPr>
          <w:p w14:paraId="063D820C" w14:textId="77777777" w:rsidR="00C14D32" w:rsidRPr="0055121F" w:rsidRDefault="00C14D32" w:rsidP="0055121F">
            <w:pPr>
              <w:spacing w:after="0" w:line="240" w:lineRule="auto"/>
              <w:jc w:val="right"/>
              <w:rPr>
                <w:rFonts w:ascii="Times New Roman" w:hAnsi="Times New Roman"/>
                <w:sz w:val="20"/>
                <w:szCs w:val="20"/>
              </w:rPr>
            </w:pPr>
          </w:p>
        </w:tc>
        <w:tc>
          <w:tcPr>
            <w:tcW w:w="1701" w:type="dxa"/>
          </w:tcPr>
          <w:p w14:paraId="00B2C4EE"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D</w:t>
            </w:r>
          </w:p>
        </w:tc>
        <w:tc>
          <w:tcPr>
            <w:tcW w:w="1701" w:type="dxa"/>
          </w:tcPr>
          <w:p w14:paraId="65398546"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 xml:space="preserve">11 – 13 </w:t>
            </w:r>
          </w:p>
        </w:tc>
      </w:tr>
      <w:tr w:rsidR="00C14D32" w:rsidRPr="0055121F" w14:paraId="290E1407" w14:textId="77777777" w:rsidTr="004D1706">
        <w:trPr>
          <w:jc w:val="center"/>
        </w:trPr>
        <w:tc>
          <w:tcPr>
            <w:tcW w:w="2835" w:type="dxa"/>
            <w:vMerge/>
          </w:tcPr>
          <w:p w14:paraId="165A7642" w14:textId="77777777" w:rsidR="00C14D32" w:rsidRPr="0055121F" w:rsidRDefault="00C14D32" w:rsidP="0055121F">
            <w:pPr>
              <w:spacing w:after="0" w:line="240" w:lineRule="auto"/>
              <w:jc w:val="right"/>
              <w:rPr>
                <w:rFonts w:ascii="Times New Roman" w:hAnsi="Times New Roman"/>
                <w:sz w:val="20"/>
                <w:szCs w:val="20"/>
              </w:rPr>
            </w:pPr>
          </w:p>
        </w:tc>
        <w:tc>
          <w:tcPr>
            <w:tcW w:w="1701" w:type="dxa"/>
          </w:tcPr>
          <w:p w14:paraId="27776F3C"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E</w:t>
            </w:r>
          </w:p>
        </w:tc>
        <w:tc>
          <w:tcPr>
            <w:tcW w:w="1701" w:type="dxa"/>
          </w:tcPr>
          <w:p w14:paraId="2BF31F8C"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 xml:space="preserve">14 – 16 </w:t>
            </w:r>
          </w:p>
        </w:tc>
      </w:tr>
      <w:tr w:rsidR="00C14D32" w:rsidRPr="0055121F" w14:paraId="237573C1" w14:textId="77777777" w:rsidTr="004D1706">
        <w:trPr>
          <w:jc w:val="center"/>
        </w:trPr>
        <w:tc>
          <w:tcPr>
            <w:tcW w:w="2835" w:type="dxa"/>
            <w:vMerge/>
          </w:tcPr>
          <w:p w14:paraId="1C23260A" w14:textId="77777777" w:rsidR="00C14D32" w:rsidRPr="0055121F" w:rsidRDefault="00C14D32" w:rsidP="0055121F">
            <w:pPr>
              <w:spacing w:after="0" w:line="240" w:lineRule="auto"/>
              <w:jc w:val="right"/>
              <w:rPr>
                <w:rFonts w:ascii="Times New Roman" w:hAnsi="Times New Roman"/>
                <w:sz w:val="20"/>
                <w:szCs w:val="20"/>
              </w:rPr>
            </w:pPr>
          </w:p>
        </w:tc>
        <w:tc>
          <w:tcPr>
            <w:tcW w:w="1701" w:type="dxa"/>
          </w:tcPr>
          <w:p w14:paraId="0B770AC7"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F</w:t>
            </w:r>
          </w:p>
        </w:tc>
        <w:tc>
          <w:tcPr>
            <w:tcW w:w="1701" w:type="dxa"/>
          </w:tcPr>
          <w:p w14:paraId="70E53028"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17</w:t>
            </w:r>
          </w:p>
        </w:tc>
      </w:tr>
      <w:tr w:rsidR="00C14D32" w:rsidRPr="0055121F" w14:paraId="4ABF8E4D" w14:textId="77777777" w:rsidTr="004D1706">
        <w:trPr>
          <w:jc w:val="center"/>
        </w:trPr>
        <w:tc>
          <w:tcPr>
            <w:tcW w:w="2835" w:type="dxa"/>
          </w:tcPr>
          <w:p w14:paraId="6BE68B74" w14:textId="77777777" w:rsidR="00C14D32" w:rsidRDefault="0055121F" w:rsidP="0055121F">
            <w:pPr>
              <w:spacing w:after="0" w:line="240" w:lineRule="auto"/>
              <w:jc w:val="right"/>
              <w:rPr>
                <w:rFonts w:ascii="Times New Roman" w:hAnsi="Times New Roman"/>
                <w:sz w:val="20"/>
                <w:szCs w:val="20"/>
              </w:rPr>
            </w:pPr>
            <w:r>
              <w:rPr>
                <w:rFonts w:ascii="Times New Roman" w:hAnsi="Times New Roman"/>
                <w:sz w:val="20"/>
                <w:szCs w:val="20"/>
              </w:rPr>
              <w:t>Detection capability</w:t>
            </w:r>
            <w:r w:rsidR="00C14D32" w:rsidRPr="0055121F">
              <w:rPr>
                <w:rFonts w:ascii="Times New Roman" w:hAnsi="Times New Roman"/>
                <w:sz w:val="20"/>
                <w:szCs w:val="20"/>
              </w:rPr>
              <w:t xml:space="preserve"> (D)</w:t>
            </w:r>
          </w:p>
          <w:p w14:paraId="0680C0E7" w14:textId="77777777" w:rsidR="0055121F" w:rsidRPr="0055121F" w:rsidRDefault="0055121F" w:rsidP="0055121F">
            <w:pPr>
              <w:spacing w:after="0" w:line="240" w:lineRule="auto"/>
              <w:jc w:val="right"/>
              <w:rPr>
                <w:rFonts w:ascii="Times New Roman" w:hAnsi="Times New Roman"/>
                <w:sz w:val="20"/>
                <w:szCs w:val="20"/>
              </w:rPr>
            </w:pPr>
          </w:p>
        </w:tc>
        <w:tc>
          <w:tcPr>
            <w:tcW w:w="1701" w:type="dxa"/>
          </w:tcPr>
          <w:p w14:paraId="147516CB"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G</w:t>
            </w:r>
          </w:p>
        </w:tc>
        <w:tc>
          <w:tcPr>
            <w:tcW w:w="1701" w:type="dxa"/>
          </w:tcPr>
          <w:p w14:paraId="6AF8180D"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 xml:space="preserve">18 – 21 </w:t>
            </w:r>
          </w:p>
        </w:tc>
      </w:tr>
      <w:tr w:rsidR="00C14D32" w:rsidRPr="0055121F" w14:paraId="6FFF266E" w14:textId="77777777" w:rsidTr="004D1706">
        <w:trPr>
          <w:jc w:val="center"/>
        </w:trPr>
        <w:tc>
          <w:tcPr>
            <w:tcW w:w="2835" w:type="dxa"/>
          </w:tcPr>
          <w:p w14:paraId="31C30940" w14:textId="77777777" w:rsidR="00C14D32" w:rsidRPr="0055121F" w:rsidRDefault="0055121F" w:rsidP="0055121F">
            <w:pPr>
              <w:spacing w:after="0" w:line="240" w:lineRule="auto"/>
              <w:jc w:val="right"/>
              <w:rPr>
                <w:rFonts w:ascii="Times New Roman" w:hAnsi="Times New Roman"/>
                <w:sz w:val="20"/>
                <w:szCs w:val="20"/>
              </w:rPr>
            </w:pPr>
            <w:r>
              <w:rPr>
                <w:rFonts w:ascii="Times New Roman" w:hAnsi="Times New Roman"/>
                <w:sz w:val="20"/>
                <w:szCs w:val="20"/>
              </w:rPr>
              <w:t xml:space="preserve">Response capability </w:t>
            </w:r>
            <w:r w:rsidR="00C14D32" w:rsidRPr="0055121F">
              <w:rPr>
                <w:rFonts w:ascii="Times New Roman" w:hAnsi="Times New Roman"/>
                <w:sz w:val="20"/>
                <w:szCs w:val="20"/>
              </w:rPr>
              <w:t>(R)</w:t>
            </w:r>
          </w:p>
        </w:tc>
        <w:tc>
          <w:tcPr>
            <w:tcW w:w="1701" w:type="dxa"/>
          </w:tcPr>
          <w:p w14:paraId="22469798"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H</w:t>
            </w:r>
          </w:p>
        </w:tc>
        <w:tc>
          <w:tcPr>
            <w:tcW w:w="1701" w:type="dxa"/>
          </w:tcPr>
          <w:p w14:paraId="093276AB" w14:textId="77777777" w:rsidR="00C14D32" w:rsidRPr="0055121F" w:rsidRDefault="00C14D32" w:rsidP="0055121F">
            <w:pPr>
              <w:spacing w:after="0" w:line="240" w:lineRule="auto"/>
              <w:jc w:val="center"/>
              <w:rPr>
                <w:rFonts w:ascii="Times New Roman" w:hAnsi="Times New Roman"/>
                <w:sz w:val="20"/>
                <w:szCs w:val="20"/>
              </w:rPr>
            </w:pPr>
            <w:r w:rsidRPr="0055121F">
              <w:rPr>
                <w:rFonts w:ascii="Times New Roman" w:hAnsi="Times New Roman"/>
                <w:sz w:val="20"/>
                <w:szCs w:val="20"/>
              </w:rPr>
              <w:t xml:space="preserve">22 – 25 </w:t>
            </w:r>
          </w:p>
        </w:tc>
      </w:tr>
    </w:tbl>
    <w:p w14:paraId="2A723F86" w14:textId="77777777" w:rsidR="00C14D32" w:rsidRPr="00D04A2F" w:rsidRDefault="00C14D32" w:rsidP="00C14D32"/>
    <w:p w14:paraId="7BFBD15E" w14:textId="77777777" w:rsidR="00C14D32" w:rsidRPr="0055121F" w:rsidRDefault="00C14D32" w:rsidP="0055121F">
      <w:pPr>
        <w:spacing w:after="160" w:line="259" w:lineRule="auto"/>
        <w:jc w:val="both"/>
        <w:rPr>
          <w:rFonts w:ascii="Times New Roman" w:hAnsi="Times New Roman"/>
          <w:bCs/>
          <w:kern w:val="28"/>
          <w:sz w:val="22"/>
        </w:rPr>
      </w:pPr>
      <w:r w:rsidRPr="0055121F">
        <w:rPr>
          <w:rFonts w:ascii="Times New Roman" w:hAnsi="Times New Roman"/>
          <w:bCs/>
          <w:kern w:val="28"/>
          <w:sz w:val="22"/>
        </w:rPr>
        <w:t>Given that all possible combinations or variations in criteria that influence the risk elements cannot be predicted and some overlap is likely, the proposed qualitative descriptions corresponding with risk element scores are not intended to be rigid, but rather guidelines. Hence, the evaluator(s) should assign risk element scores based on the qualitative description that most accurately resembles conclusions that may be drawn from the outcomes for the risk element assessed, noting that different combinations of criteria may occur together. Therefore</w:t>
      </w:r>
      <w:r w:rsidR="00450799">
        <w:rPr>
          <w:rFonts w:ascii="Times New Roman" w:hAnsi="Times New Roman"/>
          <w:bCs/>
          <w:kern w:val="28"/>
          <w:sz w:val="22"/>
        </w:rPr>
        <w:t>,</w:t>
      </w:r>
      <w:r w:rsidRPr="0055121F">
        <w:rPr>
          <w:rFonts w:ascii="Times New Roman" w:hAnsi="Times New Roman"/>
          <w:bCs/>
          <w:kern w:val="28"/>
          <w:sz w:val="22"/>
        </w:rPr>
        <w:t xml:space="preserve"> scoring intervals are designed to be somewhat flexible, as integers ranging from</w:t>
      </w:r>
      <w:r w:rsidR="00450799">
        <w:rPr>
          <w:rFonts w:ascii="Times New Roman" w:hAnsi="Times New Roman"/>
          <w:bCs/>
          <w:kern w:val="28"/>
          <w:sz w:val="22"/>
        </w:rPr>
        <w:t xml:space="preserve"> 1–</w:t>
      </w:r>
      <w:r w:rsidR="003C028F" w:rsidRPr="0055121F">
        <w:rPr>
          <w:rFonts w:ascii="Times New Roman" w:hAnsi="Times New Roman"/>
          <w:bCs/>
          <w:kern w:val="28"/>
          <w:sz w:val="22"/>
        </w:rPr>
        <w:t>5 as follows</w:t>
      </w:r>
      <w:r w:rsidRPr="0055121F">
        <w:rPr>
          <w:rFonts w:ascii="Times New Roman" w:hAnsi="Times New Roman"/>
          <w:bCs/>
          <w:kern w:val="28"/>
          <w:sz w:val="22"/>
        </w:rPr>
        <w:t xml:space="preserve">: </w:t>
      </w:r>
      <w:r w:rsidRPr="0055121F">
        <w:rPr>
          <w:rFonts w:ascii="Times New Roman" w:hAnsi="Times New Roman"/>
          <w:b/>
          <w:bCs/>
          <w:kern w:val="28"/>
          <w:sz w:val="22"/>
        </w:rPr>
        <w:t>very satisfactory (1), satisfactory (2), acceptable (3), inadequate (4)</w:t>
      </w:r>
      <w:r w:rsidRPr="0055121F">
        <w:rPr>
          <w:rFonts w:ascii="Times New Roman" w:hAnsi="Times New Roman"/>
          <w:bCs/>
          <w:kern w:val="28"/>
          <w:sz w:val="22"/>
        </w:rPr>
        <w:t xml:space="preserve">, </w:t>
      </w:r>
      <w:r w:rsidRPr="0055121F">
        <w:rPr>
          <w:rFonts w:ascii="Times New Roman" w:hAnsi="Times New Roman"/>
          <w:b/>
          <w:bCs/>
          <w:kern w:val="28"/>
          <w:sz w:val="22"/>
        </w:rPr>
        <w:t>very inadequate (5)</w:t>
      </w:r>
      <w:r w:rsidRPr="0055121F">
        <w:rPr>
          <w:rFonts w:ascii="Times New Roman" w:hAnsi="Times New Roman"/>
          <w:bCs/>
          <w:kern w:val="28"/>
          <w:sz w:val="22"/>
        </w:rPr>
        <w:t>.</w:t>
      </w:r>
    </w:p>
    <w:p w14:paraId="069BED40" w14:textId="77777777" w:rsidR="00C14D32" w:rsidRPr="00C14D32" w:rsidRDefault="00C14D32" w:rsidP="00C14D32">
      <w:pPr>
        <w:rPr>
          <w:rFonts w:asciiTheme="minorHAnsi" w:hAnsiTheme="minorHAnsi" w:cs="Arial"/>
          <w:bCs/>
          <w:kern w:val="28"/>
          <w:szCs w:val="24"/>
        </w:rPr>
      </w:pPr>
      <w:r>
        <w:rPr>
          <w:rFonts w:asciiTheme="minorHAnsi" w:hAnsiTheme="minorHAnsi" w:cs="Arial"/>
          <w:bCs/>
          <w:kern w:val="28"/>
          <w:szCs w:val="24"/>
        </w:rPr>
        <w:br w:type="page"/>
      </w:r>
    </w:p>
    <w:p w14:paraId="26E96B85" w14:textId="77777777" w:rsidR="005D119A" w:rsidRPr="0055121F" w:rsidRDefault="005D119A" w:rsidP="005D119A">
      <w:pPr>
        <w:pStyle w:val="Heading4"/>
        <w:rPr>
          <w:rFonts w:ascii="Arial" w:hAnsi="Arial" w:cs="Arial"/>
          <w:b/>
          <w:color w:val="auto"/>
          <w:sz w:val="22"/>
        </w:rPr>
      </w:pPr>
      <w:r w:rsidRPr="0055121F">
        <w:rPr>
          <w:rFonts w:ascii="Arial" w:hAnsi="Arial" w:cs="Arial"/>
          <w:b/>
          <w:color w:val="auto"/>
          <w:sz w:val="22"/>
        </w:rPr>
        <w:lastRenderedPageBreak/>
        <w:t>Hazard assessment score (H)</w:t>
      </w:r>
    </w:p>
    <w:p w14:paraId="63CE9ACA" w14:textId="77777777" w:rsidR="00016238" w:rsidRDefault="0008288F" w:rsidP="0055121F">
      <w:pPr>
        <w:spacing w:after="160" w:line="259" w:lineRule="auto"/>
        <w:jc w:val="both"/>
        <w:rPr>
          <w:rFonts w:ascii="Times New Roman" w:hAnsi="Times New Roman"/>
          <w:bCs/>
          <w:kern w:val="28"/>
          <w:sz w:val="22"/>
        </w:rPr>
      </w:pPr>
      <w:r w:rsidRPr="0055121F">
        <w:rPr>
          <w:rFonts w:ascii="Times New Roman" w:hAnsi="Times New Roman"/>
          <w:bCs/>
          <w:kern w:val="28"/>
          <w:sz w:val="22"/>
          <w:highlight w:val="yellow"/>
        </w:rPr>
        <w:fldChar w:fldCharType="begin"/>
      </w:r>
      <w:r w:rsidRPr="0055121F">
        <w:rPr>
          <w:rFonts w:ascii="Times New Roman" w:hAnsi="Times New Roman"/>
          <w:bCs/>
          <w:kern w:val="28"/>
          <w:sz w:val="22"/>
        </w:rPr>
        <w:instrText xml:space="preserve"> REF _Ref525031550 \h </w:instrText>
      </w:r>
      <w:r w:rsidR="0055121F" w:rsidRPr="0055121F">
        <w:rPr>
          <w:rFonts w:ascii="Times New Roman" w:hAnsi="Times New Roman"/>
          <w:bCs/>
          <w:kern w:val="28"/>
          <w:sz w:val="22"/>
          <w:highlight w:val="yellow"/>
        </w:rPr>
        <w:instrText xml:space="preserve"> \* MERGEFORMAT </w:instrText>
      </w:r>
      <w:r w:rsidRPr="0055121F">
        <w:rPr>
          <w:rFonts w:ascii="Times New Roman" w:hAnsi="Times New Roman"/>
          <w:bCs/>
          <w:kern w:val="28"/>
          <w:sz w:val="22"/>
          <w:highlight w:val="yellow"/>
        </w:rPr>
      </w:r>
      <w:r w:rsidRPr="0055121F">
        <w:rPr>
          <w:rFonts w:ascii="Times New Roman" w:hAnsi="Times New Roman"/>
          <w:bCs/>
          <w:kern w:val="28"/>
          <w:sz w:val="22"/>
          <w:highlight w:val="yellow"/>
        </w:rPr>
        <w:fldChar w:fldCharType="separate"/>
      </w:r>
      <w:r w:rsidR="00AE3396" w:rsidRPr="0055121F">
        <w:rPr>
          <w:rFonts w:ascii="Times New Roman" w:hAnsi="Times New Roman"/>
          <w:color w:val="auto"/>
          <w:sz w:val="22"/>
        </w:rPr>
        <w:t xml:space="preserve">Table </w:t>
      </w:r>
      <w:r w:rsidR="00AE3396" w:rsidRPr="0055121F">
        <w:rPr>
          <w:rFonts w:ascii="Times New Roman" w:hAnsi="Times New Roman"/>
          <w:noProof/>
          <w:color w:val="auto"/>
          <w:sz w:val="22"/>
        </w:rPr>
        <w:t>7</w:t>
      </w:r>
      <w:r w:rsidRPr="0055121F">
        <w:rPr>
          <w:rFonts w:ascii="Times New Roman" w:hAnsi="Times New Roman"/>
          <w:bCs/>
          <w:kern w:val="28"/>
          <w:sz w:val="22"/>
          <w:highlight w:val="yellow"/>
        </w:rPr>
        <w:fldChar w:fldCharType="end"/>
      </w:r>
      <w:r w:rsidRPr="0055121F">
        <w:rPr>
          <w:rFonts w:ascii="Times New Roman" w:hAnsi="Times New Roman"/>
          <w:bCs/>
          <w:kern w:val="28"/>
          <w:sz w:val="22"/>
        </w:rPr>
        <w:t xml:space="preserve"> </w:t>
      </w:r>
      <w:r w:rsidR="00016238" w:rsidRPr="0055121F">
        <w:rPr>
          <w:rFonts w:ascii="Times New Roman" w:hAnsi="Times New Roman"/>
          <w:bCs/>
          <w:kern w:val="28"/>
          <w:sz w:val="22"/>
        </w:rPr>
        <w:t xml:space="preserve">provides scoring guidelines for focused risk questions </w:t>
      </w:r>
      <w:r w:rsidR="00016238" w:rsidRPr="0055121F">
        <w:rPr>
          <w:rFonts w:ascii="Times New Roman" w:hAnsi="Times New Roman"/>
          <w:b/>
          <w:bCs/>
          <w:kern w:val="28"/>
          <w:sz w:val="22"/>
        </w:rPr>
        <w:t xml:space="preserve">A – B </w:t>
      </w:r>
      <w:r w:rsidR="00016238" w:rsidRPr="0055121F">
        <w:rPr>
          <w:rFonts w:ascii="Times New Roman" w:hAnsi="Times New Roman"/>
          <w:bCs/>
          <w:kern w:val="28"/>
          <w:sz w:val="22"/>
        </w:rPr>
        <w:t xml:space="preserve">of the risk element, </w:t>
      </w:r>
      <w:r w:rsidR="0055121F">
        <w:rPr>
          <w:rFonts w:ascii="Times New Roman" w:hAnsi="Times New Roman"/>
          <w:b/>
          <w:bCs/>
          <w:kern w:val="28"/>
          <w:sz w:val="22"/>
        </w:rPr>
        <w:t xml:space="preserve">Reintroduction hazard </w:t>
      </w:r>
      <w:r w:rsidR="00016238" w:rsidRPr="0055121F">
        <w:rPr>
          <w:rFonts w:ascii="Times New Roman" w:hAnsi="Times New Roman"/>
          <w:b/>
          <w:bCs/>
          <w:kern w:val="28"/>
          <w:sz w:val="22"/>
        </w:rPr>
        <w:t>(H)</w:t>
      </w:r>
      <w:r w:rsidR="00FE5248" w:rsidRPr="0055121F">
        <w:rPr>
          <w:rFonts w:ascii="Times New Roman" w:hAnsi="Times New Roman"/>
          <w:bCs/>
          <w:kern w:val="28"/>
          <w:sz w:val="22"/>
        </w:rPr>
        <w:t xml:space="preserve">. This </w:t>
      </w:r>
      <w:r w:rsidR="00016238" w:rsidRPr="0055121F">
        <w:rPr>
          <w:rFonts w:ascii="Times New Roman" w:hAnsi="Times New Roman"/>
          <w:bCs/>
          <w:kern w:val="28"/>
          <w:sz w:val="22"/>
        </w:rPr>
        <w:t xml:space="preserve">evaluates the likelihood of poliovirus reintroduction through </w:t>
      </w:r>
      <w:r w:rsidR="00FE5248" w:rsidRPr="0055121F">
        <w:rPr>
          <w:rFonts w:ascii="Times New Roman" w:hAnsi="Times New Roman"/>
          <w:bCs/>
          <w:kern w:val="28"/>
          <w:sz w:val="22"/>
        </w:rPr>
        <w:t xml:space="preserve">two </w:t>
      </w:r>
      <w:r w:rsidR="00016238" w:rsidRPr="0055121F">
        <w:rPr>
          <w:rFonts w:ascii="Times New Roman" w:hAnsi="Times New Roman"/>
          <w:bCs/>
          <w:kern w:val="28"/>
          <w:sz w:val="22"/>
        </w:rPr>
        <w:t xml:space="preserve">potential </w:t>
      </w:r>
      <w:r w:rsidR="007319B8" w:rsidRPr="0055121F">
        <w:rPr>
          <w:rFonts w:ascii="Times New Roman" w:hAnsi="Times New Roman"/>
          <w:bCs/>
          <w:kern w:val="28"/>
          <w:sz w:val="22"/>
        </w:rPr>
        <w:t xml:space="preserve">pathways namely </w:t>
      </w:r>
      <w:r w:rsidR="007319B8" w:rsidRPr="0055121F">
        <w:rPr>
          <w:rFonts w:ascii="Times New Roman" w:hAnsi="Times New Roman"/>
          <w:sz w:val="22"/>
          <w:lang w:eastAsia="en-AU"/>
        </w:rPr>
        <w:t>poliovirus importation through an infectious traveller, or a failure</w:t>
      </w:r>
      <w:r w:rsidR="007319B8" w:rsidRPr="0055121F">
        <w:rPr>
          <w:rFonts w:ascii="Times New Roman" w:hAnsi="Times New Roman"/>
          <w:bCs/>
          <w:kern w:val="28"/>
          <w:sz w:val="22"/>
        </w:rPr>
        <w:t xml:space="preserve"> of </w:t>
      </w:r>
      <w:r w:rsidR="007319B8" w:rsidRPr="0055121F">
        <w:rPr>
          <w:rFonts w:ascii="Times New Roman" w:hAnsi="Times New Roman"/>
          <w:sz w:val="22"/>
          <w:lang w:eastAsia="en-AU"/>
        </w:rPr>
        <w:t xml:space="preserve">laboratory containment policies, practices or import regulations </w:t>
      </w:r>
      <w:r w:rsidR="004B1363" w:rsidRPr="0055121F">
        <w:rPr>
          <w:rFonts w:ascii="Times New Roman" w:hAnsi="Times New Roman"/>
          <w:bCs/>
          <w:kern w:val="28"/>
          <w:sz w:val="22"/>
        </w:rPr>
        <w:t>(hazard component)</w:t>
      </w:r>
      <w:r w:rsidR="00016238" w:rsidRPr="0055121F">
        <w:rPr>
          <w:rFonts w:ascii="Times New Roman" w:hAnsi="Times New Roman"/>
          <w:bCs/>
          <w:kern w:val="28"/>
          <w:sz w:val="22"/>
        </w:rPr>
        <w:t xml:space="preserve">. </w:t>
      </w:r>
    </w:p>
    <w:p w14:paraId="0815308C" w14:textId="77777777" w:rsidR="0055121F" w:rsidRPr="0055121F" w:rsidRDefault="0055121F" w:rsidP="0055121F">
      <w:pPr>
        <w:spacing w:after="160" w:line="259" w:lineRule="auto"/>
        <w:jc w:val="both"/>
        <w:rPr>
          <w:rFonts w:ascii="Times New Roman" w:hAnsi="Times New Roman"/>
          <w:bCs/>
          <w:kern w:val="28"/>
          <w:sz w:val="22"/>
        </w:rPr>
      </w:pPr>
    </w:p>
    <w:p w14:paraId="2FF41352" w14:textId="77777777" w:rsidR="001B2794" w:rsidRPr="00000C6B" w:rsidRDefault="0008288F" w:rsidP="001B2794">
      <w:pPr>
        <w:pStyle w:val="Caption"/>
        <w:rPr>
          <w:rFonts w:ascii="Times New Roman" w:hAnsi="Times New Roman"/>
          <w:bCs/>
          <w:color w:val="auto"/>
          <w:kern w:val="28"/>
          <w:sz w:val="22"/>
          <w:szCs w:val="22"/>
        </w:rPr>
      </w:pPr>
      <w:bookmarkStart w:id="30" w:name="_Ref525031550"/>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7</w:t>
      </w:r>
      <w:r w:rsidRPr="00000C6B">
        <w:rPr>
          <w:rFonts w:ascii="Times New Roman" w:hAnsi="Times New Roman"/>
          <w:color w:val="auto"/>
          <w:sz w:val="22"/>
          <w:szCs w:val="22"/>
        </w:rPr>
        <w:fldChar w:fldCharType="end"/>
      </w:r>
      <w:bookmarkEnd w:id="30"/>
      <w:r w:rsidRPr="00000C6B">
        <w:rPr>
          <w:rFonts w:ascii="Times New Roman" w:hAnsi="Times New Roman"/>
          <w:color w:val="auto"/>
          <w:sz w:val="22"/>
          <w:szCs w:val="22"/>
        </w:rPr>
        <w:t xml:space="preserve">: </w:t>
      </w:r>
      <w:r w:rsidR="00C522C4" w:rsidRPr="00000C6B">
        <w:rPr>
          <w:rFonts w:ascii="Times New Roman" w:hAnsi="Times New Roman"/>
          <w:bCs/>
          <w:color w:val="auto"/>
          <w:kern w:val="28"/>
          <w:sz w:val="22"/>
          <w:szCs w:val="22"/>
        </w:rPr>
        <w:t>Reintroduction h</w:t>
      </w:r>
      <w:r w:rsidR="00016238" w:rsidRPr="00000C6B">
        <w:rPr>
          <w:rFonts w:ascii="Times New Roman" w:hAnsi="Times New Roman"/>
          <w:bCs/>
          <w:color w:val="auto"/>
          <w:kern w:val="28"/>
          <w:sz w:val="22"/>
          <w:szCs w:val="22"/>
        </w:rPr>
        <w:t>azar</w:t>
      </w:r>
      <w:r w:rsidRPr="00000C6B">
        <w:rPr>
          <w:rFonts w:ascii="Times New Roman" w:hAnsi="Times New Roman"/>
          <w:bCs/>
          <w:color w:val="auto"/>
          <w:kern w:val="28"/>
          <w:sz w:val="22"/>
          <w:szCs w:val="22"/>
        </w:rPr>
        <w:t>d assessment scoring guidelines</w:t>
      </w:r>
    </w:p>
    <w:tbl>
      <w:tblPr>
        <w:tblStyle w:val="TableGrid"/>
        <w:tblW w:w="0" w:type="auto"/>
        <w:tblLook w:val="04A0" w:firstRow="1" w:lastRow="0" w:firstColumn="1" w:lastColumn="0" w:noHBand="0" w:noVBand="1"/>
        <w:tblCaption w:val="Table 7: Reintroduction hazard assessment scoring guidelines"/>
        <w:tblDescription w:val="Table shows reintroduction hazard assessment scoring guidelines"/>
      </w:tblPr>
      <w:tblGrid>
        <w:gridCol w:w="794"/>
        <w:gridCol w:w="8222"/>
      </w:tblGrid>
      <w:tr w:rsidR="001B2794" w:rsidRPr="0055121F" w14:paraId="21B4F57A" w14:textId="77777777" w:rsidTr="006C30CC">
        <w:trPr>
          <w:tblHeader/>
        </w:trPr>
        <w:tc>
          <w:tcPr>
            <w:tcW w:w="0" w:type="auto"/>
            <w:shd w:val="clear" w:color="auto" w:fill="D9D9D9" w:themeFill="background1" w:themeFillShade="D9"/>
          </w:tcPr>
          <w:p w14:paraId="41960DED" w14:textId="77777777" w:rsidR="001B2794" w:rsidRPr="0055121F" w:rsidRDefault="001B2794" w:rsidP="00C522C4">
            <w:pPr>
              <w:spacing w:after="0" w:line="240" w:lineRule="auto"/>
              <w:jc w:val="center"/>
              <w:rPr>
                <w:rFonts w:ascii="Times New Roman" w:hAnsi="Times New Roman"/>
                <w:b/>
                <w:sz w:val="20"/>
                <w:szCs w:val="20"/>
              </w:rPr>
            </w:pPr>
            <w:r w:rsidRPr="0055121F">
              <w:rPr>
                <w:rFonts w:ascii="Times New Roman" w:hAnsi="Times New Roman"/>
                <w:b/>
                <w:sz w:val="20"/>
                <w:szCs w:val="20"/>
              </w:rPr>
              <w:t>Score (H)</w:t>
            </w:r>
          </w:p>
        </w:tc>
        <w:tc>
          <w:tcPr>
            <w:tcW w:w="0" w:type="auto"/>
            <w:shd w:val="clear" w:color="auto" w:fill="D9D9D9" w:themeFill="background1" w:themeFillShade="D9"/>
          </w:tcPr>
          <w:p w14:paraId="34A10E79" w14:textId="77777777" w:rsidR="001B2794" w:rsidRPr="0055121F" w:rsidRDefault="001B2794" w:rsidP="00C522C4">
            <w:pPr>
              <w:spacing w:after="0" w:line="240" w:lineRule="auto"/>
              <w:jc w:val="center"/>
              <w:rPr>
                <w:rFonts w:ascii="Times New Roman" w:hAnsi="Times New Roman"/>
                <w:b/>
                <w:sz w:val="20"/>
                <w:szCs w:val="20"/>
              </w:rPr>
            </w:pPr>
            <w:r w:rsidRPr="0055121F">
              <w:rPr>
                <w:rFonts w:ascii="Times New Roman" w:hAnsi="Times New Roman"/>
                <w:b/>
                <w:sz w:val="20"/>
                <w:szCs w:val="20"/>
              </w:rPr>
              <w:t>Qualitative Description</w:t>
            </w:r>
          </w:p>
        </w:tc>
      </w:tr>
      <w:tr w:rsidR="001B2794" w:rsidRPr="0055121F" w14:paraId="131ACF31" w14:textId="77777777" w:rsidTr="006C30CC">
        <w:tc>
          <w:tcPr>
            <w:tcW w:w="0" w:type="auto"/>
          </w:tcPr>
          <w:p w14:paraId="363A01AB" w14:textId="77777777" w:rsidR="001B2794" w:rsidRPr="0055121F" w:rsidRDefault="001B2794" w:rsidP="00C522C4">
            <w:pPr>
              <w:spacing w:after="0" w:line="240" w:lineRule="auto"/>
              <w:jc w:val="center"/>
              <w:rPr>
                <w:rFonts w:ascii="Times New Roman" w:hAnsi="Times New Roman"/>
                <w:bCs/>
                <w:kern w:val="28"/>
                <w:sz w:val="20"/>
                <w:szCs w:val="20"/>
              </w:rPr>
            </w:pPr>
            <w:r w:rsidRPr="0055121F">
              <w:rPr>
                <w:rFonts w:ascii="Times New Roman" w:hAnsi="Times New Roman"/>
                <w:bCs/>
                <w:kern w:val="28"/>
                <w:sz w:val="20"/>
                <w:szCs w:val="20"/>
              </w:rPr>
              <w:t>1</w:t>
            </w:r>
          </w:p>
        </w:tc>
        <w:tc>
          <w:tcPr>
            <w:tcW w:w="0" w:type="auto"/>
          </w:tcPr>
          <w:p w14:paraId="6A5EC75F"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Polio risk countries relevant to the national context well-defined and documented</w:t>
            </w:r>
          </w:p>
          <w:p w14:paraId="511387F0"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High risk population groups for poliovirus importation are very well-characterised (e.g. based on comprehensive and recent data on traveller arrivals from polio risk countries, including proportional arrival numbers, and length-of-stay data)</w:t>
            </w:r>
          </w:p>
          <w:p w14:paraId="7552E8C3"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No land borders with high risk</w:t>
            </w:r>
            <w:r w:rsidRPr="0055121F">
              <w:rPr>
                <w:rFonts w:ascii="Times New Roman" w:hAnsi="Times New Roman"/>
                <w:sz w:val="20"/>
                <w:szCs w:val="20"/>
              </w:rPr>
              <w:t xml:space="preserve"> </w:t>
            </w:r>
            <w:r w:rsidRPr="0055121F">
              <w:rPr>
                <w:rFonts w:ascii="Times New Roman" w:hAnsi="Times New Roman"/>
                <w:bCs/>
                <w:kern w:val="28"/>
                <w:sz w:val="20"/>
                <w:szCs w:val="20"/>
              </w:rPr>
              <w:t>(endemic, outbreak or at-risk) countries; and proportionally minimal traveller traffic from such countries</w:t>
            </w:r>
          </w:p>
          <w:p w14:paraId="08B8743C"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Policies that serve as comprehensive and effective poliovirus importation risk reduction measures targeting high risk population groups are in place and enforced, including: </w:t>
            </w:r>
          </w:p>
          <w:p w14:paraId="274FCAC9" w14:textId="77777777" w:rsidR="001B2794" w:rsidRPr="0055121F" w:rsidRDefault="001B2794" w:rsidP="00C522C4">
            <w:pPr>
              <w:pStyle w:val="ListParagraph"/>
              <w:numPr>
                <w:ilvl w:val="3"/>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Effective border and international traveller control measures, with very limited to no unauthorised arrivals from polio risk countries via any pathway (land, sea, air)</w:t>
            </w:r>
          </w:p>
          <w:p w14:paraId="3B234235" w14:textId="77777777" w:rsidR="001B2794" w:rsidRPr="0055121F" w:rsidRDefault="001B2794" w:rsidP="00C522C4">
            <w:pPr>
              <w:pStyle w:val="ListParagraph"/>
              <w:numPr>
                <w:ilvl w:val="3"/>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Existence and enforcement of comprehensive policies, procedures or requirements to mitigate the risk of poliovirus reintroduction through infectious travellers </w:t>
            </w:r>
          </w:p>
          <w:p w14:paraId="52AFC624"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Advanced national laboratory infrastructure and systems, including comprehensive inventories, verification procedures, laboratory standards and import regulations to maintain appropriate poliovirus containment, and GAP III implementation is well progressed</w:t>
            </w:r>
          </w:p>
          <w:p w14:paraId="3C513995" w14:textId="77777777" w:rsidR="001B2794" w:rsidRPr="0055121F" w:rsidRDefault="001B2794" w:rsidP="00C522C4">
            <w:pPr>
              <w:pStyle w:val="ListParagraph"/>
              <w:spacing w:after="0" w:line="240" w:lineRule="auto"/>
              <w:ind w:left="422"/>
              <w:rPr>
                <w:rFonts w:ascii="Times New Roman" w:hAnsi="Times New Roman"/>
                <w:bCs/>
                <w:kern w:val="28"/>
                <w:sz w:val="20"/>
                <w:szCs w:val="20"/>
              </w:rPr>
            </w:pPr>
          </w:p>
        </w:tc>
      </w:tr>
      <w:tr w:rsidR="001B2794" w:rsidRPr="0055121F" w14:paraId="3790B11B" w14:textId="77777777" w:rsidTr="006C30CC">
        <w:tc>
          <w:tcPr>
            <w:tcW w:w="0" w:type="auto"/>
          </w:tcPr>
          <w:p w14:paraId="068B37E9" w14:textId="77777777" w:rsidR="001B2794" w:rsidRPr="0055121F" w:rsidRDefault="001B2794" w:rsidP="00C522C4">
            <w:pPr>
              <w:spacing w:after="0" w:line="240" w:lineRule="auto"/>
              <w:jc w:val="center"/>
              <w:rPr>
                <w:rFonts w:ascii="Times New Roman" w:hAnsi="Times New Roman"/>
                <w:bCs/>
                <w:kern w:val="28"/>
                <w:sz w:val="20"/>
                <w:szCs w:val="20"/>
              </w:rPr>
            </w:pPr>
            <w:r w:rsidRPr="0055121F">
              <w:rPr>
                <w:rFonts w:ascii="Times New Roman" w:hAnsi="Times New Roman"/>
                <w:bCs/>
                <w:kern w:val="28"/>
                <w:sz w:val="20"/>
                <w:szCs w:val="20"/>
              </w:rPr>
              <w:t>2</w:t>
            </w:r>
          </w:p>
        </w:tc>
        <w:tc>
          <w:tcPr>
            <w:tcW w:w="0" w:type="auto"/>
          </w:tcPr>
          <w:p w14:paraId="25ECA676"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Polio risk countries relevant to the national context are defined and documented</w:t>
            </w:r>
          </w:p>
          <w:p w14:paraId="02BAB4EB"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High risk population groups for poliovirus importation are well-characterised (e.g. based on fairly comprehensive and recent data on traveller arrivals from polio risk countries, including proportional arrival numbers, and length-of-stay data)</w:t>
            </w:r>
          </w:p>
          <w:p w14:paraId="4FBB49C0"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No land borders with high risk (endemic, outbreak or at-risk) countries; proportionally moderate traveller traffic from such countries </w:t>
            </w:r>
          </w:p>
          <w:p w14:paraId="5F09354C"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Policies that serve as comprehensive and effective poliovirus importation risk reduction measures targeting high risk population groups are in place and enforced, including: </w:t>
            </w:r>
          </w:p>
          <w:p w14:paraId="7F4EA0B0" w14:textId="77777777" w:rsidR="001B2794" w:rsidRPr="0055121F" w:rsidRDefault="001B2794" w:rsidP="00C522C4">
            <w:pPr>
              <w:pStyle w:val="ListParagraph"/>
              <w:numPr>
                <w:ilvl w:val="3"/>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Effective border and international traveller control measures, with limited unauthorised arrivals from polio risk countries via any pathway (land, sea, air)</w:t>
            </w:r>
          </w:p>
          <w:p w14:paraId="0677785A" w14:textId="77777777" w:rsidR="001B2794" w:rsidRPr="0055121F" w:rsidRDefault="001B2794" w:rsidP="00C522C4">
            <w:pPr>
              <w:pStyle w:val="ListParagraph"/>
              <w:numPr>
                <w:ilvl w:val="3"/>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Existence and enforcement of policies, procedures or requirements to mitigate the risk of poliovirus reintroduction through infectious travellers </w:t>
            </w:r>
          </w:p>
          <w:p w14:paraId="3050C447"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Good national laboratory infrastructure and systems, including inventories, verification procedures, laboratory standards and import regulations to maintain and strengthen appropriate poliovirus containment, and GAP III implementation is feasible</w:t>
            </w:r>
          </w:p>
          <w:p w14:paraId="25869862" w14:textId="77777777" w:rsidR="001B2794" w:rsidRPr="0055121F" w:rsidRDefault="001B2794" w:rsidP="00C522C4">
            <w:pPr>
              <w:pStyle w:val="ListParagraph"/>
              <w:spacing w:after="0" w:line="240" w:lineRule="auto"/>
              <w:ind w:left="422"/>
              <w:rPr>
                <w:rFonts w:ascii="Times New Roman" w:hAnsi="Times New Roman"/>
                <w:bCs/>
                <w:kern w:val="28"/>
                <w:sz w:val="20"/>
                <w:szCs w:val="20"/>
              </w:rPr>
            </w:pPr>
          </w:p>
        </w:tc>
      </w:tr>
      <w:tr w:rsidR="001B2794" w:rsidRPr="0055121F" w14:paraId="5E841E64" w14:textId="77777777" w:rsidTr="006C30CC">
        <w:tc>
          <w:tcPr>
            <w:tcW w:w="0" w:type="auto"/>
          </w:tcPr>
          <w:p w14:paraId="44E739EA" w14:textId="77777777" w:rsidR="001B2794" w:rsidRPr="0055121F" w:rsidRDefault="001B2794" w:rsidP="00C522C4">
            <w:pPr>
              <w:spacing w:after="0" w:line="240" w:lineRule="auto"/>
              <w:jc w:val="center"/>
              <w:rPr>
                <w:rFonts w:ascii="Times New Roman" w:hAnsi="Times New Roman"/>
                <w:bCs/>
                <w:kern w:val="28"/>
                <w:sz w:val="20"/>
                <w:szCs w:val="20"/>
              </w:rPr>
            </w:pPr>
            <w:r w:rsidRPr="0055121F">
              <w:rPr>
                <w:rFonts w:ascii="Times New Roman" w:hAnsi="Times New Roman"/>
                <w:bCs/>
                <w:kern w:val="28"/>
                <w:sz w:val="20"/>
                <w:szCs w:val="20"/>
              </w:rPr>
              <w:t>3</w:t>
            </w:r>
          </w:p>
        </w:tc>
        <w:tc>
          <w:tcPr>
            <w:tcW w:w="0" w:type="auto"/>
          </w:tcPr>
          <w:p w14:paraId="75A5AF6E"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Polio risk countries relevant to the national context are not well-defined or documented</w:t>
            </w:r>
          </w:p>
          <w:p w14:paraId="7047FE9A"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High risk population groups for poliovirus importation can be described, however accurate characterisation of this population somewhat challenging (e.g. data on traveller arrivals from high risk countries, although collected, is incomplete, of variable quality and/or outdated)</w:t>
            </w:r>
          </w:p>
          <w:p w14:paraId="14FF4CAA"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One or more land borders with polio at-risk countries (but not outbreak or endemic countries); proportionally moderate traveller traffic from these countries</w:t>
            </w:r>
          </w:p>
          <w:p w14:paraId="212CCCD5"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Policies that serve as poliovirus importation risk reduction measures targeting high risk population groups exist, but are not comprehensive and/or not consistently enforced, e.g.:</w:t>
            </w:r>
          </w:p>
          <w:p w14:paraId="4EBACE43" w14:textId="77777777" w:rsidR="001B2794" w:rsidRPr="0055121F" w:rsidRDefault="001B2794" w:rsidP="00C522C4">
            <w:pPr>
              <w:pStyle w:val="ListParagraph"/>
              <w:numPr>
                <w:ilvl w:val="0"/>
                <w:numId w:val="18"/>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Border and international traveller control measures in place; however unauthorised arrivals via one or more pathways do occur, including from high risk countries</w:t>
            </w:r>
          </w:p>
          <w:p w14:paraId="6F87B3BC" w14:textId="77777777" w:rsidR="001B2794" w:rsidRPr="0055121F" w:rsidRDefault="001B2794" w:rsidP="00C522C4">
            <w:pPr>
              <w:pStyle w:val="ListParagraph"/>
              <w:numPr>
                <w:ilvl w:val="0"/>
                <w:numId w:val="18"/>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Some policies, procedures or requirements to mitigate the risk of poliovirus reintroduction through infectious travellers exist, but enforcement is inconsistent</w:t>
            </w:r>
          </w:p>
          <w:p w14:paraId="44071381" w14:textId="77777777" w:rsidR="001B2794" w:rsidRPr="00571EAE" w:rsidRDefault="001B2794" w:rsidP="00571EAE">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Acceptable national laboratory infrastructure and systems in place, including some verification procedures, laboratory standards and import regulations to maintain and strengthen poliovirus containment, but limited capacity to progress GAP III implementation </w:t>
            </w:r>
          </w:p>
        </w:tc>
      </w:tr>
      <w:tr w:rsidR="001B2794" w:rsidRPr="0055121F" w14:paraId="4AD474B7" w14:textId="77777777" w:rsidTr="006C30CC">
        <w:tc>
          <w:tcPr>
            <w:tcW w:w="0" w:type="auto"/>
          </w:tcPr>
          <w:p w14:paraId="0D8EDD10" w14:textId="77777777" w:rsidR="001B2794" w:rsidRPr="0055121F" w:rsidRDefault="001B2794" w:rsidP="00C522C4">
            <w:pPr>
              <w:spacing w:after="0" w:line="240" w:lineRule="auto"/>
              <w:jc w:val="center"/>
              <w:rPr>
                <w:rFonts w:ascii="Times New Roman" w:hAnsi="Times New Roman"/>
                <w:bCs/>
                <w:kern w:val="28"/>
                <w:sz w:val="20"/>
                <w:szCs w:val="20"/>
              </w:rPr>
            </w:pPr>
            <w:r w:rsidRPr="0055121F">
              <w:rPr>
                <w:rFonts w:ascii="Times New Roman" w:hAnsi="Times New Roman"/>
                <w:bCs/>
                <w:kern w:val="28"/>
                <w:sz w:val="20"/>
                <w:szCs w:val="20"/>
              </w:rPr>
              <w:lastRenderedPageBreak/>
              <w:t>4</w:t>
            </w:r>
          </w:p>
        </w:tc>
        <w:tc>
          <w:tcPr>
            <w:tcW w:w="0" w:type="auto"/>
          </w:tcPr>
          <w:p w14:paraId="3CC37685"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Polio risk countries relevant to the national context are not defined or documented</w:t>
            </w:r>
          </w:p>
          <w:p w14:paraId="31A69FA3"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High risk population groups for poliovirus importation are inadequately described; and accurate characterisation of this population is very difficult or not possible (e.g. no or very limited, incomplete and poor quality data on traveller arrivals from polio risk countries)</w:t>
            </w:r>
          </w:p>
          <w:p w14:paraId="60470974"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Land border with one or more polio at-risk or outbreak countries, with proportionally high traveller traffic from these countries</w:t>
            </w:r>
          </w:p>
          <w:p w14:paraId="20428DCB"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Policies that serve as poliovirus importation risk reduction measures targeting high risk population groups exist, but are not consistently or effectively enforced, e.g.:</w:t>
            </w:r>
          </w:p>
          <w:p w14:paraId="344678BE" w14:textId="77777777" w:rsidR="001B2794" w:rsidRPr="0055121F" w:rsidRDefault="001B2794" w:rsidP="00C522C4">
            <w:pPr>
              <w:pStyle w:val="ListParagraph"/>
              <w:numPr>
                <w:ilvl w:val="0"/>
                <w:numId w:val="19"/>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Inadequate border and international traveller control measures, with limited control over a high volume of unauthorised arrivals via one or more pathways (land, sea, or air), including a significant proportion thought to originate from polio high risk countries </w:t>
            </w:r>
          </w:p>
          <w:p w14:paraId="0E92DC41" w14:textId="77777777" w:rsidR="001B2794" w:rsidRPr="0055121F" w:rsidRDefault="001B2794" w:rsidP="00C522C4">
            <w:pPr>
              <w:pStyle w:val="ListParagraph"/>
              <w:numPr>
                <w:ilvl w:val="0"/>
                <w:numId w:val="19"/>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Limited policies, procedures or requirements to mitigate the risk of poliovirus reintroduction through infectious travellers exist, and are inconsistently enforced </w:t>
            </w:r>
          </w:p>
          <w:p w14:paraId="33186B2D" w14:textId="77777777" w:rsidR="001B2794" w:rsidRPr="0055121F" w:rsidRDefault="001B2794" w:rsidP="00C522C4">
            <w:pPr>
              <w:pStyle w:val="ListParagraph"/>
              <w:numPr>
                <w:ilvl w:val="0"/>
                <w:numId w:val="21"/>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Basic laboratory infrastructure or systems, inventories, processes or procedures in place to support poliovirus containment; very limited capacity to progress GAP III implementation</w:t>
            </w:r>
          </w:p>
        </w:tc>
      </w:tr>
      <w:tr w:rsidR="001B2794" w:rsidRPr="0055121F" w14:paraId="725BAB6C" w14:textId="77777777" w:rsidTr="006C30CC">
        <w:trPr>
          <w:trHeight w:val="3701"/>
        </w:trPr>
        <w:tc>
          <w:tcPr>
            <w:tcW w:w="0" w:type="auto"/>
          </w:tcPr>
          <w:p w14:paraId="538E6260" w14:textId="77777777" w:rsidR="001B2794" w:rsidRPr="0055121F" w:rsidRDefault="001B2794" w:rsidP="00C522C4">
            <w:pPr>
              <w:spacing w:after="0" w:line="240" w:lineRule="auto"/>
              <w:jc w:val="center"/>
              <w:rPr>
                <w:rFonts w:ascii="Times New Roman" w:hAnsi="Times New Roman"/>
                <w:bCs/>
                <w:kern w:val="28"/>
                <w:sz w:val="20"/>
                <w:szCs w:val="20"/>
              </w:rPr>
            </w:pPr>
            <w:r w:rsidRPr="0055121F">
              <w:rPr>
                <w:rFonts w:ascii="Times New Roman" w:hAnsi="Times New Roman"/>
                <w:bCs/>
                <w:kern w:val="28"/>
                <w:sz w:val="20"/>
                <w:szCs w:val="20"/>
              </w:rPr>
              <w:t>5</w:t>
            </w:r>
          </w:p>
        </w:tc>
        <w:tc>
          <w:tcPr>
            <w:tcW w:w="0" w:type="auto"/>
          </w:tcPr>
          <w:p w14:paraId="1860EB2C"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Polio risk countries relevant to the national context are not defined or documented </w:t>
            </w:r>
          </w:p>
          <w:p w14:paraId="592AB8D8"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High risk population groups for poliovirus importation are unknown and not described; and accurate characterisation of this population is not possible (e.g. lack of data)</w:t>
            </w:r>
          </w:p>
          <w:p w14:paraId="570229B5"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Land border with one or more polio outbreak or endemic countries, with proportionally very high traveller traffic from these countries</w:t>
            </w:r>
          </w:p>
          <w:p w14:paraId="0906EC89"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Policies that serve as poliovirus importation risk reduction measures are non-existent or not effectively enforced, e.g.:</w:t>
            </w:r>
          </w:p>
          <w:p w14:paraId="69ACE6D5" w14:textId="77777777" w:rsidR="001B2794" w:rsidRPr="0055121F" w:rsidRDefault="001B2794" w:rsidP="00C522C4">
            <w:pPr>
              <w:pStyle w:val="ListParagraph"/>
              <w:numPr>
                <w:ilvl w:val="0"/>
                <w:numId w:val="20"/>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Very inadequate border and international traveller control measures, with very limited to no control over a high volume of unauthorised arrivals via multiple pathways (land, sea, or air), with a high proportion thought to originate from polio high risk countries </w:t>
            </w:r>
          </w:p>
          <w:p w14:paraId="292079E2" w14:textId="77777777" w:rsidR="001B2794" w:rsidRPr="0055121F" w:rsidRDefault="001B2794" w:rsidP="00C522C4">
            <w:pPr>
              <w:pStyle w:val="ListParagraph"/>
              <w:numPr>
                <w:ilvl w:val="0"/>
                <w:numId w:val="20"/>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 xml:space="preserve">No policies, procedures or requirements to mitigate the risk of poliovirus reintroduction through infectious travellers exist or are not enforced </w:t>
            </w:r>
          </w:p>
          <w:p w14:paraId="5DF09A48" w14:textId="77777777" w:rsidR="001B2794" w:rsidRPr="0055121F" w:rsidRDefault="001B2794" w:rsidP="00C522C4">
            <w:pPr>
              <w:pStyle w:val="ListParagraph"/>
              <w:numPr>
                <w:ilvl w:val="0"/>
                <w:numId w:val="17"/>
              </w:numPr>
              <w:spacing w:after="0" w:line="240" w:lineRule="auto"/>
              <w:rPr>
                <w:rFonts w:ascii="Times New Roman" w:hAnsi="Times New Roman"/>
                <w:bCs/>
                <w:kern w:val="28"/>
                <w:sz w:val="20"/>
                <w:szCs w:val="20"/>
              </w:rPr>
            </w:pPr>
            <w:r w:rsidRPr="0055121F">
              <w:rPr>
                <w:rFonts w:ascii="Times New Roman" w:hAnsi="Times New Roman"/>
                <w:bCs/>
                <w:kern w:val="28"/>
                <w:sz w:val="20"/>
                <w:szCs w:val="20"/>
              </w:rPr>
              <w:t>Very basic or no laboratory infrastructure or systems, inventories, processes or procedures exist to support poliovirus containment; and no capacity to progress GAP III implementation</w:t>
            </w:r>
          </w:p>
        </w:tc>
      </w:tr>
    </w:tbl>
    <w:p w14:paraId="41CC4452" w14:textId="77777777" w:rsidR="00D23AFE" w:rsidRDefault="00C14D32" w:rsidP="00D23AFE">
      <w:r>
        <w:br w:type="page"/>
      </w:r>
    </w:p>
    <w:p w14:paraId="5465E1D1" w14:textId="77777777" w:rsidR="00D23AFE" w:rsidRPr="00C522C4" w:rsidRDefault="00C522C4" w:rsidP="00C92635">
      <w:pPr>
        <w:pStyle w:val="Heading4"/>
        <w:rPr>
          <w:rFonts w:ascii="Arial" w:hAnsi="Arial" w:cs="Arial"/>
          <w:b/>
          <w:color w:val="auto"/>
          <w:sz w:val="22"/>
        </w:rPr>
      </w:pPr>
      <w:r w:rsidRPr="00C522C4">
        <w:rPr>
          <w:rFonts w:ascii="Arial" w:hAnsi="Arial" w:cs="Arial"/>
          <w:b/>
          <w:color w:val="auto"/>
          <w:sz w:val="22"/>
        </w:rPr>
        <w:lastRenderedPageBreak/>
        <w:t xml:space="preserve">Population susceptibility </w:t>
      </w:r>
      <w:r w:rsidR="00706BD5" w:rsidRPr="00C522C4">
        <w:rPr>
          <w:rFonts w:ascii="Arial" w:hAnsi="Arial" w:cs="Arial"/>
          <w:b/>
          <w:color w:val="auto"/>
          <w:sz w:val="22"/>
        </w:rPr>
        <w:t xml:space="preserve">score (S) </w:t>
      </w:r>
    </w:p>
    <w:p w14:paraId="6394FB92" w14:textId="77777777" w:rsidR="00706BD5" w:rsidRDefault="00FF16C5" w:rsidP="00C522C4">
      <w:pPr>
        <w:spacing w:after="160" w:line="259" w:lineRule="auto"/>
        <w:jc w:val="both"/>
        <w:rPr>
          <w:rFonts w:ascii="Times New Roman" w:hAnsi="Times New Roman"/>
          <w:bCs/>
          <w:kern w:val="28"/>
          <w:sz w:val="20"/>
          <w:szCs w:val="20"/>
        </w:rPr>
      </w:pPr>
      <w:r w:rsidRPr="00C522C4">
        <w:rPr>
          <w:rFonts w:ascii="Times New Roman" w:hAnsi="Times New Roman"/>
          <w:bCs/>
          <w:kern w:val="28"/>
          <w:sz w:val="20"/>
          <w:szCs w:val="20"/>
        </w:rPr>
        <w:fldChar w:fldCharType="begin"/>
      </w:r>
      <w:r w:rsidRPr="00C522C4">
        <w:rPr>
          <w:rFonts w:ascii="Times New Roman" w:hAnsi="Times New Roman"/>
          <w:bCs/>
          <w:kern w:val="28"/>
          <w:sz w:val="20"/>
          <w:szCs w:val="20"/>
        </w:rPr>
        <w:instrText xml:space="preserve"> REF _Ref525032094 \h </w:instrText>
      </w:r>
      <w:r w:rsidR="00C522C4" w:rsidRPr="00C522C4">
        <w:rPr>
          <w:rFonts w:ascii="Times New Roman" w:hAnsi="Times New Roman"/>
          <w:bCs/>
          <w:kern w:val="28"/>
          <w:sz w:val="20"/>
          <w:szCs w:val="20"/>
        </w:rPr>
        <w:instrText xml:space="preserve"> \* MERGEFORMAT </w:instrText>
      </w:r>
      <w:r w:rsidRPr="00C522C4">
        <w:rPr>
          <w:rFonts w:ascii="Times New Roman" w:hAnsi="Times New Roman"/>
          <w:bCs/>
          <w:kern w:val="28"/>
          <w:sz w:val="20"/>
          <w:szCs w:val="20"/>
        </w:rPr>
      </w:r>
      <w:r w:rsidRPr="00C522C4">
        <w:rPr>
          <w:rFonts w:ascii="Times New Roman" w:hAnsi="Times New Roman"/>
          <w:bCs/>
          <w:kern w:val="28"/>
          <w:sz w:val="20"/>
          <w:szCs w:val="20"/>
        </w:rPr>
        <w:fldChar w:fldCharType="separate"/>
      </w:r>
      <w:r w:rsidR="00AE3396" w:rsidRPr="00C522C4">
        <w:rPr>
          <w:rFonts w:ascii="Times New Roman" w:hAnsi="Times New Roman"/>
          <w:color w:val="auto"/>
          <w:sz w:val="20"/>
          <w:szCs w:val="20"/>
        </w:rPr>
        <w:t xml:space="preserve">Table </w:t>
      </w:r>
      <w:r w:rsidR="00AE3396" w:rsidRPr="00C522C4">
        <w:rPr>
          <w:rFonts w:ascii="Times New Roman" w:hAnsi="Times New Roman"/>
          <w:noProof/>
          <w:color w:val="auto"/>
          <w:sz w:val="20"/>
          <w:szCs w:val="20"/>
        </w:rPr>
        <w:t>8</w:t>
      </w:r>
      <w:r w:rsidRPr="00C522C4">
        <w:rPr>
          <w:rFonts w:ascii="Times New Roman" w:hAnsi="Times New Roman"/>
          <w:bCs/>
          <w:kern w:val="28"/>
          <w:sz w:val="20"/>
          <w:szCs w:val="20"/>
        </w:rPr>
        <w:fldChar w:fldCharType="end"/>
      </w:r>
      <w:r w:rsidRPr="00C522C4">
        <w:rPr>
          <w:rFonts w:ascii="Times New Roman" w:hAnsi="Times New Roman"/>
          <w:bCs/>
          <w:kern w:val="28"/>
          <w:sz w:val="20"/>
          <w:szCs w:val="20"/>
        </w:rPr>
        <w:t xml:space="preserve"> </w:t>
      </w:r>
      <w:r w:rsidR="00706BD5" w:rsidRPr="00C522C4">
        <w:rPr>
          <w:rFonts w:ascii="Times New Roman" w:hAnsi="Times New Roman"/>
          <w:bCs/>
          <w:kern w:val="28"/>
          <w:sz w:val="20"/>
          <w:szCs w:val="20"/>
        </w:rPr>
        <w:t xml:space="preserve">provides scoring guidelines for focused risk questions </w:t>
      </w:r>
      <w:r w:rsidR="00706BD5" w:rsidRPr="00C522C4">
        <w:rPr>
          <w:rFonts w:ascii="Times New Roman" w:hAnsi="Times New Roman"/>
          <w:b/>
          <w:bCs/>
          <w:kern w:val="28"/>
          <w:sz w:val="20"/>
          <w:szCs w:val="20"/>
        </w:rPr>
        <w:t xml:space="preserve">C – </w:t>
      </w:r>
      <w:r w:rsidR="003A1E55" w:rsidRPr="00C522C4">
        <w:rPr>
          <w:rFonts w:ascii="Times New Roman" w:hAnsi="Times New Roman"/>
          <w:b/>
          <w:bCs/>
          <w:kern w:val="28"/>
          <w:sz w:val="20"/>
          <w:szCs w:val="20"/>
        </w:rPr>
        <w:t>F</w:t>
      </w:r>
      <w:r w:rsidR="00706BD5" w:rsidRPr="00C522C4">
        <w:rPr>
          <w:rFonts w:ascii="Times New Roman" w:hAnsi="Times New Roman"/>
          <w:b/>
          <w:bCs/>
          <w:kern w:val="28"/>
          <w:sz w:val="20"/>
          <w:szCs w:val="20"/>
        </w:rPr>
        <w:t xml:space="preserve"> </w:t>
      </w:r>
      <w:r w:rsidR="00706BD5" w:rsidRPr="00C522C4">
        <w:rPr>
          <w:rFonts w:ascii="Times New Roman" w:hAnsi="Times New Roman"/>
          <w:bCs/>
          <w:kern w:val="28"/>
          <w:sz w:val="20"/>
          <w:szCs w:val="20"/>
        </w:rPr>
        <w:t xml:space="preserve">of the risk element, </w:t>
      </w:r>
      <w:r w:rsidR="00C522C4" w:rsidRPr="00C522C4">
        <w:rPr>
          <w:rFonts w:ascii="Times New Roman" w:hAnsi="Times New Roman"/>
          <w:b/>
          <w:bCs/>
          <w:kern w:val="28"/>
          <w:sz w:val="20"/>
          <w:szCs w:val="20"/>
        </w:rPr>
        <w:t xml:space="preserve">Population susceptibility </w:t>
      </w:r>
      <w:r w:rsidR="00706BD5" w:rsidRPr="00C522C4">
        <w:rPr>
          <w:rFonts w:ascii="Times New Roman" w:hAnsi="Times New Roman"/>
          <w:b/>
          <w:bCs/>
          <w:kern w:val="28"/>
          <w:sz w:val="20"/>
          <w:szCs w:val="20"/>
        </w:rPr>
        <w:t>(S)</w:t>
      </w:r>
      <w:r w:rsidR="00FE5248" w:rsidRPr="00C522C4">
        <w:rPr>
          <w:rFonts w:ascii="Times New Roman" w:hAnsi="Times New Roman"/>
          <w:bCs/>
          <w:kern w:val="28"/>
          <w:sz w:val="20"/>
          <w:szCs w:val="20"/>
        </w:rPr>
        <w:t xml:space="preserve">. This </w:t>
      </w:r>
      <w:r w:rsidR="00706BD5" w:rsidRPr="00C522C4">
        <w:rPr>
          <w:rFonts w:ascii="Times New Roman" w:hAnsi="Times New Roman"/>
          <w:bCs/>
          <w:kern w:val="28"/>
          <w:sz w:val="20"/>
          <w:szCs w:val="20"/>
        </w:rPr>
        <w:t>evaluates the likelihood of poliovirus exposure, establishment of infection, outbreak</w:t>
      </w:r>
      <w:r w:rsidR="001321C2" w:rsidRPr="00C522C4">
        <w:rPr>
          <w:rFonts w:ascii="Times New Roman" w:hAnsi="Times New Roman"/>
          <w:bCs/>
          <w:kern w:val="28"/>
          <w:sz w:val="20"/>
          <w:szCs w:val="20"/>
        </w:rPr>
        <w:t>s</w:t>
      </w:r>
      <w:r w:rsidR="00706BD5" w:rsidRPr="00C522C4">
        <w:rPr>
          <w:rFonts w:ascii="Times New Roman" w:hAnsi="Times New Roman"/>
          <w:bCs/>
          <w:kern w:val="28"/>
          <w:sz w:val="20"/>
          <w:szCs w:val="20"/>
        </w:rPr>
        <w:t xml:space="preserve"> and sustained transmission</w:t>
      </w:r>
      <w:r w:rsidR="004B1363" w:rsidRPr="00C522C4">
        <w:rPr>
          <w:rFonts w:ascii="Times New Roman" w:hAnsi="Times New Roman"/>
          <w:bCs/>
          <w:kern w:val="28"/>
          <w:sz w:val="20"/>
          <w:szCs w:val="20"/>
        </w:rPr>
        <w:t xml:space="preserve"> (exposure component)</w:t>
      </w:r>
      <w:r w:rsidR="00FE5248" w:rsidRPr="00C522C4">
        <w:rPr>
          <w:rFonts w:ascii="Times New Roman" w:hAnsi="Times New Roman"/>
          <w:bCs/>
          <w:kern w:val="28"/>
          <w:sz w:val="20"/>
          <w:szCs w:val="20"/>
        </w:rPr>
        <w:t>, including the performance and delivery of the natio</w:t>
      </w:r>
      <w:r w:rsidR="007319B8" w:rsidRPr="00C522C4">
        <w:rPr>
          <w:rFonts w:ascii="Times New Roman" w:hAnsi="Times New Roman"/>
          <w:bCs/>
          <w:kern w:val="28"/>
          <w:sz w:val="20"/>
          <w:szCs w:val="20"/>
        </w:rPr>
        <w:t>nal immunisation program (NIP) (exposure component)</w:t>
      </w:r>
      <w:r w:rsidR="00706BD5" w:rsidRPr="00C522C4">
        <w:rPr>
          <w:rFonts w:ascii="Times New Roman" w:hAnsi="Times New Roman"/>
          <w:bCs/>
          <w:kern w:val="28"/>
          <w:sz w:val="20"/>
          <w:szCs w:val="20"/>
        </w:rPr>
        <w:t>.</w:t>
      </w:r>
    </w:p>
    <w:p w14:paraId="6583F86A" w14:textId="77777777" w:rsidR="00C522C4" w:rsidRPr="00C522C4" w:rsidRDefault="00C522C4" w:rsidP="00C522C4">
      <w:pPr>
        <w:spacing w:after="160" w:line="259" w:lineRule="auto"/>
        <w:jc w:val="both"/>
        <w:rPr>
          <w:rFonts w:ascii="Times New Roman" w:hAnsi="Times New Roman"/>
          <w:bCs/>
          <w:kern w:val="28"/>
          <w:sz w:val="20"/>
          <w:szCs w:val="20"/>
        </w:rPr>
      </w:pPr>
    </w:p>
    <w:p w14:paraId="12DDD553" w14:textId="77777777" w:rsidR="00D23AFE" w:rsidRPr="00000C6B" w:rsidRDefault="00FF16C5" w:rsidP="00FF16C5">
      <w:pPr>
        <w:pStyle w:val="Caption"/>
        <w:rPr>
          <w:rFonts w:ascii="Times New Roman" w:hAnsi="Times New Roman"/>
          <w:color w:val="auto"/>
          <w:sz w:val="22"/>
          <w:szCs w:val="22"/>
        </w:rPr>
      </w:pPr>
      <w:bookmarkStart w:id="31" w:name="_Ref525032094"/>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8</w:t>
      </w:r>
      <w:r w:rsidRPr="00000C6B">
        <w:rPr>
          <w:rFonts w:ascii="Times New Roman" w:hAnsi="Times New Roman"/>
          <w:color w:val="auto"/>
          <w:sz w:val="22"/>
          <w:szCs w:val="22"/>
        </w:rPr>
        <w:fldChar w:fldCharType="end"/>
      </w:r>
      <w:bookmarkEnd w:id="31"/>
      <w:r w:rsidR="00C522C4" w:rsidRPr="00000C6B">
        <w:rPr>
          <w:rFonts w:ascii="Times New Roman" w:hAnsi="Times New Roman"/>
          <w:color w:val="auto"/>
          <w:sz w:val="22"/>
          <w:szCs w:val="22"/>
        </w:rPr>
        <w:t>: Population s</w:t>
      </w:r>
      <w:r w:rsidR="00180501" w:rsidRPr="00000C6B">
        <w:rPr>
          <w:rFonts w:ascii="Times New Roman" w:hAnsi="Times New Roman"/>
          <w:color w:val="auto"/>
          <w:sz w:val="22"/>
          <w:szCs w:val="22"/>
        </w:rPr>
        <w:t>usceptibility</w:t>
      </w:r>
      <w:r w:rsidRPr="00000C6B">
        <w:rPr>
          <w:rFonts w:ascii="Times New Roman" w:hAnsi="Times New Roman"/>
          <w:color w:val="auto"/>
          <w:sz w:val="22"/>
          <w:szCs w:val="22"/>
        </w:rPr>
        <w:t xml:space="preserve"> assessment scoring guidelines</w:t>
      </w:r>
    </w:p>
    <w:tbl>
      <w:tblPr>
        <w:tblStyle w:val="TableGrid"/>
        <w:tblW w:w="0" w:type="auto"/>
        <w:tblLook w:val="04A0" w:firstRow="1" w:lastRow="0" w:firstColumn="1" w:lastColumn="0" w:noHBand="0" w:noVBand="1"/>
        <w:tblCaption w:val="Table 8: Population susceptibility assessment scoring guidelines"/>
        <w:tblDescription w:val="Table shows population susceptibility assessment scoring guidelines"/>
      </w:tblPr>
      <w:tblGrid>
        <w:gridCol w:w="777"/>
        <w:gridCol w:w="8239"/>
      </w:tblGrid>
      <w:tr w:rsidR="001B2794" w:rsidRPr="00C522C4" w14:paraId="5EA2FBF9" w14:textId="77777777" w:rsidTr="006C30CC">
        <w:trPr>
          <w:tblHeader/>
        </w:trPr>
        <w:tc>
          <w:tcPr>
            <w:tcW w:w="0" w:type="auto"/>
            <w:shd w:val="clear" w:color="auto" w:fill="D9D9D9" w:themeFill="background1" w:themeFillShade="D9"/>
          </w:tcPr>
          <w:p w14:paraId="634D8A52" w14:textId="77777777" w:rsidR="001B2794" w:rsidRPr="00C522C4" w:rsidRDefault="001B2794"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Score (S)</w:t>
            </w:r>
          </w:p>
        </w:tc>
        <w:tc>
          <w:tcPr>
            <w:tcW w:w="0" w:type="auto"/>
            <w:shd w:val="clear" w:color="auto" w:fill="D9D9D9" w:themeFill="background1" w:themeFillShade="D9"/>
          </w:tcPr>
          <w:p w14:paraId="30C05C55" w14:textId="77777777" w:rsidR="001B2794" w:rsidRPr="00C522C4" w:rsidRDefault="001B2794"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Qualitative Description</w:t>
            </w:r>
          </w:p>
        </w:tc>
      </w:tr>
      <w:tr w:rsidR="001B2794" w:rsidRPr="00C522C4" w14:paraId="4646C5C1" w14:textId="77777777" w:rsidTr="006C30CC">
        <w:tc>
          <w:tcPr>
            <w:tcW w:w="0" w:type="auto"/>
          </w:tcPr>
          <w:p w14:paraId="2DA96A28"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1</w:t>
            </w:r>
          </w:p>
        </w:tc>
        <w:tc>
          <w:tcPr>
            <w:tcW w:w="0" w:type="auto"/>
          </w:tcPr>
          <w:p w14:paraId="575A4D2F"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Effective performance and comprehensive delivery of the National Immunisation Program (NIP) </w:t>
            </w:r>
          </w:p>
          <w:p w14:paraId="3E4FD6F2"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Very high polio immunity in the general population  </w:t>
            </w:r>
          </w:p>
          <w:p w14:paraId="17F5D7B6"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The demographic characteristics and settlement patterns of long-term or permanent arrivals from polio risk countries is very well described (e.g. based on comprehensive and recent data characterised by age group upon arrival, and settlement location)</w:t>
            </w:r>
          </w:p>
          <w:p w14:paraId="4D6113C5"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Polio immunisation coverage rates of long-term or permanent arrivals from polio risk countries and other vulnerable subpopulations (e.g. indigenous groups) is very high</w:t>
            </w:r>
          </w:p>
          <w:p w14:paraId="20403E51"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Appropriate supplementary immunisation activities (SIAs) or policies targeting vulnerable subpopulations are in place and effectively implemented, with high uptake </w:t>
            </w:r>
          </w:p>
          <w:p w14:paraId="5BA3636B"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Localities of suboptimal polio vaccination coverage or suboptimal population immunity have been identified at high resolution, and documented for targeted public health action</w:t>
            </w:r>
          </w:p>
          <w:p w14:paraId="2629F057"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Well-developed WASH infrastructure accessible to the entire population</w:t>
            </w:r>
          </w:p>
          <w:p w14:paraId="31F605BC"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2C7367F9" w14:textId="77777777" w:rsidTr="006C30CC">
        <w:tc>
          <w:tcPr>
            <w:tcW w:w="0" w:type="auto"/>
          </w:tcPr>
          <w:p w14:paraId="241D4964"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2</w:t>
            </w:r>
          </w:p>
        </w:tc>
        <w:tc>
          <w:tcPr>
            <w:tcW w:w="0" w:type="auto"/>
          </w:tcPr>
          <w:p w14:paraId="129557B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Satisfactory performance and delivery of the NIP, although some improvements (e.g. in efficiency or geographic coverage) are possible</w:t>
            </w:r>
          </w:p>
          <w:p w14:paraId="0653183F"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High polio immunity in the general population </w:t>
            </w:r>
          </w:p>
          <w:p w14:paraId="3CD5D9AA"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The demographic characteristics and settlement patterns of long-term or permanent arrivals from polio risk countries is well described (e.g. based on fairly comprehensive and recent data characterised by age group upon arrival, and settlement location)</w:t>
            </w:r>
          </w:p>
          <w:p w14:paraId="730C321C"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Polio immunisation coverage rates of long-term or permanent arrivals from polio risk countries and other vulnerable subpopulations (e.g. indigenous groups) is high</w:t>
            </w:r>
          </w:p>
          <w:p w14:paraId="35EB56D5"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Appropriate supplementary immunisation activities (SIAs) or policies targeting vulnerable subpopulations are in place and implemented, with good uptake </w:t>
            </w:r>
          </w:p>
          <w:p w14:paraId="206EEA32"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Localities of suboptimal polio vaccination coverage or population immunity have been identified at moderate to high resolution, and documented for targeted public health action</w:t>
            </w:r>
          </w:p>
          <w:p w14:paraId="5A1B3836"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Well-developed WASH infrastructure accessible to the majority, however improved service delivery and/or infrastructure required in some high risk regions/communities/vulnerable subpopulations</w:t>
            </w:r>
          </w:p>
          <w:p w14:paraId="6148445C"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37D7D668" w14:textId="77777777" w:rsidTr="006C30CC">
        <w:tc>
          <w:tcPr>
            <w:tcW w:w="0" w:type="auto"/>
          </w:tcPr>
          <w:p w14:paraId="62687A2C"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3</w:t>
            </w:r>
          </w:p>
        </w:tc>
        <w:tc>
          <w:tcPr>
            <w:tcW w:w="0" w:type="auto"/>
          </w:tcPr>
          <w:p w14:paraId="5D23C51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A functional NIP, with reasonable performance and delivery, however some improvement (e.g. in efficiency or geographic coverage) required</w:t>
            </w:r>
          </w:p>
          <w:p w14:paraId="404D2520"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Polio immunity in the general population is variable or patchy, with some subpopulations or geographic regions having suboptimal or low immunisation coverage rates </w:t>
            </w:r>
          </w:p>
          <w:p w14:paraId="6A961CAE"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Demographic characteristics and settlement patterns of long-term or permanent arrivals from polio  risk countries is described, but difficult to verify (e.g. data limitations)</w:t>
            </w:r>
          </w:p>
          <w:p w14:paraId="1BD73A2C"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Polio immunisation coverage rates of long-term or permanent arrivals from polio  risk countries or other vulnerable subpopulations (e.g. indigenous groups) is variable or patchy, and/or difficult to verify (e.g. data limitations)</w:t>
            </w:r>
          </w:p>
          <w:p w14:paraId="2ADF603C"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immunisation activities (SIAs) or policies targeting vulnerable subpopulations exist, but implementation or uptake is variable, patchy or difficult to verify (e.g. data limitations)</w:t>
            </w:r>
          </w:p>
          <w:p w14:paraId="567BA4C1"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Localities of suboptimal polio vaccination coverage or immunity can be identified, but only at moderate resolution, or are difficult to verify (e.g. data limitations)</w:t>
            </w:r>
          </w:p>
          <w:p w14:paraId="606C5A7A" w14:textId="77777777" w:rsidR="001B2794" w:rsidRPr="00000C6B" w:rsidRDefault="001B2794" w:rsidP="00000C6B">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Developed WASH infrastructure, however access is variable and not available to a significant proportion of the population, including in high risk regions/communities/ vulnerable populations</w:t>
            </w:r>
          </w:p>
        </w:tc>
      </w:tr>
      <w:tr w:rsidR="001B2794" w:rsidRPr="00C522C4" w14:paraId="4CF86142" w14:textId="77777777" w:rsidTr="006C30CC">
        <w:tc>
          <w:tcPr>
            <w:tcW w:w="0" w:type="auto"/>
          </w:tcPr>
          <w:p w14:paraId="6E4936AF"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lastRenderedPageBreak/>
              <w:t>4</w:t>
            </w:r>
          </w:p>
        </w:tc>
        <w:tc>
          <w:tcPr>
            <w:tcW w:w="0" w:type="auto"/>
          </w:tcPr>
          <w:p w14:paraId="09C3CECA"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Suboptimal performance and delivery of the NIP, with significant improvement (e.g. in efficiency or geographic coverage) necessary</w:t>
            </w:r>
          </w:p>
          <w:p w14:paraId="37E0CE8F"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Low polio immunity in the general population</w:t>
            </w:r>
          </w:p>
          <w:p w14:paraId="4661201C"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Demographic characteristics and settlement patterns of long-term or permanent arrivals from polio  risk countries is only superficially described, and not verified (e.g. data limitations) </w:t>
            </w:r>
          </w:p>
          <w:p w14:paraId="1719BC0C"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Polio immunisation coverage rates of long-term or permanent arrivals from polio  risk countries and other vulnerable subpopulations (e.g. indigenous groups) is low and/or difficult to verify (e.g. data limitations)</w:t>
            </w:r>
          </w:p>
          <w:p w14:paraId="514FE516"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immunisation activities (SIAs) or policies targeting vulnerable subpopulations exist, but implementation or uptake is inadequate or cannot be verified (e.g. data limitations)</w:t>
            </w:r>
          </w:p>
          <w:p w14:paraId="011456D6"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Localities of suboptimal polio vaccination coverage or suboptimal population immunity can be identified only at very coarse resolution, and/or not verified (e.g. data limitations)</w:t>
            </w:r>
          </w:p>
          <w:p w14:paraId="0453FB0E"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Rudimentary or inadequate WASH infrastructure for a significant proportion of the population, including in high risk regions/communities/populations</w:t>
            </w:r>
          </w:p>
          <w:p w14:paraId="24D2FB1E"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055A76B4" w14:textId="77777777" w:rsidTr="006C30CC">
        <w:tc>
          <w:tcPr>
            <w:tcW w:w="0" w:type="auto"/>
          </w:tcPr>
          <w:p w14:paraId="6FB7F3BB"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5</w:t>
            </w:r>
          </w:p>
        </w:tc>
        <w:tc>
          <w:tcPr>
            <w:tcW w:w="0" w:type="auto"/>
          </w:tcPr>
          <w:p w14:paraId="7F0E51DA"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No NIP, or severely inadequate performance and delivery, or cannot to be implemented (e.g. due to armed conflict)</w:t>
            </w:r>
          </w:p>
          <w:p w14:paraId="63672163"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Very low polio immunity in the general population</w:t>
            </w:r>
          </w:p>
          <w:p w14:paraId="0678C34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The demographic characteristics and settlement patterns of long-term or permanent arrivals from polio  risk countries is unknown, and cannot be described or verified (e.g. lack of data)</w:t>
            </w:r>
          </w:p>
          <w:p w14:paraId="61E885B5"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Polio immunisation coverage rates of long-term or permanent arrivals from polio  risk countries and other vulnerable subpopulations (e.g. indigenous groups) is very low and/or cannot be verified (e.g. lack of data)  </w:t>
            </w:r>
          </w:p>
          <w:p w14:paraId="305E67D1"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immunisation activities (SIAs) or policies targeting vulnerable subpopulations are non-existent, severely inadequate or cannot to be implemented (e.g. due to armed conflict)</w:t>
            </w:r>
          </w:p>
          <w:p w14:paraId="30C1887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Localities of suboptimal polio vaccination coverage or suboptimal population immunity cannot be identified nor verified (e.g. lack of data), but likely to be very extensive) </w:t>
            </w:r>
          </w:p>
          <w:p w14:paraId="0B9CA79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Rudimentary or inadequate WASH infrastructure for the majority of the population, including in high risk regions/communities/populations</w:t>
            </w:r>
          </w:p>
          <w:p w14:paraId="13D59FA7"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bl>
    <w:p w14:paraId="7A88913B" w14:textId="77777777" w:rsidR="00180501" w:rsidRDefault="00C14D32" w:rsidP="00D23AFE">
      <w:r>
        <w:br w:type="page"/>
      </w:r>
    </w:p>
    <w:p w14:paraId="64388D53" w14:textId="77777777" w:rsidR="008B2AEC" w:rsidRPr="00C522C4" w:rsidRDefault="00C522C4" w:rsidP="008B2AEC">
      <w:pPr>
        <w:pStyle w:val="Heading4"/>
        <w:rPr>
          <w:rFonts w:ascii="Arial" w:hAnsi="Arial" w:cs="Arial"/>
          <w:b/>
          <w:color w:val="auto"/>
          <w:sz w:val="22"/>
        </w:rPr>
      </w:pPr>
      <w:r>
        <w:rPr>
          <w:rFonts w:ascii="Arial" w:hAnsi="Arial" w:cs="Arial"/>
          <w:b/>
          <w:color w:val="auto"/>
          <w:sz w:val="22"/>
        </w:rPr>
        <w:lastRenderedPageBreak/>
        <w:t xml:space="preserve">Detection capability </w:t>
      </w:r>
      <w:r w:rsidR="008B2AEC" w:rsidRPr="00C522C4">
        <w:rPr>
          <w:rFonts w:ascii="Arial" w:hAnsi="Arial" w:cs="Arial"/>
          <w:b/>
          <w:color w:val="auto"/>
          <w:sz w:val="22"/>
        </w:rPr>
        <w:t xml:space="preserve">score (D) </w:t>
      </w:r>
    </w:p>
    <w:p w14:paraId="6892A3F5" w14:textId="77777777" w:rsidR="003A1E55" w:rsidRPr="00C522C4" w:rsidRDefault="00FF16C5" w:rsidP="00C522C4">
      <w:pPr>
        <w:spacing w:after="160" w:line="259" w:lineRule="auto"/>
        <w:jc w:val="both"/>
        <w:rPr>
          <w:rFonts w:ascii="Times New Roman" w:hAnsi="Times New Roman"/>
          <w:bCs/>
          <w:kern w:val="28"/>
          <w:sz w:val="20"/>
          <w:szCs w:val="20"/>
        </w:rPr>
      </w:pPr>
      <w:r w:rsidRPr="00C522C4">
        <w:rPr>
          <w:rFonts w:ascii="Times New Roman" w:hAnsi="Times New Roman"/>
          <w:sz w:val="20"/>
          <w:szCs w:val="20"/>
          <w:highlight w:val="yellow"/>
        </w:rPr>
        <w:fldChar w:fldCharType="begin"/>
      </w:r>
      <w:r w:rsidRPr="00C522C4">
        <w:rPr>
          <w:rFonts w:ascii="Times New Roman" w:hAnsi="Times New Roman"/>
          <w:bCs/>
          <w:kern w:val="28"/>
          <w:sz w:val="20"/>
          <w:szCs w:val="20"/>
        </w:rPr>
        <w:instrText xml:space="preserve"> REF _Ref525032137 \h </w:instrText>
      </w:r>
      <w:r w:rsidR="00C522C4" w:rsidRPr="00C522C4">
        <w:rPr>
          <w:rFonts w:ascii="Times New Roman" w:hAnsi="Times New Roman"/>
          <w:sz w:val="20"/>
          <w:szCs w:val="20"/>
          <w:highlight w:val="yellow"/>
        </w:rPr>
        <w:instrText xml:space="preserve"> \* MERGEFORMAT </w:instrText>
      </w:r>
      <w:r w:rsidRPr="00C522C4">
        <w:rPr>
          <w:rFonts w:ascii="Times New Roman" w:hAnsi="Times New Roman"/>
          <w:sz w:val="20"/>
          <w:szCs w:val="20"/>
          <w:highlight w:val="yellow"/>
        </w:rPr>
      </w:r>
      <w:r w:rsidRPr="00C522C4">
        <w:rPr>
          <w:rFonts w:ascii="Times New Roman" w:hAnsi="Times New Roman"/>
          <w:sz w:val="20"/>
          <w:szCs w:val="20"/>
          <w:highlight w:val="yellow"/>
        </w:rPr>
        <w:fldChar w:fldCharType="separate"/>
      </w:r>
      <w:r w:rsidR="00AE3396" w:rsidRPr="00C522C4">
        <w:rPr>
          <w:rFonts w:ascii="Times New Roman" w:hAnsi="Times New Roman"/>
          <w:color w:val="auto"/>
          <w:sz w:val="20"/>
          <w:szCs w:val="20"/>
        </w:rPr>
        <w:t xml:space="preserve">Table </w:t>
      </w:r>
      <w:r w:rsidR="00AE3396" w:rsidRPr="00C522C4">
        <w:rPr>
          <w:rFonts w:ascii="Times New Roman" w:hAnsi="Times New Roman"/>
          <w:noProof/>
          <w:color w:val="auto"/>
          <w:sz w:val="20"/>
          <w:szCs w:val="20"/>
        </w:rPr>
        <w:t>9</w:t>
      </w:r>
      <w:r w:rsidRPr="00C522C4">
        <w:rPr>
          <w:rFonts w:ascii="Times New Roman" w:hAnsi="Times New Roman"/>
          <w:sz w:val="20"/>
          <w:szCs w:val="20"/>
          <w:highlight w:val="yellow"/>
        </w:rPr>
        <w:fldChar w:fldCharType="end"/>
      </w:r>
      <w:r w:rsidRPr="00C522C4">
        <w:rPr>
          <w:rFonts w:ascii="Times New Roman" w:hAnsi="Times New Roman"/>
          <w:sz w:val="20"/>
          <w:szCs w:val="20"/>
        </w:rPr>
        <w:t xml:space="preserve"> </w:t>
      </w:r>
      <w:r w:rsidR="008B2AEC" w:rsidRPr="00C522C4">
        <w:rPr>
          <w:rFonts w:ascii="Times New Roman" w:hAnsi="Times New Roman"/>
          <w:bCs/>
          <w:kern w:val="28"/>
          <w:sz w:val="20"/>
          <w:szCs w:val="20"/>
        </w:rPr>
        <w:t xml:space="preserve">provides scoring guidelines for focused risk question </w:t>
      </w:r>
      <w:r w:rsidR="008B2AEC" w:rsidRPr="00C522C4">
        <w:rPr>
          <w:rFonts w:ascii="Times New Roman" w:hAnsi="Times New Roman"/>
          <w:b/>
          <w:bCs/>
          <w:kern w:val="28"/>
          <w:sz w:val="20"/>
          <w:szCs w:val="20"/>
        </w:rPr>
        <w:t xml:space="preserve">G </w:t>
      </w:r>
      <w:r w:rsidR="008B2AEC" w:rsidRPr="00C522C4">
        <w:rPr>
          <w:rFonts w:ascii="Times New Roman" w:hAnsi="Times New Roman"/>
          <w:bCs/>
          <w:kern w:val="28"/>
          <w:sz w:val="20"/>
          <w:szCs w:val="20"/>
        </w:rPr>
        <w:t xml:space="preserve">of the risk element, </w:t>
      </w:r>
      <w:r w:rsidR="00C522C4" w:rsidRPr="00C522C4">
        <w:rPr>
          <w:rFonts w:ascii="Times New Roman" w:hAnsi="Times New Roman"/>
          <w:b/>
          <w:bCs/>
          <w:kern w:val="28"/>
          <w:sz w:val="20"/>
          <w:szCs w:val="20"/>
        </w:rPr>
        <w:t>Detection capability</w:t>
      </w:r>
      <w:r w:rsidR="008B2AEC" w:rsidRPr="00C522C4">
        <w:rPr>
          <w:rFonts w:ascii="Times New Roman" w:hAnsi="Times New Roman"/>
          <w:b/>
          <w:bCs/>
          <w:kern w:val="28"/>
          <w:sz w:val="20"/>
          <w:szCs w:val="20"/>
        </w:rPr>
        <w:t xml:space="preserve"> (D)</w:t>
      </w:r>
      <w:r w:rsidR="00FE5248" w:rsidRPr="00C522C4">
        <w:rPr>
          <w:rFonts w:ascii="Times New Roman" w:hAnsi="Times New Roman"/>
          <w:bCs/>
          <w:kern w:val="28"/>
          <w:sz w:val="20"/>
          <w:szCs w:val="20"/>
        </w:rPr>
        <w:t xml:space="preserve">. This </w:t>
      </w:r>
      <w:r w:rsidR="00E84755" w:rsidRPr="00C522C4">
        <w:rPr>
          <w:rFonts w:ascii="Times New Roman" w:hAnsi="Times New Roman"/>
          <w:bCs/>
          <w:kern w:val="28"/>
          <w:sz w:val="20"/>
          <w:szCs w:val="20"/>
        </w:rPr>
        <w:t xml:space="preserve">evaluates the </w:t>
      </w:r>
      <w:r w:rsidR="003A1E55" w:rsidRPr="00C522C4">
        <w:rPr>
          <w:rFonts w:ascii="Times New Roman" w:hAnsi="Times New Roman"/>
          <w:bCs/>
          <w:kern w:val="28"/>
          <w:sz w:val="20"/>
          <w:szCs w:val="20"/>
        </w:rPr>
        <w:t>likelihood of delayed detection</w:t>
      </w:r>
      <w:r w:rsidR="0062242F" w:rsidRPr="00C522C4">
        <w:rPr>
          <w:rFonts w:ascii="Times New Roman" w:hAnsi="Times New Roman"/>
          <w:bCs/>
          <w:kern w:val="28"/>
          <w:sz w:val="20"/>
          <w:szCs w:val="20"/>
        </w:rPr>
        <w:t xml:space="preserve"> of</w:t>
      </w:r>
      <w:r w:rsidR="003A1E55" w:rsidRPr="00C522C4">
        <w:rPr>
          <w:rFonts w:ascii="Times New Roman" w:hAnsi="Times New Roman"/>
          <w:bCs/>
          <w:kern w:val="28"/>
          <w:sz w:val="20"/>
          <w:szCs w:val="20"/>
        </w:rPr>
        <w:t xml:space="preserve"> poliovirus infection </w:t>
      </w:r>
      <w:r w:rsidR="002A50C0" w:rsidRPr="00C522C4">
        <w:rPr>
          <w:rFonts w:ascii="Times New Roman" w:hAnsi="Times New Roman"/>
          <w:bCs/>
          <w:kern w:val="28"/>
          <w:sz w:val="20"/>
          <w:szCs w:val="20"/>
        </w:rPr>
        <w:t xml:space="preserve">or sustained low-level transmission </w:t>
      </w:r>
      <w:r w:rsidR="003A1E55" w:rsidRPr="00C522C4">
        <w:rPr>
          <w:rFonts w:ascii="Times New Roman" w:hAnsi="Times New Roman"/>
          <w:bCs/>
          <w:kern w:val="28"/>
          <w:sz w:val="20"/>
          <w:szCs w:val="20"/>
        </w:rPr>
        <w:t>due to suboptimal surveillance, resulting in a significant disease burden at population level and associated public health social, economic, reputational and political consequences (impact</w:t>
      </w:r>
      <w:r w:rsidR="002A50C0" w:rsidRPr="00C522C4">
        <w:rPr>
          <w:rFonts w:ascii="Times New Roman" w:hAnsi="Times New Roman"/>
          <w:bCs/>
          <w:kern w:val="28"/>
          <w:sz w:val="20"/>
          <w:szCs w:val="20"/>
        </w:rPr>
        <w:t xml:space="preserve"> component</w:t>
      </w:r>
      <w:r w:rsidR="003A1E55" w:rsidRPr="00C522C4">
        <w:rPr>
          <w:rFonts w:ascii="Times New Roman" w:hAnsi="Times New Roman"/>
          <w:bCs/>
          <w:kern w:val="28"/>
          <w:sz w:val="20"/>
          <w:szCs w:val="20"/>
        </w:rPr>
        <w:t xml:space="preserve">). </w:t>
      </w:r>
    </w:p>
    <w:p w14:paraId="5CA8E30A" w14:textId="77777777" w:rsidR="001B2794" w:rsidRPr="003A1E55" w:rsidRDefault="001B2794" w:rsidP="00507E42">
      <w:pPr>
        <w:spacing w:after="0"/>
        <w:rPr>
          <w:rFonts w:asciiTheme="minorHAnsi" w:hAnsiTheme="minorHAnsi" w:cs="Arial"/>
          <w:bCs/>
          <w:kern w:val="28"/>
          <w:szCs w:val="24"/>
        </w:rPr>
      </w:pPr>
    </w:p>
    <w:p w14:paraId="561AEC32" w14:textId="77777777" w:rsidR="008B2AEC" w:rsidRPr="00000C6B" w:rsidRDefault="00FF16C5" w:rsidP="00FF16C5">
      <w:pPr>
        <w:pStyle w:val="Caption"/>
        <w:rPr>
          <w:rFonts w:ascii="Times New Roman" w:hAnsi="Times New Roman"/>
          <w:bCs/>
          <w:color w:val="auto"/>
          <w:kern w:val="28"/>
          <w:sz w:val="22"/>
          <w:szCs w:val="22"/>
        </w:rPr>
      </w:pPr>
      <w:bookmarkStart w:id="32" w:name="_Ref525032137"/>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9</w:t>
      </w:r>
      <w:r w:rsidRPr="00000C6B">
        <w:rPr>
          <w:rFonts w:ascii="Times New Roman" w:hAnsi="Times New Roman"/>
          <w:color w:val="auto"/>
          <w:sz w:val="22"/>
          <w:szCs w:val="22"/>
        </w:rPr>
        <w:fldChar w:fldCharType="end"/>
      </w:r>
      <w:bookmarkEnd w:id="32"/>
      <w:r w:rsidR="004B1363" w:rsidRPr="00000C6B">
        <w:rPr>
          <w:rFonts w:ascii="Times New Roman" w:hAnsi="Times New Roman"/>
          <w:bCs/>
          <w:color w:val="auto"/>
          <w:kern w:val="28"/>
          <w:sz w:val="22"/>
          <w:szCs w:val="22"/>
        </w:rPr>
        <w:t xml:space="preserve">: Detection </w:t>
      </w:r>
      <w:r w:rsidR="00C522C4" w:rsidRPr="00000C6B">
        <w:rPr>
          <w:rFonts w:ascii="Times New Roman" w:hAnsi="Times New Roman"/>
          <w:bCs/>
          <w:color w:val="auto"/>
          <w:kern w:val="28"/>
          <w:sz w:val="22"/>
          <w:szCs w:val="22"/>
        </w:rPr>
        <w:t xml:space="preserve">capability </w:t>
      </w:r>
      <w:r w:rsidRPr="00000C6B">
        <w:rPr>
          <w:rFonts w:ascii="Times New Roman" w:hAnsi="Times New Roman"/>
          <w:bCs/>
          <w:color w:val="auto"/>
          <w:kern w:val="28"/>
          <w:sz w:val="22"/>
          <w:szCs w:val="22"/>
        </w:rPr>
        <w:t>assessment scoring guidelines</w:t>
      </w:r>
    </w:p>
    <w:tbl>
      <w:tblPr>
        <w:tblStyle w:val="TableGrid"/>
        <w:tblW w:w="0" w:type="auto"/>
        <w:tblLook w:val="04A0" w:firstRow="1" w:lastRow="0" w:firstColumn="1" w:lastColumn="0" w:noHBand="0" w:noVBand="1"/>
        <w:tblCaption w:val="Table 9: Detection capability assessment scoring guidelines"/>
        <w:tblDescription w:val="Table shows detection capability assessment scoring guidelines"/>
      </w:tblPr>
      <w:tblGrid>
        <w:gridCol w:w="793"/>
        <w:gridCol w:w="8223"/>
      </w:tblGrid>
      <w:tr w:rsidR="001B2794" w:rsidRPr="00C522C4" w14:paraId="3B98C0FD" w14:textId="77777777" w:rsidTr="006C30CC">
        <w:trPr>
          <w:tblHeader/>
        </w:trPr>
        <w:tc>
          <w:tcPr>
            <w:tcW w:w="0" w:type="auto"/>
            <w:shd w:val="clear" w:color="auto" w:fill="D9D9D9" w:themeFill="background1" w:themeFillShade="D9"/>
          </w:tcPr>
          <w:p w14:paraId="61E413C7" w14:textId="77777777" w:rsidR="001B2794" w:rsidRPr="00C522C4" w:rsidRDefault="001B2794"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Score (D)</w:t>
            </w:r>
          </w:p>
        </w:tc>
        <w:tc>
          <w:tcPr>
            <w:tcW w:w="0" w:type="auto"/>
            <w:shd w:val="clear" w:color="auto" w:fill="D9D9D9" w:themeFill="background1" w:themeFillShade="D9"/>
          </w:tcPr>
          <w:p w14:paraId="05D79C6D" w14:textId="77777777" w:rsidR="001B2794" w:rsidRPr="00C522C4" w:rsidRDefault="001B2794"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Qualitative Description</w:t>
            </w:r>
          </w:p>
        </w:tc>
      </w:tr>
      <w:tr w:rsidR="001B2794" w:rsidRPr="00C522C4" w14:paraId="03A8F9DB" w14:textId="77777777" w:rsidTr="006C30CC">
        <w:tc>
          <w:tcPr>
            <w:tcW w:w="0" w:type="auto"/>
          </w:tcPr>
          <w:p w14:paraId="6E307702"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1</w:t>
            </w:r>
          </w:p>
        </w:tc>
        <w:tc>
          <w:tcPr>
            <w:tcW w:w="0" w:type="auto"/>
          </w:tcPr>
          <w:p w14:paraId="54528468"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Very high quality and performance of the national polio surveillance system, including comprehensive, sensitive AFP and supplementary surveillance components </w:t>
            </w:r>
          </w:p>
          <w:p w14:paraId="7CAE6D35"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AFP surveillance consistently achieved very high performance as per WHO-recommended poliovirus surveillance performance indicators, over the assessment timeframe</w:t>
            </w:r>
          </w:p>
          <w:p w14:paraId="4AA08BE1"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Comprehensive, sensitive supplementary surveillance components in place, including: </w:t>
            </w:r>
          </w:p>
          <w:p w14:paraId="0C2319DF" w14:textId="77777777" w:rsidR="001B2794" w:rsidRPr="00C522C4" w:rsidRDefault="001B2794" w:rsidP="00C522C4">
            <w:pPr>
              <w:pStyle w:val="ListParagraph"/>
              <w:numPr>
                <w:ilvl w:val="0"/>
                <w:numId w:val="26"/>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enterovirus surveillance (EV); AND</w:t>
            </w:r>
          </w:p>
          <w:p w14:paraId="39A43F67" w14:textId="77777777" w:rsidR="001B2794" w:rsidRPr="00C522C4" w:rsidRDefault="001B2794" w:rsidP="00C522C4">
            <w:pPr>
              <w:pStyle w:val="ListParagraph"/>
              <w:numPr>
                <w:ilvl w:val="0"/>
                <w:numId w:val="26"/>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environmental surveillance (ENV) targeting high risk regions/communities/vulnerable subpopulations</w:t>
            </w:r>
          </w:p>
          <w:p w14:paraId="6D211F8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Surveillance system recently evaluated, and recommendations implemented </w:t>
            </w:r>
          </w:p>
          <w:p w14:paraId="2AC307A3"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Comprehensive legislative framework and efficient systems to support prompt notification</w:t>
            </w:r>
          </w:p>
          <w:p w14:paraId="1708B54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Demonstrated capacity/track record of prompt detection and response to poliovirus imported case and environmental detection events</w:t>
            </w:r>
          </w:p>
          <w:p w14:paraId="441F666B"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25DB005D" w14:textId="77777777" w:rsidTr="006C30CC">
        <w:tc>
          <w:tcPr>
            <w:tcW w:w="0" w:type="auto"/>
          </w:tcPr>
          <w:p w14:paraId="0485F804"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2</w:t>
            </w:r>
          </w:p>
        </w:tc>
        <w:tc>
          <w:tcPr>
            <w:tcW w:w="0" w:type="auto"/>
          </w:tcPr>
          <w:p w14:paraId="2288606F"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High quality and performance of the national polio surveillance system, including sensitive AFP and supplementary surveillance components </w:t>
            </w:r>
          </w:p>
          <w:p w14:paraId="64E857E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AFP surveillance consistently achieved high performance as per WHO-recommended poliovirus surveillance performance indicators over the assessment timeframe, although some improvements are possible</w:t>
            </w:r>
          </w:p>
          <w:p w14:paraId="4080B04D"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Comprehensive supplementary surveillance components in place, including: </w:t>
            </w:r>
          </w:p>
          <w:p w14:paraId="23F85816" w14:textId="77777777" w:rsidR="001B2794" w:rsidRPr="00C522C4" w:rsidRDefault="001B2794" w:rsidP="00C522C4">
            <w:pPr>
              <w:pStyle w:val="ListParagraph"/>
              <w:numPr>
                <w:ilvl w:val="0"/>
                <w:numId w:val="26"/>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enterovirus surveillance (EV); AND</w:t>
            </w:r>
          </w:p>
          <w:p w14:paraId="0957FCDE" w14:textId="77777777" w:rsidR="001B2794" w:rsidRPr="00C522C4" w:rsidRDefault="001B2794" w:rsidP="00C522C4">
            <w:pPr>
              <w:pStyle w:val="ListParagraph"/>
              <w:numPr>
                <w:ilvl w:val="0"/>
                <w:numId w:val="26"/>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Supplementary environmental surveillance (ENV), although some improvements in sensitivity are possible, e.g. improved targeting of high risk regions/communities/vulnerable subpopulations</w:t>
            </w:r>
          </w:p>
          <w:p w14:paraId="0F8C7EF5"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Surveillance system recently evaluated, but some recommendations not implemented</w:t>
            </w:r>
          </w:p>
          <w:p w14:paraId="1BEF3A3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Comprehensive legislative framework and efficient systems to support prompt notification </w:t>
            </w:r>
          </w:p>
          <w:p w14:paraId="43995F8B"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Capacity for prompt detection and response to poliovirus imported case or environmental detection events, but no recent documented events to demonstrate effectiveness</w:t>
            </w:r>
          </w:p>
          <w:p w14:paraId="6DF3323B"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75F8D481" w14:textId="77777777" w:rsidTr="006C30CC">
        <w:tc>
          <w:tcPr>
            <w:tcW w:w="0" w:type="auto"/>
          </w:tcPr>
          <w:p w14:paraId="5DA9BE3C"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3</w:t>
            </w:r>
          </w:p>
        </w:tc>
        <w:tc>
          <w:tcPr>
            <w:tcW w:w="0" w:type="auto"/>
          </w:tcPr>
          <w:p w14:paraId="53F3E47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Functional, but suboptimal national surveillance program quality and performance, with scope for some improvements in sensitivity and coverage or additional supplementary surveillance</w:t>
            </w:r>
          </w:p>
          <w:p w14:paraId="4E901C1E"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AFP surveillance did not consistently achieve high performance as per WHO-recommended poliovirus surveillance performance indicators, over the assessment timeframe</w:t>
            </w:r>
          </w:p>
          <w:p w14:paraId="09938CE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At least one supplementary surveillance component (EV/ENV) in place; however scope for improvement in sensitivity and coverage, and/or development and implementation of additional supplementary surveillance components </w:t>
            </w:r>
          </w:p>
          <w:p w14:paraId="7C916A3B"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Surveillance system not recently evaluated, and/or recommendations not implemented</w:t>
            </w:r>
          </w:p>
          <w:p w14:paraId="71A5645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Legislative framework and systems to support prompt notification in place; although some improvements in implementation or efficiency are required</w:t>
            </w:r>
          </w:p>
          <w:p w14:paraId="7107A18A"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Capacity for prompt detection and response to poliovirus imported case or environmental detection events, but no documented events to demonstrate effectiveness </w:t>
            </w:r>
          </w:p>
          <w:p w14:paraId="4CCD2B09"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75CB4CC6" w14:textId="77777777" w:rsidTr="006C30CC">
        <w:tc>
          <w:tcPr>
            <w:tcW w:w="0" w:type="auto"/>
          </w:tcPr>
          <w:p w14:paraId="65FD49B4"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4</w:t>
            </w:r>
          </w:p>
        </w:tc>
        <w:tc>
          <w:tcPr>
            <w:tcW w:w="0" w:type="auto"/>
          </w:tcPr>
          <w:p w14:paraId="41016D82"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Suboptimal national surveillance program quality and performance, with significant scope for improvements in sensitivity and coverage</w:t>
            </w:r>
          </w:p>
          <w:p w14:paraId="6ED2FC60"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Variable AFP surveillance performance over the assessment timeframe, as per WHO-recommended poliovirus surveillance performance indicators </w:t>
            </w:r>
          </w:p>
          <w:p w14:paraId="2F28DB26"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Limited capacity to develop and implement supplementary surveillance components; none currently in place </w:t>
            </w:r>
          </w:p>
          <w:p w14:paraId="4D6C066A"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lastRenderedPageBreak/>
              <w:t>Surveillance system not recently evaluated, or never evaluated</w:t>
            </w:r>
          </w:p>
          <w:p w14:paraId="443EE088"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Limited legislative framework and systems to support prompt notification, or not implemented</w:t>
            </w:r>
          </w:p>
          <w:p w14:paraId="3B389AF2"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Limited capacity for prompt detection and response to poliovirus imported case or environmental detection events, without non-governmental or international assistance</w:t>
            </w:r>
          </w:p>
          <w:p w14:paraId="059D1214"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r w:rsidR="001B2794" w:rsidRPr="00C522C4" w14:paraId="7BD260A6" w14:textId="77777777" w:rsidTr="006C30CC">
        <w:tc>
          <w:tcPr>
            <w:tcW w:w="0" w:type="auto"/>
          </w:tcPr>
          <w:p w14:paraId="134D3B06" w14:textId="77777777" w:rsidR="001B2794" w:rsidRPr="00C522C4" w:rsidRDefault="001B2794"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lastRenderedPageBreak/>
              <w:t>5</w:t>
            </w:r>
          </w:p>
        </w:tc>
        <w:tc>
          <w:tcPr>
            <w:tcW w:w="0" w:type="auto"/>
          </w:tcPr>
          <w:p w14:paraId="14DE08A9"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No national polio surveillance system in place, or very limited quality and performance with inadequate sensitivity and coverage, and significant scope for further development </w:t>
            </w:r>
          </w:p>
          <w:p w14:paraId="24FEE6B4"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Consistent underperformance of AFP surveillance, as per WHO-recommended poliovirus surveillance performance indicators, over the assessment timeframe </w:t>
            </w:r>
          </w:p>
          <w:p w14:paraId="61E560C7"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No gap analysis or surveillance plan, or very limited capacity to implementation a plan to support surveillance system development, including supplementary surveillance components</w:t>
            </w:r>
          </w:p>
          <w:p w14:paraId="37BEA6E2"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Very limited or no legislative framework and systems to support prompt notification, or not implemented</w:t>
            </w:r>
          </w:p>
          <w:p w14:paraId="2814F7DB" w14:textId="77777777" w:rsidR="001B2794" w:rsidRPr="00C522C4" w:rsidRDefault="001B2794"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Very limited or no capacity for prompt detection and response to poliovirus imported case or environmental detection events, without non-governmental or international assistance</w:t>
            </w:r>
          </w:p>
          <w:p w14:paraId="47755889" w14:textId="77777777" w:rsidR="001B2794" w:rsidRPr="00C522C4" w:rsidRDefault="001B2794" w:rsidP="00C522C4">
            <w:pPr>
              <w:pStyle w:val="ListParagraph"/>
              <w:spacing w:after="0" w:line="240" w:lineRule="auto"/>
              <w:ind w:left="422"/>
              <w:rPr>
                <w:rFonts w:ascii="Times New Roman" w:hAnsi="Times New Roman"/>
                <w:bCs/>
                <w:kern w:val="28"/>
                <w:sz w:val="20"/>
                <w:szCs w:val="20"/>
              </w:rPr>
            </w:pPr>
          </w:p>
        </w:tc>
      </w:tr>
    </w:tbl>
    <w:p w14:paraId="50D2BB30" w14:textId="77777777" w:rsidR="008B2AEC" w:rsidRPr="008B2AEC" w:rsidRDefault="006045ED" w:rsidP="008B2AEC">
      <w:pPr>
        <w:pStyle w:val="BodyText"/>
        <w:rPr>
          <w:b/>
          <w:szCs w:val="24"/>
        </w:rPr>
      </w:pPr>
      <w:r>
        <w:rPr>
          <w:b/>
          <w:szCs w:val="24"/>
        </w:rPr>
        <w:br w:type="page"/>
      </w:r>
    </w:p>
    <w:p w14:paraId="3F63F615" w14:textId="77777777" w:rsidR="008B2AEC" w:rsidRPr="00C522C4" w:rsidRDefault="00C522C4" w:rsidP="008B2AEC">
      <w:pPr>
        <w:pStyle w:val="Heading4"/>
        <w:rPr>
          <w:rFonts w:ascii="Arial" w:hAnsi="Arial" w:cs="Arial"/>
          <w:b/>
          <w:color w:val="auto"/>
          <w:sz w:val="22"/>
        </w:rPr>
      </w:pPr>
      <w:r w:rsidRPr="00C522C4">
        <w:rPr>
          <w:rFonts w:ascii="Arial" w:hAnsi="Arial" w:cs="Arial"/>
          <w:b/>
          <w:color w:val="auto"/>
          <w:sz w:val="22"/>
        </w:rPr>
        <w:lastRenderedPageBreak/>
        <w:t xml:space="preserve">Response Capability </w:t>
      </w:r>
      <w:r w:rsidR="008B2AEC" w:rsidRPr="00C522C4">
        <w:rPr>
          <w:rFonts w:ascii="Arial" w:hAnsi="Arial" w:cs="Arial"/>
          <w:b/>
          <w:color w:val="auto"/>
          <w:sz w:val="22"/>
        </w:rPr>
        <w:t xml:space="preserve">score (R) </w:t>
      </w:r>
    </w:p>
    <w:p w14:paraId="78E44EB4" w14:textId="77777777" w:rsidR="008B2AEC" w:rsidRDefault="007E7038" w:rsidP="00C522C4">
      <w:pPr>
        <w:spacing w:after="160" w:line="259" w:lineRule="auto"/>
        <w:jc w:val="both"/>
        <w:rPr>
          <w:rFonts w:ascii="Times New Roman" w:hAnsi="Times New Roman"/>
          <w:bCs/>
          <w:kern w:val="28"/>
          <w:sz w:val="22"/>
        </w:rPr>
      </w:pPr>
      <w:r w:rsidRPr="00C522C4">
        <w:rPr>
          <w:rFonts w:ascii="Times New Roman" w:hAnsi="Times New Roman"/>
          <w:sz w:val="22"/>
          <w:highlight w:val="yellow"/>
        </w:rPr>
        <w:fldChar w:fldCharType="begin"/>
      </w:r>
      <w:r w:rsidRPr="00C522C4">
        <w:rPr>
          <w:rFonts w:ascii="Times New Roman" w:hAnsi="Times New Roman"/>
          <w:bCs/>
          <w:kern w:val="28"/>
          <w:sz w:val="22"/>
        </w:rPr>
        <w:instrText xml:space="preserve"> REF _Ref525032253 \h </w:instrText>
      </w:r>
      <w:r w:rsidR="00C522C4" w:rsidRPr="00C522C4">
        <w:rPr>
          <w:rFonts w:ascii="Times New Roman" w:hAnsi="Times New Roman"/>
          <w:sz w:val="22"/>
          <w:highlight w:val="yellow"/>
        </w:rPr>
        <w:instrText xml:space="preserve"> \* MERGEFORMAT </w:instrText>
      </w:r>
      <w:r w:rsidRPr="00C522C4">
        <w:rPr>
          <w:rFonts w:ascii="Times New Roman" w:hAnsi="Times New Roman"/>
          <w:sz w:val="22"/>
          <w:highlight w:val="yellow"/>
        </w:rPr>
      </w:r>
      <w:r w:rsidRPr="00C522C4">
        <w:rPr>
          <w:rFonts w:ascii="Times New Roman" w:hAnsi="Times New Roman"/>
          <w:sz w:val="22"/>
          <w:highlight w:val="yellow"/>
        </w:rPr>
        <w:fldChar w:fldCharType="separate"/>
      </w:r>
      <w:r w:rsidR="00AE3396" w:rsidRPr="00C522C4">
        <w:rPr>
          <w:rFonts w:ascii="Times New Roman" w:hAnsi="Times New Roman"/>
          <w:color w:val="auto"/>
          <w:sz w:val="22"/>
        </w:rPr>
        <w:t xml:space="preserve">Table </w:t>
      </w:r>
      <w:r w:rsidR="00AE3396" w:rsidRPr="00C522C4">
        <w:rPr>
          <w:rFonts w:ascii="Times New Roman" w:hAnsi="Times New Roman"/>
          <w:noProof/>
          <w:color w:val="auto"/>
          <w:sz w:val="22"/>
        </w:rPr>
        <w:t>10</w:t>
      </w:r>
      <w:r w:rsidRPr="00C522C4">
        <w:rPr>
          <w:rFonts w:ascii="Times New Roman" w:hAnsi="Times New Roman"/>
          <w:sz w:val="22"/>
          <w:highlight w:val="yellow"/>
        </w:rPr>
        <w:fldChar w:fldCharType="end"/>
      </w:r>
      <w:r w:rsidRPr="00C522C4">
        <w:rPr>
          <w:rFonts w:ascii="Times New Roman" w:hAnsi="Times New Roman"/>
          <w:sz w:val="22"/>
        </w:rPr>
        <w:t xml:space="preserve"> </w:t>
      </w:r>
      <w:r w:rsidR="008B2AEC" w:rsidRPr="00C522C4">
        <w:rPr>
          <w:rFonts w:ascii="Times New Roman" w:hAnsi="Times New Roman"/>
          <w:bCs/>
          <w:kern w:val="28"/>
          <w:sz w:val="22"/>
        </w:rPr>
        <w:t>provides scoring guidelines for focused risk question</w:t>
      </w:r>
      <w:r w:rsidR="008B2AEC" w:rsidRPr="00C522C4">
        <w:rPr>
          <w:rFonts w:ascii="Times New Roman" w:hAnsi="Times New Roman"/>
          <w:b/>
          <w:bCs/>
          <w:kern w:val="28"/>
          <w:sz w:val="22"/>
        </w:rPr>
        <w:t xml:space="preserve"> H </w:t>
      </w:r>
      <w:r w:rsidR="008B2AEC" w:rsidRPr="00C522C4">
        <w:rPr>
          <w:rFonts w:ascii="Times New Roman" w:hAnsi="Times New Roman"/>
          <w:bCs/>
          <w:kern w:val="28"/>
          <w:sz w:val="22"/>
        </w:rPr>
        <w:t xml:space="preserve">of the risk element, </w:t>
      </w:r>
      <w:r w:rsidR="00C522C4" w:rsidRPr="00C522C4">
        <w:rPr>
          <w:rFonts w:ascii="Times New Roman" w:hAnsi="Times New Roman"/>
          <w:b/>
          <w:bCs/>
          <w:kern w:val="28"/>
          <w:sz w:val="22"/>
        </w:rPr>
        <w:t xml:space="preserve">Response Capability </w:t>
      </w:r>
      <w:r w:rsidR="008B2AEC" w:rsidRPr="00C522C4">
        <w:rPr>
          <w:rFonts w:ascii="Times New Roman" w:hAnsi="Times New Roman"/>
          <w:b/>
          <w:bCs/>
          <w:kern w:val="28"/>
          <w:sz w:val="22"/>
        </w:rPr>
        <w:t>(R)</w:t>
      </w:r>
      <w:r w:rsidR="00FE5248" w:rsidRPr="00C522C4">
        <w:rPr>
          <w:rFonts w:ascii="Times New Roman" w:hAnsi="Times New Roman"/>
          <w:bCs/>
          <w:kern w:val="28"/>
          <w:sz w:val="22"/>
        </w:rPr>
        <w:t xml:space="preserve">. This </w:t>
      </w:r>
      <w:r w:rsidR="00507E42" w:rsidRPr="00C522C4">
        <w:rPr>
          <w:rFonts w:ascii="Times New Roman" w:hAnsi="Times New Roman"/>
          <w:bCs/>
          <w:kern w:val="28"/>
          <w:sz w:val="22"/>
        </w:rPr>
        <w:t>evaluates the likelihood of a suboptimal outbreak response, or other external factors contributing to a failure of containment and control, resulting in a significant disease burden at population level and associated public health, social, economic, reputational and political consequences (impact</w:t>
      </w:r>
      <w:r w:rsidR="0062242F" w:rsidRPr="00C522C4">
        <w:rPr>
          <w:rFonts w:ascii="Times New Roman" w:hAnsi="Times New Roman"/>
          <w:bCs/>
          <w:kern w:val="28"/>
          <w:sz w:val="22"/>
        </w:rPr>
        <w:t xml:space="preserve"> component</w:t>
      </w:r>
      <w:r w:rsidR="00507E42" w:rsidRPr="00C522C4">
        <w:rPr>
          <w:rFonts w:ascii="Times New Roman" w:hAnsi="Times New Roman"/>
          <w:bCs/>
          <w:kern w:val="28"/>
          <w:sz w:val="22"/>
        </w:rPr>
        <w:t>).</w:t>
      </w:r>
    </w:p>
    <w:p w14:paraId="69AC4FBE" w14:textId="77777777" w:rsidR="00C522C4" w:rsidRPr="00C522C4" w:rsidRDefault="00C522C4" w:rsidP="00C522C4">
      <w:pPr>
        <w:spacing w:after="160" w:line="259" w:lineRule="auto"/>
        <w:jc w:val="both"/>
        <w:rPr>
          <w:rFonts w:ascii="Times New Roman" w:hAnsi="Times New Roman"/>
          <w:b/>
          <w:bCs/>
          <w:kern w:val="28"/>
          <w:sz w:val="22"/>
        </w:rPr>
      </w:pPr>
    </w:p>
    <w:p w14:paraId="127C0BB6" w14:textId="77777777" w:rsidR="006C30CC" w:rsidRPr="00000C6B" w:rsidRDefault="007E7038" w:rsidP="006C30CC">
      <w:pPr>
        <w:pStyle w:val="Caption"/>
        <w:rPr>
          <w:rFonts w:ascii="Times New Roman" w:hAnsi="Times New Roman"/>
          <w:color w:val="auto"/>
          <w:sz w:val="22"/>
          <w:szCs w:val="22"/>
        </w:rPr>
      </w:pPr>
      <w:bookmarkStart w:id="33" w:name="_Ref525032253"/>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10</w:t>
      </w:r>
      <w:r w:rsidRPr="00000C6B">
        <w:rPr>
          <w:rFonts w:ascii="Times New Roman" w:hAnsi="Times New Roman"/>
          <w:color w:val="auto"/>
          <w:sz w:val="22"/>
          <w:szCs w:val="22"/>
        </w:rPr>
        <w:fldChar w:fldCharType="end"/>
      </w:r>
      <w:bookmarkEnd w:id="33"/>
      <w:r w:rsidRPr="00000C6B">
        <w:rPr>
          <w:rFonts w:ascii="Times New Roman" w:hAnsi="Times New Roman"/>
          <w:color w:val="auto"/>
          <w:sz w:val="22"/>
          <w:szCs w:val="22"/>
        </w:rPr>
        <w:t>:</w:t>
      </w:r>
      <w:r w:rsidR="00721DDB" w:rsidRPr="00000C6B">
        <w:rPr>
          <w:rFonts w:ascii="Times New Roman" w:hAnsi="Times New Roman"/>
          <w:color w:val="auto"/>
          <w:sz w:val="22"/>
          <w:szCs w:val="22"/>
        </w:rPr>
        <w:t xml:space="preserve"> Response c</w:t>
      </w:r>
      <w:r w:rsidR="00A14ED6" w:rsidRPr="00000C6B">
        <w:rPr>
          <w:rFonts w:ascii="Times New Roman" w:hAnsi="Times New Roman"/>
          <w:color w:val="auto"/>
          <w:sz w:val="22"/>
          <w:szCs w:val="22"/>
        </w:rPr>
        <w:t>apability assessment scoring guidelines</w:t>
      </w:r>
    </w:p>
    <w:tbl>
      <w:tblPr>
        <w:tblStyle w:val="TableGrid"/>
        <w:tblW w:w="0" w:type="auto"/>
        <w:tblLook w:val="04A0" w:firstRow="1" w:lastRow="0" w:firstColumn="1" w:lastColumn="0" w:noHBand="0" w:noVBand="1"/>
        <w:tblCaption w:val="Table 10: Response capability assessment scoring guidelines"/>
        <w:tblDescription w:val="Table shows response capability assessment scoring guidelines"/>
      </w:tblPr>
      <w:tblGrid>
        <w:gridCol w:w="794"/>
        <w:gridCol w:w="8222"/>
      </w:tblGrid>
      <w:tr w:rsidR="008B4321" w:rsidRPr="00C522C4" w14:paraId="499570BB" w14:textId="77777777" w:rsidTr="006C30CC">
        <w:trPr>
          <w:tblHeader/>
        </w:trPr>
        <w:tc>
          <w:tcPr>
            <w:tcW w:w="0" w:type="auto"/>
            <w:shd w:val="clear" w:color="auto" w:fill="D9D9D9" w:themeFill="background1" w:themeFillShade="D9"/>
          </w:tcPr>
          <w:p w14:paraId="3BD9F6DF" w14:textId="77777777" w:rsidR="008B4321" w:rsidRPr="00C522C4" w:rsidRDefault="008B4321"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Score (R)</w:t>
            </w:r>
          </w:p>
        </w:tc>
        <w:tc>
          <w:tcPr>
            <w:tcW w:w="0" w:type="auto"/>
            <w:shd w:val="clear" w:color="auto" w:fill="D9D9D9" w:themeFill="background1" w:themeFillShade="D9"/>
          </w:tcPr>
          <w:p w14:paraId="33E093DE" w14:textId="77777777" w:rsidR="008B4321" w:rsidRPr="00C522C4" w:rsidRDefault="008B4321" w:rsidP="00C522C4">
            <w:pPr>
              <w:spacing w:after="0" w:line="240" w:lineRule="auto"/>
              <w:jc w:val="center"/>
              <w:rPr>
                <w:rFonts w:ascii="Times New Roman" w:hAnsi="Times New Roman"/>
                <w:b/>
                <w:sz w:val="20"/>
                <w:szCs w:val="20"/>
              </w:rPr>
            </w:pPr>
            <w:r w:rsidRPr="00C522C4">
              <w:rPr>
                <w:rFonts w:ascii="Times New Roman" w:hAnsi="Times New Roman"/>
                <w:b/>
                <w:sz w:val="20"/>
                <w:szCs w:val="20"/>
              </w:rPr>
              <w:t>Qualitative Description</w:t>
            </w:r>
          </w:p>
        </w:tc>
      </w:tr>
      <w:tr w:rsidR="008B4321" w:rsidRPr="00C522C4" w14:paraId="0CA58A0B" w14:textId="77777777" w:rsidTr="006C30CC">
        <w:tc>
          <w:tcPr>
            <w:tcW w:w="0" w:type="auto"/>
          </w:tcPr>
          <w:p w14:paraId="0512A1E9" w14:textId="77777777" w:rsidR="008B4321" w:rsidRPr="00C522C4" w:rsidRDefault="008B4321"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1</w:t>
            </w:r>
          </w:p>
        </w:tc>
        <w:tc>
          <w:tcPr>
            <w:tcW w:w="0" w:type="auto"/>
          </w:tcPr>
          <w:p w14:paraId="36DA114E"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Very high level of outbreak response preparedness </w:t>
            </w:r>
          </w:p>
          <w:p w14:paraId="66D6B6E0"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Very high IHR core capacities, independently verified (e.g. WHO JEE)</w:t>
            </w:r>
          </w:p>
          <w:p w14:paraId="56328B89"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Comprehensive Poliomyelitis Outbreak Response Plan, regularly reviewed and updated</w:t>
            </w:r>
          </w:p>
          <w:p w14:paraId="6C1FF0A4"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Established processes, procedures, resources (e.g. expert committees) and capability available to conduct rapid risk assessment and promptly provide advice on response plan activation and coordination; regular exercises/meetings to review and maintain preparedness </w:t>
            </w:r>
          </w:p>
          <w:p w14:paraId="205FB6AC"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No imminent environmental, public health, social, geopolitical, or economic risk factors that could contribute to a sustained polio transmission risk or undermine an outbreak response</w:t>
            </w:r>
          </w:p>
          <w:p w14:paraId="12EF97F7" w14:textId="77777777" w:rsidR="008B4321" w:rsidRPr="00C522C4" w:rsidRDefault="008B4321" w:rsidP="00C522C4">
            <w:pPr>
              <w:pStyle w:val="ListParagraph"/>
              <w:spacing w:after="0" w:line="240" w:lineRule="auto"/>
              <w:ind w:left="422"/>
              <w:rPr>
                <w:rFonts w:ascii="Times New Roman" w:hAnsi="Times New Roman"/>
                <w:bCs/>
                <w:kern w:val="28"/>
                <w:sz w:val="20"/>
                <w:szCs w:val="20"/>
              </w:rPr>
            </w:pPr>
          </w:p>
        </w:tc>
      </w:tr>
      <w:tr w:rsidR="008B4321" w:rsidRPr="00C522C4" w14:paraId="756797CA" w14:textId="77777777" w:rsidTr="006C30CC">
        <w:tc>
          <w:tcPr>
            <w:tcW w:w="0" w:type="auto"/>
          </w:tcPr>
          <w:p w14:paraId="45AD7B06" w14:textId="77777777" w:rsidR="008B4321" w:rsidRPr="00C522C4" w:rsidRDefault="008B4321"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2</w:t>
            </w:r>
          </w:p>
        </w:tc>
        <w:tc>
          <w:tcPr>
            <w:tcW w:w="0" w:type="auto"/>
          </w:tcPr>
          <w:p w14:paraId="2B556368"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High level of outbreak response preparedness </w:t>
            </w:r>
          </w:p>
          <w:p w14:paraId="05D3588A"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High IHR core capacities, independently verified (e.g. WHO JEE)</w:t>
            </w:r>
          </w:p>
          <w:p w14:paraId="17F84BC0"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Comprehensive Poliomyelitis Outbreak Response Plan, review and update due </w:t>
            </w:r>
          </w:p>
          <w:p w14:paraId="2B7EBF45"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Established processes, procedures, resources (e.g. expert committees) and capability available to conduct rapid risk assessment and provide prompt advice on response plan activation; occasional exercises/meetings to review and maintain preparedness </w:t>
            </w:r>
          </w:p>
          <w:p w14:paraId="387C8E96"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No imminent environmental, public health, social, geopolitical, or economic risk factors that could contribute to a sustained polio transmission risk or undermine an outbreak response</w:t>
            </w:r>
          </w:p>
          <w:p w14:paraId="1D76E623" w14:textId="77777777" w:rsidR="008B4321" w:rsidRPr="00C522C4" w:rsidRDefault="008B4321" w:rsidP="00C522C4">
            <w:pPr>
              <w:pStyle w:val="ListParagraph"/>
              <w:spacing w:after="0" w:line="240" w:lineRule="auto"/>
              <w:ind w:left="422"/>
              <w:rPr>
                <w:rFonts w:ascii="Times New Roman" w:hAnsi="Times New Roman"/>
                <w:bCs/>
                <w:kern w:val="28"/>
                <w:sz w:val="20"/>
                <w:szCs w:val="20"/>
              </w:rPr>
            </w:pPr>
          </w:p>
        </w:tc>
      </w:tr>
      <w:tr w:rsidR="008B4321" w:rsidRPr="00C522C4" w14:paraId="6413F0DF" w14:textId="77777777" w:rsidTr="006C30CC">
        <w:tc>
          <w:tcPr>
            <w:tcW w:w="0" w:type="auto"/>
          </w:tcPr>
          <w:p w14:paraId="223720BD" w14:textId="77777777" w:rsidR="008B4321" w:rsidRPr="00C522C4" w:rsidRDefault="008B4321"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3</w:t>
            </w:r>
          </w:p>
        </w:tc>
        <w:tc>
          <w:tcPr>
            <w:tcW w:w="0" w:type="auto"/>
          </w:tcPr>
          <w:p w14:paraId="37EFABFB"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Moderate level of outbreak response preparedness </w:t>
            </w:r>
          </w:p>
          <w:p w14:paraId="00A5944E"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Moderate IHR core capacities, as self-assessed or independently verified </w:t>
            </w:r>
          </w:p>
          <w:p w14:paraId="6B3718D3"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Improvements in structure of Poliomyelitis Outbreak Response Plan required, and/or content outdated and review overdue </w:t>
            </w:r>
          </w:p>
          <w:p w14:paraId="3BC0421A"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Some processes, procedures, resources and capability to conduct rapid risk assessment and provide advice on response plan activation and coordination, but currently inactive </w:t>
            </w:r>
          </w:p>
          <w:p w14:paraId="59B4B097"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Some environmental, public health, social, geopolitical, or economic risk factors that could contribute to a sustained polio transmission risk or undermine an outbreak response</w:t>
            </w:r>
          </w:p>
          <w:p w14:paraId="03E78632" w14:textId="77777777" w:rsidR="008B4321" w:rsidRPr="00C522C4" w:rsidRDefault="008B4321" w:rsidP="00C522C4">
            <w:pPr>
              <w:pStyle w:val="ListParagraph"/>
              <w:spacing w:after="0" w:line="240" w:lineRule="auto"/>
              <w:ind w:left="422"/>
              <w:rPr>
                <w:rFonts w:ascii="Times New Roman" w:hAnsi="Times New Roman"/>
                <w:bCs/>
                <w:kern w:val="28"/>
                <w:sz w:val="20"/>
                <w:szCs w:val="20"/>
              </w:rPr>
            </w:pPr>
          </w:p>
        </w:tc>
      </w:tr>
      <w:tr w:rsidR="008B4321" w:rsidRPr="00C522C4" w14:paraId="5963ECDD" w14:textId="77777777" w:rsidTr="006C30CC">
        <w:tc>
          <w:tcPr>
            <w:tcW w:w="0" w:type="auto"/>
          </w:tcPr>
          <w:p w14:paraId="6C0C8A81" w14:textId="77777777" w:rsidR="008B4321" w:rsidRPr="00C522C4" w:rsidRDefault="008B4321"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4</w:t>
            </w:r>
          </w:p>
        </w:tc>
        <w:tc>
          <w:tcPr>
            <w:tcW w:w="0" w:type="auto"/>
          </w:tcPr>
          <w:p w14:paraId="382A5B7E"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Limited outbreak response preparedness</w:t>
            </w:r>
          </w:p>
          <w:p w14:paraId="4C04C884"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Limited IHR core capacities, as self-assessed or independently verified; reliant on non-governmental organisations (NGOs) or international assistance to support health system function </w:t>
            </w:r>
          </w:p>
          <w:p w14:paraId="6E8D3E53"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Inadequate, incomplete or very outdated Poliomyelitis Outbreak Response Plan</w:t>
            </w:r>
          </w:p>
          <w:p w14:paraId="3B9CF635"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Limited processes, procedures, resources and capability to conduct rapid risk assessment and provide advice on response plan activation and coordination, and currently inactive </w:t>
            </w:r>
          </w:p>
          <w:p w14:paraId="0F9E1311"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Imminent environmental, public health, social, geopolitical, or economic risk factors that could contribute to a sustained polio transmission risk or undermine an outbreak response</w:t>
            </w:r>
          </w:p>
          <w:p w14:paraId="3E4E356A" w14:textId="77777777" w:rsidR="008B4321" w:rsidRPr="00C522C4" w:rsidRDefault="008B4321" w:rsidP="00C522C4">
            <w:pPr>
              <w:pStyle w:val="ListParagraph"/>
              <w:spacing w:after="0" w:line="240" w:lineRule="auto"/>
              <w:ind w:left="422"/>
              <w:rPr>
                <w:rFonts w:ascii="Times New Roman" w:hAnsi="Times New Roman"/>
                <w:bCs/>
                <w:kern w:val="28"/>
                <w:sz w:val="20"/>
                <w:szCs w:val="20"/>
              </w:rPr>
            </w:pPr>
          </w:p>
        </w:tc>
      </w:tr>
      <w:tr w:rsidR="008B4321" w:rsidRPr="00C522C4" w14:paraId="6ECBB5DF" w14:textId="77777777" w:rsidTr="006C30CC">
        <w:tc>
          <w:tcPr>
            <w:tcW w:w="0" w:type="auto"/>
          </w:tcPr>
          <w:p w14:paraId="6982AD74" w14:textId="77777777" w:rsidR="008B4321" w:rsidRPr="00C522C4" w:rsidRDefault="008B4321" w:rsidP="00C522C4">
            <w:pPr>
              <w:spacing w:after="0" w:line="240" w:lineRule="auto"/>
              <w:jc w:val="center"/>
              <w:rPr>
                <w:rFonts w:ascii="Times New Roman" w:hAnsi="Times New Roman"/>
                <w:bCs/>
                <w:kern w:val="28"/>
                <w:sz w:val="20"/>
                <w:szCs w:val="20"/>
              </w:rPr>
            </w:pPr>
            <w:r w:rsidRPr="00C522C4">
              <w:rPr>
                <w:rFonts w:ascii="Times New Roman" w:hAnsi="Times New Roman"/>
                <w:bCs/>
                <w:kern w:val="28"/>
                <w:sz w:val="20"/>
                <w:szCs w:val="20"/>
              </w:rPr>
              <w:t>5</w:t>
            </w:r>
          </w:p>
        </w:tc>
        <w:tc>
          <w:tcPr>
            <w:tcW w:w="0" w:type="auto"/>
          </w:tcPr>
          <w:p w14:paraId="55452CCE"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Very limited to no outbreak response preparedness </w:t>
            </w:r>
          </w:p>
          <w:p w14:paraId="59D4C9BB"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Very limited to no IHR core capacities, as self-assessed or independently verified; highly reliant on non-governmental or international assistance to support health system function</w:t>
            </w:r>
          </w:p>
          <w:p w14:paraId="534BDE2E"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No Poliomyelitis Outbreak Response Plan</w:t>
            </w:r>
          </w:p>
          <w:p w14:paraId="20975CFC"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t xml:space="preserve">No processes, procedures and resources available to conduct rapid risk assessment and provide advice on response plan development or implementation; other than through NGO or international assistance </w:t>
            </w:r>
          </w:p>
          <w:p w14:paraId="69D6F3F4" w14:textId="77777777" w:rsidR="008B4321" w:rsidRPr="00C522C4" w:rsidRDefault="008B4321" w:rsidP="00C522C4">
            <w:pPr>
              <w:pStyle w:val="ListParagraph"/>
              <w:numPr>
                <w:ilvl w:val="0"/>
                <w:numId w:val="17"/>
              </w:numPr>
              <w:spacing w:after="0" w:line="240" w:lineRule="auto"/>
              <w:rPr>
                <w:rFonts w:ascii="Times New Roman" w:hAnsi="Times New Roman"/>
                <w:bCs/>
                <w:kern w:val="28"/>
                <w:sz w:val="20"/>
                <w:szCs w:val="20"/>
              </w:rPr>
            </w:pPr>
            <w:r w:rsidRPr="00C522C4">
              <w:rPr>
                <w:rFonts w:ascii="Times New Roman" w:hAnsi="Times New Roman"/>
                <w:bCs/>
                <w:kern w:val="28"/>
                <w:sz w:val="20"/>
                <w:szCs w:val="20"/>
              </w:rPr>
              <w:lastRenderedPageBreak/>
              <w:t>Active and ongoing environmental, public health, social, geopolitical, or economic risk factors that could promote persistent environmental contamination or sustained polio transmission and undermine an outbreak response</w:t>
            </w:r>
          </w:p>
          <w:p w14:paraId="7659D19F" w14:textId="77777777" w:rsidR="008B4321" w:rsidRPr="00C522C4" w:rsidRDefault="008B4321" w:rsidP="00C522C4">
            <w:pPr>
              <w:pStyle w:val="ListParagraph"/>
              <w:spacing w:after="0" w:line="240" w:lineRule="auto"/>
              <w:ind w:left="422"/>
              <w:rPr>
                <w:rFonts w:ascii="Times New Roman" w:hAnsi="Times New Roman"/>
                <w:bCs/>
                <w:kern w:val="28"/>
                <w:sz w:val="20"/>
                <w:szCs w:val="20"/>
              </w:rPr>
            </w:pPr>
          </w:p>
        </w:tc>
      </w:tr>
    </w:tbl>
    <w:p w14:paraId="180D289F" w14:textId="77777777" w:rsidR="00D23AFE" w:rsidRDefault="00D23AFE" w:rsidP="00D23AFE"/>
    <w:p w14:paraId="4BDC11EF" w14:textId="77777777" w:rsidR="00D23AFE" w:rsidRPr="00721DDB" w:rsidRDefault="00886105" w:rsidP="00886105">
      <w:pPr>
        <w:pStyle w:val="Heading3"/>
        <w:rPr>
          <w:rFonts w:ascii="Arial" w:hAnsi="Arial" w:cs="Arial"/>
          <w:color w:val="auto"/>
          <w:sz w:val="22"/>
          <w:szCs w:val="22"/>
        </w:rPr>
      </w:pPr>
      <w:bookmarkStart w:id="34" w:name="_Toc20238593"/>
      <w:r w:rsidRPr="00721DDB">
        <w:rPr>
          <w:rFonts w:ascii="Arial" w:hAnsi="Arial" w:cs="Arial"/>
          <w:color w:val="auto"/>
          <w:sz w:val="22"/>
          <w:szCs w:val="22"/>
        </w:rPr>
        <w:t>Weighting factor</w:t>
      </w:r>
      <w:bookmarkEnd w:id="34"/>
      <w:r w:rsidRPr="00721DDB">
        <w:rPr>
          <w:rFonts w:ascii="Arial" w:hAnsi="Arial" w:cs="Arial"/>
          <w:color w:val="auto"/>
          <w:sz w:val="22"/>
          <w:szCs w:val="22"/>
        </w:rPr>
        <w:t xml:space="preserve"> </w:t>
      </w:r>
    </w:p>
    <w:p w14:paraId="54A8E42D" w14:textId="77777777" w:rsidR="005C7009" w:rsidRPr="00721DDB" w:rsidRDefault="00475C8C" w:rsidP="00721DDB">
      <w:pPr>
        <w:spacing w:after="160" w:line="259" w:lineRule="auto"/>
        <w:jc w:val="both"/>
        <w:rPr>
          <w:rFonts w:ascii="Times New Roman" w:hAnsi="Times New Roman"/>
          <w:bCs/>
          <w:kern w:val="28"/>
          <w:sz w:val="22"/>
        </w:rPr>
      </w:pPr>
      <w:r w:rsidRPr="00721DDB">
        <w:rPr>
          <w:rFonts w:ascii="Times New Roman" w:hAnsi="Times New Roman"/>
          <w:bCs/>
          <w:kern w:val="28"/>
          <w:sz w:val="22"/>
        </w:rPr>
        <w:t>Not all components that influence infectious disease risk for any particular pathogen are necessarily equally important. For example, it may</w:t>
      </w:r>
      <w:r w:rsidR="00E24D65" w:rsidRPr="00721DDB">
        <w:rPr>
          <w:rFonts w:ascii="Times New Roman" w:hAnsi="Times New Roman"/>
          <w:bCs/>
          <w:kern w:val="28"/>
          <w:sz w:val="22"/>
        </w:rPr>
        <w:t xml:space="preserve"> be considered that the likelihood</w:t>
      </w:r>
      <w:r w:rsidRPr="00721DDB">
        <w:rPr>
          <w:rFonts w:ascii="Times New Roman" w:hAnsi="Times New Roman"/>
          <w:bCs/>
          <w:kern w:val="28"/>
          <w:sz w:val="22"/>
        </w:rPr>
        <w:t xml:space="preserve"> of poliovirus importation is more or less important than population immunity which protects against sustained transmission in the general population, or national capacity to respond to and promptly contain an outbreak, etc. The weighting factor incorporates an expert-informed estimate of the relative importance of each of the four key risk elements, in terms </w:t>
      </w:r>
      <w:r w:rsidR="000708F3" w:rsidRPr="00721DDB">
        <w:rPr>
          <w:rFonts w:ascii="Times New Roman" w:hAnsi="Times New Roman"/>
          <w:bCs/>
          <w:kern w:val="28"/>
          <w:sz w:val="22"/>
        </w:rPr>
        <w:t xml:space="preserve">of </w:t>
      </w:r>
      <w:r w:rsidRPr="00721DDB">
        <w:rPr>
          <w:rFonts w:ascii="Times New Roman" w:hAnsi="Times New Roman"/>
          <w:bCs/>
          <w:kern w:val="28"/>
          <w:sz w:val="22"/>
        </w:rPr>
        <w:t>the proportional contribution to the overall poliovirus rei</w:t>
      </w:r>
      <w:r w:rsidR="003F270A" w:rsidRPr="00721DDB">
        <w:rPr>
          <w:rFonts w:ascii="Times New Roman" w:hAnsi="Times New Roman"/>
          <w:bCs/>
          <w:kern w:val="28"/>
          <w:sz w:val="22"/>
        </w:rPr>
        <w:t>ntroduction and outbreak risk</w:t>
      </w:r>
      <w:r w:rsidR="000708F3" w:rsidRPr="00721DDB">
        <w:rPr>
          <w:rFonts w:ascii="Times New Roman" w:hAnsi="Times New Roman"/>
          <w:bCs/>
          <w:kern w:val="28"/>
          <w:sz w:val="22"/>
        </w:rPr>
        <w:t xml:space="preserve"> for Australia</w:t>
      </w:r>
      <w:r w:rsidR="003F270A" w:rsidRPr="00721DDB">
        <w:rPr>
          <w:rFonts w:ascii="Times New Roman" w:hAnsi="Times New Roman"/>
          <w:bCs/>
          <w:kern w:val="28"/>
          <w:sz w:val="22"/>
        </w:rPr>
        <w:t xml:space="preserve">. </w:t>
      </w:r>
    </w:p>
    <w:p w14:paraId="6E4670D4" w14:textId="77777777" w:rsidR="005C7009" w:rsidRPr="00721DDB" w:rsidRDefault="005C7009" w:rsidP="00721DDB">
      <w:pPr>
        <w:spacing w:after="160" w:line="259" w:lineRule="auto"/>
        <w:jc w:val="both"/>
        <w:rPr>
          <w:rFonts w:ascii="Times New Roman" w:hAnsi="Times New Roman"/>
          <w:bCs/>
          <w:kern w:val="28"/>
          <w:sz w:val="22"/>
        </w:rPr>
      </w:pPr>
    </w:p>
    <w:p w14:paraId="1F637718" w14:textId="77777777" w:rsidR="004E504B" w:rsidRPr="00721DDB" w:rsidRDefault="008B4321" w:rsidP="00721DDB">
      <w:pPr>
        <w:spacing w:after="160" w:line="259" w:lineRule="auto"/>
        <w:jc w:val="both"/>
        <w:rPr>
          <w:rFonts w:ascii="Times New Roman" w:hAnsi="Times New Roman"/>
          <w:bCs/>
          <w:kern w:val="28"/>
          <w:sz w:val="22"/>
        </w:rPr>
      </w:pPr>
      <w:r w:rsidRPr="00721DDB">
        <w:rPr>
          <w:rFonts w:ascii="Times New Roman" w:hAnsi="Times New Roman"/>
          <w:bCs/>
          <w:kern w:val="28"/>
          <w:sz w:val="22"/>
        </w:rPr>
        <w:t>The sum of the four weighting factors should equal 1 (100%), with a minimum value of 0.05 per element, and with variation possible in 0.05 increments. Hence, the minimum possible weighting for an individual element is 0.05 (5%), and the maximum is 0.85 (85%).</w:t>
      </w:r>
      <w:r w:rsidR="00E24D65" w:rsidRPr="00721DDB">
        <w:rPr>
          <w:rFonts w:ascii="Times New Roman" w:hAnsi="Times New Roman"/>
          <w:bCs/>
          <w:kern w:val="28"/>
          <w:sz w:val="22"/>
        </w:rPr>
        <w:t xml:space="preserve">The weighting factor for each risk element was </w:t>
      </w:r>
      <w:r w:rsidR="000E0598" w:rsidRPr="00721DDB">
        <w:rPr>
          <w:rFonts w:ascii="Times New Roman" w:hAnsi="Times New Roman"/>
          <w:bCs/>
          <w:kern w:val="28"/>
          <w:sz w:val="22"/>
        </w:rPr>
        <w:t>determined throu</w:t>
      </w:r>
      <w:r w:rsidR="00202945" w:rsidRPr="00721DDB">
        <w:rPr>
          <w:rFonts w:ascii="Times New Roman" w:hAnsi="Times New Roman"/>
          <w:bCs/>
          <w:kern w:val="28"/>
          <w:sz w:val="22"/>
        </w:rPr>
        <w:t>gh an expert elicitation method</w:t>
      </w:r>
      <w:r w:rsidR="000E0598" w:rsidRPr="00721DDB">
        <w:rPr>
          <w:rFonts w:ascii="Times New Roman" w:hAnsi="Times New Roman"/>
          <w:bCs/>
          <w:kern w:val="28"/>
          <w:sz w:val="22"/>
        </w:rPr>
        <w:t xml:space="preserve">, namely a </w:t>
      </w:r>
      <w:r w:rsidR="00475C8C" w:rsidRPr="00721DDB">
        <w:rPr>
          <w:rFonts w:ascii="Times New Roman" w:hAnsi="Times New Roman"/>
          <w:bCs/>
          <w:kern w:val="28"/>
          <w:sz w:val="22"/>
        </w:rPr>
        <w:t>De</w:t>
      </w:r>
      <w:r w:rsidR="00E24D65" w:rsidRPr="00721DDB">
        <w:rPr>
          <w:rFonts w:ascii="Times New Roman" w:hAnsi="Times New Roman"/>
          <w:bCs/>
          <w:kern w:val="28"/>
          <w:sz w:val="22"/>
        </w:rPr>
        <w:t xml:space="preserve">lphi survey involving </w:t>
      </w:r>
      <w:r w:rsidR="004E504B" w:rsidRPr="00721DDB">
        <w:rPr>
          <w:rFonts w:ascii="Times New Roman" w:hAnsi="Times New Roman"/>
          <w:bCs/>
          <w:kern w:val="28"/>
          <w:sz w:val="22"/>
        </w:rPr>
        <w:t xml:space="preserve">16 invited subject matter experts (SMEs), namely all members of </w:t>
      </w:r>
      <w:r w:rsidR="00475C8C" w:rsidRPr="00721DDB">
        <w:rPr>
          <w:rFonts w:ascii="Times New Roman" w:hAnsi="Times New Roman"/>
          <w:bCs/>
          <w:kern w:val="28"/>
          <w:sz w:val="22"/>
        </w:rPr>
        <w:t xml:space="preserve">the </w:t>
      </w:r>
      <w:r w:rsidR="004E504B" w:rsidRPr="00721DDB">
        <w:rPr>
          <w:rFonts w:ascii="Times New Roman" w:hAnsi="Times New Roman"/>
          <w:bCs/>
          <w:kern w:val="28"/>
          <w:sz w:val="22"/>
        </w:rPr>
        <w:t>Australian Polio Expert Panel (</w:t>
      </w:r>
      <w:r w:rsidR="003F270A" w:rsidRPr="00721DDB">
        <w:rPr>
          <w:rFonts w:ascii="Times New Roman" w:hAnsi="Times New Roman"/>
          <w:bCs/>
          <w:kern w:val="28"/>
          <w:sz w:val="22"/>
        </w:rPr>
        <w:t>PEP</w:t>
      </w:r>
      <w:r w:rsidR="004E504B" w:rsidRPr="00721DDB">
        <w:rPr>
          <w:rFonts w:ascii="Times New Roman" w:hAnsi="Times New Roman"/>
          <w:bCs/>
          <w:kern w:val="28"/>
          <w:sz w:val="22"/>
        </w:rPr>
        <w:t>)</w:t>
      </w:r>
      <w:r w:rsidR="003F270A" w:rsidRPr="00721DDB">
        <w:rPr>
          <w:rFonts w:ascii="Times New Roman" w:hAnsi="Times New Roman"/>
          <w:bCs/>
          <w:kern w:val="28"/>
          <w:sz w:val="22"/>
        </w:rPr>
        <w:t xml:space="preserve">, </w:t>
      </w:r>
      <w:r w:rsidR="004E504B" w:rsidRPr="00721DDB">
        <w:rPr>
          <w:rFonts w:ascii="Times New Roman" w:hAnsi="Times New Roman"/>
          <w:bCs/>
          <w:kern w:val="28"/>
          <w:sz w:val="22"/>
        </w:rPr>
        <w:t>National Certification Committee for the Eradication of Poliomyelitis (</w:t>
      </w:r>
      <w:r w:rsidR="003F270A" w:rsidRPr="00721DDB">
        <w:rPr>
          <w:rFonts w:ascii="Times New Roman" w:hAnsi="Times New Roman"/>
          <w:bCs/>
          <w:kern w:val="28"/>
          <w:sz w:val="22"/>
        </w:rPr>
        <w:t>NCC</w:t>
      </w:r>
      <w:r w:rsidR="004E504B" w:rsidRPr="00721DDB">
        <w:rPr>
          <w:rFonts w:ascii="Times New Roman" w:hAnsi="Times New Roman"/>
          <w:bCs/>
          <w:kern w:val="28"/>
          <w:sz w:val="22"/>
        </w:rPr>
        <w:t>)</w:t>
      </w:r>
      <w:r w:rsidR="003F270A" w:rsidRPr="00721DDB">
        <w:rPr>
          <w:rFonts w:ascii="Times New Roman" w:hAnsi="Times New Roman"/>
          <w:bCs/>
          <w:kern w:val="28"/>
          <w:sz w:val="22"/>
        </w:rPr>
        <w:t xml:space="preserve"> and</w:t>
      </w:r>
      <w:r w:rsidR="00E24D65" w:rsidRPr="00721DDB">
        <w:rPr>
          <w:rFonts w:ascii="Times New Roman" w:hAnsi="Times New Roman"/>
          <w:bCs/>
          <w:kern w:val="28"/>
          <w:sz w:val="22"/>
        </w:rPr>
        <w:t xml:space="preserve"> </w:t>
      </w:r>
      <w:r w:rsidR="004E504B" w:rsidRPr="00721DDB">
        <w:rPr>
          <w:rFonts w:ascii="Times New Roman" w:hAnsi="Times New Roman"/>
          <w:bCs/>
          <w:kern w:val="28"/>
          <w:sz w:val="22"/>
        </w:rPr>
        <w:t xml:space="preserve">selected expert medical advisers from </w:t>
      </w:r>
      <w:r w:rsidR="00E24D65" w:rsidRPr="00721DDB">
        <w:rPr>
          <w:rFonts w:ascii="Times New Roman" w:hAnsi="Times New Roman"/>
          <w:bCs/>
          <w:kern w:val="28"/>
          <w:sz w:val="22"/>
        </w:rPr>
        <w:t xml:space="preserve">the Australian Government Department of Health. </w:t>
      </w:r>
    </w:p>
    <w:p w14:paraId="45DC93C8" w14:textId="77777777" w:rsidR="004E504B" w:rsidRPr="00721DDB" w:rsidRDefault="004E504B" w:rsidP="00721DDB">
      <w:pPr>
        <w:spacing w:after="160" w:line="259" w:lineRule="auto"/>
        <w:jc w:val="both"/>
        <w:rPr>
          <w:rFonts w:ascii="Times New Roman" w:hAnsi="Times New Roman"/>
          <w:bCs/>
          <w:kern w:val="28"/>
          <w:sz w:val="22"/>
        </w:rPr>
      </w:pPr>
    </w:p>
    <w:p w14:paraId="3A1E451C" w14:textId="77777777" w:rsidR="00E7324A" w:rsidRPr="00721DDB" w:rsidRDefault="00E24D65" w:rsidP="00721DDB">
      <w:pPr>
        <w:spacing w:after="160" w:line="259" w:lineRule="auto"/>
        <w:jc w:val="both"/>
        <w:rPr>
          <w:rFonts w:ascii="Times New Roman" w:hAnsi="Times New Roman"/>
          <w:bCs/>
          <w:kern w:val="28"/>
          <w:sz w:val="22"/>
        </w:rPr>
      </w:pPr>
      <w:r w:rsidRPr="00721DDB">
        <w:rPr>
          <w:rFonts w:ascii="Times New Roman" w:hAnsi="Times New Roman"/>
          <w:bCs/>
          <w:kern w:val="28"/>
          <w:sz w:val="22"/>
        </w:rPr>
        <w:t xml:space="preserve">The online Delphi survey was </w:t>
      </w:r>
      <w:r w:rsidR="00475C8C" w:rsidRPr="00721DDB">
        <w:rPr>
          <w:rFonts w:ascii="Times New Roman" w:hAnsi="Times New Roman"/>
          <w:bCs/>
          <w:kern w:val="28"/>
          <w:sz w:val="22"/>
        </w:rPr>
        <w:t>conducted in t</w:t>
      </w:r>
      <w:r w:rsidR="004E504B" w:rsidRPr="00721DDB">
        <w:rPr>
          <w:rFonts w:ascii="Times New Roman" w:hAnsi="Times New Roman"/>
          <w:bCs/>
          <w:kern w:val="28"/>
          <w:sz w:val="22"/>
        </w:rPr>
        <w:t>wo rounds</w:t>
      </w:r>
      <w:r w:rsidR="0004054F" w:rsidRPr="00721DDB">
        <w:rPr>
          <w:rFonts w:ascii="Times New Roman" w:hAnsi="Times New Roman"/>
          <w:bCs/>
          <w:kern w:val="28"/>
          <w:sz w:val="22"/>
        </w:rPr>
        <w:t xml:space="preserve"> using Qualtrics</w:t>
      </w:r>
      <w:r w:rsidR="00721DDB" w:rsidRPr="00721DDB">
        <w:rPr>
          <w:rFonts w:ascii="Times New Roman" w:hAnsi="Times New Roman"/>
          <w:bCs/>
          <w:kern w:val="28"/>
          <w:sz w:val="22"/>
        </w:rPr>
        <w:t xml:space="preserve"> XM</w:t>
      </w:r>
      <w:r w:rsidR="00B55398" w:rsidRPr="00721DDB">
        <w:rPr>
          <w:rFonts w:ascii="Times New Roman" w:hAnsi="Times New Roman"/>
          <w:bCs/>
          <w:kern w:val="28"/>
          <w:sz w:val="22"/>
        </w:rPr>
        <w:t xml:space="preserve"> </w:t>
      </w:r>
      <w:r w:rsidR="00B55398" w:rsidRPr="00721DDB">
        <w:rPr>
          <w:rFonts w:ascii="Times New Roman" w:hAnsi="Times New Roman"/>
          <w:bCs/>
          <w:kern w:val="28"/>
          <w:sz w:val="22"/>
        </w:rPr>
        <w:fldChar w:fldCharType="begin"/>
      </w:r>
      <w:r w:rsidR="00721DDB">
        <w:rPr>
          <w:rFonts w:ascii="Times New Roman" w:hAnsi="Times New Roman"/>
          <w:bCs/>
          <w:kern w:val="28"/>
          <w:sz w:val="22"/>
        </w:rPr>
        <w:instrText xml:space="preserve"> ADDIN EN.CITE &lt;EndNote&gt;&lt;Cite&gt;&lt;Author&gt;Qualtrics&lt;/Author&gt;&lt;Year&gt;2018&lt;/Year&gt;&lt;RecNum&gt;169&lt;/RecNum&gt;&lt;DisplayText&gt;(3)&lt;/DisplayText&gt;&lt;record&gt;&lt;rec-number&gt;169&lt;/rec-number&gt;&lt;foreign-keys&gt;&lt;key app="EN" db-id="e2sp5w29x95xtpe2velxwv5qwpzpr9a2edfp" timestamp="1537247343"&gt;169&lt;/key&gt;&lt;/foreign-keys&gt;&lt;ref-type name="Web Page"&gt;12&lt;/ref-type&gt;&lt;contributors&gt;&lt;authors&gt;&lt;author&gt;Qualtrics XM,&lt;/author&gt;&lt;/authors&gt;&lt;/contributors&gt;&lt;titles&gt;&lt;title&gt;Qualtrics XM &lt;/title&gt;&lt;/titles&gt;&lt;number&gt;15 May 2018&lt;/number&gt;&lt;dates&gt;&lt;year&gt;2018&lt;/year&gt;&lt;/dates&gt;&lt;pub-location&gt;Provo, Utah, USA&lt;/pub-location&gt;&lt;publisher&gt;Qualtrics &lt;/publisher&gt;&lt;urls&gt;&lt;related-urls&gt;&lt;url&gt;&lt;style face="underline" font="default" size="100%"&gt;https://www.qualtrics.com&lt;/style&gt;&lt;/url&gt;&lt;/related-urls&gt;&lt;/urls&gt;&lt;/record&gt;&lt;/Cite&gt;&lt;/EndNote&gt;</w:instrText>
      </w:r>
      <w:r w:rsidR="00B55398" w:rsidRPr="00721DDB">
        <w:rPr>
          <w:rFonts w:ascii="Times New Roman" w:hAnsi="Times New Roman"/>
          <w:bCs/>
          <w:kern w:val="28"/>
          <w:sz w:val="22"/>
        </w:rPr>
        <w:fldChar w:fldCharType="separate"/>
      </w:r>
      <w:r w:rsidR="00B55398" w:rsidRPr="00721DDB">
        <w:rPr>
          <w:rFonts w:ascii="Times New Roman" w:hAnsi="Times New Roman"/>
          <w:bCs/>
          <w:noProof/>
          <w:kern w:val="28"/>
          <w:sz w:val="22"/>
        </w:rPr>
        <w:t>(3)</w:t>
      </w:r>
      <w:r w:rsidR="00B55398" w:rsidRPr="00721DDB">
        <w:rPr>
          <w:rFonts w:ascii="Times New Roman" w:hAnsi="Times New Roman"/>
          <w:bCs/>
          <w:kern w:val="28"/>
          <w:sz w:val="22"/>
        </w:rPr>
        <w:fldChar w:fldCharType="end"/>
      </w:r>
      <w:r w:rsidR="0004054F" w:rsidRPr="00721DDB">
        <w:rPr>
          <w:rFonts w:ascii="Times New Roman" w:hAnsi="Times New Roman"/>
          <w:bCs/>
          <w:kern w:val="28"/>
          <w:sz w:val="22"/>
        </w:rPr>
        <w:t>, an online survey tool</w:t>
      </w:r>
      <w:r w:rsidR="00E7324A" w:rsidRPr="00721DDB">
        <w:rPr>
          <w:rFonts w:ascii="Times New Roman" w:hAnsi="Times New Roman"/>
          <w:bCs/>
          <w:kern w:val="28"/>
          <w:sz w:val="22"/>
        </w:rPr>
        <w:t xml:space="preserve">. </w:t>
      </w:r>
      <w:r w:rsidRPr="00721DDB">
        <w:rPr>
          <w:rFonts w:ascii="Times New Roman" w:hAnsi="Times New Roman"/>
          <w:bCs/>
          <w:kern w:val="28"/>
          <w:sz w:val="22"/>
        </w:rPr>
        <w:t xml:space="preserve">The first round </w:t>
      </w:r>
      <w:r w:rsidR="00475C8C" w:rsidRPr="00721DDB">
        <w:rPr>
          <w:rFonts w:ascii="Times New Roman" w:hAnsi="Times New Roman"/>
          <w:bCs/>
          <w:kern w:val="28"/>
          <w:sz w:val="22"/>
        </w:rPr>
        <w:t>request</w:t>
      </w:r>
      <w:r w:rsidRPr="00721DDB">
        <w:rPr>
          <w:rFonts w:ascii="Times New Roman" w:hAnsi="Times New Roman"/>
          <w:bCs/>
          <w:kern w:val="28"/>
          <w:sz w:val="22"/>
        </w:rPr>
        <w:t>ed</w:t>
      </w:r>
      <w:r w:rsidR="00475C8C" w:rsidRPr="00721DDB">
        <w:rPr>
          <w:rFonts w:ascii="Times New Roman" w:hAnsi="Times New Roman"/>
          <w:bCs/>
          <w:kern w:val="28"/>
          <w:sz w:val="22"/>
        </w:rPr>
        <w:t xml:space="preserve"> experts to rank the four risk elements in order of</w:t>
      </w:r>
      <w:r w:rsidRPr="00721DDB">
        <w:rPr>
          <w:rFonts w:ascii="Times New Roman" w:hAnsi="Times New Roman"/>
          <w:bCs/>
          <w:kern w:val="28"/>
          <w:sz w:val="22"/>
        </w:rPr>
        <w:t xml:space="preserve"> importance, and to provide comment on a proportional weighting for </w:t>
      </w:r>
      <w:r w:rsidR="00475C8C" w:rsidRPr="00721DDB">
        <w:rPr>
          <w:rFonts w:ascii="Times New Roman" w:hAnsi="Times New Roman"/>
          <w:bCs/>
          <w:kern w:val="28"/>
          <w:sz w:val="22"/>
        </w:rPr>
        <w:t>each risk element in terms of its perceived relative contribution to the overal</w:t>
      </w:r>
      <w:r w:rsidR="004E504B" w:rsidRPr="00721DDB">
        <w:rPr>
          <w:rFonts w:ascii="Times New Roman" w:hAnsi="Times New Roman"/>
          <w:bCs/>
          <w:kern w:val="28"/>
          <w:sz w:val="22"/>
        </w:rPr>
        <w:t xml:space="preserve">l poliovirus reintroduction, </w:t>
      </w:r>
      <w:r w:rsidR="00475C8C" w:rsidRPr="00721DDB">
        <w:rPr>
          <w:rFonts w:ascii="Times New Roman" w:hAnsi="Times New Roman"/>
          <w:bCs/>
          <w:kern w:val="28"/>
          <w:sz w:val="22"/>
        </w:rPr>
        <w:t xml:space="preserve">outbreak </w:t>
      </w:r>
      <w:r w:rsidR="004E504B" w:rsidRPr="00721DDB">
        <w:rPr>
          <w:rFonts w:ascii="Times New Roman" w:hAnsi="Times New Roman"/>
          <w:bCs/>
          <w:kern w:val="28"/>
          <w:sz w:val="22"/>
        </w:rPr>
        <w:t xml:space="preserve">and sustained transmission </w:t>
      </w:r>
      <w:r w:rsidR="00475C8C" w:rsidRPr="00721DDB">
        <w:rPr>
          <w:rFonts w:ascii="Times New Roman" w:hAnsi="Times New Roman"/>
          <w:bCs/>
          <w:kern w:val="28"/>
          <w:sz w:val="22"/>
        </w:rPr>
        <w:t>r</w:t>
      </w:r>
      <w:r w:rsidR="003F270A" w:rsidRPr="00721DDB">
        <w:rPr>
          <w:rFonts w:ascii="Times New Roman" w:hAnsi="Times New Roman"/>
          <w:bCs/>
          <w:kern w:val="28"/>
          <w:sz w:val="22"/>
        </w:rPr>
        <w:t>isk for Australia</w:t>
      </w:r>
      <w:r w:rsidR="004E504B" w:rsidRPr="00721DDB">
        <w:rPr>
          <w:rFonts w:ascii="Times New Roman" w:hAnsi="Times New Roman"/>
          <w:bCs/>
          <w:kern w:val="28"/>
          <w:sz w:val="22"/>
        </w:rPr>
        <w:t>, which was proposed by the risk assessment team</w:t>
      </w:r>
      <w:r w:rsidR="003F270A" w:rsidRPr="00721DDB">
        <w:rPr>
          <w:rFonts w:ascii="Times New Roman" w:hAnsi="Times New Roman"/>
          <w:bCs/>
          <w:kern w:val="28"/>
          <w:sz w:val="22"/>
        </w:rPr>
        <w:t xml:space="preserve">. </w:t>
      </w:r>
      <w:r w:rsidR="00BC6FC5" w:rsidRPr="00721DDB">
        <w:rPr>
          <w:rFonts w:ascii="Times New Roman" w:hAnsi="Times New Roman"/>
          <w:bCs/>
          <w:kern w:val="28"/>
          <w:sz w:val="22"/>
        </w:rPr>
        <w:t xml:space="preserve">Survey respondents </w:t>
      </w:r>
      <w:r w:rsidRPr="00721DDB">
        <w:rPr>
          <w:rFonts w:ascii="Times New Roman" w:hAnsi="Times New Roman"/>
          <w:bCs/>
          <w:kern w:val="28"/>
          <w:sz w:val="22"/>
        </w:rPr>
        <w:t xml:space="preserve">were </w:t>
      </w:r>
      <w:r w:rsidR="00475C8C" w:rsidRPr="00721DDB">
        <w:rPr>
          <w:rFonts w:ascii="Times New Roman" w:hAnsi="Times New Roman"/>
          <w:bCs/>
          <w:kern w:val="28"/>
          <w:sz w:val="22"/>
        </w:rPr>
        <w:t xml:space="preserve">required to </w:t>
      </w:r>
      <w:r w:rsidRPr="00721DDB">
        <w:rPr>
          <w:rFonts w:ascii="Times New Roman" w:hAnsi="Times New Roman"/>
          <w:bCs/>
          <w:kern w:val="28"/>
          <w:sz w:val="22"/>
        </w:rPr>
        <w:t xml:space="preserve">provide a justification for any </w:t>
      </w:r>
      <w:r w:rsidR="003F270A" w:rsidRPr="00721DDB">
        <w:rPr>
          <w:rFonts w:ascii="Times New Roman" w:hAnsi="Times New Roman"/>
          <w:bCs/>
          <w:kern w:val="28"/>
          <w:sz w:val="22"/>
        </w:rPr>
        <w:t xml:space="preserve">alternative </w:t>
      </w:r>
      <w:r w:rsidRPr="00721DDB">
        <w:rPr>
          <w:rFonts w:ascii="Times New Roman" w:hAnsi="Times New Roman"/>
          <w:bCs/>
          <w:kern w:val="28"/>
          <w:sz w:val="22"/>
        </w:rPr>
        <w:t xml:space="preserve">proportional weighting </w:t>
      </w:r>
      <w:r w:rsidR="00B32067" w:rsidRPr="00721DDB">
        <w:rPr>
          <w:rFonts w:ascii="Times New Roman" w:hAnsi="Times New Roman"/>
          <w:bCs/>
          <w:kern w:val="28"/>
          <w:sz w:val="22"/>
        </w:rPr>
        <w:t xml:space="preserve">factors </w:t>
      </w:r>
      <w:r w:rsidRPr="00721DDB">
        <w:rPr>
          <w:rFonts w:ascii="Times New Roman" w:hAnsi="Times New Roman"/>
          <w:bCs/>
          <w:kern w:val="28"/>
          <w:sz w:val="22"/>
        </w:rPr>
        <w:t xml:space="preserve">proposed </w:t>
      </w:r>
      <w:r w:rsidR="00475C8C" w:rsidRPr="00721DDB">
        <w:rPr>
          <w:rFonts w:ascii="Times New Roman" w:hAnsi="Times New Roman"/>
          <w:bCs/>
          <w:kern w:val="28"/>
          <w:sz w:val="22"/>
        </w:rPr>
        <w:t xml:space="preserve">for each </w:t>
      </w:r>
      <w:r w:rsidR="00B32067" w:rsidRPr="00721DDB">
        <w:rPr>
          <w:rFonts w:ascii="Times New Roman" w:hAnsi="Times New Roman"/>
          <w:bCs/>
          <w:kern w:val="28"/>
          <w:sz w:val="22"/>
        </w:rPr>
        <w:t xml:space="preserve">risk </w:t>
      </w:r>
      <w:r w:rsidR="004E504B" w:rsidRPr="00721DDB">
        <w:rPr>
          <w:rFonts w:ascii="Times New Roman" w:hAnsi="Times New Roman"/>
          <w:bCs/>
          <w:kern w:val="28"/>
          <w:sz w:val="22"/>
        </w:rPr>
        <w:t xml:space="preserve">element. </w:t>
      </w:r>
      <w:r w:rsidR="00475C8C" w:rsidRPr="00721DDB">
        <w:rPr>
          <w:rFonts w:ascii="Times New Roman" w:hAnsi="Times New Roman"/>
          <w:bCs/>
          <w:kern w:val="28"/>
          <w:sz w:val="22"/>
        </w:rPr>
        <w:t>In the second round, results from the firs</w:t>
      </w:r>
      <w:r w:rsidRPr="00721DDB">
        <w:rPr>
          <w:rFonts w:ascii="Times New Roman" w:hAnsi="Times New Roman"/>
          <w:bCs/>
          <w:kern w:val="28"/>
          <w:sz w:val="22"/>
        </w:rPr>
        <w:t xml:space="preserve">t round of consultation were anonymised and circulated </w:t>
      </w:r>
      <w:r w:rsidR="00475C8C" w:rsidRPr="00721DDB">
        <w:rPr>
          <w:rFonts w:ascii="Times New Roman" w:hAnsi="Times New Roman"/>
          <w:bCs/>
          <w:kern w:val="28"/>
          <w:sz w:val="22"/>
        </w:rPr>
        <w:t>to pr</w:t>
      </w:r>
      <w:r w:rsidRPr="00721DDB">
        <w:rPr>
          <w:rFonts w:ascii="Times New Roman" w:hAnsi="Times New Roman"/>
          <w:bCs/>
          <w:kern w:val="28"/>
          <w:sz w:val="22"/>
        </w:rPr>
        <w:t xml:space="preserve">ovide an opportunity for </w:t>
      </w:r>
      <w:r w:rsidR="00B32067" w:rsidRPr="00721DDB">
        <w:rPr>
          <w:rFonts w:ascii="Times New Roman" w:hAnsi="Times New Roman"/>
          <w:bCs/>
          <w:kern w:val="28"/>
          <w:sz w:val="22"/>
        </w:rPr>
        <w:t xml:space="preserve">participating </w:t>
      </w:r>
      <w:r w:rsidRPr="00721DDB">
        <w:rPr>
          <w:rFonts w:ascii="Times New Roman" w:hAnsi="Times New Roman"/>
          <w:bCs/>
          <w:kern w:val="28"/>
          <w:sz w:val="22"/>
        </w:rPr>
        <w:t>SMEs</w:t>
      </w:r>
      <w:r w:rsidR="00BC6FC5" w:rsidRPr="00721DDB">
        <w:rPr>
          <w:rFonts w:ascii="Times New Roman" w:hAnsi="Times New Roman"/>
          <w:bCs/>
          <w:kern w:val="28"/>
          <w:sz w:val="22"/>
        </w:rPr>
        <w:t xml:space="preserve"> </w:t>
      </w:r>
      <w:r w:rsidR="00475C8C" w:rsidRPr="00721DDB">
        <w:rPr>
          <w:rFonts w:ascii="Times New Roman" w:hAnsi="Times New Roman"/>
          <w:bCs/>
          <w:kern w:val="28"/>
          <w:sz w:val="22"/>
        </w:rPr>
        <w:t xml:space="preserve">to consider all </w:t>
      </w:r>
      <w:r w:rsidR="004E504B" w:rsidRPr="00721DDB">
        <w:rPr>
          <w:rFonts w:ascii="Times New Roman" w:hAnsi="Times New Roman"/>
          <w:bCs/>
          <w:kern w:val="28"/>
          <w:sz w:val="22"/>
        </w:rPr>
        <w:t xml:space="preserve">proposed </w:t>
      </w:r>
      <w:r w:rsidR="00475C8C" w:rsidRPr="00721DDB">
        <w:rPr>
          <w:rFonts w:ascii="Times New Roman" w:hAnsi="Times New Roman"/>
          <w:bCs/>
          <w:kern w:val="28"/>
          <w:sz w:val="22"/>
        </w:rPr>
        <w:t>weighting</w:t>
      </w:r>
      <w:r w:rsidR="004E504B" w:rsidRPr="00721DDB">
        <w:rPr>
          <w:rFonts w:ascii="Times New Roman" w:hAnsi="Times New Roman"/>
          <w:bCs/>
          <w:kern w:val="28"/>
          <w:sz w:val="22"/>
        </w:rPr>
        <w:t>s</w:t>
      </w:r>
      <w:r w:rsidR="00475C8C" w:rsidRPr="00721DDB">
        <w:rPr>
          <w:rFonts w:ascii="Times New Roman" w:hAnsi="Times New Roman"/>
          <w:bCs/>
          <w:kern w:val="28"/>
          <w:sz w:val="22"/>
        </w:rPr>
        <w:t xml:space="preserve"> and justifications submitted, and to revise their own estimates </w:t>
      </w:r>
      <w:r w:rsidRPr="00721DDB">
        <w:rPr>
          <w:rFonts w:ascii="Times New Roman" w:hAnsi="Times New Roman"/>
          <w:bCs/>
          <w:kern w:val="28"/>
          <w:sz w:val="22"/>
        </w:rPr>
        <w:t xml:space="preserve">in light of others’ submissions, </w:t>
      </w:r>
      <w:r w:rsidR="003F270A" w:rsidRPr="00721DDB">
        <w:rPr>
          <w:rFonts w:ascii="Times New Roman" w:hAnsi="Times New Roman"/>
          <w:bCs/>
          <w:kern w:val="28"/>
          <w:sz w:val="22"/>
        </w:rPr>
        <w:t>if deemed necessary</w:t>
      </w:r>
      <w:r w:rsidR="004E504B" w:rsidRPr="00721DDB">
        <w:rPr>
          <w:rFonts w:ascii="Times New Roman" w:hAnsi="Times New Roman"/>
          <w:bCs/>
          <w:kern w:val="28"/>
          <w:sz w:val="22"/>
        </w:rPr>
        <w:t>.</w:t>
      </w:r>
      <w:r w:rsidR="0004054F" w:rsidRPr="00721DDB">
        <w:rPr>
          <w:rFonts w:ascii="Times New Roman" w:hAnsi="Times New Roman"/>
          <w:bCs/>
          <w:kern w:val="28"/>
          <w:sz w:val="22"/>
        </w:rPr>
        <w:t xml:space="preserve"> </w:t>
      </w:r>
    </w:p>
    <w:p w14:paraId="364E1AC4" w14:textId="77777777" w:rsidR="00E7324A" w:rsidRPr="00721DDB" w:rsidRDefault="00E7324A" w:rsidP="00721DDB">
      <w:pPr>
        <w:spacing w:after="160" w:line="259" w:lineRule="auto"/>
        <w:jc w:val="both"/>
        <w:rPr>
          <w:rFonts w:ascii="Times New Roman" w:hAnsi="Times New Roman"/>
          <w:bCs/>
          <w:kern w:val="28"/>
          <w:sz w:val="22"/>
        </w:rPr>
      </w:pPr>
    </w:p>
    <w:p w14:paraId="6D6591A4" w14:textId="77777777" w:rsidR="00881C97" w:rsidRDefault="00801CB3" w:rsidP="00721DDB">
      <w:pPr>
        <w:spacing w:after="160" w:line="259" w:lineRule="auto"/>
        <w:jc w:val="both"/>
        <w:rPr>
          <w:rFonts w:ascii="Times New Roman" w:hAnsi="Times New Roman"/>
          <w:bCs/>
          <w:kern w:val="28"/>
          <w:sz w:val="22"/>
        </w:rPr>
      </w:pPr>
      <w:r w:rsidRPr="00721DDB">
        <w:rPr>
          <w:rFonts w:ascii="Times New Roman" w:hAnsi="Times New Roman"/>
          <w:bCs/>
          <w:kern w:val="28"/>
          <w:sz w:val="22"/>
        </w:rPr>
        <w:t xml:space="preserve">The response rate was very high, with 13/16 (81%) </w:t>
      </w:r>
      <w:r w:rsidR="00CB17E8" w:rsidRPr="00721DDB">
        <w:rPr>
          <w:rFonts w:ascii="Times New Roman" w:hAnsi="Times New Roman"/>
          <w:bCs/>
          <w:kern w:val="28"/>
          <w:sz w:val="22"/>
        </w:rPr>
        <w:t>and 12/16 (75%) of all SMEs</w:t>
      </w:r>
      <w:r w:rsidRPr="00721DDB">
        <w:rPr>
          <w:rFonts w:ascii="Times New Roman" w:hAnsi="Times New Roman"/>
          <w:bCs/>
          <w:kern w:val="28"/>
          <w:sz w:val="22"/>
        </w:rPr>
        <w:t xml:space="preserve"> invited </w:t>
      </w:r>
      <w:r w:rsidR="00CB17E8" w:rsidRPr="00721DDB">
        <w:rPr>
          <w:rFonts w:ascii="Times New Roman" w:hAnsi="Times New Roman"/>
          <w:bCs/>
          <w:kern w:val="28"/>
          <w:sz w:val="22"/>
        </w:rPr>
        <w:t>to participate, completing round 1 and 2</w:t>
      </w:r>
      <w:r w:rsidRPr="00721DDB">
        <w:rPr>
          <w:rFonts w:ascii="Times New Roman" w:hAnsi="Times New Roman"/>
          <w:bCs/>
          <w:kern w:val="28"/>
          <w:sz w:val="22"/>
        </w:rPr>
        <w:t xml:space="preserve"> of the survey</w:t>
      </w:r>
      <w:r w:rsidR="00CB17E8" w:rsidRPr="00721DDB">
        <w:rPr>
          <w:rFonts w:ascii="Times New Roman" w:hAnsi="Times New Roman"/>
          <w:bCs/>
          <w:kern w:val="28"/>
          <w:sz w:val="22"/>
        </w:rPr>
        <w:t>, respectively</w:t>
      </w:r>
      <w:r w:rsidRPr="00721DDB">
        <w:rPr>
          <w:rFonts w:ascii="Times New Roman" w:hAnsi="Times New Roman"/>
          <w:bCs/>
          <w:kern w:val="28"/>
          <w:sz w:val="22"/>
        </w:rPr>
        <w:t xml:space="preserve">. </w:t>
      </w:r>
      <w:r w:rsidR="00475C8C" w:rsidRPr="00721DDB">
        <w:rPr>
          <w:rFonts w:ascii="Times New Roman" w:hAnsi="Times New Roman"/>
          <w:bCs/>
          <w:kern w:val="28"/>
          <w:sz w:val="22"/>
        </w:rPr>
        <w:t>Following two rounds of expert elicitation, the wei</w:t>
      </w:r>
      <w:r w:rsidR="004E504B" w:rsidRPr="00721DDB">
        <w:rPr>
          <w:rFonts w:ascii="Times New Roman" w:hAnsi="Times New Roman"/>
          <w:bCs/>
          <w:kern w:val="28"/>
          <w:sz w:val="22"/>
        </w:rPr>
        <w:t xml:space="preserve">ghting for each element was finalised by reaching a </w:t>
      </w:r>
      <w:r w:rsidR="00F9084C" w:rsidRPr="00721DDB">
        <w:rPr>
          <w:rFonts w:ascii="Times New Roman" w:hAnsi="Times New Roman"/>
          <w:bCs/>
          <w:kern w:val="28"/>
          <w:sz w:val="22"/>
        </w:rPr>
        <w:t xml:space="preserve">majority agreement </w:t>
      </w:r>
      <w:r w:rsidR="004E504B" w:rsidRPr="00721DDB">
        <w:rPr>
          <w:rFonts w:ascii="Times New Roman" w:hAnsi="Times New Roman"/>
          <w:bCs/>
          <w:kern w:val="28"/>
          <w:sz w:val="22"/>
        </w:rPr>
        <w:t xml:space="preserve">to use </w:t>
      </w:r>
      <w:r w:rsidR="00475C8C" w:rsidRPr="00721DDB">
        <w:rPr>
          <w:rFonts w:ascii="Times New Roman" w:hAnsi="Times New Roman"/>
          <w:bCs/>
          <w:kern w:val="28"/>
          <w:sz w:val="22"/>
        </w:rPr>
        <w:t xml:space="preserve">the </w:t>
      </w:r>
      <w:r w:rsidR="004E504B" w:rsidRPr="00721DDB">
        <w:rPr>
          <w:rFonts w:ascii="Times New Roman" w:hAnsi="Times New Roman"/>
          <w:bCs/>
          <w:kern w:val="28"/>
          <w:sz w:val="22"/>
        </w:rPr>
        <w:t xml:space="preserve">calculated </w:t>
      </w:r>
      <w:r w:rsidR="00475C8C" w:rsidRPr="00721DDB">
        <w:rPr>
          <w:rFonts w:ascii="Times New Roman" w:hAnsi="Times New Roman"/>
          <w:bCs/>
          <w:kern w:val="28"/>
          <w:sz w:val="22"/>
        </w:rPr>
        <w:t xml:space="preserve">median </w:t>
      </w:r>
      <w:r w:rsidR="004E504B" w:rsidRPr="00721DDB">
        <w:rPr>
          <w:rFonts w:ascii="Times New Roman" w:hAnsi="Times New Roman"/>
          <w:bCs/>
          <w:kern w:val="28"/>
          <w:sz w:val="22"/>
        </w:rPr>
        <w:t xml:space="preserve">value of the </w:t>
      </w:r>
      <w:r w:rsidR="00475C8C" w:rsidRPr="00721DDB">
        <w:rPr>
          <w:rFonts w:ascii="Times New Roman" w:hAnsi="Times New Roman"/>
          <w:bCs/>
          <w:kern w:val="28"/>
          <w:sz w:val="22"/>
        </w:rPr>
        <w:t xml:space="preserve">range of </w:t>
      </w:r>
      <w:r w:rsidR="004E504B" w:rsidRPr="00721DDB">
        <w:rPr>
          <w:rFonts w:ascii="Times New Roman" w:hAnsi="Times New Roman"/>
          <w:bCs/>
          <w:kern w:val="28"/>
          <w:sz w:val="22"/>
        </w:rPr>
        <w:t xml:space="preserve">weighting factor </w:t>
      </w:r>
      <w:r w:rsidR="00475C8C" w:rsidRPr="00721DDB">
        <w:rPr>
          <w:rFonts w:ascii="Times New Roman" w:hAnsi="Times New Roman"/>
          <w:bCs/>
          <w:kern w:val="28"/>
          <w:sz w:val="22"/>
        </w:rPr>
        <w:t xml:space="preserve">point estimates </w:t>
      </w:r>
      <w:r w:rsidR="00CB17E8" w:rsidRPr="00721DDB">
        <w:rPr>
          <w:rFonts w:ascii="Times New Roman" w:hAnsi="Times New Roman"/>
          <w:bCs/>
          <w:kern w:val="28"/>
          <w:sz w:val="22"/>
        </w:rPr>
        <w:t xml:space="preserve">received </w:t>
      </w:r>
      <w:r w:rsidR="00475C8C" w:rsidRPr="00721DDB">
        <w:rPr>
          <w:rFonts w:ascii="Times New Roman" w:hAnsi="Times New Roman"/>
          <w:bCs/>
          <w:kern w:val="28"/>
          <w:sz w:val="22"/>
        </w:rPr>
        <w:t xml:space="preserve">for each </w:t>
      </w:r>
      <w:r w:rsidR="00CB17E8" w:rsidRPr="00721DDB">
        <w:rPr>
          <w:rFonts w:ascii="Times New Roman" w:hAnsi="Times New Roman"/>
          <w:bCs/>
          <w:kern w:val="28"/>
          <w:sz w:val="22"/>
        </w:rPr>
        <w:t>risk element</w:t>
      </w:r>
      <w:r w:rsidR="00AB522D" w:rsidRPr="00721DDB">
        <w:rPr>
          <w:rFonts w:ascii="Times New Roman" w:hAnsi="Times New Roman"/>
          <w:bCs/>
          <w:kern w:val="28"/>
          <w:sz w:val="22"/>
        </w:rPr>
        <w:t xml:space="preserve"> (</w:t>
      </w:r>
      <w:r w:rsidR="00AB522D" w:rsidRPr="00721DDB">
        <w:rPr>
          <w:rFonts w:ascii="Times New Roman" w:hAnsi="Times New Roman"/>
          <w:bCs/>
          <w:kern w:val="28"/>
          <w:sz w:val="22"/>
        </w:rPr>
        <w:fldChar w:fldCharType="begin"/>
      </w:r>
      <w:r w:rsidR="00AB522D" w:rsidRPr="00721DDB">
        <w:rPr>
          <w:rFonts w:ascii="Times New Roman" w:hAnsi="Times New Roman"/>
          <w:bCs/>
          <w:kern w:val="28"/>
          <w:sz w:val="22"/>
        </w:rPr>
        <w:instrText xml:space="preserve"> REF _Ref529955222 \h </w:instrText>
      </w:r>
      <w:r w:rsidR="00721DDB" w:rsidRPr="00721DDB">
        <w:rPr>
          <w:rFonts w:ascii="Times New Roman" w:hAnsi="Times New Roman"/>
          <w:bCs/>
          <w:kern w:val="28"/>
          <w:sz w:val="22"/>
        </w:rPr>
        <w:instrText xml:space="preserve"> \* MERGEFORMAT </w:instrText>
      </w:r>
      <w:r w:rsidR="00AB522D" w:rsidRPr="00721DDB">
        <w:rPr>
          <w:rFonts w:ascii="Times New Roman" w:hAnsi="Times New Roman"/>
          <w:bCs/>
          <w:kern w:val="28"/>
          <w:sz w:val="22"/>
        </w:rPr>
      </w:r>
      <w:r w:rsidR="00AB522D" w:rsidRPr="00721DDB">
        <w:rPr>
          <w:rFonts w:ascii="Times New Roman" w:hAnsi="Times New Roman"/>
          <w:bCs/>
          <w:kern w:val="28"/>
          <w:sz w:val="22"/>
        </w:rPr>
        <w:fldChar w:fldCharType="separate"/>
      </w:r>
      <w:r w:rsidR="00AE3396" w:rsidRPr="00721DDB">
        <w:rPr>
          <w:rFonts w:ascii="Times New Roman" w:hAnsi="Times New Roman"/>
          <w:color w:val="auto"/>
          <w:sz w:val="22"/>
        </w:rPr>
        <w:t xml:space="preserve">Table </w:t>
      </w:r>
      <w:r w:rsidR="00AE3396" w:rsidRPr="00721DDB">
        <w:rPr>
          <w:rFonts w:ascii="Times New Roman" w:hAnsi="Times New Roman"/>
          <w:noProof/>
          <w:color w:val="auto"/>
          <w:sz w:val="22"/>
        </w:rPr>
        <w:t>11</w:t>
      </w:r>
      <w:r w:rsidR="00AB522D" w:rsidRPr="00721DDB">
        <w:rPr>
          <w:rFonts w:ascii="Times New Roman" w:hAnsi="Times New Roman"/>
          <w:bCs/>
          <w:kern w:val="28"/>
          <w:sz w:val="22"/>
        </w:rPr>
        <w:fldChar w:fldCharType="end"/>
      </w:r>
      <w:r w:rsidR="00AB522D" w:rsidRPr="00721DDB">
        <w:rPr>
          <w:rFonts w:ascii="Times New Roman" w:hAnsi="Times New Roman"/>
          <w:bCs/>
          <w:kern w:val="28"/>
          <w:sz w:val="22"/>
        </w:rPr>
        <w:t>)</w:t>
      </w:r>
      <w:r w:rsidR="004E504B" w:rsidRPr="00721DDB">
        <w:rPr>
          <w:rFonts w:ascii="Times New Roman" w:hAnsi="Times New Roman"/>
          <w:bCs/>
          <w:kern w:val="28"/>
          <w:sz w:val="22"/>
        </w:rPr>
        <w:t xml:space="preserve">. </w:t>
      </w:r>
      <w:r w:rsidR="008B4321" w:rsidRPr="00721DDB">
        <w:rPr>
          <w:rFonts w:ascii="Times New Roman" w:hAnsi="Times New Roman"/>
          <w:bCs/>
          <w:kern w:val="28"/>
          <w:sz w:val="22"/>
        </w:rPr>
        <w:t xml:space="preserve">Nevertheless, 6/13 (46%) of </w:t>
      </w:r>
      <w:r w:rsidR="008B4321" w:rsidRPr="00721DDB">
        <w:rPr>
          <w:rFonts w:ascii="Times New Roman" w:hAnsi="Times New Roman"/>
          <w:bCs/>
          <w:iCs/>
          <w:kern w:val="28"/>
          <w:sz w:val="22"/>
        </w:rPr>
        <w:t>respondents proposed </w:t>
      </w:r>
      <w:r w:rsidR="008B4321" w:rsidRPr="00721DDB">
        <w:rPr>
          <w:rFonts w:ascii="Times New Roman" w:hAnsi="Times New Roman"/>
          <w:kern w:val="28"/>
          <w:sz w:val="22"/>
        </w:rPr>
        <w:t xml:space="preserve">alternative weightings; to account for this, </w:t>
      </w:r>
      <w:r w:rsidR="008B4321" w:rsidRPr="00721DDB">
        <w:rPr>
          <w:rFonts w:ascii="Times New Roman" w:hAnsi="Times New Roman"/>
          <w:bCs/>
          <w:kern w:val="28"/>
          <w:sz w:val="22"/>
        </w:rPr>
        <w:t>these were incorporated into a sensitivity analysis, to evaluate the impact of alternative weightings on variability in the final results of the assessment.</w:t>
      </w:r>
    </w:p>
    <w:p w14:paraId="6C912282" w14:textId="77777777" w:rsidR="00881C97" w:rsidRDefault="00881C97">
      <w:pPr>
        <w:spacing w:after="0" w:line="240" w:lineRule="auto"/>
        <w:rPr>
          <w:rFonts w:ascii="Times New Roman" w:hAnsi="Times New Roman"/>
          <w:bCs/>
          <w:kern w:val="28"/>
          <w:sz w:val="22"/>
        </w:rPr>
      </w:pPr>
      <w:r>
        <w:rPr>
          <w:rFonts w:ascii="Times New Roman" w:hAnsi="Times New Roman"/>
          <w:bCs/>
          <w:kern w:val="28"/>
          <w:sz w:val="22"/>
        </w:rPr>
        <w:br w:type="page"/>
      </w:r>
    </w:p>
    <w:p w14:paraId="16E5BEA7" w14:textId="77777777" w:rsidR="002911FF" w:rsidRDefault="002911FF" w:rsidP="00721DDB">
      <w:pPr>
        <w:spacing w:after="160" w:line="259" w:lineRule="auto"/>
        <w:jc w:val="both"/>
        <w:rPr>
          <w:rFonts w:ascii="Times New Roman" w:hAnsi="Times New Roman"/>
          <w:bCs/>
          <w:kern w:val="28"/>
          <w:sz w:val="22"/>
        </w:rPr>
      </w:pPr>
    </w:p>
    <w:p w14:paraId="06CFD607" w14:textId="77777777" w:rsidR="00E7324A" w:rsidRPr="00000C6B" w:rsidRDefault="002911FF" w:rsidP="002911FF">
      <w:pPr>
        <w:pStyle w:val="Caption"/>
        <w:rPr>
          <w:rFonts w:ascii="Times New Roman" w:hAnsi="Times New Roman"/>
          <w:color w:val="auto"/>
          <w:sz w:val="22"/>
          <w:szCs w:val="22"/>
        </w:rPr>
      </w:pPr>
      <w:bookmarkStart w:id="35" w:name="_Ref529955222"/>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11</w:t>
      </w:r>
      <w:r w:rsidRPr="00000C6B">
        <w:rPr>
          <w:rFonts w:ascii="Times New Roman" w:hAnsi="Times New Roman"/>
          <w:color w:val="auto"/>
          <w:sz w:val="22"/>
          <w:szCs w:val="22"/>
        </w:rPr>
        <w:fldChar w:fldCharType="end"/>
      </w:r>
      <w:bookmarkEnd w:id="35"/>
      <w:r w:rsidRPr="00000C6B">
        <w:rPr>
          <w:rFonts w:ascii="Times New Roman" w:hAnsi="Times New Roman"/>
          <w:color w:val="auto"/>
          <w:sz w:val="22"/>
          <w:szCs w:val="22"/>
        </w:rPr>
        <w:t>: Risk element weightings determined through an expert-informed Delphi method</w:t>
      </w:r>
    </w:p>
    <w:tbl>
      <w:tblPr>
        <w:tblStyle w:val="TableGrid"/>
        <w:tblW w:w="0" w:type="auto"/>
        <w:tblInd w:w="392" w:type="dxa"/>
        <w:tblLook w:val="04A0" w:firstRow="1" w:lastRow="0" w:firstColumn="1" w:lastColumn="0" w:noHBand="0" w:noVBand="1"/>
        <w:tblCaption w:val="Table 11: Risk element weightings determined through an expert-informed Delphi method"/>
        <w:tblDescription w:val="Table shows risk element weightings determined through an expert-informed Delphi method"/>
      </w:tblPr>
      <w:tblGrid>
        <w:gridCol w:w="1619"/>
        <w:gridCol w:w="1211"/>
        <w:gridCol w:w="5794"/>
      </w:tblGrid>
      <w:tr w:rsidR="006C30CC" w:rsidRPr="00721DDB" w14:paraId="64D79798" w14:textId="77777777" w:rsidTr="006C30CC">
        <w:trPr>
          <w:tblHeader/>
        </w:trPr>
        <w:tc>
          <w:tcPr>
            <w:tcW w:w="0" w:type="auto"/>
            <w:shd w:val="clear" w:color="auto" w:fill="D9D9D9" w:themeFill="background1" w:themeFillShade="D9"/>
          </w:tcPr>
          <w:p w14:paraId="6E527759" w14:textId="77777777" w:rsidR="00721DDB" w:rsidRPr="00721DDB" w:rsidRDefault="00721DDB" w:rsidP="00E2721E">
            <w:pPr>
              <w:spacing w:after="0" w:line="240" w:lineRule="auto"/>
              <w:rPr>
                <w:rFonts w:ascii="Times New Roman" w:hAnsi="Times New Roman"/>
                <w:b/>
                <w:bCs/>
                <w:kern w:val="28"/>
                <w:sz w:val="20"/>
                <w:szCs w:val="20"/>
              </w:rPr>
            </w:pPr>
            <w:r w:rsidRPr="00721DDB">
              <w:rPr>
                <w:rFonts w:ascii="Times New Roman" w:hAnsi="Times New Roman"/>
                <w:b/>
                <w:bCs/>
                <w:kern w:val="28"/>
                <w:sz w:val="20"/>
                <w:szCs w:val="20"/>
              </w:rPr>
              <w:t>Risk element</w:t>
            </w:r>
          </w:p>
        </w:tc>
        <w:tc>
          <w:tcPr>
            <w:tcW w:w="0" w:type="auto"/>
            <w:shd w:val="clear" w:color="auto" w:fill="D9D9D9" w:themeFill="background1" w:themeFillShade="D9"/>
          </w:tcPr>
          <w:p w14:paraId="6CB982FF" w14:textId="77777777" w:rsidR="00721DDB" w:rsidRPr="00721DDB" w:rsidRDefault="00721DDB" w:rsidP="00E2721E">
            <w:pPr>
              <w:spacing w:after="0" w:line="240" w:lineRule="auto"/>
              <w:rPr>
                <w:rFonts w:ascii="Times New Roman" w:hAnsi="Times New Roman"/>
                <w:b/>
                <w:bCs/>
                <w:kern w:val="28"/>
                <w:sz w:val="20"/>
                <w:szCs w:val="20"/>
              </w:rPr>
            </w:pPr>
            <w:r w:rsidRPr="00721DDB">
              <w:rPr>
                <w:rFonts w:ascii="Times New Roman" w:hAnsi="Times New Roman"/>
                <w:b/>
                <w:bCs/>
                <w:kern w:val="28"/>
                <w:sz w:val="20"/>
                <w:szCs w:val="20"/>
              </w:rPr>
              <w:t>Weighting factor</w:t>
            </w:r>
          </w:p>
        </w:tc>
        <w:tc>
          <w:tcPr>
            <w:tcW w:w="0" w:type="auto"/>
            <w:shd w:val="clear" w:color="auto" w:fill="D9D9D9" w:themeFill="background1" w:themeFillShade="D9"/>
          </w:tcPr>
          <w:p w14:paraId="23E35F9C" w14:textId="77777777" w:rsidR="00721DDB" w:rsidRPr="00721DDB" w:rsidRDefault="00721DDB" w:rsidP="00E2721E">
            <w:pPr>
              <w:spacing w:after="0" w:line="240" w:lineRule="auto"/>
              <w:rPr>
                <w:rFonts w:ascii="Times New Roman" w:hAnsi="Times New Roman"/>
                <w:b/>
                <w:bCs/>
                <w:kern w:val="28"/>
                <w:sz w:val="20"/>
                <w:szCs w:val="20"/>
              </w:rPr>
            </w:pPr>
            <w:r w:rsidRPr="00721DDB">
              <w:rPr>
                <w:rFonts w:ascii="Times New Roman" w:hAnsi="Times New Roman"/>
                <w:b/>
                <w:bCs/>
                <w:kern w:val="28"/>
                <w:sz w:val="20"/>
                <w:szCs w:val="20"/>
              </w:rPr>
              <w:t>Justification</w:t>
            </w:r>
          </w:p>
        </w:tc>
      </w:tr>
      <w:tr w:rsidR="006C30CC" w:rsidRPr="00721DDB" w14:paraId="798C461B" w14:textId="77777777" w:rsidTr="006C30CC">
        <w:tc>
          <w:tcPr>
            <w:tcW w:w="0" w:type="auto"/>
          </w:tcPr>
          <w:p w14:paraId="3DDF9DB3" w14:textId="77777777" w:rsidR="00721DDB" w:rsidRPr="00721DDB" w:rsidRDefault="006C30CC" w:rsidP="00E2721E">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Reintroduction hazard </w:t>
            </w:r>
            <w:r w:rsidR="00721DDB" w:rsidRPr="00721DDB">
              <w:rPr>
                <w:rFonts w:ascii="Times New Roman" w:hAnsi="Times New Roman"/>
                <w:bCs/>
                <w:kern w:val="28"/>
                <w:sz w:val="20"/>
                <w:szCs w:val="20"/>
              </w:rPr>
              <w:t>(H)</w:t>
            </w:r>
          </w:p>
        </w:tc>
        <w:tc>
          <w:tcPr>
            <w:tcW w:w="0" w:type="auto"/>
          </w:tcPr>
          <w:p w14:paraId="46B1C30E" w14:textId="77777777" w:rsidR="00721DDB" w:rsidRPr="00721DDB" w:rsidRDefault="00721DDB" w:rsidP="00E2721E">
            <w:pPr>
              <w:spacing w:after="0" w:line="240" w:lineRule="auto"/>
              <w:jc w:val="center"/>
              <w:rPr>
                <w:rFonts w:ascii="Times New Roman" w:hAnsi="Times New Roman"/>
                <w:bCs/>
                <w:kern w:val="28"/>
                <w:sz w:val="20"/>
                <w:szCs w:val="20"/>
              </w:rPr>
            </w:pPr>
            <w:r w:rsidRPr="00721DDB">
              <w:rPr>
                <w:rFonts w:ascii="Times New Roman" w:hAnsi="Times New Roman"/>
                <w:bCs/>
                <w:kern w:val="28"/>
                <w:sz w:val="20"/>
                <w:szCs w:val="20"/>
              </w:rPr>
              <w:t>0.15</w:t>
            </w:r>
          </w:p>
        </w:tc>
        <w:tc>
          <w:tcPr>
            <w:tcW w:w="0" w:type="auto"/>
          </w:tcPr>
          <w:p w14:paraId="2C94C08F" w14:textId="77777777" w:rsidR="00721DDB" w:rsidRPr="00721DDB" w:rsidRDefault="00721DDB" w:rsidP="00E2721E">
            <w:pPr>
              <w:pStyle w:val="ListParagraph"/>
              <w:numPr>
                <w:ilvl w:val="0"/>
                <w:numId w:val="38"/>
              </w:numPr>
              <w:spacing w:after="0" w:line="240" w:lineRule="auto"/>
              <w:rPr>
                <w:rFonts w:ascii="Times New Roman" w:hAnsi="Times New Roman"/>
                <w:sz w:val="20"/>
                <w:szCs w:val="20"/>
              </w:rPr>
            </w:pPr>
            <w:r w:rsidRPr="00721DDB">
              <w:rPr>
                <w:rFonts w:ascii="Times New Roman" w:hAnsi="Times New Roman"/>
                <w:sz w:val="20"/>
                <w:szCs w:val="20"/>
              </w:rPr>
              <w:t>Border-level polio importation risk reduction strategies are not the main determinant influencing whether potentially infectious persons travel to Australia from polio risk countries.</w:t>
            </w:r>
          </w:p>
          <w:p w14:paraId="61AC0AEF" w14:textId="77777777" w:rsidR="00721DDB" w:rsidRPr="00721DDB" w:rsidRDefault="00721DDB" w:rsidP="00E2721E">
            <w:pPr>
              <w:pStyle w:val="ListParagraph"/>
              <w:numPr>
                <w:ilvl w:val="0"/>
                <w:numId w:val="38"/>
              </w:numPr>
              <w:spacing w:after="0" w:line="240" w:lineRule="auto"/>
              <w:rPr>
                <w:rFonts w:ascii="Times New Roman" w:hAnsi="Times New Roman"/>
                <w:sz w:val="20"/>
                <w:szCs w:val="20"/>
              </w:rPr>
            </w:pPr>
            <w:r w:rsidRPr="00721DDB">
              <w:rPr>
                <w:rFonts w:ascii="Times New Roman" w:hAnsi="Times New Roman"/>
                <w:sz w:val="20"/>
                <w:szCs w:val="20"/>
              </w:rPr>
              <w:t>Monitoring and enforcing compliance with existing border-level risk reduction strategies, and offshore investment in polio eradication are the main tools against offshore poliovirus hazards.</w:t>
            </w:r>
          </w:p>
          <w:p w14:paraId="202C5CA0" w14:textId="77777777" w:rsidR="00721DDB" w:rsidRPr="00721DDB" w:rsidRDefault="00721DDB" w:rsidP="00E2721E">
            <w:pPr>
              <w:pStyle w:val="ListParagraph"/>
              <w:numPr>
                <w:ilvl w:val="0"/>
                <w:numId w:val="38"/>
              </w:numPr>
              <w:spacing w:after="0" w:line="240" w:lineRule="auto"/>
              <w:rPr>
                <w:rFonts w:ascii="Times New Roman" w:hAnsi="Times New Roman"/>
                <w:sz w:val="20"/>
                <w:szCs w:val="20"/>
              </w:rPr>
            </w:pPr>
            <w:r w:rsidRPr="00721DDB">
              <w:rPr>
                <w:rFonts w:ascii="Times New Roman" w:hAnsi="Times New Roman"/>
                <w:sz w:val="20"/>
                <w:szCs w:val="20"/>
              </w:rPr>
              <w:t>International poliovirus circulation and outbreaks cannot be directly controlled, but traveller trends data can be monitored to inform and strengthen targeted surveillance sensitivity, preventative measures (e.g. booster vaccinations) and response preparedness efforts domestically.</w:t>
            </w:r>
          </w:p>
          <w:p w14:paraId="60EA2BE2" w14:textId="77777777" w:rsidR="00721DDB" w:rsidRPr="00721DDB" w:rsidRDefault="00721DDB" w:rsidP="00E2721E">
            <w:pPr>
              <w:pStyle w:val="ListParagraph"/>
              <w:numPr>
                <w:ilvl w:val="0"/>
                <w:numId w:val="38"/>
              </w:numPr>
              <w:spacing w:after="0" w:line="240" w:lineRule="auto"/>
              <w:rPr>
                <w:rFonts w:ascii="Times New Roman" w:hAnsi="Times New Roman"/>
                <w:sz w:val="20"/>
                <w:szCs w:val="20"/>
              </w:rPr>
            </w:pPr>
            <w:r w:rsidRPr="00721DDB">
              <w:rPr>
                <w:rFonts w:ascii="Times New Roman" w:hAnsi="Times New Roman"/>
                <w:sz w:val="20"/>
                <w:szCs w:val="20"/>
              </w:rPr>
              <w:t>The number of laboratories holding poliovirus or potentially infectious materials, and the quality and standards of facilities and systems influence the likelihood of laboratory containment failure occurring.</w:t>
            </w:r>
          </w:p>
          <w:p w14:paraId="12A25B11" w14:textId="77777777" w:rsidR="00721DDB" w:rsidRPr="00721DDB" w:rsidRDefault="00721DDB" w:rsidP="00E2721E">
            <w:pPr>
              <w:pStyle w:val="ListParagraph"/>
              <w:spacing w:after="0" w:line="240" w:lineRule="auto"/>
              <w:ind w:left="468"/>
              <w:rPr>
                <w:rFonts w:ascii="Times New Roman" w:hAnsi="Times New Roman"/>
                <w:sz w:val="20"/>
                <w:szCs w:val="20"/>
              </w:rPr>
            </w:pPr>
          </w:p>
        </w:tc>
      </w:tr>
      <w:tr w:rsidR="006C30CC" w:rsidRPr="00721DDB" w14:paraId="37C6CAEF" w14:textId="77777777" w:rsidTr="006C30CC">
        <w:tc>
          <w:tcPr>
            <w:tcW w:w="0" w:type="auto"/>
          </w:tcPr>
          <w:p w14:paraId="156A7D16" w14:textId="77777777" w:rsidR="00721DDB" w:rsidRPr="00721DDB" w:rsidRDefault="006C30CC" w:rsidP="00E2721E">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Population susceptibility </w:t>
            </w:r>
            <w:r w:rsidR="00721DDB" w:rsidRPr="00721DDB">
              <w:rPr>
                <w:rFonts w:ascii="Times New Roman" w:hAnsi="Times New Roman"/>
                <w:bCs/>
                <w:kern w:val="28"/>
                <w:sz w:val="20"/>
                <w:szCs w:val="20"/>
              </w:rPr>
              <w:t>(S)</w:t>
            </w:r>
          </w:p>
        </w:tc>
        <w:tc>
          <w:tcPr>
            <w:tcW w:w="0" w:type="auto"/>
          </w:tcPr>
          <w:p w14:paraId="314D7176" w14:textId="77777777" w:rsidR="00721DDB" w:rsidRPr="00721DDB" w:rsidRDefault="00721DDB" w:rsidP="00E2721E">
            <w:pPr>
              <w:spacing w:after="0" w:line="240" w:lineRule="auto"/>
              <w:jc w:val="center"/>
              <w:rPr>
                <w:rFonts w:ascii="Times New Roman" w:hAnsi="Times New Roman"/>
                <w:bCs/>
                <w:kern w:val="28"/>
                <w:sz w:val="20"/>
                <w:szCs w:val="20"/>
              </w:rPr>
            </w:pPr>
            <w:r w:rsidRPr="00721DDB">
              <w:rPr>
                <w:rFonts w:ascii="Times New Roman" w:hAnsi="Times New Roman"/>
                <w:bCs/>
                <w:kern w:val="28"/>
                <w:sz w:val="20"/>
                <w:szCs w:val="20"/>
              </w:rPr>
              <w:t>0.5</w:t>
            </w:r>
          </w:p>
        </w:tc>
        <w:tc>
          <w:tcPr>
            <w:tcW w:w="0" w:type="auto"/>
          </w:tcPr>
          <w:p w14:paraId="030685C0" w14:textId="77777777" w:rsidR="00721DDB" w:rsidRPr="00721DDB" w:rsidRDefault="00721DDB" w:rsidP="00E2721E">
            <w:pPr>
              <w:pStyle w:val="ListParagraph"/>
              <w:numPr>
                <w:ilvl w:val="0"/>
                <w:numId w:val="39"/>
              </w:numPr>
              <w:spacing w:after="0" w:line="240" w:lineRule="auto"/>
              <w:rPr>
                <w:rFonts w:ascii="Times New Roman" w:hAnsi="Times New Roman"/>
                <w:sz w:val="20"/>
                <w:szCs w:val="20"/>
              </w:rPr>
            </w:pPr>
            <w:r w:rsidRPr="00721DDB">
              <w:rPr>
                <w:rFonts w:ascii="Times New Roman" w:hAnsi="Times New Roman"/>
                <w:sz w:val="20"/>
                <w:szCs w:val="20"/>
              </w:rPr>
              <w:t xml:space="preserve">High population immunity may prevent establishment of infection and outbreaks, and will prevent sustained transmission even if poliovirus reintroduction occurs. </w:t>
            </w:r>
          </w:p>
          <w:p w14:paraId="2C45CDF9" w14:textId="77777777" w:rsidR="00721DDB" w:rsidRPr="00721DDB" w:rsidRDefault="00721DDB" w:rsidP="00E2721E">
            <w:pPr>
              <w:pStyle w:val="ListParagraph"/>
              <w:numPr>
                <w:ilvl w:val="0"/>
                <w:numId w:val="39"/>
              </w:numPr>
              <w:spacing w:after="0" w:line="240" w:lineRule="auto"/>
              <w:rPr>
                <w:rFonts w:ascii="Times New Roman" w:hAnsi="Times New Roman"/>
                <w:sz w:val="20"/>
                <w:szCs w:val="20"/>
              </w:rPr>
            </w:pPr>
            <w:r w:rsidRPr="00721DDB">
              <w:rPr>
                <w:rFonts w:ascii="Times New Roman" w:hAnsi="Times New Roman"/>
                <w:sz w:val="20"/>
                <w:szCs w:val="20"/>
              </w:rPr>
              <w:t>High population immunity may limit the population-level impact by interrupting transmission, even if detection and response capability is suboptimal.</w:t>
            </w:r>
          </w:p>
          <w:p w14:paraId="0CFB9E48" w14:textId="77777777" w:rsidR="00721DDB" w:rsidRPr="00721DDB" w:rsidRDefault="00721DDB" w:rsidP="00E2721E">
            <w:pPr>
              <w:pStyle w:val="ListParagraph"/>
              <w:numPr>
                <w:ilvl w:val="0"/>
                <w:numId w:val="39"/>
              </w:numPr>
              <w:spacing w:after="0" w:line="240" w:lineRule="auto"/>
              <w:rPr>
                <w:rFonts w:ascii="Times New Roman" w:hAnsi="Times New Roman"/>
                <w:sz w:val="20"/>
                <w:szCs w:val="20"/>
              </w:rPr>
            </w:pPr>
            <w:r w:rsidRPr="00721DDB">
              <w:rPr>
                <w:rFonts w:ascii="Times New Roman" w:hAnsi="Times New Roman"/>
                <w:sz w:val="20"/>
                <w:szCs w:val="20"/>
              </w:rPr>
              <w:t xml:space="preserve">This element was consistently weighted most heavily during development of WHO regional risk assessment tools </w:t>
            </w:r>
            <w:r w:rsidRPr="00721DDB">
              <w:rPr>
                <w:rFonts w:ascii="Times New Roman" w:hAnsi="Times New Roman"/>
                <w:sz w:val="20"/>
                <w:szCs w:val="20"/>
              </w:rPr>
              <w:fldChar w:fldCharType="begin"/>
            </w:r>
            <w:r w:rsidRPr="00721DDB">
              <w:rPr>
                <w:rFonts w:ascii="Times New Roman" w:hAnsi="Times New Roman"/>
                <w:sz w:val="20"/>
                <w:szCs w:val="20"/>
              </w:rPr>
              <w:instrText xml:space="preserve"> ADDIN EN.CITE &lt;EndNote&gt;&lt;Cite&gt;&lt;Author&gt;Lowther&lt;/Author&gt;&lt;Year&gt;2013&lt;/Year&gt;&lt;RecNum&gt;26&lt;/RecNum&gt;&lt;DisplayText&gt;(1)&lt;/DisplayText&gt;&lt;record&gt;&lt;rec-number&gt;26&lt;/rec-number&gt;&lt;foreign-keys&gt;&lt;key app="EN" db-id="e2sp5w29x95xtpe2velxwv5qwpzpr9a2edfp" timestamp="1524204699"&gt;26&lt;/key&gt;&lt;/foreign-keys&gt;&lt;ref-type name="Journal Article"&gt;17&lt;/ref-type&gt;&lt;contributors&gt;&lt;authors&gt;&lt;author&gt;Lowther, Sara A, Roesel, Sigrun, O&amp;apos;connor, Patrick, Landaverde, Mauricio, Oblapenko, George, Deshevoi, Sergei, Ajay, Goel, Buff, Ann, Safwat, Hala, Salla, Mbaye,&lt;/author&gt;&lt;/authors&gt;&lt;/contributors&gt;&lt;titles&gt;&lt;title&gt;World Health Organization regional assessments of the risks of poliovirus outbreaks&lt;/title&gt;&lt;secondary-title&gt;Risk Analysis&lt;/secondary-title&gt;&lt;/titles&gt;&lt;periodical&gt;&lt;full-title&gt;Risk Analysis&lt;/full-title&gt;&lt;/periodical&gt;&lt;pages&gt;664-679&lt;/pages&gt;&lt;volume&gt;33&lt;/volume&gt;&lt;number&gt;4&lt;/number&gt;&lt;dates&gt;&lt;year&gt;2013&lt;/year&gt;&lt;/dates&gt;&lt;isbn&gt;1539-6924&lt;/isbn&gt;&lt;urls&gt;&lt;/urls&gt;&lt;/record&gt;&lt;/Cite&gt;&lt;/EndNote&gt;</w:instrText>
            </w:r>
            <w:r w:rsidRPr="00721DDB">
              <w:rPr>
                <w:rFonts w:ascii="Times New Roman" w:hAnsi="Times New Roman"/>
                <w:sz w:val="20"/>
                <w:szCs w:val="20"/>
              </w:rPr>
              <w:fldChar w:fldCharType="separate"/>
            </w:r>
            <w:r w:rsidRPr="00721DDB">
              <w:rPr>
                <w:rFonts w:ascii="Times New Roman" w:hAnsi="Times New Roman"/>
                <w:noProof/>
                <w:sz w:val="20"/>
                <w:szCs w:val="20"/>
              </w:rPr>
              <w:t>(1)</w:t>
            </w:r>
            <w:r w:rsidRPr="00721DDB">
              <w:rPr>
                <w:rFonts w:ascii="Times New Roman" w:hAnsi="Times New Roman"/>
                <w:sz w:val="20"/>
                <w:szCs w:val="20"/>
              </w:rPr>
              <w:fldChar w:fldCharType="end"/>
            </w:r>
          </w:p>
          <w:p w14:paraId="2BF3EBF3" w14:textId="77777777" w:rsidR="00721DDB" w:rsidRPr="00721DDB" w:rsidRDefault="00721DDB" w:rsidP="00E2721E">
            <w:pPr>
              <w:pStyle w:val="ListParagraph"/>
              <w:numPr>
                <w:ilvl w:val="0"/>
                <w:numId w:val="39"/>
              </w:numPr>
              <w:spacing w:after="0" w:line="240" w:lineRule="auto"/>
              <w:rPr>
                <w:rFonts w:ascii="Times New Roman" w:hAnsi="Times New Roman"/>
                <w:sz w:val="20"/>
                <w:szCs w:val="20"/>
              </w:rPr>
            </w:pPr>
            <w:r w:rsidRPr="00721DDB">
              <w:rPr>
                <w:rFonts w:ascii="Times New Roman" w:hAnsi="Times New Roman"/>
                <w:sz w:val="20"/>
                <w:szCs w:val="20"/>
              </w:rPr>
              <w:t>This is a country’s main defence against poliovirus transmission.</w:t>
            </w:r>
          </w:p>
          <w:p w14:paraId="47AFA12B" w14:textId="77777777" w:rsidR="00721DDB" w:rsidRPr="00721DDB" w:rsidRDefault="00721DDB" w:rsidP="00E2721E">
            <w:pPr>
              <w:pStyle w:val="ListParagraph"/>
              <w:spacing w:after="0" w:line="240" w:lineRule="auto"/>
              <w:ind w:left="468"/>
              <w:rPr>
                <w:rFonts w:ascii="Times New Roman" w:hAnsi="Times New Roman"/>
                <w:sz w:val="20"/>
                <w:szCs w:val="20"/>
              </w:rPr>
            </w:pPr>
          </w:p>
        </w:tc>
      </w:tr>
      <w:tr w:rsidR="006C30CC" w:rsidRPr="00721DDB" w14:paraId="1A5DAAC2" w14:textId="77777777" w:rsidTr="006C30CC">
        <w:tc>
          <w:tcPr>
            <w:tcW w:w="0" w:type="auto"/>
          </w:tcPr>
          <w:p w14:paraId="60640445" w14:textId="77777777" w:rsidR="00721DDB" w:rsidRPr="00721DDB" w:rsidRDefault="006C30CC" w:rsidP="00E2721E">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Detection capability </w:t>
            </w:r>
            <w:r w:rsidR="00721DDB" w:rsidRPr="00721DDB">
              <w:rPr>
                <w:rFonts w:ascii="Times New Roman" w:hAnsi="Times New Roman"/>
                <w:bCs/>
                <w:kern w:val="28"/>
                <w:sz w:val="20"/>
                <w:szCs w:val="20"/>
              </w:rPr>
              <w:t>(D)</w:t>
            </w:r>
          </w:p>
        </w:tc>
        <w:tc>
          <w:tcPr>
            <w:tcW w:w="0" w:type="auto"/>
          </w:tcPr>
          <w:p w14:paraId="7804B5E9" w14:textId="77777777" w:rsidR="00721DDB" w:rsidRPr="00721DDB" w:rsidRDefault="00721DDB" w:rsidP="00E2721E">
            <w:pPr>
              <w:spacing w:after="0" w:line="240" w:lineRule="auto"/>
              <w:jc w:val="center"/>
              <w:rPr>
                <w:rFonts w:ascii="Times New Roman" w:hAnsi="Times New Roman"/>
                <w:bCs/>
                <w:kern w:val="28"/>
                <w:sz w:val="20"/>
                <w:szCs w:val="20"/>
              </w:rPr>
            </w:pPr>
            <w:r w:rsidRPr="00721DDB">
              <w:rPr>
                <w:rFonts w:ascii="Times New Roman" w:hAnsi="Times New Roman"/>
                <w:bCs/>
                <w:kern w:val="28"/>
                <w:sz w:val="20"/>
                <w:szCs w:val="20"/>
              </w:rPr>
              <w:t>0.3</w:t>
            </w:r>
          </w:p>
        </w:tc>
        <w:tc>
          <w:tcPr>
            <w:tcW w:w="0" w:type="auto"/>
          </w:tcPr>
          <w:p w14:paraId="67C3AC98" w14:textId="77777777" w:rsidR="00721DDB" w:rsidRPr="00721DDB" w:rsidRDefault="00721DDB" w:rsidP="00E2721E">
            <w:pPr>
              <w:pStyle w:val="ListParagraph"/>
              <w:numPr>
                <w:ilvl w:val="0"/>
                <w:numId w:val="40"/>
              </w:numPr>
              <w:spacing w:after="0" w:line="240" w:lineRule="auto"/>
              <w:rPr>
                <w:rFonts w:ascii="Times New Roman" w:hAnsi="Times New Roman"/>
                <w:sz w:val="20"/>
                <w:szCs w:val="20"/>
              </w:rPr>
            </w:pPr>
            <w:r w:rsidRPr="00721DDB">
              <w:rPr>
                <w:rFonts w:ascii="Times New Roman" w:hAnsi="Times New Roman"/>
                <w:sz w:val="20"/>
                <w:szCs w:val="20"/>
              </w:rPr>
              <w:t>The more sensitive a surveillance system, the sooner a poliovirus event may be detected, the smaller the outbreak and associated impact.</w:t>
            </w:r>
          </w:p>
          <w:p w14:paraId="58C13449" w14:textId="77777777" w:rsidR="00721DDB" w:rsidRPr="00721DDB" w:rsidRDefault="00721DDB" w:rsidP="00E2721E">
            <w:pPr>
              <w:pStyle w:val="ListParagraph"/>
              <w:numPr>
                <w:ilvl w:val="0"/>
                <w:numId w:val="40"/>
              </w:numPr>
              <w:spacing w:after="0" w:line="240" w:lineRule="auto"/>
              <w:rPr>
                <w:rFonts w:ascii="Times New Roman" w:hAnsi="Times New Roman"/>
                <w:sz w:val="20"/>
                <w:szCs w:val="20"/>
              </w:rPr>
            </w:pPr>
            <w:r w:rsidRPr="00721DDB">
              <w:rPr>
                <w:rFonts w:ascii="Times New Roman" w:hAnsi="Times New Roman"/>
                <w:sz w:val="20"/>
                <w:szCs w:val="20"/>
              </w:rPr>
              <w:t>A strong surveillance system provides confidence in a country’s ability to promptly detect and respond to a poliovirus event.</w:t>
            </w:r>
          </w:p>
          <w:p w14:paraId="06FFB209" w14:textId="77777777" w:rsidR="00721DDB" w:rsidRPr="00721DDB" w:rsidRDefault="00721DDB" w:rsidP="00E2721E">
            <w:pPr>
              <w:pStyle w:val="ListParagraph"/>
              <w:spacing w:after="0" w:line="240" w:lineRule="auto"/>
              <w:ind w:left="468"/>
              <w:rPr>
                <w:rFonts w:ascii="Times New Roman" w:hAnsi="Times New Roman"/>
                <w:sz w:val="20"/>
                <w:szCs w:val="20"/>
              </w:rPr>
            </w:pPr>
          </w:p>
        </w:tc>
      </w:tr>
      <w:tr w:rsidR="006C30CC" w:rsidRPr="00721DDB" w14:paraId="0D3A96CD" w14:textId="77777777" w:rsidTr="006C30CC">
        <w:tc>
          <w:tcPr>
            <w:tcW w:w="0" w:type="auto"/>
          </w:tcPr>
          <w:p w14:paraId="166CA3C1" w14:textId="77777777" w:rsidR="00721DDB" w:rsidRPr="00721DDB" w:rsidRDefault="006C30CC" w:rsidP="00E2721E">
            <w:pPr>
              <w:spacing w:after="0" w:line="240" w:lineRule="auto"/>
              <w:rPr>
                <w:rFonts w:ascii="Times New Roman" w:hAnsi="Times New Roman"/>
                <w:bCs/>
                <w:kern w:val="28"/>
                <w:sz w:val="20"/>
                <w:szCs w:val="20"/>
              </w:rPr>
            </w:pPr>
            <w:r>
              <w:rPr>
                <w:rFonts w:ascii="Times New Roman" w:hAnsi="Times New Roman"/>
                <w:bCs/>
                <w:kern w:val="28"/>
                <w:sz w:val="20"/>
                <w:szCs w:val="20"/>
              </w:rPr>
              <w:t xml:space="preserve">Response capability </w:t>
            </w:r>
            <w:r w:rsidR="00721DDB" w:rsidRPr="00721DDB">
              <w:rPr>
                <w:rFonts w:ascii="Times New Roman" w:hAnsi="Times New Roman"/>
                <w:bCs/>
                <w:kern w:val="28"/>
                <w:sz w:val="20"/>
                <w:szCs w:val="20"/>
              </w:rPr>
              <w:t>(R)</w:t>
            </w:r>
          </w:p>
        </w:tc>
        <w:tc>
          <w:tcPr>
            <w:tcW w:w="0" w:type="auto"/>
          </w:tcPr>
          <w:p w14:paraId="60D2DD55" w14:textId="77777777" w:rsidR="00721DDB" w:rsidRPr="00721DDB" w:rsidRDefault="00721DDB" w:rsidP="00E2721E">
            <w:pPr>
              <w:spacing w:after="0" w:line="240" w:lineRule="auto"/>
              <w:jc w:val="center"/>
              <w:rPr>
                <w:rFonts w:ascii="Times New Roman" w:hAnsi="Times New Roman"/>
                <w:bCs/>
                <w:kern w:val="28"/>
                <w:sz w:val="20"/>
                <w:szCs w:val="20"/>
              </w:rPr>
            </w:pPr>
            <w:r w:rsidRPr="00721DDB">
              <w:rPr>
                <w:rFonts w:ascii="Times New Roman" w:hAnsi="Times New Roman"/>
                <w:bCs/>
                <w:kern w:val="28"/>
                <w:sz w:val="20"/>
                <w:szCs w:val="20"/>
              </w:rPr>
              <w:t>0.05</w:t>
            </w:r>
          </w:p>
        </w:tc>
        <w:tc>
          <w:tcPr>
            <w:tcW w:w="0" w:type="auto"/>
          </w:tcPr>
          <w:p w14:paraId="1481E4E4" w14:textId="77777777" w:rsidR="00721DDB" w:rsidRPr="00721DDB" w:rsidRDefault="00721DDB" w:rsidP="00E2721E">
            <w:pPr>
              <w:pStyle w:val="ListParagraph"/>
              <w:numPr>
                <w:ilvl w:val="0"/>
                <w:numId w:val="40"/>
              </w:numPr>
              <w:spacing w:after="0" w:line="240" w:lineRule="auto"/>
              <w:rPr>
                <w:rFonts w:ascii="Times New Roman" w:hAnsi="Times New Roman"/>
                <w:sz w:val="20"/>
                <w:szCs w:val="20"/>
              </w:rPr>
            </w:pPr>
            <w:r w:rsidRPr="00721DDB">
              <w:rPr>
                <w:rFonts w:ascii="Times New Roman" w:hAnsi="Times New Roman"/>
                <w:sz w:val="20"/>
                <w:szCs w:val="20"/>
              </w:rPr>
              <w:t>Most of the political, reputational, economic (response and surveillance costs) and public health impact would already manifest once an emergency response to a polio outbreak is required.</w:t>
            </w:r>
          </w:p>
          <w:p w14:paraId="5636BE97" w14:textId="77777777" w:rsidR="006C30CC" w:rsidRPr="006C30CC" w:rsidRDefault="00721DDB" w:rsidP="006C30CC">
            <w:pPr>
              <w:pStyle w:val="ListParagraph"/>
              <w:numPr>
                <w:ilvl w:val="0"/>
                <w:numId w:val="40"/>
              </w:numPr>
              <w:spacing w:after="0" w:line="240" w:lineRule="auto"/>
              <w:rPr>
                <w:rFonts w:ascii="Times New Roman" w:hAnsi="Times New Roman"/>
                <w:sz w:val="20"/>
                <w:szCs w:val="20"/>
              </w:rPr>
            </w:pPr>
            <w:r w:rsidRPr="00721DDB">
              <w:rPr>
                <w:rFonts w:ascii="Times New Roman" w:hAnsi="Times New Roman"/>
                <w:sz w:val="20"/>
                <w:szCs w:val="20"/>
              </w:rPr>
              <w:t>This is a nation’s last line of polio defence and ‘upstream’, preventative risk reduction measures are preferred.</w:t>
            </w:r>
          </w:p>
        </w:tc>
      </w:tr>
    </w:tbl>
    <w:p w14:paraId="1BB7F830" w14:textId="77777777" w:rsidR="006C30CC" w:rsidRDefault="006C30CC" w:rsidP="00571EAE"/>
    <w:p w14:paraId="7BB90860" w14:textId="77777777" w:rsidR="006C30CC" w:rsidRPr="006C30CC" w:rsidRDefault="006C30CC" w:rsidP="006C30CC">
      <w:pPr>
        <w:pStyle w:val="Heading3"/>
        <w:rPr>
          <w:rFonts w:ascii="Arial" w:hAnsi="Arial" w:cs="Arial"/>
          <w:color w:val="auto"/>
          <w:sz w:val="22"/>
          <w:szCs w:val="22"/>
        </w:rPr>
      </w:pPr>
      <w:bookmarkStart w:id="36" w:name="_Toc20238594"/>
      <w:r w:rsidRPr="006C30CC">
        <w:rPr>
          <w:rFonts w:ascii="Arial" w:hAnsi="Arial" w:cs="Arial"/>
          <w:color w:val="auto"/>
          <w:sz w:val="22"/>
          <w:szCs w:val="22"/>
        </w:rPr>
        <w:t>Confidence coefficient score</w:t>
      </w:r>
      <w:bookmarkEnd w:id="36"/>
      <w:r w:rsidRPr="006C30CC">
        <w:rPr>
          <w:rFonts w:ascii="Arial" w:hAnsi="Arial" w:cs="Arial"/>
          <w:color w:val="auto"/>
          <w:sz w:val="22"/>
          <w:szCs w:val="22"/>
        </w:rPr>
        <w:t xml:space="preserve"> </w:t>
      </w:r>
    </w:p>
    <w:p w14:paraId="04833AE6" w14:textId="77777777" w:rsidR="005C7009" w:rsidRPr="006C30CC" w:rsidRDefault="005C7009" w:rsidP="006C30CC">
      <w:pPr>
        <w:autoSpaceDE w:val="0"/>
        <w:autoSpaceDN w:val="0"/>
        <w:adjustRightInd w:val="0"/>
        <w:spacing w:after="160" w:line="259" w:lineRule="auto"/>
        <w:jc w:val="both"/>
        <w:rPr>
          <w:rFonts w:ascii="Times New Roman" w:hAnsi="Times New Roman"/>
          <w:bCs/>
          <w:kern w:val="28"/>
          <w:sz w:val="22"/>
        </w:rPr>
      </w:pPr>
      <w:r w:rsidRPr="006C30CC">
        <w:rPr>
          <w:rFonts w:ascii="Times New Roman" w:hAnsi="Times New Roman"/>
          <w:bCs/>
          <w:kern w:val="28"/>
          <w:sz w:val="22"/>
        </w:rPr>
        <w:t xml:space="preserve">World Health Organization guidelines note the importance of documenting the level of confidence in a public health risk assessment, and the reasons for any limitations. The confidence estimate (or alternatively, the level of uncertainty) will depend on the reliability, completeness and quality of the information evaluated, and the underlying assumptions made with respect to the hazard, exposure and context. The degree of confidence may be then be expressed using a descriptive scale that ranges from very low, low, moderate, high, very high </w:t>
      </w:r>
      <w:r w:rsidRPr="006C30CC">
        <w:rPr>
          <w:rFonts w:ascii="Times New Roman" w:hAnsi="Times New Roman"/>
          <w:bCs/>
          <w:kern w:val="28"/>
          <w:sz w:val="22"/>
        </w:rPr>
        <w:fldChar w:fldCharType="begin"/>
      </w:r>
      <w:r w:rsidRPr="006C30CC">
        <w:rPr>
          <w:rFonts w:ascii="Times New Roman" w:hAnsi="Times New Roman"/>
          <w:bCs/>
          <w:kern w:val="28"/>
          <w:sz w:val="22"/>
        </w:rPr>
        <w:instrText xml:space="preserve"> ADDIN EN.CITE &lt;EndNote&gt;&lt;Cite&gt;&lt;Author&gt;World Health Organization&lt;/Author&gt;&lt;Year&gt;2012&lt;/Year&gt;&lt;RecNum&gt;66&lt;/RecNum&gt;&lt;DisplayText&gt;(2)&lt;/DisplayText&gt;&lt;record&gt;&lt;rec-number&gt;66&lt;/rec-number&gt;&lt;foreign-keys&gt;&lt;key app="EN" db-id="e2sp5w29x95xtpe2velxwv5qwpzpr9a2edfp" timestamp="1529976252"&gt;66&lt;/key&gt;&lt;/foreign-keys&gt;&lt;ref-type name="Web Page"&gt;12&lt;/ref-type&gt;&lt;contributors&gt;&lt;authors&gt;&lt;author&gt;World Health Organization,&lt;/author&gt;&lt;/authors&gt;&lt;/contributors&gt;&lt;titles&gt;&lt;title&gt;Rapid Risk Assessment of Acute Public Health Events&lt;/title&gt;&lt;/titles&gt;&lt;number&gt;26 June 2018 &lt;/number&gt;&lt;dates&gt;&lt;year&gt;2012&lt;/year&gt;&lt;/dates&gt;&lt;pub-location&gt;Geneva&lt;/pub-location&gt;&lt;urls&gt;&lt;related-urls&gt;&lt;url&gt;&lt;style face="underline" font="default" size="100%"&gt;http://www.who.int/csr/resources/publications/HSE_GAR_ARO_2012_1/en/&lt;/style&gt;&lt;/url&gt;&lt;/related-urls&gt;&lt;/urls&gt;&lt;/record&gt;&lt;/Cite&gt;&lt;/EndNote&gt;</w:instrText>
      </w:r>
      <w:r w:rsidRPr="006C30CC">
        <w:rPr>
          <w:rFonts w:ascii="Times New Roman" w:hAnsi="Times New Roman"/>
          <w:bCs/>
          <w:kern w:val="28"/>
          <w:sz w:val="22"/>
        </w:rPr>
        <w:fldChar w:fldCharType="separate"/>
      </w:r>
      <w:r w:rsidRPr="006C30CC">
        <w:rPr>
          <w:rFonts w:ascii="Times New Roman" w:hAnsi="Times New Roman"/>
          <w:bCs/>
          <w:noProof/>
          <w:kern w:val="28"/>
          <w:sz w:val="22"/>
        </w:rPr>
        <w:t>(2)</w:t>
      </w:r>
      <w:r w:rsidRPr="006C30CC">
        <w:rPr>
          <w:rFonts w:ascii="Times New Roman" w:hAnsi="Times New Roman"/>
          <w:bCs/>
          <w:kern w:val="28"/>
          <w:sz w:val="22"/>
        </w:rPr>
        <w:fldChar w:fldCharType="end"/>
      </w:r>
      <w:r w:rsidRPr="006C30CC">
        <w:rPr>
          <w:rFonts w:ascii="Times New Roman" w:hAnsi="Times New Roman"/>
          <w:bCs/>
          <w:kern w:val="28"/>
          <w:sz w:val="22"/>
        </w:rPr>
        <w:t>.</w:t>
      </w:r>
      <w:r w:rsidR="00FE5248" w:rsidRPr="006C30CC">
        <w:rPr>
          <w:rFonts w:ascii="Times New Roman" w:hAnsi="Times New Roman"/>
          <w:bCs/>
          <w:kern w:val="28"/>
          <w:sz w:val="22"/>
        </w:rPr>
        <w:t xml:space="preserve"> </w:t>
      </w:r>
      <w:r w:rsidRPr="006C30CC">
        <w:rPr>
          <w:rFonts w:ascii="Times New Roman" w:hAnsi="Times New Roman"/>
          <w:bCs/>
          <w:kern w:val="28"/>
          <w:sz w:val="22"/>
        </w:rPr>
        <w:t xml:space="preserve">The confidence coefficient score incorporates into the calculation of each weighted risk element, an estimate of the reliability, quality and completeness of </w:t>
      </w:r>
      <w:r w:rsidRPr="006C30CC">
        <w:rPr>
          <w:rFonts w:ascii="Times New Roman" w:hAnsi="Times New Roman"/>
          <w:bCs/>
          <w:kern w:val="28"/>
          <w:sz w:val="22"/>
        </w:rPr>
        <w:lastRenderedPageBreak/>
        <w:t>information available to score each indicator of the focused risk questions at the time of assessment.</w:t>
      </w:r>
      <w:r w:rsidR="006C30CC">
        <w:rPr>
          <w:rFonts w:ascii="Times New Roman" w:hAnsi="Times New Roman"/>
          <w:bCs/>
          <w:kern w:val="28"/>
          <w:sz w:val="22"/>
        </w:rPr>
        <w:t xml:space="preserve"> </w:t>
      </w:r>
      <w:r w:rsidRPr="006C30CC">
        <w:rPr>
          <w:rFonts w:ascii="Times New Roman" w:hAnsi="Times New Roman"/>
          <w:bCs/>
          <w:kern w:val="28"/>
          <w:sz w:val="22"/>
        </w:rPr>
        <w:t>The main value of confidence coefficient scores lie in the transparency that it affords the risk assessment process. The confidence coefficient score is incorporated as a proportional weighting and ranges on an ordinal scale from very high (0.2) to very low (1), each value corresponding with a qualitative description. The confidence coefficient score for each risk element will be assigned according to the qualitative description</w:t>
      </w:r>
      <w:r w:rsidR="00702C14" w:rsidRPr="006C30CC">
        <w:rPr>
          <w:rFonts w:ascii="Times New Roman" w:hAnsi="Times New Roman"/>
          <w:bCs/>
          <w:kern w:val="28"/>
          <w:sz w:val="22"/>
        </w:rPr>
        <w:t xml:space="preserve"> </w:t>
      </w:r>
      <w:r w:rsidRPr="006C30CC">
        <w:rPr>
          <w:rFonts w:ascii="Times New Roman" w:hAnsi="Times New Roman"/>
          <w:bCs/>
          <w:kern w:val="28"/>
          <w:sz w:val="22"/>
        </w:rPr>
        <w:t>that most accurately describes the quality and completeness of information available at the time of assessment, noting that different combinations of criteria corresponding to different scores may occur together</w:t>
      </w:r>
      <w:r w:rsidR="00FE5248" w:rsidRPr="006C30CC">
        <w:rPr>
          <w:rFonts w:ascii="Times New Roman" w:hAnsi="Times New Roman"/>
          <w:bCs/>
          <w:kern w:val="28"/>
          <w:sz w:val="22"/>
        </w:rPr>
        <w:t xml:space="preserve"> (</w:t>
      </w:r>
      <w:r w:rsidR="00FE5248" w:rsidRPr="006C30CC">
        <w:rPr>
          <w:rFonts w:ascii="Times New Roman" w:hAnsi="Times New Roman"/>
          <w:bCs/>
          <w:kern w:val="28"/>
          <w:sz w:val="22"/>
        </w:rPr>
        <w:fldChar w:fldCharType="begin"/>
      </w:r>
      <w:r w:rsidR="00FE5248" w:rsidRPr="006C30CC">
        <w:rPr>
          <w:rFonts w:ascii="Times New Roman" w:hAnsi="Times New Roman"/>
          <w:bCs/>
          <w:kern w:val="28"/>
          <w:sz w:val="22"/>
        </w:rPr>
        <w:instrText xml:space="preserve"> REF _Ref525038360 \h </w:instrText>
      </w:r>
      <w:r w:rsidR="006C30CC" w:rsidRPr="006C30CC">
        <w:rPr>
          <w:rFonts w:ascii="Times New Roman" w:hAnsi="Times New Roman"/>
          <w:bCs/>
          <w:kern w:val="28"/>
          <w:sz w:val="22"/>
        </w:rPr>
        <w:instrText xml:space="preserve"> \* MERGEFORMAT </w:instrText>
      </w:r>
      <w:r w:rsidR="00FE5248" w:rsidRPr="006C30CC">
        <w:rPr>
          <w:rFonts w:ascii="Times New Roman" w:hAnsi="Times New Roman"/>
          <w:bCs/>
          <w:kern w:val="28"/>
          <w:sz w:val="22"/>
        </w:rPr>
      </w:r>
      <w:r w:rsidR="00FE5248" w:rsidRPr="006C30CC">
        <w:rPr>
          <w:rFonts w:ascii="Times New Roman" w:hAnsi="Times New Roman"/>
          <w:bCs/>
          <w:kern w:val="28"/>
          <w:sz w:val="22"/>
        </w:rPr>
        <w:fldChar w:fldCharType="separate"/>
      </w:r>
      <w:r w:rsidR="00AE3396" w:rsidRPr="006C30CC">
        <w:rPr>
          <w:rFonts w:ascii="Times New Roman" w:hAnsi="Times New Roman"/>
          <w:color w:val="auto"/>
          <w:sz w:val="22"/>
        </w:rPr>
        <w:t xml:space="preserve">Table </w:t>
      </w:r>
      <w:r w:rsidR="00AE3396" w:rsidRPr="006C30CC">
        <w:rPr>
          <w:rFonts w:ascii="Times New Roman" w:hAnsi="Times New Roman"/>
          <w:noProof/>
          <w:color w:val="auto"/>
          <w:sz w:val="22"/>
        </w:rPr>
        <w:t>12</w:t>
      </w:r>
      <w:r w:rsidR="00FE5248" w:rsidRPr="006C30CC">
        <w:rPr>
          <w:rFonts w:ascii="Times New Roman" w:hAnsi="Times New Roman"/>
          <w:bCs/>
          <w:kern w:val="28"/>
          <w:sz w:val="22"/>
        </w:rPr>
        <w:fldChar w:fldCharType="end"/>
      </w:r>
      <w:r w:rsidR="00FE5248" w:rsidRPr="006C30CC">
        <w:rPr>
          <w:rFonts w:ascii="Times New Roman" w:hAnsi="Times New Roman"/>
          <w:bCs/>
          <w:kern w:val="28"/>
          <w:sz w:val="22"/>
        </w:rPr>
        <w:t>)</w:t>
      </w:r>
      <w:r w:rsidRPr="006C30CC">
        <w:rPr>
          <w:rFonts w:ascii="Times New Roman" w:hAnsi="Times New Roman"/>
          <w:bCs/>
          <w:kern w:val="28"/>
          <w:sz w:val="22"/>
        </w:rPr>
        <w:t xml:space="preserve">. For this reason, the scoring intervals are designed to be somewhat flexible, and vary between </w:t>
      </w:r>
      <w:r w:rsidRPr="006C30CC">
        <w:rPr>
          <w:rFonts w:ascii="Times New Roman" w:hAnsi="Times New Roman"/>
          <w:b/>
          <w:bCs/>
          <w:kern w:val="28"/>
          <w:sz w:val="22"/>
        </w:rPr>
        <w:t>very high (0.2), high (0.4), moderate (0</w:t>
      </w:r>
      <w:r w:rsidR="00702C14" w:rsidRPr="006C30CC">
        <w:rPr>
          <w:rFonts w:ascii="Times New Roman" w:hAnsi="Times New Roman"/>
          <w:b/>
          <w:bCs/>
          <w:kern w:val="28"/>
          <w:sz w:val="22"/>
        </w:rPr>
        <w:t>.6), low (0.8)</w:t>
      </w:r>
      <w:r w:rsidR="00702C14" w:rsidRPr="006C30CC">
        <w:rPr>
          <w:rFonts w:ascii="Times New Roman" w:hAnsi="Times New Roman"/>
          <w:bCs/>
          <w:kern w:val="28"/>
          <w:sz w:val="22"/>
        </w:rPr>
        <w:t xml:space="preserve"> and </w:t>
      </w:r>
      <w:r w:rsidR="00702C14" w:rsidRPr="006C30CC">
        <w:rPr>
          <w:rFonts w:ascii="Times New Roman" w:hAnsi="Times New Roman"/>
          <w:b/>
          <w:bCs/>
          <w:kern w:val="28"/>
          <w:sz w:val="22"/>
        </w:rPr>
        <w:t>very low (1)</w:t>
      </w:r>
      <w:r w:rsidR="00C21EC3" w:rsidRPr="006C30CC">
        <w:rPr>
          <w:rFonts w:ascii="Times New Roman" w:hAnsi="Times New Roman"/>
          <w:b/>
          <w:bCs/>
          <w:kern w:val="28"/>
          <w:sz w:val="22"/>
        </w:rPr>
        <w:t>.</w:t>
      </w:r>
    </w:p>
    <w:p w14:paraId="39772BF3" w14:textId="77777777" w:rsidR="00702C14" w:rsidRPr="006C30CC" w:rsidRDefault="00702C14" w:rsidP="005C7009">
      <w:pPr>
        <w:rPr>
          <w:rFonts w:ascii="Arial" w:hAnsi="Arial" w:cs="Arial"/>
          <w:bCs/>
          <w:kern w:val="28"/>
          <w:sz w:val="22"/>
        </w:rPr>
      </w:pPr>
    </w:p>
    <w:p w14:paraId="2BDDCB11" w14:textId="77777777" w:rsidR="006C30CC" w:rsidRPr="00000C6B" w:rsidRDefault="00FE5248" w:rsidP="006C30CC">
      <w:pPr>
        <w:pStyle w:val="Caption"/>
        <w:rPr>
          <w:rFonts w:ascii="Times New Roman" w:hAnsi="Times New Roman"/>
          <w:color w:val="auto"/>
          <w:kern w:val="28"/>
          <w:sz w:val="22"/>
          <w:szCs w:val="22"/>
        </w:rPr>
      </w:pPr>
      <w:bookmarkStart w:id="37" w:name="_Ref525038360"/>
      <w:r w:rsidRPr="00000C6B">
        <w:rPr>
          <w:rFonts w:ascii="Times New Roman" w:hAnsi="Times New Roman"/>
          <w:color w:val="auto"/>
          <w:sz w:val="22"/>
          <w:szCs w:val="22"/>
        </w:rPr>
        <w:t xml:space="preserve">Table </w:t>
      </w:r>
      <w:r w:rsidRPr="00000C6B">
        <w:rPr>
          <w:rFonts w:ascii="Times New Roman" w:hAnsi="Times New Roman"/>
          <w:color w:val="auto"/>
          <w:sz w:val="22"/>
          <w:szCs w:val="22"/>
        </w:rPr>
        <w:fldChar w:fldCharType="begin"/>
      </w:r>
      <w:r w:rsidRPr="00000C6B">
        <w:rPr>
          <w:rFonts w:ascii="Times New Roman" w:hAnsi="Times New Roman"/>
          <w:color w:val="auto"/>
          <w:sz w:val="22"/>
          <w:szCs w:val="22"/>
        </w:rPr>
        <w:instrText xml:space="preserve"> SEQ Table \* ARABIC </w:instrText>
      </w:r>
      <w:r w:rsidRPr="00000C6B">
        <w:rPr>
          <w:rFonts w:ascii="Times New Roman" w:hAnsi="Times New Roman"/>
          <w:color w:val="auto"/>
          <w:sz w:val="22"/>
          <w:szCs w:val="22"/>
        </w:rPr>
        <w:fldChar w:fldCharType="separate"/>
      </w:r>
      <w:r w:rsidR="00AE3396" w:rsidRPr="00000C6B">
        <w:rPr>
          <w:rFonts w:ascii="Times New Roman" w:hAnsi="Times New Roman"/>
          <w:noProof/>
          <w:color w:val="auto"/>
          <w:sz w:val="22"/>
          <w:szCs w:val="22"/>
        </w:rPr>
        <w:t>12</w:t>
      </w:r>
      <w:r w:rsidRPr="00000C6B">
        <w:rPr>
          <w:rFonts w:ascii="Times New Roman" w:hAnsi="Times New Roman"/>
          <w:color w:val="auto"/>
          <w:sz w:val="22"/>
          <w:szCs w:val="22"/>
        </w:rPr>
        <w:fldChar w:fldCharType="end"/>
      </w:r>
      <w:bookmarkEnd w:id="37"/>
      <w:r w:rsidRPr="00000C6B">
        <w:rPr>
          <w:rFonts w:ascii="Times New Roman" w:hAnsi="Times New Roman"/>
          <w:color w:val="auto"/>
          <w:sz w:val="22"/>
          <w:szCs w:val="22"/>
        </w:rPr>
        <w:t xml:space="preserve">: </w:t>
      </w:r>
      <w:r w:rsidR="00702C14" w:rsidRPr="00000C6B">
        <w:rPr>
          <w:rFonts w:ascii="Times New Roman" w:hAnsi="Times New Roman"/>
          <w:color w:val="auto"/>
          <w:kern w:val="28"/>
          <w:sz w:val="22"/>
          <w:szCs w:val="22"/>
        </w:rPr>
        <w:t>Qualitative descriptors corresponding to confidence coefficient scores</w:t>
      </w:r>
    </w:p>
    <w:tbl>
      <w:tblPr>
        <w:tblStyle w:val="TableGrid"/>
        <w:tblW w:w="0" w:type="auto"/>
        <w:tblLook w:val="04A0" w:firstRow="1" w:lastRow="0" w:firstColumn="1" w:lastColumn="0" w:noHBand="0" w:noVBand="1"/>
        <w:tblCaption w:val="Table 12: Qualitative descriptors corresponding to confidence coefficient scores"/>
        <w:tblDescription w:val="Table shows qualitative descriptors corresponding to confidence coefficient scores"/>
      </w:tblPr>
      <w:tblGrid>
        <w:gridCol w:w="1231"/>
        <w:gridCol w:w="6372"/>
        <w:gridCol w:w="1413"/>
      </w:tblGrid>
      <w:tr w:rsidR="00D655E7" w:rsidRPr="00702C14" w14:paraId="29EDBEBE" w14:textId="77777777" w:rsidTr="006C30CC">
        <w:trPr>
          <w:tblHeader/>
        </w:trPr>
        <w:tc>
          <w:tcPr>
            <w:tcW w:w="0" w:type="auto"/>
            <w:shd w:val="clear" w:color="auto" w:fill="D9D9D9" w:themeFill="background1" w:themeFillShade="D9"/>
          </w:tcPr>
          <w:p w14:paraId="76C41115" w14:textId="77777777" w:rsidR="00D655E7" w:rsidRPr="00702C14" w:rsidRDefault="00D655E7" w:rsidP="001D2744">
            <w:pPr>
              <w:spacing w:line="240" w:lineRule="auto"/>
              <w:jc w:val="center"/>
              <w:rPr>
                <w:rFonts w:asciiTheme="minorHAnsi" w:hAnsiTheme="minorHAnsi" w:cs="Arial"/>
                <w:b/>
                <w:bCs/>
                <w:kern w:val="28"/>
                <w:sz w:val="20"/>
                <w:szCs w:val="20"/>
              </w:rPr>
            </w:pPr>
            <w:r w:rsidRPr="00702C14">
              <w:rPr>
                <w:rFonts w:asciiTheme="minorHAnsi" w:hAnsiTheme="minorHAnsi" w:cs="Arial"/>
                <w:b/>
                <w:bCs/>
                <w:kern w:val="28"/>
                <w:sz w:val="20"/>
                <w:szCs w:val="20"/>
              </w:rPr>
              <w:t>Confidence level</w:t>
            </w:r>
          </w:p>
        </w:tc>
        <w:tc>
          <w:tcPr>
            <w:tcW w:w="0" w:type="auto"/>
            <w:shd w:val="clear" w:color="auto" w:fill="D9D9D9" w:themeFill="background1" w:themeFillShade="D9"/>
          </w:tcPr>
          <w:p w14:paraId="5AD03E86" w14:textId="77777777" w:rsidR="00D655E7" w:rsidRPr="00702C14" w:rsidRDefault="00D655E7" w:rsidP="001D2744">
            <w:pPr>
              <w:spacing w:line="240" w:lineRule="auto"/>
              <w:jc w:val="center"/>
              <w:rPr>
                <w:rFonts w:asciiTheme="minorHAnsi" w:hAnsiTheme="minorHAnsi" w:cs="Arial"/>
                <w:b/>
                <w:bCs/>
                <w:kern w:val="28"/>
                <w:sz w:val="20"/>
                <w:szCs w:val="20"/>
              </w:rPr>
            </w:pPr>
            <w:r w:rsidRPr="00702C14">
              <w:rPr>
                <w:rFonts w:asciiTheme="minorHAnsi" w:hAnsiTheme="minorHAnsi" w:cs="Arial"/>
                <w:b/>
                <w:bCs/>
                <w:kern w:val="28"/>
                <w:sz w:val="20"/>
                <w:szCs w:val="20"/>
              </w:rPr>
              <w:t xml:space="preserve">Qualitative Description </w:t>
            </w:r>
          </w:p>
        </w:tc>
        <w:tc>
          <w:tcPr>
            <w:tcW w:w="0" w:type="auto"/>
            <w:shd w:val="clear" w:color="auto" w:fill="D9D9D9" w:themeFill="background1" w:themeFillShade="D9"/>
          </w:tcPr>
          <w:p w14:paraId="01FB8A1A" w14:textId="77777777" w:rsidR="00D655E7" w:rsidRPr="00702C14" w:rsidRDefault="00D655E7" w:rsidP="001D2744">
            <w:pPr>
              <w:spacing w:line="240" w:lineRule="auto"/>
              <w:jc w:val="center"/>
              <w:rPr>
                <w:rFonts w:asciiTheme="minorHAnsi" w:hAnsiTheme="minorHAnsi" w:cs="Arial"/>
                <w:b/>
                <w:bCs/>
                <w:kern w:val="28"/>
                <w:sz w:val="20"/>
                <w:szCs w:val="20"/>
              </w:rPr>
            </w:pPr>
            <w:r w:rsidRPr="00702C14">
              <w:rPr>
                <w:rFonts w:asciiTheme="minorHAnsi" w:hAnsiTheme="minorHAnsi" w:cs="Arial"/>
                <w:b/>
                <w:bCs/>
                <w:kern w:val="28"/>
                <w:sz w:val="20"/>
                <w:szCs w:val="20"/>
              </w:rPr>
              <w:t>Confidence coefficient score</w:t>
            </w:r>
          </w:p>
        </w:tc>
      </w:tr>
      <w:tr w:rsidR="00D655E7" w:rsidRPr="00702C14" w14:paraId="3BE8D58D" w14:textId="77777777" w:rsidTr="006C30CC">
        <w:tc>
          <w:tcPr>
            <w:tcW w:w="0" w:type="auto"/>
          </w:tcPr>
          <w:p w14:paraId="20BB5AD1"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Very high</w:t>
            </w:r>
          </w:p>
        </w:tc>
        <w:tc>
          <w:tcPr>
            <w:tcW w:w="0" w:type="auto"/>
          </w:tcPr>
          <w:p w14:paraId="4E97BB99" w14:textId="77777777" w:rsidR="00D655E7" w:rsidRPr="006C30CC" w:rsidRDefault="00D655E7" w:rsidP="006C30CC">
            <w:pPr>
              <w:pStyle w:val="ListParagraph"/>
              <w:numPr>
                <w:ilvl w:val="0"/>
                <w:numId w:val="30"/>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Very limited to no evidence gaps</w:t>
            </w:r>
          </w:p>
          <w:p w14:paraId="2E04B4D9" w14:textId="77777777" w:rsidR="00D655E7" w:rsidRPr="006C30CC" w:rsidRDefault="00D655E7" w:rsidP="006C30CC">
            <w:pPr>
              <w:pStyle w:val="ListParagraph"/>
              <w:numPr>
                <w:ilvl w:val="0"/>
                <w:numId w:val="30"/>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Comprehensive, high quality, recent documentary evidence or data available at the time of assessment</w:t>
            </w:r>
          </w:p>
          <w:p w14:paraId="059AC1A0" w14:textId="77777777" w:rsidR="00D655E7" w:rsidRPr="006C30CC" w:rsidRDefault="00D655E7" w:rsidP="006C30CC">
            <w:pPr>
              <w:pStyle w:val="ListParagraph"/>
              <w:numPr>
                <w:ilvl w:val="0"/>
                <w:numId w:val="30"/>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Comprehensive documentary evidence of functional, efficient structured monitoring processes, surveillance systems, and information technology infrastructure for appropriate record keeping to generate and store information </w:t>
            </w:r>
          </w:p>
          <w:p w14:paraId="1D02D3F8" w14:textId="77777777" w:rsidR="00D655E7" w:rsidRPr="006C30CC" w:rsidRDefault="00D655E7" w:rsidP="006C30CC">
            <w:pPr>
              <w:pStyle w:val="ListParagraph"/>
              <w:numPr>
                <w:ilvl w:val="0"/>
                <w:numId w:val="30"/>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Comprehensive documentary evidence of advanced laboratory and epidemiological capability and quality assurance processes to support surveillance, and readily available expert resources to review and verify the accuracy and completeness of information or data compiled </w:t>
            </w:r>
          </w:p>
          <w:p w14:paraId="108A9774" w14:textId="77777777" w:rsidR="00D655E7" w:rsidRPr="006C30CC" w:rsidRDefault="00D655E7" w:rsidP="006C30CC">
            <w:pPr>
              <w:pStyle w:val="ListParagraph"/>
              <w:numPr>
                <w:ilvl w:val="0"/>
                <w:numId w:val="30"/>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Information required for indicator assessment is of high quality, comprehensive, readily available and recent (e.g. annual reports or data available for the relevant timeframe immediately preceding the assessment)</w:t>
            </w:r>
          </w:p>
          <w:p w14:paraId="2FE1061F" w14:textId="77777777" w:rsidR="00D655E7" w:rsidRPr="006C30CC" w:rsidRDefault="00D655E7" w:rsidP="006C30CC">
            <w:pPr>
              <w:pStyle w:val="ListParagraph"/>
              <w:spacing w:after="0" w:line="240" w:lineRule="auto"/>
              <w:ind w:left="360"/>
              <w:rPr>
                <w:rFonts w:ascii="Times New Roman" w:hAnsi="Times New Roman"/>
                <w:bCs/>
                <w:kern w:val="28"/>
                <w:sz w:val="20"/>
                <w:szCs w:val="20"/>
              </w:rPr>
            </w:pPr>
          </w:p>
        </w:tc>
        <w:tc>
          <w:tcPr>
            <w:tcW w:w="0" w:type="auto"/>
          </w:tcPr>
          <w:p w14:paraId="66B4A9F4"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0.2</w:t>
            </w:r>
          </w:p>
        </w:tc>
      </w:tr>
      <w:tr w:rsidR="00D655E7" w:rsidRPr="00702C14" w14:paraId="20B19ABB" w14:textId="77777777" w:rsidTr="006C30CC">
        <w:tc>
          <w:tcPr>
            <w:tcW w:w="0" w:type="auto"/>
          </w:tcPr>
          <w:p w14:paraId="6E5548E1"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High</w:t>
            </w:r>
          </w:p>
        </w:tc>
        <w:tc>
          <w:tcPr>
            <w:tcW w:w="0" w:type="auto"/>
          </w:tcPr>
          <w:p w14:paraId="58D9C497"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Limited evidence gaps</w:t>
            </w:r>
          </w:p>
          <w:p w14:paraId="3557C194"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Good quality documentary evidence or data available at the time of assessment; information is minimally incomplete and fairly recent </w:t>
            </w:r>
          </w:p>
          <w:p w14:paraId="02AA13C0"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Good quality, minimally incomplete and fairly recent documentary evidence of functional structured monitoring processes, surveillance systems and/or information technology infrastructure for appropriate record keeping to generate and store information</w:t>
            </w:r>
          </w:p>
          <w:p w14:paraId="51C45D14"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Good quality, minimally incomplete and fairly recent documentary evidence of appropriate laboratory and epidemiological capability and quality assurance processes to support surveillance, and access to expert resources to review and verify the accuracy and completeness of information or data compiled</w:t>
            </w:r>
          </w:p>
          <w:p w14:paraId="7533A82C"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Information required for indicator assessment is of good quality, minimally incomplete, and fairly recent (e.g. annual reports or data available, but not for the entire relevant timeframe immediately preceding the assessment) </w:t>
            </w:r>
          </w:p>
          <w:p w14:paraId="59C7A402" w14:textId="77777777" w:rsidR="00D655E7" w:rsidRPr="006C30CC" w:rsidRDefault="00D655E7" w:rsidP="006C30CC">
            <w:pPr>
              <w:pStyle w:val="ListParagraph"/>
              <w:spacing w:after="0" w:line="240" w:lineRule="auto"/>
              <w:ind w:left="360"/>
              <w:rPr>
                <w:rFonts w:ascii="Times New Roman" w:hAnsi="Times New Roman"/>
                <w:bCs/>
                <w:kern w:val="28"/>
                <w:sz w:val="20"/>
                <w:szCs w:val="20"/>
              </w:rPr>
            </w:pPr>
          </w:p>
        </w:tc>
        <w:tc>
          <w:tcPr>
            <w:tcW w:w="0" w:type="auto"/>
          </w:tcPr>
          <w:p w14:paraId="5AEBBCAA"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0.4</w:t>
            </w:r>
          </w:p>
        </w:tc>
      </w:tr>
      <w:tr w:rsidR="00D655E7" w:rsidRPr="00702C14" w14:paraId="20202F7C" w14:textId="77777777" w:rsidTr="006C30CC">
        <w:tc>
          <w:tcPr>
            <w:tcW w:w="0" w:type="auto"/>
          </w:tcPr>
          <w:p w14:paraId="5889AAA9"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Moderate</w:t>
            </w:r>
          </w:p>
        </w:tc>
        <w:tc>
          <w:tcPr>
            <w:tcW w:w="0" w:type="auto"/>
          </w:tcPr>
          <w:p w14:paraId="3464EE1C"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Moderate evidence gaps</w:t>
            </w:r>
          </w:p>
          <w:p w14:paraId="1F0F8469"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Documentary evidence and/or data is available at the time of assessment, however information is of variable quality, and/or somewhat incomplete and/or outdated </w:t>
            </w:r>
          </w:p>
          <w:p w14:paraId="31577AA0" w14:textId="77777777" w:rsidR="00571EAE" w:rsidRPr="00571EAE" w:rsidRDefault="00D655E7" w:rsidP="00571EAE">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Acceptable, but somewhat incomplete or outdated documentary evidence of structured monitoring processes , surveillance systems </w:t>
            </w:r>
            <w:r w:rsidRPr="006C30CC">
              <w:rPr>
                <w:rFonts w:ascii="Times New Roman" w:hAnsi="Times New Roman"/>
                <w:bCs/>
                <w:kern w:val="28"/>
                <w:sz w:val="20"/>
                <w:szCs w:val="20"/>
              </w:rPr>
              <w:lastRenderedPageBreak/>
              <w:t>and/or information technology infrastructure for appropriate record keeping  to generate and store information</w:t>
            </w:r>
          </w:p>
          <w:p w14:paraId="040814BC"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Acceptable, but somewhat incomplete or outdated documentary evidence of laboratory and epidemiological capability and quality assurance processes to support surveillance, and/or limited or intermittent access to expert resources to review and verify the accuracy and completeness of information or data compiled</w:t>
            </w:r>
          </w:p>
          <w:p w14:paraId="45102426"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Information required for indicator assessment is of reasonable quality, however information is patchy or incomplete, and/or outdated or conversely, recent information is available but patchy and/or of variable quality </w:t>
            </w:r>
          </w:p>
          <w:p w14:paraId="174793F5" w14:textId="77777777" w:rsidR="00D655E7" w:rsidRPr="006C30CC" w:rsidRDefault="00D655E7" w:rsidP="006C30CC">
            <w:pPr>
              <w:pStyle w:val="ListParagraph"/>
              <w:spacing w:after="0" w:line="240" w:lineRule="auto"/>
              <w:ind w:left="360"/>
              <w:rPr>
                <w:rFonts w:ascii="Times New Roman" w:hAnsi="Times New Roman"/>
                <w:bCs/>
                <w:kern w:val="28"/>
                <w:sz w:val="20"/>
                <w:szCs w:val="20"/>
              </w:rPr>
            </w:pPr>
          </w:p>
        </w:tc>
        <w:tc>
          <w:tcPr>
            <w:tcW w:w="0" w:type="auto"/>
          </w:tcPr>
          <w:p w14:paraId="3003E2CA"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lastRenderedPageBreak/>
              <w:t>0.6</w:t>
            </w:r>
          </w:p>
        </w:tc>
      </w:tr>
      <w:tr w:rsidR="00D655E7" w:rsidRPr="00702C14" w14:paraId="5B6947B4" w14:textId="77777777" w:rsidTr="006C30CC">
        <w:tc>
          <w:tcPr>
            <w:tcW w:w="0" w:type="auto"/>
          </w:tcPr>
          <w:p w14:paraId="0DCA6232"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Low</w:t>
            </w:r>
          </w:p>
        </w:tc>
        <w:tc>
          <w:tcPr>
            <w:tcW w:w="0" w:type="auto"/>
          </w:tcPr>
          <w:p w14:paraId="2825C9D8"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Significant evidence gaps</w:t>
            </w:r>
          </w:p>
          <w:p w14:paraId="4CBD275A"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Very limited, and/or incomplete and/or poor quality and/or very outdated documentary evidence or data available at the time of assessment</w:t>
            </w:r>
          </w:p>
          <w:p w14:paraId="0F9B9744"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Limited and/or incomplete and/or poor quality documentary evidence of structured monitoring processes, surveillance systems and/or information technology infrastructure for appropriate record keeping to generate and store information </w:t>
            </w:r>
          </w:p>
          <w:p w14:paraId="5F06D0EF" w14:textId="77777777" w:rsidR="00D655E7" w:rsidRPr="006C30CC"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Limited documentary evidence of laboratory and epidemiological capability and quality assurance processes to support surveillance, and/or inadequate access to expert resources to review and verify the accuracy and completeness of information or data compiled</w:t>
            </w:r>
          </w:p>
          <w:p w14:paraId="238A5ABC" w14:textId="77777777" w:rsidR="00D655E7" w:rsidRDefault="00D655E7" w:rsidP="006C30CC">
            <w:pPr>
              <w:pStyle w:val="ListParagraph"/>
              <w:numPr>
                <w:ilvl w:val="0"/>
                <w:numId w:val="29"/>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Information required for indicator assessment is lacking, or of suboptimal quality and/or very outdated (e.g. only incomplete, poor quality data available for assessment) </w:t>
            </w:r>
          </w:p>
          <w:p w14:paraId="0DC7A615" w14:textId="77777777" w:rsidR="00571EAE" w:rsidRPr="006C30CC" w:rsidRDefault="00571EAE" w:rsidP="00571EAE">
            <w:pPr>
              <w:pStyle w:val="ListParagraph"/>
              <w:spacing w:after="0" w:line="240" w:lineRule="auto"/>
              <w:ind w:left="360"/>
              <w:rPr>
                <w:rFonts w:ascii="Times New Roman" w:hAnsi="Times New Roman"/>
                <w:bCs/>
                <w:kern w:val="28"/>
                <w:sz w:val="20"/>
                <w:szCs w:val="20"/>
              </w:rPr>
            </w:pPr>
          </w:p>
        </w:tc>
        <w:tc>
          <w:tcPr>
            <w:tcW w:w="0" w:type="auto"/>
          </w:tcPr>
          <w:p w14:paraId="3F3B278E"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0.8</w:t>
            </w:r>
          </w:p>
        </w:tc>
      </w:tr>
      <w:tr w:rsidR="00D655E7" w:rsidRPr="00702C14" w14:paraId="4A002638" w14:textId="77777777" w:rsidTr="006C30CC">
        <w:tc>
          <w:tcPr>
            <w:tcW w:w="0" w:type="auto"/>
          </w:tcPr>
          <w:p w14:paraId="70F0AB6A"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Very low</w:t>
            </w:r>
          </w:p>
        </w:tc>
        <w:tc>
          <w:tcPr>
            <w:tcW w:w="0" w:type="auto"/>
          </w:tcPr>
          <w:p w14:paraId="5BECF858" w14:textId="77777777" w:rsidR="00D655E7" w:rsidRPr="006C30CC" w:rsidRDefault="00D655E7" w:rsidP="006C30CC">
            <w:pPr>
              <w:pStyle w:val="ListParagraph"/>
              <w:numPr>
                <w:ilvl w:val="0"/>
                <w:numId w:val="28"/>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Major and extensive evidence gaps</w:t>
            </w:r>
          </w:p>
          <w:p w14:paraId="2D00251B" w14:textId="77777777" w:rsidR="00D655E7" w:rsidRPr="006C30CC" w:rsidRDefault="00D655E7" w:rsidP="006C30CC">
            <w:pPr>
              <w:pStyle w:val="ListParagraph"/>
              <w:numPr>
                <w:ilvl w:val="0"/>
                <w:numId w:val="28"/>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No documentary evidence or data available to evaluate relevant risk indicators at the time of assessment</w:t>
            </w:r>
          </w:p>
          <w:p w14:paraId="799C4E2D" w14:textId="77777777" w:rsidR="00D655E7" w:rsidRPr="006C30CC" w:rsidRDefault="00D655E7" w:rsidP="006C30CC">
            <w:pPr>
              <w:pStyle w:val="ListParagraph"/>
              <w:numPr>
                <w:ilvl w:val="0"/>
                <w:numId w:val="28"/>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No or very limited documentary evidence of structured monitoring processes (e.g. Government-administered process), surveillance systems, or information technology infrastructure for appropriate record keeping to generate and store information available</w:t>
            </w:r>
            <w:r w:rsidRPr="006C30CC">
              <w:rPr>
                <w:rStyle w:val="FootnoteReference"/>
                <w:rFonts w:ascii="Times New Roman" w:hAnsi="Times New Roman"/>
                <w:bCs/>
                <w:kern w:val="28"/>
                <w:sz w:val="20"/>
                <w:szCs w:val="20"/>
              </w:rPr>
              <w:footnoteReference w:id="4"/>
            </w:r>
          </w:p>
          <w:p w14:paraId="7C701E96" w14:textId="77777777" w:rsidR="00D655E7" w:rsidRPr="006C30CC" w:rsidRDefault="00D655E7" w:rsidP="006C30CC">
            <w:pPr>
              <w:pStyle w:val="ListParagraph"/>
              <w:numPr>
                <w:ilvl w:val="0"/>
                <w:numId w:val="28"/>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No or very limited documentary evidence of laboratory and epidemiological capability and quality assurance processes to support surveillance, and/or no or very limited access to expert resources to review and verify the accuracy and completeness of information or data compiled</w:t>
            </w:r>
            <w:r w:rsidRPr="006C30CC">
              <w:rPr>
                <w:rStyle w:val="FootnoteReference"/>
                <w:rFonts w:ascii="Times New Roman" w:hAnsi="Times New Roman"/>
                <w:bCs/>
                <w:kern w:val="28"/>
                <w:sz w:val="20"/>
                <w:szCs w:val="20"/>
              </w:rPr>
              <w:footnoteReference w:id="5"/>
            </w:r>
          </w:p>
          <w:p w14:paraId="745265A3" w14:textId="77777777" w:rsidR="00D655E7" w:rsidRPr="006C30CC" w:rsidRDefault="00D655E7" w:rsidP="006C30CC">
            <w:pPr>
              <w:pStyle w:val="ListParagraph"/>
              <w:numPr>
                <w:ilvl w:val="0"/>
                <w:numId w:val="28"/>
              </w:numPr>
              <w:spacing w:after="0" w:line="240" w:lineRule="auto"/>
              <w:rPr>
                <w:rFonts w:ascii="Times New Roman" w:hAnsi="Times New Roman"/>
                <w:bCs/>
                <w:kern w:val="28"/>
                <w:sz w:val="20"/>
                <w:szCs w:val="20"/>
              </w:rPr>
            </w:pPr>
            <w:r w:rsidRPr="006C30CC">
              <w:rPr>
                <w:rFonts w:ascii="Times New Roman" w:hAnsi="Times New Roman"/>
                <w:bCs/>
                <w:kern w:val="28"/>
                <w:sz w:val="20"/>
                <w:szCs w:val="20"/>
              </w:rPr>
              <w:t xml:space="preserve">Information required for indicator assessment is either completely unavailable, and/or based on crude speculation or conjecture only </w:t>
            </w:r>
          </w:p>
          <w:p w14:paraId="181215E1" w14:textId="77777777" w:rsidR="00D655E7" w:rsidRPr="006C30CC" w:rsidRDefault="00D655E7" w:rsidP="006C30CC">
            <w:pPr>
              <w:pStyle w:val="ListParagraph"/>
              <w:spacing w:after="0" w:line="240" w:lineRule="auto"/>
              <w:ind w:left="394"/>
              <w:rPr>
                <w:rFonts w:ascii="Times New Roman" w:hAnsi="Times New Roman"/>
                <w:bCs/>
                <w:kern w:val="28"/>
                <w:sz w:val="20"/>
                <w:szCs w:val="20"/>
              </w:rPr>
            </w:pPr>
          </w:p>
        </w:tc>
        <w:tc>
          <w:tcPr>
            <w:tcW w:w="0" w:type="auto"/>
          </w:tcPr>
          <w:p w14:paraId="08DE0F5D" w14:textId="77777777" w:rsidR="00D655E7" w:rsidRPr="006C30CC" w:rsidRDefault="00D655E7" w:rsidP="006C30CC">
            <w:pPr>
              <w:spacing w:after="0" w:line="240" w:lineRule="auto"/>
              <w:jc w:val="center"/>
              <w:rPr>
                <w:rFonts w:ascii="Times New Roman" w:hAnsi="Times New Roman"/>
                <w:bCs/>
                <w:kern w:val="28"/>
                <w:sz w:val="20"/>
                <w:szCs w:val="20"/>
              </w:rPr>
            </w:pPr>
            <w:r w:rsidRPr="006C30CC">
              <w:rPr>
                <w:rFonts w:ascii="Times New Roman" w:hAnsi="Times New Roman"/>
                <w:bCs/>
                <w:kern w:val="28"/>
                <w:sz w:val="20"/>
                <w:szCs w:val="20"/>
              </w:rPr>
              <w:t>1</w:t>
            </w:r>
          </w:p>
        </w:tc>
      </w:tr>
    </w:tbl>
    <w:p w14:paraId="02C71E78" w14:textId="77777777" w:rsidR="006C30CC" w:rsidRDefault="00291091" w:rsidP="006C30CC">
      <w:bookmarkStart w:id="38" w:name="_Ref525031424"/>
      <w:r>
        <w:t xml:space="preserve">  </w:t>
      </w:r>
    </w:p>
    <w:p w14:paraId="2BE89931" w14:textId="77777777" w:rsidR="005C7009" w:rsidRPr="00571EAE" w:rsidRDefault="002111A8" w:rsidP="00D655E7">
      <w:pPr>
        <w:pStyle w:val="Heading3"/>
        <w:rPr>
          <w:rFonts w:ascii="Arial" w:hAnsi="Arial" w:cs="Arial"/>
          <w:color w:val="auto"/>
          <w:sz w:val="22"/>
          <w:szCs w:val="22"/>
        </w:rPr>
      </w:pPr>
      <w:bookmarkStart w:id="39" w:name="_Toc20238595"/>
      <w:r w:rsidRPr="00571EAE">
        <w:rPr>
          <w:rFonts w:ascii="Arial" w:hAnsi="Arial" w:cs="Arial"/>
          <w:color w:val="auto"/>
          <w:sz w:val="22"/>
          <w:szCs w:val="22"/>
        </w:rPr>
        <w:lastRenderedPageBreak/>
        <w:t xml:space="preserve">Risk characterisation </w:t>
      </w:r>
      <w:r w:rsidR="00AA52E6" w:rsidRPr="00571EAE">
        <w:rPr>
          <w:rFonts w:ascii="Arial" w:hAnsi="Arial" w:cs="Arial"/>
          <w:color w:val="auto"/>
          <w:sz w:val="22"/>
          <w:szCs w:val="22"/>
        </w:rPr>
        <w:t>estimate (RCE)</w:t>
      </w:r>
      <w:bookmarkEnd w:id="38"/>
      <w:bookmarkEnd w:id="39"/>
      <w:r w:rsidR="00AA52E6" w:rsidRPr="00571EAE">
        <w:rPr>
          <w:rFonts w:ascii="Arial" w:hAnsi="Arial" w:cs="Arial"/>
          <w:color w:val="auto"/>
          <w:sz w:val="22"/>
          <w:szCs w:val="22"/>
        </w:rPr>
        <w:t xml:space="preserve"> </w:t>
      </w:r>
    </w:p>
    <w:p w14:paraId="1549BE1A" w14:textId="77777777" w:rsidR="00AA52E6" w:rsidRDefault="00AA52E6" w:rsidP="00571EAE">
      <w:pPr>
        <w:pStyle w:val="BodyText"/>
        <w:spacing w:after="160" w:line="259" w:lineRule="auto"/>
        <w:rPr>
          <w:rFonts w:ascii="Times New Roman" w:hAnsi="Times New Roman"/>
          <w:bCs/>
          <w:kern w:val="28"/>
          <w:sz w:val="22"/>
        </w:rPr>
      </w:pPr>
      <w:r w:rsidRPr="00571EAE">
        <w:rPr>
          <w:rFonts w:ascii="Times New Roman" w:hAnsi="Times New Roman"/>
          <w:bCs/>
          <w:kern w:val="28"/>
          <w:sz w:val="22"/>
        </w:rPr>
        <w:t xml:space="preserve">The risk characterisation estimate (RCE) represents a </w:t>
      </w:r>
      <w:r w:rsidR="00F95BD2" w:rsidRPr="00571EAE">
        <w:rPr>
          <w:rFonts w:ascii="Times New Roman" w:hAnsi="Times New Roman"/>
          <w:bCs/>
          <w:kern w:val="28"/>
          <w:sz w:val="22"/>
        </w:rPr>
        <w:t>semi-</w:t>
      </w:r>
      <w:r w:rsidRPr="00571EAE">
        <w:rPr>
          <w:rFonts w:ascii="Times New Roman" w:hAnsi="Times New Roman"/>
          <w:bCs/>
          <w:kern w:val="28"/>
          <w:sz w:val="22"/>
        </w:rPr>
        <w:t>quantitative point estimate of the overall poliovirus reintroduction and outbreak risk for Australia covering the timeframe specified by the assessment (e.g. annually, five year intervals, etc.). The RCE may range from 0</w:t>
      </w:r>
      <w:r w:rsidR="00DC5F1C" w:rsidRPr="00571EAE">
        <w:rPr>
          <w:rFonts w:ascii="Times New Roman" w:hAnsi="Times New Roman"/>
          <w:bCs/>
          <w:kern w:val="28"/>
          <w:sz w:val="22"/>
        </w:rPr>
        <w:t>.02 – 4.5</w:t>
      </w:r>
      <w:r w:rsidRPr="00571EAE">
        <w:rPr>
          <w:rFonts w:ascii="Times New Roman" w:hAnsi="Times New Roman"/>
          <w:bCs/>
          <w:kern w:val="28"/>
          <w:sz w:val="22"/>
        </w:rPr>
        <w:t xml:space="preserve"> for each component of likelihood and impact, and is derived through simple plotting of the respective likelihood and impact scores into a risk matrix, with defined thresholds representing descriptive risk categories (</w:t>
      </w:r>
      <w:r w:rsidRPr="00571EAE">
        <w:rPr>
          <w:rFonts w:ascii="Times New Roman" w:hAnsi="Times New Roman"/>
          <w:b/>
          <w:bCs/>
          <w:kern w:val="28"/>
          <w:sz w:val="22"/>
        </w:rPr>
        <w:t>Very Low, Low, Moderate, High</w:t>
      </w:r>
      <w:r w:rsidRPr="00571EAE">
        <w:rPr>
          <w:rFonts w:ascii="Times New Roman" w:hAnsi="Times New Roman"/>
          <w:bCs/>
          <w:kern w:val="28"/>
          <w:sz w:val="22"/>
        </w:rPr>
        <w:t xml:space="preserve"> and </w:t>
      </w:r>
      <w:r w:rsidRPr="00571EAE">
        <w:rPr>
          <w:rFonts w:ascii="Times New Roman" w:hAnsi="Times New Roman"/>
          <w:b/>
          <w:bCs/>
          <w:kern w:val="28"/>
          <w:sz w:val="22"/>
        </w:rPr>
        <w:t>Very High</w:t>
      </w:r>
      <w:r w:rsidRPr="00571EAE">
        <w:rPr>
          <w:rFonts w:ascii="Times New Roman" w:hAnsi="Times New Roman"/>
          <w:bCs/>
          <w:kern w:val="28"/>
          <w:sz w:val="22"/>
        </w:rPr>
        <w:t>). The risk categories were determined through specifying cut-off criteria set at the 25</w:t>
      </w:r>
      <w:r w:rsidRPr="00571EAE">
        <w:rPr>
          <w:rFonts w:ascii="Times New Roman" w:hAnsi="Times New Roman"/>
          <w:bCs/>
          <w:kern w:val="28"/>
          <w:sz w:val="22"/>
          <w:vertAlign w:val="superscript"/>
        </w:rPr>
        <w:t>th</w:t>
      </w:r>
      <w:r w:rsidRPr="00571EAE">
        <w:rPr>
          <w:rFonts w:ascii="Times New Roman" w:hAnsi="Times New Roman"/>
          <w:bCs/>
          <w:kern w:val="28"/>
          <w:sz w:val="22"/>
        </w:rPr>
        <w:t>, 50</w:t>
      </w:r>
      <w:r w:rsidRPr="00571EAE">
        <w:rPr>
          <w:rFonts w:ascii="Times New Roman" w:hAnsi="Times New Roman"/>
          <w:bCs/>
          <w:kern w:val="28"/>
          <w:sz w:val="22"/>
          <w:vertAlign w:val="superscript"/>
        </w:rPr>
        <w:t>th</w:t>
      </w:r>
      <w:r w:rsidRPr="00571EAE">
        <w:rPr>
          <w:rFonts w:ascii="Times New Roman" w:hAnsi="Times New Roman"/>
          <w:bCs/>
          <w:kern w:val="28"/>
          <w:sz w:val="22"/>
        </w:rPr>
        <w:t xml:space="preserve"> (median), 75</w:t>
      </w:r>
      <w:r w:rsidRPr="00571EAE">
        <w:rPr>
          <w:rFonts w:ascii="Times New Roman" w:hAnsi="Times New Roman"/>
          <w:bCs/>
          <w:kern w:val="28"/>
          <w:sz w:val="22"/>
          <w:vertAlign w:val="superscript"/>
        </w:rPr>
        <w:t>th</w:t>
      </w:r>
      <w:r w:rsidRPr="00571EAE">
        <w:rPr>
          <w:rFonts w:ascii="Times New Roman" w:hAnsi="Times New Roman"/>
          <w:bCs/>
          <w:kern w:val="28"/>
          <w:sz w:val="22"/>
        </w:rPr>
        <w:t xml:space="preserve"> and 90</w:t>
      </w:r>
      <w:r w:rsidRPr="00571EAE">
        <w:rPr>
          <w:rFonts w:ascii="Times New Roman" w:hAnsi="Times New Roman"/>
          <w:bCs/>
          <w:kern w:val="28"/>
          <w:sz w:val="22"/>
          <w:vertAlign w:val="superscript"/>
        </w:rPr>
        <w:t>th</w:t>
      </w:r>
      <w:r w:rsidRPr="00571EAE">
        <w:rPr>
          <w:rFonts w:ascii="Times New Roman" w:hAnsi="Times New Roman"/>
          <w:bCs/>
          <w:kern w:val="28"/>
          <w:sz w:val="22"/>
        </w:rPr>
        <w:t xml:space="preserve"> percentiles, respectively, of the distribution (range) of all possible combination of scores of the individual weighted risk elements</w:t>
      </w:r>
      <w:r w:rsidR="00C82DB9" w:rsidRPr="00571EAE">
        <w:rPr>
          <w:rFonts w:ascii="Times New Roman" w:hAnsi="Times New Roman"/>
          <w:bCs/>
          <w:kern w:val="28"/>
          <w:sz w:val="22"/>
        </w:rPr>
        <w:t xml:space="preserve"> (</w:t>
      </w:r>
      <w:r w:rsidR="00C82DB9" w:rsidRPr="00571EAE">
        <w:rPr>
          <w:rFonts w:ascii="Times New Roman" w:hAnsi="Times New Roman"/>
          <w:bCs/>
          <w:kern w:val="28"/>
          <w:sz w:val="22"/>
        </w:rPr>
        <w:fldChar w:fldCharType="begin"/>
      </w:r>
      <w:r w:rsidR="00C82DB9" w:rsidRPr="00571EAE">
        <w:rPr>
          <w:rFonts w:ascii="Times New Roman" w:hAnsi="Times New Roman"/>
          <w:bCs/>
          <w:kern w:val="28"/>
          <w:sz w:val="22"/>
        </w:rPr>
        <w:instrText xml:space="preserve"> REF _Ref525038694 \h </w:instrText>
      </w:r>
      <w:r w:rsidR="00571EAE" w:rsidRPr="00571EAE">
        <w:rPr>
          <w:rFonts w:ascii="Times New Roman" w:hAnsi="Times New Roman"/>
          <w:bCs/>
          <w:kern w:val="28"/>
          <w:sz w:val="22"/>
        </w:rPr>
        <w:instrText xml:space="preserve"> \* MERGEFORMAT </w:instrText>
      </w:r>
      <w:r w:rsidR="00C82DB9" w:rsidRPr="00571EAE">
        <w:rPr>
          <w:rFonts w:ascii="Times New Roman" w:hAnsi="Times New Roman"/>
          <w:bCs/>
          <w:kern w:val="28"/>
          <w:sz w:val="22"/>
        </w:rPr>
      </w:r>
      <w:r w:rsidR="00C82DB9" w:rsidRPr="00571EAE">
        <w:rPr>
          <w:rFonts w:ascii="Times New Roman" w:hAnsi="Times New Roman"/>
          <w:bCs/>
          <w:kern w:val="28"/>
          <w:sz w:val="22"/>
        </w:rPr>
        <w:fldChar w:fldCharType="separate"/>
      </w:r>
      <w:r w:rsidR="00AE3396" w:rsidRPr="00571EAE">
        <w:rPr>
          <w:rFonts w:ascii="Times New Roman" w:hAnsi="Times New Roman"/>
          <w:color w:val="auto"/>
          <w:sz w:val="22"/>
        </w:rPr>
        <w:t xml:space="preserve">Table </w:t>
      </w:r>
      <w:r w:rsidR="00AE3396" w:rsidRPr="00571EAE">
        <w:rPr>
          <w:rFonts w:ascii="Times New Roman" w:hAnsi="Times New Roman"/>
          <w:noProof/>
          <w:color w:val="auto"/>
          <w:sz w:val="22"/>
        </w:rPr>
        <w:t>13</w:t>
      </w:r>
      <w:r w:rsidR="00C82DB9" w:rsidRPr="00571EAE">
        <w:rPr>
          <w:rFonts w:ascii="Times New Roman" w:hAnsi="Times New Roman"/>
          <w:bCs/>
          <w:kern w:val="28"/>
          <w:sz w:val="22"/>
        </w:rPr>
        <w:fldChar w:fldCharType="end"/>
      </w:r>
      <w:r w:rsidR="00C82DB9" w:rsidRPr="00571EAE">
        <w:rPr>
          <w:rFonts w:ascii="Times New Roman" w:hAnsi="Times New Roman"/>
          <w:bCs/>
          <w:kern w:val="28"/>
          <w:sz w:val="22"/>
        </w:rPr>
        <w:t>).</w:t>
      </w:r>
    </w:p>
    <w:p w14:paraId="490EB8FF" w14:textId="77777777" w:rsidR="00525787" w:rsidRPr="00571EAE" w:rsidRDefault="00525787" w:rsidP="00571EAE">
      <w:pPr>
        <w:pStyle w:val="BodyText"/>
        <w:spacing w:after="160" w:line="259" w:lineRule="auto"/>
        <w:rPr>
          <w:rFonts w:ascii="Times New Roman" w:hAnsi="Times New Roman"/>
          <w:sz w:val="22"/>
        </w:rPr>
      </w:pPr>
    </w:p>
    <w:p w14:paraId="54DBE866" w14:textId="77777777" w:rsidR="007B5000" w:rsidRPr="00525787" w:rsidRDefault="00C82DB9" w:rsidP="00C82DB9">
      <w:pPr>
        <w:pStyle w:val="Caption"/>
        <w:rPr>
          <w:rFonts w:ascii="Times New Roman" w:hAnsi="Times New Roman"/>
          <w:bCs/>
          <w:color w:val="auto"/>
          <w:kern w:val="28"/>
          <w:sz w:val="22"/>
          <w:szCs w:val="22"/>
        </w:rPr>
      </w:pPr>
      <w:bookmarkStart w:id="40" w:name="_Ref525038694"/>
      <w:r w:rsidRPr="00525787">
        <w:rPr>
          <w:rFonts w:ascii="Times New Roman" w:hAnsi="Times New Roman"/>
          <w:color w:val="auto"/>
          <w:sz w:val="22"/>
          <w:szCs w:val="22"/>
        </w:rPr>
        <w:t xml:space="preserve">Table </w:t>
      </w:r>
      <w:r w:rsidRPr="00525787">
        <w:rPr>
          <w:rFonts w:ascii="Times New Roman" w:hAnsi="Times New Roman"/>
          <w:color w:val="auto"/>
          <w:sz w:val="22"/>
          <w:szCs w:val="22"/>
        </w:rPr>
        <w:fldChar w:fldCharType="begin"/>
      </w:r>
      <w:r w:rsidRPr="00525787">
        <w:rPr>
          <w:rFonts w:ascii="Times New Roman" w:hAnsi="Times New Roman"/>
          <w:color w:val="auto"/>
          <w:sz w:val="22"/>
          <w:szCs w:val="22"/>
        </w:rPr>
        <w:instrText xml:space="preserve"> SEQ Table \* ARABIC </w:instrText>
      </w:r>
      <w:r w:rsidRPr="00525787">
        <w:rPr>
          <w:rFonts w:ascii="Times New Roman" w:hAnsi="Times New Roman"/>
          <w:color w:val="auto"/>
          <w:sz w:val="22"/>
          <w:szCs w:val="22"/>
        </w:rPr>
        <w:fldChar w:fldCharType="separate"/>
      </w:r>
      <w:r w:rsidR="00AE3396" w:rsidRPr="00525787">
        <w:rPr>
          <w:rFonts w:ascii="Times New Roman" w:hAnsi="Times New Roman"/>
          <w:noProof/>
          <w:color w:val="auto"/>
          <w:sz w:val="22"/>
          <w:szCs w:val="22"/>
        </w:rPr>
        <w:t>13</w:t>
      </w:r>
      <w:r w:rsidRPr="00525787">
        <w:rPr>
          <w:rFonts w:ascii="Times New Roman" w:hAnsi="Times New Roman"/>
          <w:color w:val="auto"/>
          <w:sz w:val="22"/>
          <w:szCs w:val="22"/>
        </w:rPr>
        <w:fldChar w:fldCharType="end"/>
      </w:r>
      <w:bookmarkEnd w:id="40"/>
      <w:r w:rsidRPr="00525787">
        <w:rPr>
          <w:rFonts w:ascii="Times New Roman" w:hAnsi="Times New Roman"/>
          <w:color w:val="auto"/>
          <w:sz w:val="22"/>
          <w:szCs w:val="22"/>
        </w:rPr>
        <w:t xml:space="preserve">: </w:t>
      </w:r>
      <w:r w:rsidR="007B5000" w:rsidRPr="00525787">
        <w:rPr>
          <w:rFonts w:ascii="Times New Roman" w:hAnsi="Times New Roman"/>
          <w:color w:val="auto"/>
          <w:kern w:val="28"/>
          <w:sz w:val="22"/>
          <w:szCs w:val="22"/>
        </w:rPr>
        <w:t>Thresholds for Likelihood and Impact risk categories to plot the Risk Characterisation Estimate (RCE)</w:t>
      </w:r>
    </w:p>
    <w:tbl>
      <w:tblPr>
        <w:tblStyle w:val="TableGrid"/>
        <w:tblW w:w="0" w:type="auto"/>
        <w:jc w:val="center"/>
        <w:tblLook w:val="04A0" w:firstRow="1" w:lastRow="0" w:firstColumn="1" w:lastColumn="0" w:noHBand="0" w:noVBand="1"/>
        <w:tblCaption w:val="Table 13: Thresholds for Likelihood and Impact risk categories to plot the Risk Characterisation Estimate (RCE)"/>
        <w:tblDescription w:val="Table shows thresholds for Likelihood and Impact risk categories to plot the Risk Characterisation Estimate (RCE)"/>
      </w:tblPr>
      <w:tblGrid>
        <w:gridCol w:w="1933"/>
        <w:gridCol w:w="2005"/>
      </w:tblGrid>
      <w:tr w:rsidR="00DC5F1C" w:rsidRPr="00571EAE" w14:paraId="1D59C5C8" w14:textId="77777777" w:rsidTr="003E2305">
        <w:trPr>
          <w:tblHeader/>
          <w:jc w:val="center"/>
        </w:trPr>
        <w:tc>
          <w:tcPr>
            <w:tcW w:w="1933" w:type="dxa"/>
            <w:shd w:val="clear" w:color="auto" w:fill="D9D9D9" w:themeFill="background1" w:themeFillShade="D9"/>
          </w:tcPr>
          <w:p w14:paraId="136F8220" w14:textId="77777777" w:rsidR="00DC5F1C" w:rsidRPr="00571EAE" w:rsidRDefault="00DC5F1C" w:rsidP="001D2744">
            <w:pPr>
              <w:jc w:val="center"/>
              <w:rPr>
                <w:rFonts w:ascii="Times New Roman" w:hAnsi="Times New Roman"/>
                <w:b/>
                <w:bCs/>
                <w:kern w:val="28"/>
                <w:sz w:val="20"/>
                <w:szCs w:val="20"/>
              </w:rPr>
            </w:pPr>
            <w:r w:rsidRPr="00571EAE">
              <w:rPr>
                <w:rFonts w:ascii="Times New Roman" w:hAnsi="Times New Roman"/>
                <w:b/>
                <w:bCs/>
                <w:kern w:val="28"/>
                <w:sz w:val="20"/>
                <w:szCs w:val="20"/>
              </w:rPr>
              <w:t>Range</w:t>
            </w:r>
          </w:p>
        </w:tc>
        <w:tc>
          <w:tcPr>
            <w:tcW w:w="2005" w:type="dxa"/>
            <w:shd w:val="clear" w:color="auto" w:fill="D9D9D9" w:themeFill="background1" w:themeFillShade="D9"/>
          </w:tcPr>
          <w:p w14:paraId="37DFBCC6" w14:textId="77777777" w:rsidR="00DC5F1C" w:rsidRPr="00571EAE" w:rsidRDefault="00DC5F1C" w:rsidP="001D2744">
            <w:pPr>
              <w:jc w:val="center"/>
              <w:rPr>
                <w:rFonts w:ascii="Times New Roman" w:hAnsi="Times New Roman"/>
                <w:b/>
                <w:bCs/>
                <w:kern w:val="28"/>
                <w:sz w:val="20"/>
                <w:szCs w:val="20"/>
              </w:rPr>
            </w:pPr>
            <w:r w:rsidRPr="00571EAE">
              <w:rPr>
                <w:rFonts w:ascii="Times New Roman" w:hAnsi="Times New Roman"/>
                <w:b/>
                <w:bCs/>
                <w:kern w:val="28"/>
                <w:sz w:val="20"/>
                <w:szCs w:val="20"/>
              </w:rPr>
              <w:t>Risk category</w:t>
            </w:r>
          </w:p>
        </w:tc>
      </w:tr>
      <w:tr w:rsidR="00DC5F1C" w:rsidRPr="00571EAE" w14:paraId="267D1C02" w14:textId="77777777" w:rsidTr="001D2744">
        <w:trPr>
          <w:jc w:val="center"/>
        </w:trPr>
        <w:tc>
          <w:tcPr>
            <w:tcW w:w="1933" w:type="dxa"/>
          </w:tcPr>
          <w:p w14:paraId="180558EF"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0.02–1.12</w:t>
            </w:r>
          </w:p>
        </w:tc>
        <w:tc>
          <w:tcPr>
            <w:tcW w:w="2005" w:type="dxa"/>
          </w:tcPr>
          <w:p w14:paraId="2031830C"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Very low</w:t>
            </w:r>
          </w:p>
        </w:tc>
      </w:tr>
      <w:tr w:rsidR="00DC5F1C" w:rsidRPr="00571EAE" w14:paraId="0E697BC6" w14:textId="77777777" w:rsidTr="001D2744">
        <w:trPr>
          <w:jc w:val="center"/>
        </w:trPr>
        <w:tc>
          <w:tcPr>
            <w:tcW w:w="1933" w:type="dxa"/>
          </w:tcPr>
          <w:p w14:paraId="28A8387E"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1.13–2.25 </w:t>
            </w:r>
          </w:p>
        </w:tc>
        <w:tc>
          <w:tcPr>
            <w:tcW w:w="2005" w:type="dxa"/>
          </w:tcPr>
          <w:p w14:paraId="588C035A"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Low </w:t>
            </w:r>
          </w:p>
        </w:tc>
      </w:tr>
      <w:tr w:rsidR="00DC5F1C" w:rsidRPr="00571EAE" w14:paraId="225DEDE1" w14:textId="77777777" w:rsidTr="001D2744">
        <w:trPr>
          <w:jc w:val="center"/>
        </w:trPr>
        <w:tc>
          <w:tcPr>
            <w:tcW w:w="1933" w:type="dxa"/>
          </w:tcPr>
          <w:p w14:paraId="7FBE19DE"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2.26–3.38 </w:t>
            </w:r>
          </w:p>
        </w:tc>
        <w:tc>
          <w:tcPr>
            <w:tcW w:w="2005" w:type="dxa"/>
          </w:tcPr>
          <w:p w14:paraId="3AF349AB"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Moderate </w:t>
            </w:r>
          </w:p>
        </w:tc>
      </w:tr>
      <w:tr w:rsidR="00DC5F1C" w:rsidRPr="00571EAE" w14:paraId="2DFDF82D" w14:textId="77777777" w:rsidTr="001D2744">
        <w:trPr>
          <w:jc w:val="center"/>
        </w:trPr>
        <w:tc>
          <w:tcPr>
            <w:tcW w:w="1933" w:type="dxa"/>
          </w:tcPr>
          <w:p w14:paraId="087B9287"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3.39–4.06 </w:t>
            </w:r>
          </w:p>
        </w:tc>
        <w:tc>
          <w:tcPr>
            <w:tcW w:w="2005" w:type="dxa"/>
          </w:tcPr>
          <w:p w14:paraId="07B10AF4"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High </w:t>
            </w:r>
          </w:p>
        </w:tc>
      </w:tr>
      <w:tr w:rsidR="00DC5F1C" w:rsidRPr="00571EAE" w14:paraId="457BAB0E" w14:textId="77777777" w:rsidTr="001D2744">
        <w:trPr>
          <w:jc w:val="center"/>
        </w:trPr>
        <w:tc>
          <w:tcPr>
            <w:tcW w:w="1933" w:type="dxa"/>
          </w:tcPr>
          <w:p w14:paraId="03269F68"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4.07–4.50</w:t>
            </w:r>
          </w:p>
        </w:tc>
        <w:tc>
          <w:tcPr>
            <w:tcW w:w="2005" w:type="dxa"/>
          </w:tcPr>
          <w:p w14:paraId="7BBE1013" w14:textId="77777777" w:rsidR="00DC5F1C" w:rsidRPr="00571EAE" w:rsidRDefault="00DC5F1C" w:rsidP="001D2744">
            <w:pPr>
              <w:jc w:val="center"/>
              <w:rPr>
                <w:rFonts w:ascii="Times New Roman" w:hAnsi="Times New Roman"/>
                <w:bCs/>
                <w:kern w:val="28"/>
                <w:sz w:val="20"/>
                <w:szCs w:val="20"/>
              </w:rPr>
            </w:pPr>
            <w:r w:rsidRPr="00571EAE">
              <w:rPr>
                <w:rFonts w:ascii="Times New Roman" w:hAnsi="Times New Roman"/>
                <w:bCs/>
                <w:kern w:val="28"/>
                <w:sz w:val="20"/>
                <w:szCs w:val="20"/>
              </w:rPr>
              <w:t xml:space="preserve">Very high </w:t>
            </w:r>
          </w:p>
        </w:tc>
      </w:tr>
    </w:tbl>
    <w:p w14:paraId="345E161F" w14:textId="77777777" w:rsidR="005C7009" w:rsidRPr="005C7009" w:rsidRDefault="005C7009" w:rsidP="00DC5F1C">
      <w:pPr>
        <w:pStyle w:val="BodyText"/>
        <w:jc w:val="center"/>
      </w:pPr>
    </w:p>
    <w:p w14:paraId="18837B88" w14:textId="77777777" w:rsidR="007B5000" w:rsidRPr="00571EAE" w:rsidRDefault="007B5000" w:rsidP="00571EAE">
      <w:pPr>
        <w:spacing w:after="160" w:line="259" w:lineRule="auto"/>
        <w:jc w:val="both"/>
        <w:rPr>
          <w:rFonts w:ascii="Times New Roman" w:hAnsi="Times New Roman"/>
          <w:bCs/>
          <w:kern w:val="28"/>
          <w:sz w:val="20"/>
          <w:szCs w:val="20"/>
        </w:rPr>
      </w:pPr>
      <w:r w:rsidRPr="00571EAE">
        <w:rPr>
          <w:rFonts w:ascii="Times New Roman" w:hAnsi="Times New Roman"/>
          <w:bCs/>
          <w:kern w:val="28"/>
          <w:sz w:val="20"/>
          <w:szCs w:val="20"/>
        </w:rPr>
        <w:t>The RCE may then be plotted on a risk matrix to graphically depict the results of the assessment, and following intermittent repeated assessment, allow monitoring and visualisation of longer-term temporal trends in national polio reintroduction and outbreak risk. However, the RCE for a specified timeframe is not necessarily static and subject to change, depending on changes in the epidemiological variables</w:t>
      </w:r>
      <w:r w:rsidR="00F95BD2" w:rsidRPr="00571EAE">
        <w:rPr>
          <w:rFonts w:ascii="Times New Roman" w:hAnsi="Times New Roman"/>
          <w:bCs/>
          <w:kern w:val="28"/>
          <w:sz w:val="20"/>
          <w:szCs w:val="20"/>
        </w:rPr>
        <w:t xml:space="preserve"> (risk elements) that influence</w:t>
      </w:r>
      <w:r w:rsidRPr="00571EAE">
        <w:rPr>
          <w:rFonts w:ascii="Times New Roman" w:hAnsi="Times New Roman"/>
          <w:bCs/>
          <w:kern w:val="28"/>
          <w:sz w:val="20"/>
          <w:szCs w:val="20"/>
        </w:rPr>
        <w:t xml:space="preserve"> polio reintroduction and outbreak risk.</w:t>
      </w:r>
    </w:p>
    <w:p w14:paraId="0726C2D6" w14:textId="77777777" w:rsidR="00571EAE" w:rsidRDefault="00571EAE" w:rsidP="00D23AFE">
      <w:pPr>
        <w:rPr>
          <w:szCs w:val="24"/>
        </w:rPr>
      </w:pPr>
    </w:p>
    <w:p w14:paraId="750D4895" w14:textId="77777777" w:rsidR="00016238" w:rsidRPr="007B5000" w:rsidRDefault="00DC5F1C" w:rsidP="00016238">
      <w:pPr>
        <w:rPr>
          <w:szCs w:val="24"/>
        </w:rPr>
      </w:pPr>
      <w:r>
        <w:rPr>
          <w:noProof/>
          <w:szCs w:val="24"/>
          <w:lang w:eastAsia="en-AU"/>
        </w:rPr>
        <w:lastRenderedPageBreak/>
        <w:drawing>
          <wp:inline distT="0" distB="0" distL="0" distR="0" wp14:anchorId="6DD4E47F" wp14:editId="1B4ED2D3">
            <wp:extent cx="5400040" cy="2905125"/>
            <wp:effectExtent l="0" t="0" r="0" b="9525"/>
            <wp:docPr id="11" name="Picture 11" descr="Figure shows polio risk matrix depicting five hypothetical risk estimates for assessments conducted in successive years or specified timeframes (e.g. at five year intervals)" title="Figure 1: Polio risk matrix depicting five hypothetical risk estimates for assessments conducted in successive years or specified timeframes (e.g. at five year inter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cessive.JPG"/>
                    <pic:cNvPicPr/>
                  </pic:nvPicPr>
                  <pic:blipFill>
                    <a:blip r:embed="rId9">
                      <a:extLst>
                        <a:ext uri="{28A0092B-C50C-407E-A947-70E740481C1C}">
                          <a14:useLocalDpi xmlns:a14="http://schemas.microsoft.com/office/drawing/2010/main" val="0"/>
                        </a:ext>
                      </a:extLst>
                    </a:blip>
                    <a:stretch>
                      <a:fillRect/>
                    </a:stretch>
                  </pic:blipFill>
                  <pic:spPr>
                    <a:xfrm>
                      <a:off x="0" y="0"/>
                      <a:ext cx="5400040" cy="2905125"/>
                    </a:xfrm>
                    <a:prstGeom prst="rect">
                      <a:avLst/>
                    </a:prstGeom>
                  </pic:spPr>
                </pic:pic>
              </a:graphicData>
            </a:graphic>
          </wp:inline>
        </w:drawing>
      </w:r>
    </w:p>
    <w:p w14:paraId="19A668DA" w14:textId="77777777" w:rsidR="007B5000" w:rsidRPr="00525787" w:rsidRDefault="00181763" w:rsidP="00181763">
      <w:pPr>
        <w:pStyle w:val="Caption"/>
        <w:rPr>
          <w:rFonts w:ascii="Times New Roman" w:hAnsi="Times New Roman"/>
          <w:bCs/>
          <w:color w:val="auto"/>
          <w:kern w:val="28"/>
          <w:sz w:val="22"/>
          <w:szCs w:val="22"/>
        </w:rPr>
      </w:pPr>
      <w:bookmarkStart w:id="41" w:name="_Ref525139346"/>
      <w:r w:rsidRPr="00525787">
        <w:rPr>
          <w:rFonts w:ascii="Times New Roman" w:hAnsi="Times New Roman"/>
          <w:color w:val="auto"/>
          <w:sz w:val="22"/>
          <w:szCs w:val="22"/>
        </w:rPr>
        <w:t xml:space="preserve">Figure </w:t>
      </w:r>
      <w:r w:rsidRPr="00525787">
        <w:rPr>
          <w:rFonts w:ascii="Times New Roman" w:hAnsi="Times New Roman"/>
          <w:color w:val="auto"/>
          <w:sz w:val="22"/>
          <w:szCs w:val="22"/>
        </w:rPr>
        <w:fldChar w:fldCharType="begin"/>
      </w:r>
      <w:r w:rsidRPr="00525787">
        <w:rPr>
          <w:rFonts w:ascii="Times New Roman" w:hAnsi="Times New Roman"/>
          <w:color w:val="auto"/>
          <w:sz w:val="22"/>
          <w:szCs w:val="22"/>
        </w:rPr>
        <w:instrText xml:space="preserve"> SEQ Figure \* ARABIC </w:instrText>
      </w:r>
      <w:r w:rsidRPr="00525787">
        <w:rPr>
          <w:rFonts w:ascii="Times New Roman" w:hAnsi="Times New Roman"/>
          <w:color w:val="auto"/>
          <w:sz w:val="22"/>
          <w:szCs w:val="22"/>
        </w:rPr>
        <w:fldChar w:fldCharType="separate"/>
      </w:r>
      <w:r w:rsidR="00AE3396" w:rsidRPr="00525787">
        <w:rPr>
          <w:rFonts w:ascii="Times New Roman" w:hAnsi="Times New Roman"/>
          <w:noProof/>
          <w:color w:val="auto"/>
          <w:sz w:val="22"/>
          <w:szCs w:val="22"/>
        </w:rPr>
        <w:t>1</w:t>
      </w:r>
      <w:r w:rsidRPr="00525787">
        <w:rPr>
          <w:rFonts w:ascii="Times New Roman" w:hAnsi="Times New Roman"/>
          <w:color w:val="auto"/>
          <w:sz w:val="22"/>
          <w:szCs w:val="22"/>
        </w:rPr>
        <w:fldChar w:fldCharType="end"/>
      </w:r>
      <w:bookmarkEnd w:id="41"/>
      <w:r w:rsidRPr="00525787">
        <w:rPr>
          <w:rFonts w:ascii="Times New Roman" w:hAnsi="Times New Roman"/>
          <w:color w:val="auto"/>
          <w:sz w:val="22"/>
          <w:szCs w:val="22"/>
        </w:rPr>
        <w:t>:</w:t>
      </w:r>
      <w:r w:rsidR="007B5000" w:rsidRPr="00525787">
        <w:rPr>
          <w:rFonts w:ascii="Times New Roman" w:hAnsi="Times New Roman"/>
          <w:color w:val="auto"/>
          <w:kern w:val="28"/>
          <w:sz w:val="22"/>
          <w:szCs w:val="22"/>
        </w:rPr>
        <w:t xml:space="preserve"> Polio risk matrix depicting five hypothetical risk estimates for assessments conducted in successive years or specified timeframes (e.g. at five year intervals)</w:t>
      </w:r>
    </w:p>
    <w:p w14:paraId="20113C41" w14:textId="77777777" w:rsidR="005D119A" w:rsidRDefault="007B5000" w:rsidP="00571EAE">
      <w:pPr>
        <w:spacing w:after="160" w:line="259" w:lineRule="auto"/>
        <w:jc w:val="both"/>
        <w:rPr>
          <w:rFonts w:ascii="Times New Roman" w:hAnsi="Times New Roman"/>
          <w:bCs/>
          <w:kern w:val="28"/>
          <w:sz w:val="22"/>
        </w:rPr>
      </w:pPr>
      <w:r w:rsidRPr="00571EAE">
        <w:rPr>
          <w:rFonts w:ascii="Times New Roman" w:hAnsi="Times New Roman"/>
          <w:bCs/>
          <w:kern w:val="28"/>
          <w:sz w:val="22"/>
        </w:rPr>
        <w:t>The risk categorisation estimate (RCE) (i.e., the plotted intersection of the likelihood and impact scores) may also be qualitatively characterised, using a risk matrix with distinct cells corresponding to qualitative descriptors of polio reintroduction and outbreak risk (</w:t>
      </w:r>
      <w:r w:rsidR="00C82DB9" w:rsidRPr="00571EAE">
        <w:rPr>
          <w:rFonts w:ascii="Times New Roman" w:hAnsi="Times New Roman"/>
          <w:bCs/>
          <w:kern w:val="28"/>
          <w:sz w:val="22"/>
        </w:rPr>
        <w:fldChar w:fldCharType="begin"/>
      </w:r>
      <w:r w:rsidR="00C82DB9" w:rsidRPr="00571EAE">
        <w:rPr>
          <w:rFonts w:ascii="Times New Roman" w:hAnsi="Times New Roman"/>
          <w:bCs/>
          <w:kern w:val="28"/>
          <w:sz w:val="22"/>
        </w:rPr>
        <w:instrText xml:space="preserve"> REF _Ref525038750 \h </w:instrText>
      </w:r>
      <w:r w:rsidR="00571EAE" w:rsidRPr="00571EAE">
        <w:rPr>
          <w:rFonts w:ascii="Times New Roman" w:hAnsi="Times New Roman"/>
          <w:bCs/>
          <w:kern w:val="28"/>
          <w:sz w:val="22"/>
        </w:rPr>
        <w:instrText xml:space="preserve"> \* MERGEFORMAT </w:instrText>
      </w:r>
      <w:r w:rsidR="00C82DB9" w:rsidRPr="00571EAE">
        <w:rPr>
          <w:rFonts w:ascii="Times New Roman" w:hAnsi="Times New Roman"/>
          <w:bCs/>
          <w:kern w:val="28"/>
          <w:sz w:val="22"/>
        </w:rPr>
      </w:r>
      <w:r w:rsidR="00C82DB9" w:rsidRPr="00571EAE">
        <w:rPr>
          <w:rFonts w:ascii="Times New Roman" w:hAnsi="Times New Roman"/>
          <w:bCs/>
          <w:kern w:val="28"/>
          <w:sz w:val="22"/>
        </w:rPr>
        <w:fldChar w:fldCharType="separate"/>
      </w:r>
      <w:r w:rsidR="00AE3396" w:rsidRPr="00571EAE">
        <w:rPr>
          <w:rFonts w:ascii="Times New Roman" w:hAnsi="Times New Roman"/>
          <w:color w:val="auto"/>
          <w:sz w:val="22"/>
        </w:rPr>
        <w:t xml:space="preserve">Table </w:t>
      </w:r>
      <w:r w:rsidR="00AE3396" w:rsidRPr="00571EAE">
        <w:rPr>
          <w:rFonts w:ascii="Times New Roman" w:hAnsi="Times New Roman"/>
          <w:noProof/>
          <w:color w:val="auto"/>
          <w:sz w:val="22"/>
        </w:rPr>
        <w:t>14</w:t>
      </w:r>
      <w:r w:rsidR="00C82DB9" w:rsidRPr="00571EAE">
        <w:rPr>
          <w:rFonts w:ascii="Times New Roman" w:hAnsi="Times New Roman"/>
          <w:bCs/>
          <w:kern w:val="28"/>
          <w:sz w:val="22"/>
        </w:rPr>
        <w:fldChar w:fldCharType="end"/>
      </w:r>
      <w:r w:rsidR="00C82DB9" w:rsidRPr="00571EAE">
        <w:rPr>
          <w:rFonts w:ascii="Times New Roman" w:hAnsi="Times New Roman"/>
          <w:bCs/>
          <w:kern w:val="28"/>
          <w:sz w:val="22"/>
        </w:rPr>
        <w:t>)</w:t>
      </w:r>
      <w:r w:rsidRPr="00571EAE">
        <w:rPr>
          <w:rFonts w:ascii="Times New Roman" w:hAnsi="Times New Roman"/>
          <w:bCs/>
          <w:kern w:val="28"/>
          <w:sz w:val="22"/>
        </w:rPr>
        <w:t>.</w:t>
      </w:r>
    </w:p>
    <w:p w14:paraId="504140E9" w14:textId="77777777" w:rsidR="00571EAE" w:rsidRPr="00571EAE" w:rsidRDefault="00571EAE" w:rsidP="00571EAE">
      <w:pPr>
        <w:spacing w:after="160" w:line="259" w:lineRule="auto"/>
        <w:jc w:val="both"/>
        <w:rPr>
          <w:rFonts w:ascii="Times New Roman" w:hAnsi="Times New Roman"/>
          <w:bCs/>
          <w:kern w:val="28"/>
          <w:sz w:val="22"/>
        </w:rPr>
      </w:pPr>
    </w:p>
    <w:p w14:paraId="7264066E" w14:textId="77777777" w:rsidR="00566EC2" w:rsidRDefault="00DC5F1C" w:rsidP="00566EC2">
      <w:pPr>
        <w:rPr>
          <w:rFonts w:asciiTheme="minorHAnsi" w:hAnsiTheme="minorHAnsi" w:cs="Arial"/>
          <w:bCs/>
          <w:kern w:val="28"/>
          <w:sz w:val="22"/>
        </w:rPr>
      </w:pPr>
      <w:r>
        <w:rPr>
          <w:rFonts w:asciiTheme="minorHAnsi" w:hAnsiTheme="minorHAnsi" w:cs="Arial"/>
          <w:bCs/>
          <w:noProof/>
          <w:kern w:val="28"/>
          <w:sz w:val="22"/>
          <w:lang w:eastAsia="en-AU"/>
        </w:rPr>
        <w:drawing>
          <wp:inline distT="0" distB="0" distL="0" distR="0" wp14:anchorId="39FAB7B4" wp14:editId="62664011">
            <wp:extent cx="5161230" cy="3362325"/>
            <wp:effectExtent l="0" t="0" r="1905" b="0"/>
            <wp:docPr id="3" name="Picture 3" descr="Figure shows qualitative risk matrix depicting distinct cells corresponding with qualitative descriptions of polio reintroduction and outbreak risk" title="Figure 2: Qualitative risk matrix depicting distinct cells corresponding with qualitative descriptions of polio reintroduction and outbreak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70034" cy="3368060"/>
                    </a:xfrm>
                    <a:prstGeom prst="rect">
                      <a:avLst/>
                    </a:prstGeom>
                  </pic:spPr>
                </pic:pic>
              </a:graphicData>
            </a:graphic>
          </wp:inline>
        </w:drawing>
      </w:r>
    </w:p>
    <w:p w14:paraId="0257975C" w14:textId="77777777" w:rsidR="007B5000" w:rsidRPr="00525787" w:rsidRDefault="00181763" w:rsidP="00181763">
      <w:pPr>
        <w:pStyle w:val="Caption"/>
        <w:rPr>
          <w:rFonts w:ascii="Times New Roman" w:hAnsi="Times New Roman"/>
          <w:color w:val="auto"/>
          <w:kern w:val="28"/>
          <w:sz w:val="22"/>
          <w:szCs w:val="22"/>
        </w:rPr>
      </w:pPr>
      <w:bookmarkStart w:id="42" w:name="_Ref525139403"/>
      <w:r w:rsidRPr="00525787">
        <w:rPr>
          <w:rFonts w:ascii="Times New Roman" w:hAnsi="Times New Roman"/>
          <w:color w:val="auto"/>
          <w:sz w:val="22"/>
          <w:szCs w:val="22"/>
        </w:rPr>
        <w:t xml:space="preserve">Figure </w:t>
      </w:r>
      <w:r w:rsidRPr="00525787">
        <w:rPr>
          <w:rFonts w:ascii="Times New Roman" w:hAnsi="Times New Roman"/>
          <w:color w:val="auto"/>
          <w:sz w:val="22"/>
          <w:szCs w:val="22"/>
        </w:rPr>
        <w:fldChar w:fldCharType="begin"/>
      </w:r>
      <w:r w:rsidRPr="00525787">
        <w:rPr>
          <w:rFonts w:ascii="Times New Roman" w:hAnsi="Times New Roman"/>
          <w:color w:val="auto"/>
          <w:sz w:val="22"/>
          <w:szCs w:val="22"/>
        </w:rPr>
        <w:instrText xml:space="preserve"> SEQ Figure \* ARABIC </w:instrText>
      </w:r>
      <w:r w:rsidRPr="00525787">
        <w:rPr>
          <w:rFonts w:ascii="Times New Roman" w:hAnsi="Times New Roman"/>
          <w:color w:val="auto"/>
          <w:sz w:val="22"/>
          <w:szCs w:val="22"/>
        </w:rPr>
        <w:fldChar w:fldCharType="separate"/>
      </w:r>
      <w:r w:rsidR="00AE3396" w:rsidRPr="00525787">
        <w:rPr>
          <w:rFonts w:ascii="Times New Roman" w:hAnsi="Times New Roman"/>
          <w:noProof/>
          <w:color w:val="auto"/>
          <w:sz w:val="22"/>
          <w:szCs w:val="22"/>
        </w:rPr>
        <w:t>2</w:t>
      </w:r>
      <w:r w:rsidRPr="00525787">
        <w:rPr>
          <w:rFonts w:ascii="Times New Roman" w:hAnsi="Times New Roman"/>
          <w:color w:val="auto"/>
          <w:sz w:val="22"/>
          <w:szCs w:val="22"/>
        </w:rPr>
        <w:fldChar w:fldCharType="end"/>
      </w:r>
      <w:bookmarkEnd w:id="42"/>
      <w:r w:rsidRPr="00525787">
        <w:rPr>
          <w:rFonts w:ascii="Times New Roman" w:hAnsi="Times New Roman"/>
          <w:color w:val="auto"/>
          <w:sz w:val="22"/>
          <w:szCs w:val="22"/>
        </w:rPr>
        <w:t xml:space="preserve">: </w:t>
      </w:r>
      <w:r w:rsidR="007B5000" w:rsidRPr="00525787">
        <w:rPr>
          <w:rFonts w:ascii="Times New Roman" w:hAnsi="Times New Roman"/>
          <w:color w:val="auto"/>
          <w:kern w:val="28"/>
          <w:sz w:val="22"/>
          <w:szCs w:val="22"/>
        </w:rPr>
        <w:t>Qualitative risk matrix depicting distinct cells corresponding with qualitative descriptions of polio reintroduction and outbreak risk</w:t>
      </w:r>
    </w:p>
    <w:p w14:paraId="75565F63" w14:textId="77777777" w:rsidR="00525787" w:rsidRDefault="00525787" w:rsidP="00C82DB9">
      <w:pPr>
        <w:pStyle w:val="Caption"/>
        <w:rPr>
          <w:b w:val="0"/>
          <w:iCs w:val="0"/>
          <w:color w:val="000000"/>
          <w:sz w:val="24"/>
          <w:szCs w:val="22"/>
        </w:rPr>
      </w:pPr>
      <w:bookmarkStart w:id="43" w:name="_Ref525038750"/>
    </w:p>
    <w:p w14:paraId="0D96574D" w14:textId="77777777" w:rsidR="00A719DB" w:rsidRPr="00525787" w:rsidRDefault="00C82DB9" w:rsidP="00C82DB9">
      <w:pPr>
        <w:pStyle w:val="Caption"/>
        <w:rPr>
          <w:rFonts w:ascii="Times New Roman" w:hAnsi="Times New Roman"/>
          <w:color w:val="auto"/>
          <w:kern w:val="28"/>
          <w:sz w:val="22"/>
          <w:szCs w:val="22"/>
        </w:rPr>
      </w:pPr>
      <w:r w:rsidRPr="00525787">
        <w:rPr>
          <w:rFonts w:ascii="Times New Roman" w:hAnsi="Times New Roman"/>
          <w:color w:val="auto"/>
          <w:sz w:val="22"/>
          <w:szCs w:val="22"/>
        </w:rPr>
        <w:lastRenderedPageBreak/>
        <w:t xml:space="preserve">Table </w:t>
      </w:r>
      <w:r w:rsidRPr="00525787">
        <w:rPr>
          <w:rFonts w:ascii="Times New Roman" w:hAnsi="Times New Roman"/>
          <w:color w:val="auto"/>
          <w:sz w:val="22"/>
          <w:szCs w:val="22"/>
        </w:rPr>
        <w:fldChar w:fldCharType="begin"/>
      </w:r>
      <w:r w:rsidRPr="00525787">
        <w:rPr>
          <w:rFonts w:ascii="Times New Roman" w:hAnsi="Times New Roman"/>
          <w:color w:val="auto"/>
          <w:sz w:val="22"/>
          <w:szCs w:val="22"/>
        </w:rPr>
        <w:instrText xml:space="preserve"> SEQ Table \* ARABIC </w:instrText>
      </w:r>
      <w:r w:rsidRPr="00525787">
        <w:rPr>
          <w:rFonts w:ascii="Times New Roman" w:hAnsi="Times New Roman"/>
          <w:color w:val="auto"/>
          <w:sz w:val="22"/>
          <w:szCs w:val="22"/>
        </w:rPr>
        <w:fldChar w:fldCharType="separate"/>
      </w:r>
      <w:r w:rsidR="00AE3396" w:rsidRPr="00525787">
        <w:rPr>
          <w:rFonts w:ascii="Times New Roman" w:hAnsi="Times New Roman"/>
          <w:noProof/>
          <w:color w:val="auto"/>
          <w:sz w:val="22"/>
          <w:szCs w:val="22"/>
        </w:rPr>
        <w:t>14</w:t>
      </w:r>
      <w:r w:rsidRPr="00525787">
        <w:rPr>
          <w:rFonts w:ascii="Times New Roman" w:hAnsi="Times New Roman"/>
          <w:color w:val="auto"/>
          <w:sz w:val="22"/>
          <w:szCs w:val="22"/>
        </w:rPr>
        <w:fldChar w:fldCharType="end"/>
      </w:r>
      <w:bookmarkEnd w:id="43"/>
      <w:r w:rsidRPr="00525787">
        <w:rPr>
          <w:rFonts w:ascii="Times New Roman" w:hAnsi="Times New Roman"/>
          <w:color w:val="auto"/>
          <w:sz w:val="22"/>
          <w:szCs w:val="22"/>
        </w:rPr>
        <w:t xml:space="preserve">: </w:t>
      </w:r>
      <w:r w:rsidR="007B5000" w:rsidRPr="00525787">
        <w:rPr>
          <w:rFonts w:ascii="Times New Roman" w:hAnsi="Times New Roman"/>
          <w:color w:val="auto"/>
          <w:kern w:val="28"/>
          <w:sz w:val="22"/>
          <w:szCs w:val="22"/>
        </w:rPr>
        <w:t>Qualitative description of polio reintroduction and outbreak risk categories</w:t>
      </w:r>
    </w:p>
    <w:tbl>
      <w:tblPr>
        <w:tblStyle w:val="TableGrid"/>
        <w:tblW w:w="0" w:type="auto"/>
        <w:tblLook w:val="04A0" w:firstRow="1" w:lastRow="0" w:firstColumn="1" w:lastColumn="0" w:noHBand="0" w:noVBand="1"/>
        <w:tblCaption w:val="Table 14: Qualitative description of polio reintroduction and outbreak risk categories"/>
        <w:tblDescription w:val="Table shows qualitative description of polio reintroduction and outbreak risk categories"/>
      </w:tblPr>
      <w:tblGrid>
        <w:gridCol w:w="1384"/>
        <w:gridCol w:w="7336"/>
      </w:tblGrid>
      <w:tr w:rsidR="003438D4" w:rsidRPr="00525787" w14:paraId="6C7B22B1" w14:textId="77777777" w:rsidTr="001D2744">
        <w:trPr>
          <w:tblHeader/>
        </w:trPr>
        <w:tc>
          <w:tcPr>
            <w:tcW w:w="1384" w:type="dxa"/>
            <w:shd w:val="clear" w:color="auto" w:fill="D9D9D9" w:themeFill="background1" w:themeFillShade="D9"/>
          </w:tcPr>
          <w:p w14:paraId="5B9FD29A" w14:textId="77777777" w:rsidR="003438D4" w:rsidRPr="00525787" w:rsidRDefault="003438D4" w:rsidP="00525787">
            <w:pPr>
              <w:spacing w:after="0" w:line="240" w:lineRule="auto"/>
              <w:rPr>
                <w:rFonts w:ascii="Times New Roman" w:hAnsi="Times New Roman"/>
                <w:b/>
                <w:bCs/>
                <w:kern w:val="28"/>
                <w:sz w:val="20"/>
                <w:szCs w:val="20"/>
              </w:rPr>
            </w:pPr>
            <w:r w:rsidRPr="00525787">
              <w:rPr>
                <w:rFonts w:ascii="Times New Roman" w:hAnsi="Times New Roman"/>
                <w:b/>
                <w:bCs/>
                <w:kern w:val="28"/>
                <w:sz w:val="20"/>
                <w:szCs w:val="20"/>
              </w:rPr>
              <w:t xml:space="preserve">Risk category </w:t>
            </w:r>
          </w:p>
        </w:tc>
        <w:tc>
          <w:tcPr>
            <w:tcW w:w="7336" w:type="dxa"/>
            <w:shd w:val="clear" w:color="auto" w:fill="D9D9D9" w:themeFill="background1" w:themeFillShade="D9"/>
          </w:tcPr>
          <w:p w14:paraId="1D5F4F8A" w14:textId="77777777" w:rsidR="003438D4" w:rsidRPr="00525787" w:rsidRDefault="003438D4" w:rsidP="00525787">
            <w:pPr>
              <w:spacing w:after="0" w:line="240" w:lineRule="auto"/>
              <w:rPr>
                <w:rFonts w:ascii="Times New Roman" w:hAnsi="Times New Roman"/>
                <w:b/>
                <w:bCs/>
                <w:kern w:val="28"/>
                <w:sz w:val="20"/>
                <w:szCs w:val="20"/>
              </w:rPr>
            </w:pPr>
            <w:r w:rsidRPr="00525787">
              <w:rPr>
                <w:rFonts w:ascii="Times New Roman" w:hAnsi="Times New Roman"/>
                <w:b/>
                <w:bCs/>
                <w:kern w:val="28"/>
                <w:sz w:val="20"/>
                <w:szCs w:val="20"/>
              </w:rPr>
              <w:t xml:space="preserve">Qualitative description </w:t>
            </w:r>
          </w:p>
        </w:tc>
      </w:tr>
      <w:tr w:rsidR="003438D4" w:rsidRPr="00525787" w14:paraId="35B485A3" w14:textId="77777777" w:rsidTr="001D2744">
        <w:tc>
          <w:tcPr>
            <w:tcW w:w="1384" w:type="dxa"/>
            <w:shd w:val="clear" w:color="auto" w:fill="92D050"/>
          </w:tcPr>
          <w:p w14:paraId="4AEEDE08" w14:textId="77777777" w:rsidR="003438D4" w:rsidRPr="00525787" w:rsidRDefault="003438D4" w:rsidP="00525787">
            <w:pPr>
              <w:spacing w:after="0" w:line="240" w:lineRule="auto"/>
              <w:rPr>
                <w:rFonts w:ascii="Times New Roman" w:hAnsi="Times New Roman"/>
                <w:b/>
                <w:sz w:val="20"/>
                <w:szCs w:val="20"/>
              </w:rPr>
            </w:pPr>
            <w:r w:rsidRPr="00525787">
              <w:rPr>
                <w:rFonts w:ascii="Times New Roman" w:hAnsi="Times New Roman"/>
                <w:b/>
                <w:sz w:val="20"/>
                <w:szCs w:val="20"/>
              </w:rPr>
              <w:t xml:space="preserve">Very Low </w:t>
            </w:r>
          </w:p>
        </w:tc>
        <w:tc>
          <w:tcPr>
            <w:tcW w:w="7336" w:type="dxa"/>
          </w:tcPr>
          <w:p w14:paraId="48C8AAF4" w14:textId="77777777" w:rsidR="003438D4" w:rsidRPr="00525787" w:rsidRDefault="003438D4" w:rsidP="00525787">
            <w:pPr>
              <w:pStyle w:val="ListParagraph"/>
              <w:numPr>
                <w:ilvl w:val="0"/>
                <w:numId w:val="31"/>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 xml:space="preserve">Very low probability of outbreaks of poliovirus infection, in the unlikely event that poliovirus reintroduction and establishment occurs during the assessment timeframe </w:t>
            </w:r>
          </w:p>
          <w:p w14:paraId="55532882" w14:textId="77777777" w:rsidR="003438D4" w:rsidRPr="00525787" w:rsidRDefault="003438D4" w:rsidP="00525787">
            <w:pPr>
              <w:pStyle w:val="ListParagraph"/>
              <w:numPr>
                <w:ilvl w:val="0"/>
                <w:numId w:val="31"/>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Outbreaks of poliovirus infection are highly likely to be prevented or rapidly detected, contained, and eliminated due to an effective combination of reintroduction risk reduction policies, very high immunisation coverage rates (involving no OPV use), a comprehensive and sensitive national polio surveillance system, and an advanced national response capability, including a comprehensive national polio outbreak response plan and access to expert laboratory and epidemiological resources</w:t>
            </w:r>
          </w:p>
          <w:p w14:paraId="7245E335" w14:textId="77777777" w:rsidR="003438D4" w:rsidRPr="00525787" w:rsidRDefault="003438D4" w:rsidP="00525787">
            <w:pPr>
              <w:pStyle w:val="ListParagraph"/>
              <w:numPr>
                <w:ilvl w:val="0"/>
                <w:numId w:val="31"/>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A highly developed healthcare and WASH infrastructure accessible to the vast majority of the population contributes to the very low probability of a significant polio disease burden at population level, with a minimal national impact in terms of the public health, social, economic, reputational and political consequences</w:t>
            </w:r>
          </w:p>
          <w:p w14:paraId="7E2A5C3D" w14:textId="77777777" w:rsidR="003438D4" w:rsidRPr="00525787" w:rsidRDefault="003438D4" w:rsidP="00525787">
            <w:pPr>
              <w:pStyle w:val="ListParagraph"/>
              <w:numPr>
                <w:ilvl w:val="0"/>
                <w:numId w:val="31"/>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National health systems core capacity, including capacity and investment in polio prevention, preparedness, surveillance, response capability, risk communication and stakeholder awareness is considered very high and appropriate relative to the very low risk level at the time of assessment</w:t>
            </w:r>
          </w:p>
          <w:p w14:paraId="3A219742" w14:textId="77777777" w:rsidR="003438D4" w:rsidRPr="00525787" w:rsidRDefault="003438D4" w:rsidP="00525787">
            <w:pPr>
              <w:pStyle w:val="ListParagraph"/>
              <w:spacing w:after="0" w:line="240" w:lineRule="auto"/>
              <w:ind w:left="394"/>
              <w:rPr>
                <w:rFonts w:ascii="Times New Roman" w:hAnsi="Times New Roman"/>
                <w:bCs/>
                <w:kern w:val="28"/>
                <w:sz w:val="20"/>
                <w:szCs w:val="20"/>
              </w:rPr>
            </w:pPr>
          </w:p>
        </w:tc>
      </w:tr>
      <w:tr w:rsidR="003438D4" w:rsidRPr="00525787" w14:paraId="3D02B321" w14:textId="77777777" w:rsidTr="001D2744">
        <w:tc>
          <w:tcPr>
            <w:tcW w:w="1384" w:type="dxa"/>
            <w:shd w:val="clear" w:color="auto" w:fill="FFFF00"/>
          </w:tcPr>
          <w:p w14:paraId="69777CB4" w14:textId="77777777" w:rsidR="003438D4" w:rsidRPr="00525787" w:rsidRDefault="003438D4" w:rsidP="00525787">
            <w:pPr>
              <w:spacing w:after="0" w:line="240" w:lineRule="auto"/>
              <w:rPr>
                <w:rFonts w:ascii="Times New Roman" w:hAnsi="Times New Roman"/>
                <w:b/>
                <w:sz w:val="20"/>
                <w:szCs w:val="20"/>
              </w:rPr>
            </w:pPr>
            <w:r w:rsidRPr="00525787">
              <w:rPr>
                <w:rFonts w:ascii="Times New Roman" w:hAnsi="Times New Roman"/>
                <w:b/>
                <w:sz w:val="20"/>
                <w:szCs w:val="20"/>
              </w:rPr>
              <w:t xml:space="preserve">Low </w:t>
            </w:r>
          </w:p>
        </w:tc>
        <w:tc>
          <w:tcPr>
            <w:tcW w:w="7336" w:type="dxa"/>
          </w:tcPr>
          <w:p w14:paraId="27F7F1F7" w14:textId="77777777" w:rsidR="003438D4" w:rsidRPr="00525787" w:rsidRDefault="003438D4" w:rsidP="00525787">
            <w:pPr>
              <w:pStyle w:val="ListParagraph"/>
              <w:numPr>
                <w:ilvl w:val="0"/>
                <w:numId w:val="32"/>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Low probability of outbreaks of poliovirus infection, in the unlikely but possible event that poliovirus reintroduction and establishment occurs during the assessment timeframe</w:t>
            </w:r>
          </w:p>
          <w:p w14:paraId="6E0A4BC5" w14:textId="77777777" w:rsidR="003438D4" w:rsidRPr="00525787" w:rsidRDefault="003438D4" w:rsidP="00525787">
            <w:pPr>
              <w:pStyle w:val="ListParagraph"/>
              <w:numPr>
                <w:ilvl w:val="0"/>
                <w:numId w:val="32"/>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Outbreaks of poliovirus infection are likely to be prevented, or promptly detected, contained, and eliminated due to an effective combination of reintroduction risk reduction policies, high immunisation coverage rates (involving no OPV use), a functional and sensitive national polio surveillance system, and an effective national response capability, including a national outbreak response plan and access to expert laboratory and epidemiological resources</w:t>
            </w:r>
          </w:p>
          <w:p w14:paraId="1C09C9DE" w14:textId="77777777" w:rsidR="003438D4" w:rsidRPr="00525787" w:rsidRDefault="003438D4" w:rsidP="00525787">
            <w:pPr>
              <w:pStyle w:val="ListParagraph"/>
              <w:numPr>
                <w:ilvl w:val="0"/>
                <w:numId w:val="32"/>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A well-developed healthcare and WASH infrastructure accessible to the majority of the population contributes to the low probability of a significant polio disease burden at population level, with a limited national impact in terms of the public health, social, economic, reputational and political consequences</w:t>
            </w:r>
          </w:p>
          <w:p w14:paraId="3E920285" w14:textId="77777777" w:rsidR="003438D4" w:rsidRPr="00525787" w:rsidRDefault="003438D4" w:rsidP="00525787">
            <w:pPr>
              <w:pStyle w:val="ListParagraph"/>
              <w:numPr>
                <w:ilvl w:val="0"/>
                <w:numId w:val="32"/>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National health systems core capacity, including  capacity and investment in polio prevention, preparedness, surveillance, response capability, risk communication and stakeholder awareness is considered high and adequate relative to the low risk level at the time of assessment</w:t>
            </w:r>
          </w:p>
          <w:p w14:paraId="02777CFD" w14:textId="77777777" w:rsidR="003438D4" w:rsidRPr="00525787" w:rsidRDefault="003438D4" w:rsidP="00525787">
            <w:pPr>
              <w:pStyle w:val="ListParagraph"/>
              <w:spacing w:after="0" w:line="240" w:lineRule="auto"/>
              <w:ind w:left="394"/>
              <w:rPr>
                <w:rFonts w:ascii="Times New Roman" w:hAnsi="Times New Roman"/>
                <w:bCs/>
                <w:kern w:val="28"/>
                <w:sz w:val="20"/>
                <w:szCs w:val="20"/>
              </w:rPr>
            </w:pPr>
          </w:p>
        </w:tc>
      </w:tr>
      <w:tr w:rsidR="003438D4" w:rsidRPr="00525787" w14:paraId="2A85ABCF" w14:textId="77777777" w:rsidTr="001D2744">
        <w:tc>
          <w:tcPr>
            <w:tcW w:w="1384" w:type="dxa"/>
            <w:shd w:val="clear" w:color="auto" w:fill="FFC000"/>
          </w:tcPr>
          <w:p w14:paraId="2B9EBBD4" w14:textId="77777777" w:rsidR="003438D4" w:rsidRPr="00525787" w:rsidRDefault="003438D4" w:rsidP="00525787">
            <w:pPr>
              <w:spacing w:after="0" w:line="240" w:lineRule="auto"/>
              <w:rPr>
                <w:rFonts w:ascii="Times New Roman" w:hAnsi="Times New Roman"/>
                <w:b/>
                <w:sz w:val="20"/>
                <w:szCs w:val="20"/>
              </w:rPr>
            </w:pPr>
            <w:r w:rsidRPr="00525787">
              <w:rPr>
                <w:rFonts w:ascii="Times New Roman" w:hAnsi="Times New Roman"/>
                <w:b/>
                <w:sz w:val="20"/>
                <w:szCs w:val="20"/>
              </w:rPr>
              <w:t>Moderate</w:t>
            </w:r>
          </w:p>
        </w:tc>
        <w:tc>
          <w:tcPr>
            <w:tcW w:w="7336" w:type="dxa"/>
          </w:tcPr>
          <w:p w14:paraId="03987F66" w14:textId="77777777" w:rsidR="003438D4" w:rsidRPr="00525787" w:rsidRDefault="003438D4" w:rsidP="00525787">
            <w:pPr>
              <w:pStyle w:val="ListParagraph"/>
              <w:numPr>
                <w:ilvl w:val="0"/>
                <w:numId w:val="33"/>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Moderate probability of outbreaks of poliovirus infection, with reintroduction and establishment considered possible (or cVDPV emergence, where OPV is utilised) during the assessment timeframe</w:t>
            </w:r>
          </w:p>
          <w:p w14:paraId="0C5C1532" w14:textId="77777777" w:rsidR="003438D4" w:rsidRPr="00525787" w:rsidRDefault="003438D4" w:rsidP="00525787">
            <w:pPr>
              <w:pStyle w:val="ListParagraph"/>
              <w:numPr>
                <w:ilvl w:val="0"/>
                <w:numId w:val="33"/>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Outbreaks of poliovirus infection may not be prevented, and/or delays or challenges in timely detection, containment, control and elimination may be expected. Prioritised public health actions and additional investment may be required to strengthen health systems core capacity, including polio preparedness and response capability to: reduce reintroduction risks; increase suboptimal or patchy immunisation coverage rates (or to reduce or cease OPV use); strengthen functional, but suboptimal surveillance system sensitivity and coverage; and to strengthen functional but suboptimal national response capability, including implementing risk communication strategies to target high risk population groups</w:t>
            </w:r>
          </w:p>
          <w:p w14:paraId="43A5C7ED" w14:textId="77777777" w:rsidR="003438D4" w:rsidRPr="00525787" w:rsidRDefault="003438D4" w:rsidP="00525787">
            <w:pPr>
              <w:pStyle w:val="ListParagraph"/>
              <w:numPr>
                <w:ilvl w:val="0"/>
                <w:numId w:val="33"/>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Suboptimal healthcare and/or WASH infrastructures for a significant proportion of the population may contribute to the moderate probability of a significant polio disease burden at population level, causing a manageable, but significant national impact in terms of the public health, social, economic, reputational and political consequences</w:t>
            </w:r>
          </w:p>
          <w:p w14:paraId="49F3A1BE" w14:textId="77777777" w:rsidR="003438D4" w:rsidRPr="00525787" w:rsidRDefault="003438D4" w:rsidP="00525787">
            <w:pPr>
              <w:pStyle w:val="ListParagraph"/>
              <w:numPr>
                <w:ilvl w:val="0"/>
                <w:numId w:val="33"/>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 xml:space="preserve">National health systems core capacity, including capacity and investment in polio prevention, preparedness, surveillance, response capability, risk communication and </w:t>
            </w:r>
            <w:r w:rsidRPr="00525787">
              <w:rPr>
                <w:rFonts w:ascii="Times New Roman" w:hAnsi="Times New Roman"/>
                <w:bCs/>
                <w:kern w:val="28"/>
                <w:sz w:val="20"/>
                <w:szCs w:val="20"/>
              </w:rPr>
              <w:lastRenderedPageBreak/>
              <w:t>stakeholder awareness is considered acceptable, but not optimal relative to the risk level at the time of assessment.</w:t>
            </w:r>
          </w:p>
          <w:p w14:paraId="2290DD47" w14:textId="77777777" w:rsidR="003438D4" w:rsidRPr="00525787" w:rsidRDefault="003438D4" w:rsidP="00525787">
            <w:pPr>
              <w:pStyle w:val="ListParagraph"/>
              <w:spacing w:after="0" w:line="240" w:lineRule="auto"/>
              <w:ind w:left="360"/>
              <w:rPr>
                <w:rFonts w:ascii="Times New Roman" w:hAnsi="Times New Roman"/>
                <w:bCs/>
                <w:kern w:val="28"/>
                <w:sz w:val="20"/>
                <w:szCs w:val="20"/>
              </w:rPr>
            </w:pPr>
          </w:p>
        </w:tc>
      </w:tr>
      <w:tr w:rsidR="003438D4" w:rsidRPr="00525787" w14:paraId="262E04B0" w14:textId="77777777" w:rsidTr="001D2744">
        <w:tc>
          <w:tcPr>
            <w:tcW w:w="1384" w:type="dxa"/>
            <w:shd w:val="clear" w:color="auto" w:fill="FF0000"/>
          </w:tcPr>
          <w:p w14:paraId="651CF4D2" w14:textId="77777777" w:rsidR="003438D4" w:rsidRPr="00525787" w:rsidRDefault="003438D4" w:rsidP="00525787">
            <w:pPr>
              <w:spacing w:after="0" w:line="240" w:lineRule="auto"/>
              <w:rPr>
                <w:rFonts w:ascii="Times New Roman" w:hAnsi="Times New Roman"/>
                <w:b/>
                <w:sz w:val="20"/>
                <w:szCs w:val="20"/>
              </w:rPr>
            </w:pPr>
            <w:r w:rsidRPr="00525787">
              <w:rPr>
                <w:rFonts w:ascii="Times New Roman" w:hAnsi="Times New Roman"/>
                <w:b/>
                <w:sz w:val="20"/>
                <w:szCs w:val="20"/>
              </w:rPr>
              <w:lastRenderedPageBreak/>
              <w:t xml:space="preserve">High </w:t>
            </w:r>
          </w:p>
        </w:tc>
        <w:tc>
          <w:tcPr>
            <w:tcW w:w="7336" w:type="dxa"/>
          </w:tcPr>
          <w:p w14:paraId="22E90737" w14:textId="77777777" w:rsidR="003438D4" w:rsidRPr="00525787" w:rsidRDefault="003438D4" w:rsidP="00525787">
            <w:pPr>
              <w:pStyle w:val="ListParagraph"/>
              <w:numPr>
                <w:ilvl w:val="0"/>
                <w:numId w:val="34"/>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High probability of outbreaks of poliovirus infection, with reintroduction and establishment or VDPV emergence (where OPV is utilised) considered probable during the assessment timeframe</w:t>
            </w:r>
          </w:p>
          <w:p w14:paraId="60C6842C" w14:textId="77777777" w:rsidR="003438D4" w:rsidRPr="00525787" w:rsidRDefault="003438D4" w:rsidP="00525787">
            <w:pPr>
              <w:pStyle w:val="ListParagraph"/>
              <w:numPr>
                <w:ilvl w:val="0"/>
                <w:numId w:val="34"/>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Outbreaks of poliovirus infection are unlikely to be promptly detected, and containment and control is likely to face substantial challenges without external assistance</w:t>
            </w:r>
          </w:p>
          <w:p w14:paraId="3AC978DB" w14:textId="77777777" w:rsidR="003438D4" w:rsidRPr="00525787" w:rsidRDefault="003438D4" w:rsidP="00525787">
            <w:pPr>
              <w:pStyle w:val="ListParagraph"/>
              <w:numPr>
                <w:ilvl w:val="0"/>
                <w:numId w:val="34"/>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Prioritised, timely public health actions and additional investment is required (e.g. funding, international assistance and coordination, training and capacity development) to effectively strengthen health systems core capacity, develop and implement policies to manage and reduce reintroduction or emergence threats, increase low and patchy immunisation coverage rates, strengthen suboptimal surveillance system sensitivity and coverage and to strengthen response capability, including developing and implementing appropriate risk communication strategies targeting high risk population groups</w:t>
            </w:r>
          </w:p>
          <w:p w14:paraId="5E2E4079" w14:textId="77777777" w:rsidR="003438D4" w:rsidRPr="00525787" w:rsidRDefault="003438D4" w:rsidP="00525787">
            <w:pPr>
              <w:pStyle w:val="ListParagraph"/>
              <w:numPr>
                <w:ilvl w:val="0"/>
                <w:numId w:val="34"/>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An inadequate healthcare and WASH infrastructure for a significant proportion of the population contributes to the high probability of a significant polio disease burden at population level causing a substantial national impact in terms of the public health, social, economic, reputational and political consequences</w:t>
            </w:r>
          </w:p>
          <w:p w14:paraId="2F6C56C6" w14:textId="77777777" w:rsidR="003438D4" w:rsidRPr="00525787" w:rsidRDefault="003438D4" w:rsidP="00525787">
            <w:pPr>
              <w:pStyle w:val="ListParagraph"/>
              <w:numPr>
                <w:ilvl w:val="0"/>
                <w:numId w:val="34"/>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National health systems core capacity, including capacity and investment in polio prevention, preparedness, surveillance, response capability, risk communication and stakeholder awareness is considered inadequate relative to the high risk level at the time of assessment</w:t>
            </w:r>
          </w:p>
          <w:p w14:paraId="6A49A439" w14:textId="77777777" w:rsidR="003438D4" w:rsidRPr="00525787" w:rsidRDefault="003438D4" w:rsidP="00525787">
            <w:pPr>
              <w:pStyle w:val="ListParagraph"/>
              <w:spacing w:after="0" w:line="240" w:lineRule="auto"/>
              <w:ind w:left="360"/>
              <w:rPr>
                <w:rFonts w:ascii="Times New Roman" w:hAnsi="Times New Roman"/>
                <w:bCs/>
                <w:kern w:val="28"/>
                <w:sz w:val="20"/>
                <w:szCs w:val="20"/>
              </w:rPr>
            </w:pPr>
          </w:p>
        </w:tc>
      </w:tr>
      <w:tr w:rsidR="003438D4" w:rsidRPr="00525787" w14:paraId="587B52E1" w14:textId="77777777" w:rsidTr="001D2744">
        <w:tc>
          <w:tcPr>
            <w:tcW w:w="1384" w:type="dxa"/>
            <w:shd w:val="clear" w:color="auto" w:fill="C00000"/>
          </w:tcPr>
          <w:p w14:paraId="4E768F94" w14:textId="77777777" w:rsidR="003438D4" w:rsidRPr="00525787" w:rsidRDefault="003438D4" w:rsidP="00525787">
            <w:pPr>
              <w:spacing w:after="0" w:line="240" w:lineRule="auto"/>
              <w:rPr>
                <w:rFonts w:ascii="Times New Roman" w:hAnsi="Times New Roman"/>
                <w:b/>
                <w:sz w:val="20"/>
                <w:szCs w:val="20"/>
              </w:rPr>
            </w:pPr>
            <w:r w:rsidRPr="00525787">
              <w:rPr>
                <w:rFonts w:ascii="Times New Roman" w:hAnsi="Times New Roman"/>
                <w:b/>
                <w:color w:val="auto"/>
                <w:sz w:val="20"/>
                <w:szCs w:val="20"/>
              </w:rPr>
              <w:t>Very</w:t>
            </w:r>
            <w:r w:rsidRPr="00525787">
              <w:rPr>
                <w:rFonts w:ascii="Times New Roman" w:hAnsi="Times New Roman"/>
                <w:b/>
                <w:color w:val="FFFFFF" w:themeColor="background1"/>
                <w:sz w:val="20"/>
                <w:szCs w:val="20"/>
              </w:rPr>
              <w:t xml:space="preserve"> High </w:t>
            </w:r>
          </w:p>
        </w:tc>
        <w:tc>
          <w:tcPr>
            <w:tcW w:w="7336" w:type="dxa"/>
          </w:tcPr>
          <w:p w14:paraId="356F1116" w14:textId="77777777" w:rsidR="003438D4" w:rsidRPr="00525787" w:rsidRDefault="003438D4" w:rsidP="00525787">
            <w:pPr>
              <w:pStyle w:val="ListParagraph"/>
              <w:numPr>
                <w:ilvl w:val="0"/>
                <w:numId w:val="35"/>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 xml:space="preserve">Severe and imminent polio risk, due to a very high probability of poliovirus reintroduction and establishment or VDPV emergence (where OPV is utilised) AND of outbreaks of poliovirus infection occurring during the assessment timeframe </w:t>
            </w:r>
          </w:p>
          <w:p w14:paraId="00EF3730" w14:textId="77777777" w:rsidR="003438D4" w:rsidRPr="00525787" w:rsidRDefault="003438D4" w:rsidP="00525787">
            <w:pPr>
              <w:pStyle w:val="ListParagraph"/>
              <w:numPr>
                <w:ilvl w:val="0"/>
                <w:numId w:val="35"/>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Outbreaks of poliovirus infection are highly likely to be characterised by prolonged detection delays or undetected low-level transmission, with health systems core capacity insufficient to prevent a failure of poliovirus containment and control without external assistance</w:t>
            </w:r>
          </w:p>
          <w:p w14:paraId="7424D6C5" w14:textId="77777777" w:rsidR="003438D4" w:rsidRPr="00525787" w:rsidRDefault="003438D4" w:rsidP="00525787">
            <w:pPr>
              <w:pStyle w:val="ListParagraph"/>
              <w:numPr>
                <w:ilvl w:val="0"/>
                <w:numId w:val="35"/>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Urgent and substantial public health actions and additional investment is required (e.g. funding, international assistance and coordination, training and capacity development) to effectively strengthen health systems core capacity, develop and implement policies to manage and reduce reintroduction or emergence threats, increase very low polio immunisation coverage rates, strengthen inadequate surveillance system sensitivity and coverage and to strengthen response capability, including developing and implementing appropriate risk communication strategies targeting high risk population groups</w:t>
            </w:r>
          </w:p>
          <w:p w14:paraId="44503575" w14:textId="77777777" w:rsidR="003438D4" w:rsidRPr="00525787" w:rsidRDefault="003438D4" w:rsidP="00525787">
            <w:pPr>
              <w:pStyle w:val="ListParagraph"/>
              <w:numPr>
                <w:ilvl w:val="0"/>
                <w:numId w:val="35"/>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A deficient healthcare and WASH infrastructure for the majority of the population contributes to the very high probability of a significant polio disease burden at population level causing a very substantial national impact in terms of the public health, social, economic, reputational and political consequences</w:t>
            </w:r>
          </w:p>
          <w:p w14:paraId="541FB27A" w14:textId="77777777" w:rsidR="003438D4" w:rsidRPr="00525787" w:rsidRDefault="003438D4" w:rsidP="00525787">
            <w:pPr>
              <w:pStyle w:val="ListParagraph"/>
              <w:numPr>
                <w:ilvl w:val="0"/>
                <w:numId w:val="35"/>
              </w:numPr>
              <w:spacing w:after="0" w:line="240" w:lineRule="auto"/>
              <w:rPr>
                <w:rFonts w:ascii="Times New Roman" w:hAnsi="Times New Roman"/>
                <w:bCs/>
                <w:kern w:val="28"/>
                <w:sz w:val="20"/>
                <w:szCs w:val="20"/>
              </w:rPr>
            </w:pPr>
            <w:r w:rsidRPr="00525787">
              <w:rPr>
                <w:rFonts w:ascii="Times New Roman" w:hAnsi="Times New Roman"/>
                <w:bCs/>
                <w:kern w:val="28"/>
                <w:sz w:val="20"/>
                <w:szCs w:val="20"/>
              </w:rPr>
              <w:t>National health systems core capacity, including capacity and investment in polio prevention, preparedness, surveillance, response capability, risk communication and stakeholder awareness is considered substantially inadequate relative to the very high risk level at the time of assessment</w:t>
            </w:r>
          </w:p>
          <w:p w14:paraId="5F0EDE84" w14:textId="77777777" w:rsidR="003438D4" w:rsidRPr="00525787" w:rsidRDefault="003438D4" w:rsidP="00525787">
            <w:pPr>
              <w:pStyle w:val="ListParagraph"/>
              <w:spacing w:after="0" w:line="240" w:lineRule="auto"/>
              <w:ind w:left="360"/>
              <w:rPr>
                <w:rFonts w:ascii="Times New Roman" w:hAnsi="Times New Roman"/>
                <w:bCs/>
                <w:kern w:val="28"/>
                <w:sz w:val="20"/>
                <w:szCs w:val="20"/>
              </w:rPr>
            </w:pPr>
          </w:p>
        </w:tc>
      </w:tr>
    </w:tbl>
    <w:p w14:paraId="0E277548" w14:textId="77777777" w:rsidR="00525787" w:rsidRDefault="00525787" w:rsidP="00525787">
      <w:pPr>
        <w:spacing w:after="160" w:line="259" w:lineRule="auto"/>
        <w:jc w:val="both"/>
        <w:rPr>
          <w:rFonts w:asciiTheme="minorHAnsi" w:hAnsiTheme="minorHAnsi" w:cs="Arial"/>
          <w:bCs/>
          <w:kern w:val="28"/>
          <w:szCs w:val="24"/>
        </w:rPr>
      </w:pPr>
    </w:p>
    <w:p w14:paraId="1ACB0215" w14:textId="77777777" w:rsidR="00000C6B" w:rsidRDefault="002B6213" w:rsidP="00525787">
      <w:pPr>
        <w:spacing w:after="160" w:line="259" w:lineRule="auto"/>
        <w:jc w:val="both"/>
        <w:rPr>
          <w:rFonts w:ascii="Times New Roman" w:hAnsi="Times New Roman"/>
          <w:bCs/>
          <w:kern w:val="28"/>
          <w:sz w:val="22"/>
        </w:rPr>
      </w:pPr>
      <w:r>
        <w:rPr>
          <w:rFonts w:ascii="Times New Roman" w:hAnsi="Times New Roman"/>
          <w:bCs/>
          <w:kern w:val="28"/>
          <w:sz w:val="22"/>
        </w:rPr>
        <w:t>A</w:t>
      </w:r>
      <w:r w:rsidR="00525787" w:rsidRPr="00525787">
        <w:rPr>
          <w:rFonts w:ascii="Times New Roman" w:hAnsi="Times New Roman"/>
          <w:bCs/>
          <w:kern w:val="28"/>
          <w:sz w:val="22"/>
        </w:rPr>
        <w:t xml:space="preserve">n Excel-based tool </w:t>
      </w:r>
      <w:r>
        <w:rPr>
          <w:rFonts w:ascii="Times New Roman" w:hAnsi="Times New Roman"/>
          <w:bCs/>
          <w:kern w:val="28"/>
          <w:sz w:val="22"/>
        </w:rPr>
        <w:t xml:space="preserve">was developed </w:t>
      </w:r>
      <w:r w:rsidR="00525787" w:rsidRPr="00525787">
        <w:rPr>
          <w:rFonts w:ascii="Times New Roman" w:hAnsi="Times New Roman"/>
          <w:bCs/>
          <w:kern w:val="28"/>
          <w:sz w:val="22"/>
        </w:rPr>
        <w:t xml:space="preserve">to calculate and display the overall results of the assessment. The tool could </w:t>
      </w:r>
      <w:r>
        <w:rPr>
          <w:rFonts w:ascii="Times New Roman" w:hAnsi="Times New Roman"/>
          <w:bCs/>
          <w:kern w:val="28"/>
          <w:sz w:val="22"/>
        </w:rPr>
        <w:t xml:space="preserve">also be used to display the results of </w:t>
      </w:r>
      <w:r w:rsidR="00525787" w:rsidRPr="00525787">
        <w:rPr>
          <w:rFonts w:ascii="Times New Roman" w:hAnsi="Times New Roman"/>
          <w:bCs/>
          <w:kern w:val="28"/>
          <w:sz w:val="22"/>
        </w:rPr>
        <w:t xml:space="preserve">annual rapid risk assessments (a requirement for annual progress reports to the RCC), or whenever change in epidemiological variables (which influence the risk elements) requires a rapid risk assessment to be repeated (e.g. the occurrence of a poliovirus event </w:t>
      </w:r>
      <w:r w:rsidR="00525787" w:rsidRPr="00525787">
        <w:rPr>
          <w:rFonts w:ascii="Times New Roman" w:hAnsi="Times New Roman"/>
          <w:bCs/>
          <w:kern w:val="28"/>
          <w:sz w:val="22"/>
        </w:rPr>
        <w:lastRenderedPageBreak/>
        <w:t xml:space="preserve">in a neighbouring country, or in a country with significant permanent settler arrival volumes to Australia, etc.). </w:t>
      </w:r>
    </w:p>
    <w:p w14:paraId="791B9892" w14:textId="77777777" w:rsidR="000174B7" w:rsidRPr="00525787" w:rsidRDefault="000174B7" w:rsidP="00525787">
      <w:pPr>
        <w:spacing w:after="160" w:line="259" w:lineRule="auto"/>
        <w:jc w:val="both"/>
        <w:rPr>
          <w:rFonts w:ascii="Times New Roman" w:hAnsi="Times New Roman"/>
          <w:bCs/>
          <w:kern w:val="28"/>
          <w:sz w:val="22"/>
        </w:rPr>
      </w:pPr>
    </w:p>
    <w:p w14:paraId="32B91B0A" w14:textId="77777777" w:rsidR="00C31A19" w:rsidRPr="00525787" w:rsidRDefault="00525787" w:rsidP="00C31A19">
      <w:pPr>
        <w:pStyle w:val="Heading1"/>
        <w:numPr>
          <w:ilvl w:val="0"/>
          <w:numId w:val="1"/>
        </w:numPr>
        <w:jc w:val="left"/>
        <w:rPr>
          <w:rFonts w:ascii="Arial" w:hAnsi="Arial" w:cs="Arial"/>
          <w:sz w:val="22"/>
          <w:szCs w:val="22"/>
        </w:rPr>
      </w:pPr>
      <w:bookmarkStart w:id="44" w:name="_Ref525141571"/>
      <w:bookmarkStart w:id="45" w:name="_Toc20238596"/>
      <w:r>
        <w:rPr>
          <w:rFonts w:ascii="Arial" w:hAnsi="Arial" w:cs="Arial"/>
          <w:sz w:val="22"/>
          <w:szCs w:val="22"/>
        </w:rPr>
        <w:t>Polio ris</w:t>
      </w:r>
      <w:r w:rsidR="00B33CFD" w:rsidRPr="00525787">
        <w:rPr>
          <w:rFonts w:ascii="Arial" w:hAnsi="Arial" w:cs="Arial"/>
          <w:sz w:val="22"/>
          <w:szCs w:val="22"/>
        </w:rPr>
        <w:t>k count</w:t>
      </w:r>
      <w:r w:rsidR="00D82685" w:rsidRPr="00525787">
        <w:rPr>
          <w:rFonts w:ascii="Arial" w:hAnsi="Arial" w:cs="Arial"/>
          <w:sz w:val="22"/>
          <w:szCs w:val="22"/>
        </w:rPr>
        <w:t xml:space="preserve">ry classification, </w:t>
      </w:r>
      <w:r w:rsidR="00053CA4" w:rsidRPr="00525787">
        <w:rPr>
          <w:rFonts w:ascii="Arial" w:hAnsi="Arial" w:cs="Arial"/>
          <w:sz w:val="22"/>
          <w:szCs w:val="22"/>
        </w:rPr>
        <w:t xml:space="preserve">for </w:t>
      </w:r>
      <w:r w:rsidR="0080316A" w:rsidRPr="00525787">
        <w:rPr>
          <w:rFonts w:ascii="Arial" w:hAnsi="Arial" w:cs="Arial"/>
          <w:sz w:val="22"/>
          <w:szCs w:val="22"/>
        </w:rPr>
        <w:t xml:space="preserve">the </w:t>
      </w:r>
      <w:r w:rsidR="000B1541" w:rsidRPr="00525787">
        <w:rPr>
          <w:rFonts w:ascii="Arial" w:hAnsi="Arial" w:cs="Arial"/>
          <w:sz w:val="22"/>
          <w:szCs w:val="22"/>
        </w:rPr>
        <w:t xml:space="preserve">Australian </w:t>
      </w:r>
      <w:r w:rsidR="0080316A" w:rsidRPr="00525787">
        <w:rPr>
          <w:rFonts w:ascii="Arial" w:hAnsi="Arial" w:cs="Arial"/>
          <w:sz w:val="22"/>
          <w:szCs w:val="22"/>
        </w:rPr>
        <w:t xml:space="preserve">risk </w:t>
      </w:r>
      <w:r w:rsidR="00B33CFD" w:rsidRPr="00525787">
        <w:rPr>
          <w:rFonts w:ascii="Arial" w:hAnsi="Arial" w:cs="Arial"/>
          <w:sz w:val="22"/>
          <w:szCs w:val="22"/>
        </w:rPr>
        <w:t>assessment</w:t>
      </w:r>
      <w:bookmarkEnd w:id="44"/>
      <w:bookmarkEnd w:id="45"/>
      <w:r w:rsidR="000B1541" w:rsidRPr="00525787">
        <w:rPr>
          <w:rFonts w:ascii="Arial" w:hAnsi="Arial" w:cs="Arial"/>
          <w:sz w:val="22"/>
          <w:szCs w:val="22"/>
        </w:rPr>
        <w:t xml:space="preserve"> </w:t>
      </w:r>
    </w:p>
    <w:p w14:paraId="024F2E2C" w14:textId="77777777" w:rsidR="00D82685" w:rsidRPr="00FE2366" w:rsidRDefault="00D82685" w:rsidP="00FE2366">
      <w:pPr>
        <w:spacing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 xml:space="preserve">Countries for which traveller arrivals and settlement data were analysed for the risk assessment include all countries listed by the </w:t>
      </w:r>
      <w:hyperlink r:id="rId11" w:history="1">
        <w:r w:rsidRPr="00FE2366">
          <w:rPr>
            <w:rFonts w:ascii="Times New Roman" w:eastAsiaTheme="minorHAnsi" w:hAnsi="Times New Roman"/>
            <w:color w:val="auto"/>
            <w:sz w:val="22"/>
          </w:rPr>
          <w:t>Global Polio Eradication Initiative (GPEI)</w:t>
        </w:r>
      </w:hyperlink>
      <w:r w:rsidRPr="00FE2366">
        <w:rPr>
          <w:rFonts w:ascii="Times New Roman" w:eastAsiaTheme="minorHAnsi" w:hAnsi="Times New Roman"/>
          <w:color w:val="auto"/>
          <w:sz w:val="22"/>
        </w:rPr>
        <w:t xml:space="preserve"> under the following categories: </w:t>
      </w:r>
      <w:hyperlink r:id="rId12" w:history="1">
        <w:r w:rsidRPr="00FE2366">
          <w:rPr>
            <w:rFonts w:ascii="Times New Roman" w:eastAsiaTheme="minorHAnsi" w:hAnsi="Times New Roman"/>
            <w:color w:val="auto"/>
            <w:sz w:val="22"/>
          </w:rPr>
          <w:t>Endemic, Outbreak or Key At-Risk</w:t>
        </w:r>
      </w:hyperlink>
      <w:r w:rsidRPr="00FE2366">
        <w:rPr>
          <w:rFonts w:ascii="Times New Roman" w:eastAsiaTheme="minorHAnsi" w:hAnsi="Times New Roman"/>
          <w:color w:val="auto"/>
          <w:sz w:val="22"/>
        </w:rPr>
        <w:t>. These countries were termed “polio high risk countries” for the purpose of the Australian national risk assessment</w:t>
      </w:r>
      <w:r w:rsidR="00495D57" w:rsidRPr="00FE2366">
        <w:rPr>
          <w:rFonts w:ascii="Times New Roman" w:eastAsiaTheme="minorHAnsi" w:hAnsi="Times New Roman"/>
          <w:color w:val="auto"/>
          <w:sz w:val="22"/>
        </w:rPr>
        <w:t>. Further to the 24</w:t>
      </w:r>
      <w:r w:rsidRPr="00FE2366">
        <w:rPr>
          <w:rFonts w:ascii="Times New Roman" w:eastAsiaTheme="minorHAnsi" w:hAnsi="Times New Roman"/>
          <w:color w:val="auto"/>
          <w:sz w:val="22"/>
        </w:rPr>
        <w:t xml:space="preserve"> “polio high risk countries”</w:t>
      </w:r>
      <w:r w:rsidR="0035688D">
        <w:rPr>
          <w:rFonts w:ascii="Times New Roman" w:eastAsiaTheme="minorHAnsi" w:hAnsi="Times New Roman"/>
          <w:color w:val="auto"/>
          <w:sz w:val="22"/>
        </w:rPr>
        <w:t xml:space="preserve"> identified (as at January 2019)</w:t>
      </w:r>
      <w:r w:rsidRPr="00FE2366">
        <w:rPr>
          <w:rFonts w:ascii="Times New Roman" w:eastAsiaTheme="minorHAnsi" w:hAnsi="Times New Roman"/>
          <w:color w:val="auto"/>
          <w:sz w:val="22"/>
        </w:rPr>
        <w:t>, the ri</w:t>
      </w:r>
      <w:r w:rsidR="00495D57" w:rsidRPr="00FE2366">
        <w:rPr>
          <w:rFonts w:ascii="Times New Roman" w:eastAsiaTheme="minorHAnsi" w:hAnsi="Times New Roman"/>
          <w:color w:val="auto"/>
          <w:sz w:val="22"/>
        </w:rPr>
        <w:t>sk assessment team identified 26</w:t>
      </w:r>
      <w:r w:rsidRPr="00FE2366">
        <w:rPr>
          <w:rFonts w:ascii="Times New Roman" w:eastAsiaTheme="minorHAnsi" w:hAnsi="Times New Roman"/>
          <w:color w:val="auto"/>
          <w:sz w:val="22"/>
        </w:rPr>
        <w:t xml:space="preserve"> additional countries to be included in the assessment, which were listed based on the occurrence of at least two of the following risk factors (inclusion criteria):</w:t>
      </w:r>
    </w:p>
    <w:p w14:paraId="32AAF1CD" w14:textId="77777777" w:rsidR="00D82685" w:rsidRPr="00FE2366" w:rsidRDefault="00D82685" w:rsidP="00FE2366">
      <w:pPr>
        <w:pStyle w:val="ListParagraph"/>
        <w:numPr>
          <w:ilvl w:val="0"/>
          <w:numId w:val="37"/>
        </w:numPr>
        <w:spacing w:after="0"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Potential for cVDPV emergence associated with the use of OPV, combined with low polio immunisation covera</w:t>
      </w:r>
      <w:r w:rsidR="00996CE1">
        <w:rPr>
          <w:rFonts w:ascii="Times New Roman" w:eastAsiaTheme="minorHAnsi" w:hAnsi="Times New Roman"/>
          <w:color w:val="auto"/>
          <w:sz w:val="22"/>
        </w:rPr>
        <w:t xml:space="preserve">ge rates (mean &lt; 80%), as per </w:t>
      </w:r>
      <w:r w:rsidRPr="00FE2366">
        <w:rPr>
          <w:rFonts w:ascii="Times New Roman" w:eastAsiaTheme="minorHAnsi" w:hAnsi="Times New Roman"/>
          <w:color w:val="auto"/>
          <w:sz w:val="22"/>
        </w:rPr>
        <w:t>UNICEF data for the pr</w:t>
      </w:r>
      <w:r w:rsidR="00996CE1">
        <w:rPr>
          <w:rFonts w:ascii="Times New Roman" w:eastAsiaTheme="minorHAnsi" w:hAnsi="Times New Roman"/>
          <w:color w:val="auto"/>
          <w:sz w:val="22"/>
        </w:rPr>
        <w:t>eceding five years</w:t>
      </w:r>
      <w:r w:rsidRPr="00FE2366">
        <w:rPr>
          <w:rFonts w:ascii="Times New Roman" w:eastAsiaTheme="minorHAnsi" w:hAnsi="Times New Roman"/>
          <w:color w:val="auto"/>
          <w:sz w:val="22"/>
        </w:rPr>
        <w:t xml:space="preserve"> </w:t>
      </w:r>
      <w:r w:rsidRPr="00FE2366">
        <w:rPr>
          <w:rFonts w:ascii="Times New Roman" w:eastAsiaTheme="minorHAnsi" w:hAnsi="Times New Roman"/>
          <w:color w:val="auto"/>
          <w:sz w:val="22"/>
        </w:rPr>
        <w:fldChar w:fldCharType="begin"/>
      </w:r>
      <w:r w:rsidRPr="00FE2366">
        <w:rPr>
          <w:rFonts w:ascii="Times New Roman" w:eastAsiaTheme="minorHAnsi" w:hAnsi="Times New Roman"/>
          <w:color w:val="auto"/>
          <w:sz w:val="22"/>
        </w:rPr>
        <w:instrText xml:space="preserve"> ADDIN EN.CITE &lt;EndNote&gt;&lt;Cite&gt;&lt;Author&gt;United Nations Children&amp;apos;s Fund (UNICEF)&lt;/Author&gt;&lt;Year&gt;2018&lt;/Year&gt;&lt;RecNum&gt;107&lt;/RecNum&gt;&lt;DisplayText&gt;(4)&lt;/DisplayText&gt;&lt;record&gt;&lt;rec-number&gt;107&lt;/rec-number&gt;&lt;foreign-keys&gt;&lt;key app="EN" db-id="e2sp5w29x95xtpe2velxwv5qwpzpr9a2edfp" timestamp="1531965826"&gt;107&lt;/key&gt;&lt;/foreign-keys&gt;&lt;ref-type name="Web Page"&gt;12&lt;/ref-type&gt;&lt;contributors&gt;&lt;authors&gt;&lt;author&gt;United Nations Children&amp;apos;s Fund (UNICEF),&lt;/author&gt;&lt;/authors&gt;&lt;/contributors&gt;&lt;titles&gt;&lt;title&gt;Immunization Coverage and System Performance Indicator Data&lt;/title&gt;&lt;/titles&gt;&lt;number&gt;19 July 2018&lt;/number&gt;&lt;dates&gt;&lt;year&gt;2018&lt;/year&gt;&lt;/dates&gt;&lt;publisher&gt;UNICEF &lt;/publisher&gt;&lt;urls&gt;&lt;related-urls&gt;&lt;url&gt;&lt;style face="underline" font="default" size="100%"&gt;https://data.unicef.org/topic/child-health/immunization/&lt;/style&gt;&lt;/url&gt;&lt;/related-urls&gt;&lt;/urls&gt;&lt;/record&gt;&lt;/Cite&gt;&lt;/EndNote&gt;</w:instrText>
      </w:r>
      <w:r w:rsidRPr="00FE2366">
        <w:rPr>
          <w:rFonts w:ascii="Times New Roman" w:eastAsiaTheme="minorHAnsi" w:hAnsi="Times New Roman"/>
          <w:color w:val="auto"/>
          <w:sz w:val="22"/>
        </w:rPr>
        <w:fldChar w:fldCharType="separate"/>
      </w:r>
      <w:r w:rsidRPr="00FE2366">
        <w:rPr>
          <w:rFonts w:ascii="Times New Roman" w:eastAsiaTheme="minorHAnsi" w:hAnsi="Times New Roman"/>
          <w:color w:val="auto"/>
          <w:sz w:val="22"/>
        </w:rPr>
        <w:t>(4)</w:t>
      </w:r>
      <w:r w:rsidRPr="00FE2366">
        <w:rPr>
          <w:rFonts w:ascii="Times New Roman" w:eastAsiaTheme="minorHAnsi" w:hAnsi="Times New Roman"/>
          <w:color w:val="auto"/>
          <w:sz w:val="22"/>
        </w:rPr>
        <w:fldChar w:fldCharType="end"/>
      </w:r>
      <w:r w:rsidRPr="00FE2366">
        <w:rPr>
          <w:rFonts w:ascii="Times New Roman" w:eastAsiaTheme="minorHAnsi" w:hAnsi="Times New Roman"/>
          <w:color w:val="auto"/>
          <w:sz w:val="22"/>
        </w:rPr>
        <w:t>;</w:t>
      </w:r>
    </w:p>
    <w:p w14:paraId="630B1892" w14:textId="77777777" w:rsidR="00D82685" w:rsidRPr="00FE2366" w:rsidRDefault="00D82685" w:rsidP="00FE2366">
      <w:pPr>
        <w:pStyle w:val="ListParagraph"/>
        <w:numPr>
          <w:ilvl w:val="0"/>
          <w:numId w:val="37"/>
        </w:numPr>
        <w:spacing w:after="0"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 xml:space="preserve">Suboptimal health systems core capacities as evidenced by, e.g. JEE reports and/or suboptimal water, sanitation and hygiene (WASH) infrastructure (based on UNICEF data) </w:t>
      </w:r>
      <w:r w:rsidRPr="00FE2366">
        <w:rPr>
          <w:rFonts w:ascii="Times New Roman" w:eastAsiaTheme="minorHAnsi" w:hAnsi="Times New Roman"/>
          <w:color w:val="auto"/>
          <w:sz w:val="22"/>
        </w:rPr>
        <w:fldChar w:fldCharType="begin"/>
      </w:r>
      <w:r w:rsidRPr="00FE2366">
        <w:rPr>
          <w:rFonts w:ascii="Times New Roman" w:eastAsiaTheme="minorHAnsi" w:hAnsi="Times New Roman"/>
          <w:color w:val="auto"/>
          <w:sz w:val="22"/>
        </w:rPr>
        <w:instrText xml:space="preserve"> ADDIN EN.CITE &lt;EndNote&gt;&lt;Cite&gt;&lt;Author&gt;WASHWatch.org&lt;/Author&gt;&lt;Year&gt;2016&lt;/Year&gt;&lt;RecNum&gt;143&lt;/RecNum&gt;&lt;DisplayText&gt;(5, 6)&lt;/DisplayText&gt;&lt;record&gt;&lt;rec-number&gt;143&lt;/rec-number&gt;&lt;foreign-keys&gt;&lt;key app="EN" db-id="e2sp5w29x95xtpe2velxwv5qwpzpr9a2edfp" timestamp="1533685478"&gt;143&lt;/key&gt;&lt;/foreign-keys&gt;&lt;ref-type name="Web Page"&gt;12&lt;/ref-type&gt;&lt;contributors&gt;&lt;authors&gt;&lt;author&gt;WASHWatch.org&lt;/author&gt;&lt;/authors&gt;&lt;/contributors&gt;&lt;titles&gt;&lt;title&gt;World WASH data&lt;/title&gt;&lt;secondary-title&gt;All WASH data for every country in the world,&lt;/secondary-title&gt;&lt;/titles&gt;&lt;periodical&gt;&lt;full-title&gt;All WASH data for every country in the world,&lt;/full-title&gt;&lt;/periodical&gt;&lt;dates&gt;&lt;year&gt;2016&lt;/year&gt;&lt;/dates&gt;&lt;urls&gt;&lt;related-urls&gt;&lt;url&gt;&lt;style face="underline" font="default" size="100%"&gt;https://data.humdata.org/dataset/world-wash-data&lt;/style&gt;&lt;/url&gt;&lt;/related-urls&gt;&lt;/urls&gt;&lt;/record&gt;&lt;/Cite&gt;&lt;Cite&gt;&lt;Author&gt;United Nations children&amp;apos;s Fund (UNICEF)&lt;/Author&gt;&lt;Year&gt;2015&lt;/Year&gt;&lt;RecNum&gt;304&lt;/RecNum&gt;&lt;record&gt;&lt;rec-number&gt;304&lt;/rec-number&gt;&lt;foreign-keys&gt;&lt;key app="EN" db-id="e2sp5w29x95xtpe2velxwv5qwpzpr9a2edfp" timestamp="1547084253"&gt;304&lt;/key&gt;&lt;/foreign-keys&gt;&lt;ref-type name="Web Page"&gt;12&lt;/ref-type&gt;&lt;contributors&gt;&lt;authors&gt;&lt;author&gt;United Nations children&amp;apos;s Fund (UNICEF), &lt;/author&gt;&lt;/authors&gt;&lt;/contributors&gt;&lt;titles&gt;&lt;title&gt;A Snapshot of Water and Sanitation in the Pacific - 2015 Update&lt;/title&gt;&lt;/titles&gt;&lt;number&gt;10 January 2019&lt;/number&gt;&lt;dates&gt;&lt;year&gt;2015&lt;/year&gt;&lt;/dates&gt;&lt;urls&gt;&lt;related-urls&gt;&lt;url&gt;&lt;style face="underline" font="default" size="100%"&gt;https://www.unicef.org/eap/reports/snapshot-water-and-sanitation-pacific&lt;/style&gt;&lt;/url&gt;&lt;/related-urls&gt;&lt;/urls&gt;&lt;/record&gt;&lt;/Cite&gt;&lt;/EndNote&gt;</w:instrText>
      </w:r>
      <w:r w:rsidRPr="00FE2366">
        <w:rPr>
          <w:rFonts w:ascii="Times New Roman" w:eastAsiaTheme="minorHAnsi" w:hAnsi="Times New Roman"/>
          <w:color w:val="auto"/>
          <w:sz w:val="22"/>
        </w:rPr>
        <w:fldChar w:fldCharType="separate"/>
      </w:r>
      <w:r w:rsidRPr="00FE2366">
        <w:rPr>
          <w:rFonts w:ascii="Times New Roman" w:eastAsiaTheme="minorHAnsi" w:hAnsi="Times New Roman"/>
          <w:color w:val="auto"/>
          <w:sz w:val="22"/>
        </w:rPr>
        <w:t>(5, 6)</w:t>
      </w:r>
      <w:r w:rsidRPr="00FE2366">
        <w:rPr>
          <w:rFonts w:ascii="Times New Roman" w:eastAsiaTheme="minorHAnsi" w:hAnsi="Times New Roman"/>
          <w:color w:val="auto"/>
          <w:sz w:val="22"/>
        </w:rPr>
        <w:fldChar w:fldCharType="end"/>
      </w:r>
      <w:r w:rsidRPr="00FE2366">
        <w:rPr>
          <w:rFonts w:ascii="Times New Roman" w:eastAsiaTheme="minorHAnsi" w:hAnsi="Times New Roman"/>
          <w:color w:val="auto"/>
          <w:sz w:val="22"/>
        </w:rPr>
        <w:t>;</w:t>
      </w:r>
    </w:p>
    <w:p w14:paraId="3BBA7461" w14:textId="77777777" w:rsidR="00D82685" w:rsidRPr="00FE2366" w:rsidRDefault="00D82685" w:rsidP="00FE2366">
      <w:pPr>
        <w:pStyle w:val="ListParagraph"/>
        <w:numPr>
          <w:ilvl w:val="0"/>
          <w:numId w:val="37"/>
        </w:numPr>
        <w:spacing w:after="0"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 xml:space="preserve">Neighbouring geographical location, relative to Australia; </w:t>
      </w:r>
    </w:p>
    <w:p w14:paraId="7B0F70D2" w14:textId="77777777" w:rsidR="00D82685" w:rsidRPr="00FE2366" w:rsidRDefault="00D82685" w:rsidP="00FE2366">
      <w:pPr>
        <w:pStyle w:val="ListParagraph"/>
        <w:numPr>
          <w:ilvl w:val="0"/>
          <w:numId w:val="37"/>
        </w:numPr>
        <w:spacing w:after="0"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 xml:space="preserve">Land border with a country classified by GPEI as a polio endemic, outbreak or key at-risk country; </w:t>
      </w:r>
    </w:p>
    <w:p w14:paraId="1A68225A" w14:textId="77777777" w:rsidR="00D82685" w:rsidRPr="00FE2366" w:rsidRDefault="00D82685" w:rsidP="00FE2366">
      <w:pPr>
        <w:pStyle w:val="ListParagraph"/>
        <w:numPr>
          <w:ilvl w:val="0"/>
          <w:numId w:val="37"/>
        </w:numPr>
        <w:spacing w:after="0" w:line="240" w:lineRule="auto"/>
        <w:jc w:val="both"/>
        <w:rPr>
          <w:rFonts w:ascii="Times New Roman" w:eastAsiaTheme="minorHAnsi" w:hAnsi="Times New Roman"/>
          <w:color w:val="auto"/>
          <w:sz w:val="22"/>
        </w:rPr>
      </w:pPr>
      <w:r w:rsidRPr="00FE2366">
        <w:rPr>
          <w:rFonts w:ascii="Times New Roman" w:eastAsiaTheme="minorHAnsi" w:hAnsi="Times New Roman"/>
          <w:color w:val="auto"/>
          <w:sz w:val="22"/>
        </w:rPr>
        <w:t>Current geopolitical events, including civil or international conflict, or other events (e.g. severe economic crises) that serve to undermine health systems core capacity, e.g. provision or access to primary health care services (including routine childhood immunisation programs), or cause unregulated population movements in the country or region.</w:t>
      </w:r>
    </w:p>
    <w:p w14:paraId="27FA8620" w14:textId="77777777" w:rsidR="00B269B8" w:rsidRDefault="00B269B8" w:rsidP="00FE2366">
      <w:pPr>
        <w:autoSpaceDE w:val="0"/>
        <w:autoSpaceDN w:val="0"/>
        <w:adjustRightInd w:val="0"/>
        <w:spacing w:after="0" w:line="240" w:lineRule="auto"/>
        <w:jc w:val="both"/>
        <w:rPr>
          <w:rFonts w:cs="Calibri"/>
          <w:b/>
          <w:color w:val="auto"/>
          <w:szCs w:val="24"/>
          <w:lang w:eastAsia="en-AU"/>
        </w:rPr>
      </w:pPr>
    </w:p>
    <w:p w14:paraId="50F852A4" w14:textId="77777777" w:rsidR="003868DF" w:rsidRDefault="003868DF" w:rsidP="003868DF">
      <w:pPr>
        <w:pStyle w:val="Heading1"/>
        <w:numPr>
          <w:ilvl w:val="0"/>
          <w:numId w:val="1"/>
        </w:numPr>
        <w:jc w:val="left"/>
        <w:rPr>
          <w:rFonts w:ascii="Arial" w:hAnsi="Arial" w:cs="Arial"/>
          <w:sz w:val="22"/>
          <w:szCs w:val="22"/>
        </w:rPr>
      </w:pPr>
      <w:bookmarkStart w:id="46" w:name="_Toc20238597"/>
      <w:r>
        <w:rPr>
          <w:rFonts w:ascii="Arial" w:hAnsi="Arial" w:cs="Arial"/>
          <w:sz w:val="22"/>
          <w:szCs w:val="22"/>
        </w:rPr>
        <w:t>Methodology assumptions and limitations</w:t>
      </w:r>
      <w:bookmarkEnd w:id="46"/>
    </w:p>
    <w:p w14:paraId="61872F53" w14:textId="77777777" w:rsidR="00903089" w:rsidRDefault="006D16EE" w:rsidP="00903089">
      <w:pPr>
        <w:spacing w:after="160" w:line="259" w:lineRule="auto"/>
        <w:jc w:val="both"/>
        <w:rPr>
          <w:rFonts w:ascii="Times New Roman" w:eastAsiaTheme="minorHAnsi" w:hAnsi="Times New Roman"/>
          <w:color w:val="auto"/>
          <w:sz w:val="22"/>
        </w:rPr>
      </w:pPr>
      <w:r w:rsidRPr="006D16EE">
        <w:rPr>
          <w:rFonts w:ascii="Times New Roman" w:eastAsiaTheme="minorHAnsi" w:hAnsi="Times New Roman"/>
          <w:color w:val="auto"/>
          <w:sz w:val="22"/>
        </w:rPr>
        <w:t xml:space="preserve">The methodology and findings </w:t>
      </w:r>
      <w:r>
        <w:rPr>
          <w:rFonts w:ascii="Times New Roman" w:eastAsiaTheme="minorHAnsi" w:hAnsi="Times New Roman"/>
          <w:color w:val="auto"/>
          <w:sz w:val="22"/>
        </w:rPr>
        <w:t xml:space="preserve">of a </w:t>
      </w:r>
      <w:r w:rsidRPr="006D16EE">
        <w:rPr>
          <w:rFonts w:ascii="Times New Roman" w:eastAsiaTheme="minorHAnsi" w:hAnsi="Times New Roman"/>
          <w:color w:val="auto"/>
          <w:sz w:val="22"/>
        </w:rPr>
        <w:t xml:space="preserve">risk assessment are subject to a number of assumptions and limitations. Principally, the RCE and associated </w:t>
      </w:r>
      <w:r>
        <w:rPr>
          <w:rFonts w:ascii="Times New Roman" w:eastAsiaTheme="minorHAnsi" w:hAnsi="Times New Roman"/>
          <w:color w:val="auto"/>
          <w:sz w:val="22"/>
        </w:rPr>
        <w:t xml:space="preserve">qualitative </w:t>
      </w:r>
      <w:r w:rsidRPr="006D16EE">
        <w:rPr>
          <w:rFonts w:ascii="Times New Roman" w:eastAsiaTheme="minorHAnsi" w:hAnsi="Times New Roman"/>
          <w:color w:val="auto"/>
          <w:sz w:val="22"/>
        </w:rPr>
        <w:t xml:space="preserve">risk </w:t>
      </w:r>
      <w:r>
        <w:rPr>
          <w:rFonts w:ascii="Times New Roman" w:eastAsiaTheme="minorHAnsi" w:hAnsi="Times New Roman"/>
          <w:color w:val="auto"/>
          <w:sz w:val="22"/>
        </w:rPr>
        <w:t xml:space="preserve">statement </w:t>
      </w:r>
      <w:r w:rsidRPr="006D16EE">
        <w:rPr>
          <w:rFonts w:ascii="Times New Roman" w:eastAsiaTheme="minorHAnsi" w:hAnsi="Times New Roman"/>
          <w:color w:val="auto"/>
          <w:sz w:val="22"/>
        </w:rPr>
        <w:t xml:space="preserve">is based on the assumption that all epidemiological variables (risk elements) that influence poliovirus reintroduction and outbreak risk remain static during the specified </w:t>
      </w:r>
      <w:r>
        <w:rPr>
          <w:rFonts w:ascii="Times New Roman" w:eastAsiaTheme="minorHAnsi" w:hAnsi="Times New Roman"/>
          <w:color w:val="auto"/>
          <w:sz w:val="22"/>
        </w:rPr>
        <w:t xml:space="preserve">risk assessment </w:t>
      </w:r>
      <w:r w:rsidR="00C57670">
        <w:rPr>
          <w:rFonts w:ascii="Times New Roman" w:eastAsiaTheme="minorHAnsi" w:hAnsi="Times New Roman"/>
          <w:color w:val="auto"/>
          <w:sz w:val="22"/>
        </w:rPr>
        <w:t>timeframe. However</w:t>
      </w:r>
      <w:r w:rsidRPr="006D16EE">
        <w:rPr>
          <w:rFonts w:ascii="Times New Roman" w:eastAsiaTheme="minorHAnsi" w:hAnsi="Times New Roman"/>
          <w:color w:val="auto"/>
          <w:sz w:val="22"/>
        </w:rPr>
        <w:t>, Australia’s polio risk may shift substantially at any time and for various reasons including, e.g. reduced global investment in the polio eradication drive, regional conflict or economic crises degrading health system core capacities, declining population immunity due to vaccine hesitancy, or increased poliovirus circulation in communities from which Australia receives a large number of traveller arrivals. The results are therefore not intended for use as a polio risk forecasting tool, but rather</w:t>
      </w:r>
      <w:r w:rsidR="00903089">
        <w:rPr>
          <w:rFonts w:ascii="Times New Roman" w:eastAsiaTheme="minorHAnsi" w:hAnsi="Times New Roman"/>
          <w:color w:val="auto"/>
          <w:sz w:val="22"/>
        </w:rPr>
        <w:t xml:space="preserve"> to</w:t>
      </w:r>
      <w:r w:rsidRPr="006D16EE">
        <w:rPr>
          <w:rFonts w:ascii="Times New Roman" w:eastAsiaTheme="minorHAnsi" w:hAnsi="Times New Roman"/>
          <w:color w:val="auto"/>
          <w:sz w:val="22"/>
        </w:rPr>
        <w:t xml:space="preserve"> describe what occurred in the timeframe immediately preceding the assessment, as</w:t>
      </w:r>
      <w:r w:rsidR="00903089">
        <w:rPr>
          <w:rFonts w:ascii="Times New Roman" w:eastAsiaTheme="minorHAnsi" w:hAnsi="Times New Roman"/>
          <w:color w:val="auto"/>
          <w:sz w:val="22"/>
        </w:rPr>
        <w:t xml:space="preserve"> a baseline for comparison </w:t>
      </w:r>
      <w:r w:rsidR="00903089" w:rsidRPr="00903089">
        <w:rPr>
          <w:rFonts w:ascii="Times New Roman" w:eastAsiaTheme="minorHAnsi" w:hAnsi="Times New Roman"/>
          <w:color w:val="auto"/>
          <w:sz w:val="22"/>
        </w:rPr>
        <w:t>when rapid assessments are repeated annually, or more comprehensive assessments are repeated, e.g. in five year intervals.</w:t>
      </w:r>
    </w:p>
    <w:p w14:paraId="1A2F6383" w14:textId="77777777" w:rsidR="00903089" w:rsidRPr="00903089" w:rsidRDefault="00903089" w:rsidP="00903089">
      <w:pPr>
        <w:spacing w:after="160" w:line="259" w:lineRule="auto"/>
        <w:jc w:val="both"/>
        <w:rPr>
          <w:rFonts w:ascii="Times New Roman" w:eastAsiaTheme="minorHAnsi" w:hAnsi="Times New Roman"/>
          <w:color w:val="auto"/>
          <w:sz w:val="22"/>
        </w:rPr>
      </w:pPr>
      <w:r w:rsidRPr="00903089">
        <w:rPr>
          <w:rFonts w:ascii="Times New Roman" w:eastAsiaTheme="minorHAnsi" w:hAnsi="Times New Roman"/>
          <w:color w:val="auto"/>
          <w:sz w:val="22"/>
        </w:rPr>
        <w:t xml:space="preserve">Secondly, the assessment results are substantially influenced by the level of confidence in the quality and completeness of information and data used to evaluate the respective risk elements. The perceived quality of evidence used to inform the risk element scoring may be subject to bias, depending on the composition and frame of reference of the team tasked with conducting the scoring. Equally, the risk element scoring intervals were purposefully designed not to be overly rigid, but rather intended as guidelines to allow context-appropriate interpretation. Hence, the risk assessment team should assign risk element scores based on the qualitative description that most accurately resembles conclusions that may be drawn from the information assessed, noting that different combinations of criteria may occur together. However, this design feature means that some subjectivity in the scoring process remains. The weighting of risk elements through expert opinion is equally subjective. Nevertheless, an expert elicitation process may be considered the most accurate and valid estimation of the relative importance of the respective risk elements that is feasible without dedicated further research, and is a method frequently employed in qualitative risk assessment </w:t>
      </w:r>
      <w:r w:rsidRPr="00903089">
        <w:rPr>
          <w:rFonts w:ascii="Times New Roman" w:eastAsiaTheme="minorHAnsi" w:hAnsi="Times New Roman"/>
          <w:color w:val="auto"/>
          <w:sz w:val="22"/>
        </w:rPr>
        <w:fldChar w:fldCharType="begin"/>
      </w:r>
      <w:r w:rsidRPr="00903089">
        <w:rPr>
          <w:rFonts w:ascii="Times New Roman" w:eastAsiaTheme="minorHAnsi" w:hAnsi="Times New Roman"/>
          <w:color w:val="auto"/>
          <w:sz w:val="22"/>
        </w:rPr>
        <w:instrText xml:space="preserve"> ADDIN EN.CITE &lt;EndNote&gt;&lt;Cite&gt;&lt;Author&gt;World Health Organization&lt;/Author&gt;&lt;Year&gt;2012&lt;/Year&gt;&lt;RecNum&gt;392&lt;/RecNum&gt;&lt;DisplayText&gt;(2)&lt;/DisplayText&gt;&lt;record&gt;&lt;rec-number&gt;392&lt;/rec-number&gt;&lt;foreign-keys&gt;&lt;key app="EN" db-id="e2sp5w29x95xtpe2velxwv5qwpzpr9a2edfp" timestamp="1566280105"&gt;392&lt;/key&gt;&lt;/foreign-keys&gt;&lt;ref-type name="Web Page"&gt;12&lt;/ref-type&gt;&lt;contributors&gt;&lt;authors&gt;&lt;author&gt;World Health Organization,&lt;/author&gt;&lt;/authors&gt;&lt;/contributors&gt;&lt;titles&gt;&lt;title&gt;Rapid Risk Assessment of Acute Public Health Events&lt;/title&gt;&lt;/titles&gt;&lt;number&gt;26 June 2018 &lt;/number&gt;&lt;dates&gt;&lt;year&gt;2012&lt;/year&gt;&lt;/dates&gt;&lt;pub-location&gt;Geneva&lt;/pub-location&gt;&lt;urls&gt;&lt;related-urls&gt;&lt;url&gt;&lt;style face="underline" font="default" size="100%"&gt;http://www.who.int/csr/resources/publications/HSE_GAR_ARO_2012_1/en/&lt;/style&gt;&lt;/url&gt;&lt;/related-urls&gt;&lt;/urls&gt;&lt;/record&gt;&lt;/Cite&gt;&lt;/EndNote&gt;</w:instrText>
      </w:r>
      <w:r w:rsidRPr="00903089">
        <w:rPr>
          <w:rFonts w:ascii="Times New Roman" w:eastAsiaTheme="minorHAnsi" w:hAnsi="Times New Roman"/>
          <w:color w:val="auto"/>
          <w:sz w:val="22"/>
        </w:rPr>
        <w:fldChar w:fldCharType="separate"/>
      </w:r>
      <w:r w:rsidRPr="00903089">
        <w:rPr>
          <w:rFonts w:ascii="Times New Roman" w:eastAsiaTheme="minorHAnsi" w:hAnsi="Times New Roman"/>
          <w:color w:val="auto"/>
          <w:sz w:val="22"/>
        </w:rPr>
        <w:t>(2)</w:t>
      </w:r>
      <w:r w:rsidRPr="00903089">
        <w:rPr>
          <w:rFonts w:ascii="Times New Roman" w:eastAsiaTheme="minorHAnsi" w:hAnsi="Times New Roman"/>
          <w:color w:val="auto"/>
          <w:sz w:val="22"/>
        </w:rPr>
        <w:fldChar w:fldCharType="end"/>
      </w:r>
      <w:r w:rsidRPr="00903089">
        <w:rPr>
          <w:rFonts w:ascii="Times New Roman" w:eastAsiaTheme="minorHAnsi" w:hAnsi="Times New Roman"/>
          <w:color w:val="auto"/>
          <w:sz w:val="22"/>
        </w:rPr>
        <w:t xml:space="preserve">. An additional limitation pertains to calculation of the RCE, specifically the question of whether there is an assumption of independence of the various </w:t>
      </w:r>
      <w:r w:rsidRPr="00903089">
        <w:rPr>
          <w:rFonts w:ascii="Times New Roman" w:eastAsiaTheme="minorHAnsi" w:hAnsi="Times New Roman"/>
          <w:color w:val="auto"/>
          <w:sz w:val="22"/>
        </w:rPr>
        <w:lastRenderedPageBreak/>
        <w:t>risk elements, when in</w:t>
      </w:r>
      <w:r>
        <w:rPr>
          <w:rFonts w:ascii="Times New Roman" w:eastAsiaTheme="minorHAnsi" w:hAnsi="Times New Roman"/>
          <w:color w:val="auto"/>
          <w:sz w:val="22"/>
        </w:rPr>
        <w:t xml:space="preserve"> fact they are inter-dependent. </w:t>
      </w:r>
      <w:r w:rsidRPr="00903089">
        <w:rPr>
          <w:rFonts w:ascii="Times New Roman" w:eastAsiaTheme="minorHAnsi" w:hAnsi="Times New Roman"/>
          <w:color w:val="auto"/>
          <w:sz w:val="22"/>
        </w:rPr>
        <w:t xml:space="preserve">For example, sustained transmission </w:t>
      </w:r>
      <w:r w:rsidR="00D27E45">
        <w:rPr>
          <w:rFonts w:ascii="Times New Roman" w:eastAsiaTheme="minorHAnsi" w:hAnsi="Times New Roman"/>
          <w:color w:val="auto"/>
          <w:sz w:val="22"/>
        </w:rPr>
        <w:t xml:space="preserve">of poliovirus </w:t>
      </w:r>
      <w:r w:rsidRPr="00903089">
        <w:rPr>
          <w:rFonts w:ascii="Times New Roman" w:eastAsiaTheme="minorHAnsi" w:hAnsi="Times New Roman"/>
          <w:color w:val="auto"/>
          <w:sz w:val="22"/>
        </w:rPr>
        <w:t xml:space="preserve">cannot occur, without virus reintroduction having first occurred, followed by exposure and infection of one or more susceptible individuals. Yet these elements are each individually evaluated, when in fact the variables that constitute each element are dynamic and interacting. </w:t>
      </w:r>
    </w:p>
    <w:p w14:paraId="270962B2" w14:textId="77777777" w:rsidR="00903089" w:rsidRPr="00903089" w:rsidRDefault="00903089" w:rsidP="00903089">
      <w:pPr>
        <w:spacing w:after="160" w:line="259" w:lineRule="auto"/>
        <w:jc w:val="both"/>
        <w:rPr>
          <w:rFonts w:ascii="Times New Roman" w:eastAsiaTheme="minorHAnsi" w:hAnsi="Times New Roman"/>
          <w:color w:val="auto"/>
          <w:sz w:val="22"/>
        </w:rPr>
      </w:pPr>
      <w:r w:rsidRPr="00903089">
        <w:rPr>
          <w:rFonts w:ascii="Times New Roman" w:eastAsiaTheme="minorHAnsi" w:hAnsi="Times New Roman"/>
          <w:color w:val="auto"/>
          <w:sz w:val="22"/>
        </w:rPr>
        <w:t>Finally, to minimise perceived bias in the risk characterisation results, the composition of the risk assessment team requires careful consideration. This will depend on the national context, available resources and expertise</w:t>
      </w:r>
      <w:r w:rsidR="00D501D0">
        <w:rPr>
          <w:rFonts w:ascii="Times New Roman" w:eastAsiaTheme="minorHAnsi" w:hAnsi="Times New Roman"/>
          <w:color w:val="auto"/>
          <w:sz w:val="22"/>
        </w:rPr>
        <w:t xml:space="preserve">, </w:t>
      </w:r>
      <w:r w:rsidRPr="00903089">
        <w:rPr>
          <w:rFonts w:ascii="Times New Roman" w:eastAsiaTheme="minorHAnsi" w:hAnsi="Times New Roman"/>
          <w:color w:val="auto"/>
          <w:sz w:val="22"/>
        </w:rPr>
        <w:t>and the intended end-users of the findings generated through the assessment.</w:t>
      </w:r>
      <w:r>
        <w:rPr>
          <w:rFonts w:ascii="Times New Roman" w:eastAsiaTheme="minorHAnsi" w:hAnsi="Times New Roman"/>
          <w:color w:val="auto"/>
          <w:sz w:val="22"/>
        </w:rPr>
        <w:t xml:space="preserve"> </w:t>
      </w:r>
      <w:r w:rsidRPr="00903089">
        <w:rPr>
          <w:rFonts w:ascii="Times New Roman" w:eastAsiaTheme="minorHAnsi" w:hAnsi="Times New Roman"/>
          <w:color w:val="auto"/>
          <w:sz w:val="22"/>
        </w:rPr>
        <w:t xml:space="preserve">It is recommended that risk assessment teams </w:t>
      </w:r>
      <w:r w:rsidR="00824F03">
        <w:rPr>
          <w:rFonts w:ascii="Times New Roman" w:eastAsiaTheme="minorHAnsi" w:hAnsi="Times New Roman"/>
          <w:color w:val="auto"/>
          <w:sz w:val="22"/>
        </w:rPr>
        <w:t xml:space="preserve">incorporate </w:t>
      </w:r>
      <w:r w:rsidRPr="00903089">
        <w:rPr>
          <w:rFonts w:ascii="Times New Roman" w:eastAsiaTheme="minorHAnsi" w:hAnsi="Times New Roman"/>
          <w:color w:val="auto"/>
          <w:sz w:val="22"/>
        </w:rPr>
        <w:t xml:space="preserve">expertise in </w:t>
      </w:r>
      <w:r w:rsidR="00824F03">
        <w:rPr>
          <w:rFonts w:ascii="Times New Roman" w:eastAsiaTheme="minorHAnsi" w:hAnsi="Times New Roman"/>
          <w:color w:val="auto"/>
          <w:sz w:val="22"/>
        </w:rPr>
        <w:t xml:space="preserve">the fields of </w:t>
      </w:r>
      <w:r w:rsidRPr="00903089">
        <w:rPr>
          <w:rFonts w:ascii="Times New Roman" w:eastAsiaTheme="minorHAnsi" w:hAnsi="Times New Roman"/>
          <w:color w:val="auto"/>
          <w:sz w:val="22"/>
        </w:rPr>
        <w:t>epidemiology, virology, laboratory biosafety, immunisation and health systems from national government health departments and independent academic or research institutions.</w:t>
      </w:r>
    </w:p>
    <w:p w14:paraId="2E1C12CB" w14:textId="77777777" w:rsidR="00525787" w:rsidRDefault="00525787" w:rsidP="00881C97">
      <w:pPr>
        <w:spacing w:after="0"/>
        <w:rPr>
          <w:rFonts w:cs="Calibri"/>
          <w:szCs w:val="24"/>
          <w:lang w:eastAsia="en-AU"/>
        </w:rPr>
      </w:pPr>
      <w:r>
        <w:rPr>
          <w:rFonts w:cs="Calibri"/>
          <w:szCs w:val="24"/>
          <w:lang w:eastAsia="en-AU"/>
        </w:rPr>
        <w:br w:type="page"/>
      </w:r>
    </w:p>
    <w:p w14:paraId="0609BE35" w14:textId="77777777" w:rsidR="00525787" w:rsidRPr="00525787" w:rsidRDefault="00525787" w:rsidP="00525787">
      <w:pPr>
        <w:pStyle w:val="Heading1"/>
        <w:numPr>
          <w:ilvl w:val="0"/>
          <w:numId w:val="1"/>
        </w:numPr>
        <w:jc w:val="left"/>
        <w:rPr>
          <w:rFonts w:ascii="Arial" w:hAnsi="Arial" w:cs="Arial"/>
          <w:sz w:val="22"/>
          <w:szCs w:val="22"/>
        </w:rPr>
      </w:pPr>
      <w:bookmarkStart w:id="47" w:name="_Toc20238598"/>
      <w:r w:rsidRPr="00525787">
        <w:rPr>
          <w:rFonts w:ascii="Arial" w:hAnsi="Arial" w:cs="Arial"/>
          <w:sz w:val="22"/>
          <w:szCs w:val="22"/>
        </w:rPr>
        <w:lastRenderedPageBreak/>
        <w:t>References</w:t>
      </w:r>
      <w:bookmarkEnd w:id="47"/>
      <w:r w:rsidRPr="00525787">
        <w:rPr>
          <w:rFonts w:ascii="Arial" w:hAnsi="Arial" w:cs="Arial"/>
          <w:sz w:val="22"/>
          <w:szCs w:val="22"/>
        </w:rPr>
        <w:t xml:space="preserve"> </w:t>
      </w:r>
    </w:p>
    <w:p w14:paraId="3ED29D2B" w14:textId="77777777" w:rsidR="00F9269A" w:rsidRDefault="00F9269A" w:rsidP="00DD14B9">
      <w:pPr>
        <w:spacing w:after="0"/>
      </w:pPr>
    </w:p>
    <w:p w14:paraId="30E45104"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1.</w:t>
      </w:r>
      <w:r w:rsidRPr="00DD14B9">
        <w:rPr>
          <w:rFonts w:ascii="Times New Roman" w:eastAsiaTheme="minorHAnsi" w:hAnsi="Times New Roman"/>
          <w:color w:val="auto"/>
          <w:sz w:val="22"/>
        </w:rPr>
        <w:tab/>
        <w:t>Lowther SA, Roesel, Sigrun, O'connor, Patrick, Landaverde, Mauricio, Oblapenko, George, Deshevoi, Sergei, Ajay, Goel, Buff, Ann, Safwat, Hala, Salla, Mbaye,. World Health Organization regional assessments of the risks of poliovirus outbreaks. Risk Analysis. 2013;33(4):664-79.</w:t>
      </w:r>
    </w:p>
    <w:p w14:paraId="4204CA7D"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2.</w:t>
      </w:r>
      <w:r w:rsidRPr="00DD14B9">
        <w:rPr>
          <w:rFonts w:ascii="Times New Roman" w:eastAsiaTheme="minorHAnsi" w:hAnsi="Times New Roman"/>
          <w:color w:val="auto"/>
          <w:sz w:val="22"/>
        </w:rPr>
        <w:tab/>
      </w:r>
      <w:hyperlink r:id="rId13" w:history="1">
        <w:r w:rsidRPr="00DD14B9">
          <w:rPr>
            <w:rStyle w:val="Hyperlink"/>
            <w:rFonts w:ascii="Times New Roman" w:eastAsiaTheme="minorHAnsi" w:hAnsi="Times New Roman"/>
            <w:sz w:val="22"/>
          </w:rPr>
          <w:t>World Health Organization. Rapid Risk Assessment of Acute Public Health Events Geneva</w:t>
        </w:r>
        <w:r w:rsidR="00DD14B9" w:rsidRPr="00DD14B9">
          <w:rPr>
            <w:rStyle w:val="Hyperlink"/>
            <w:rFonts w:ascii="Times New Roman" w:eastAsiaTheme="minorHAnsi" w:hAnsi="Times New Roman"/>
            <w:sz w:val="22"/>
          </w:rPr>
          <w:t xml:space="preserve"> </w:t>
        </w:r>
        <w:r w:rsidRPr="00DD14B9">
          <w:rPr>
            <w:rStyle w:val="Hyperlink"/>
            <w:rFonts w:ascii="Times New Roman" w:eastAsiaTheme="minorHAnsi" w:hAnsi="Times New Roman"/>
            <w:sz w:val="22"/>
          </w:rPr>
          <w:t>2012</w:t>
        </w:r>
      </w:hyperlink>
      <w:r w:rsidRPr="00DD14B9">
        <w:rPr>
          <w:rFonts w:ascii="Times New Roman" w:eastAsiaTheme="minorHAnsi" w:hAnsi="Times New Roman"/>
          <w:color w:val="auto"/>
          <w:sz w:val="22"/>
        </w:rPr>
        <w:t>.</w:t>
      </w:r>
    </w:p>
    <w:p w14:paraId="4CD8F48D"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3.</w:t>
      </w:r>
      <w:r w:rsidRPr="00DD14B9">
        <w:rPr>
          <w:rFonts w:ascii="Times New Roman" w:eastAsiaTheme="minorHAnsi" w:hAnsi="Times New Roman"/>
          <w:color w:val="auto"/>
          <w:sz w:val="22"/>
        </w:rPr>
        <w:tab/>
      </w:r>
      <w:hyperlink r:id="rId14" w:history="1">
        <w:r w:rsidRPr="00DD14B9">
          <w:rPr>
            <w:rStyle w:val="Hyperlink"/>
            <w:rFonts w:ascii="Times New Roman" w:eastAsiaTheme="minorHAnsi" w:hAnsi="Times New Roman"/>
            <w:sz w:val="22"/>
          </w:rPr>
          <w:t>Qualtrics XM. Qualtrics XM Provo, Utah, USA: Qualtrics 2018</w:t>
        </w:r>
      </w:hyperlink>
      <w:r w:rsidRPr="00DD14B9">
        <w:rPr>
          <w:rFonts w:ascii="Times New Roman" w:eastAsiaTheme="minorHAnsi" w:hAnsi="Times New Roman"/>
          <w:color w:val="auto"/>
          <w:sz w:val="22"/>
        </w:rPr>
        <w:t>.</w:t>
      </w:r>
    </w:p>
    <w:p w14:paraId="3A2AA894"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4.</w:t>
      </w:r>
      <w:r w:rsidRPr="00DD14B9">
        <w:rPr>
          <w:rFonts w:ascii="Times New Roman" w:eastAsiaTheme="minorHAnsi" w:hAnsi="Times New Roman"/>
          <w:color w:val="auto"/>
          <w:sz w:val="22"/>
        </w:rPr>
        <w:tab/>
      </w:r>
      <w:hyperlink r:id="rId15" w:history="1">
        <w:r w:rsidRPr="00DD14B9">
          <w:rPr>
            <w:rStyle w:val="Hyperlink"/>
            <w:rFonts w:ascii="Times New Roman" w:eastAsiaTheme="minorHAnsi" w:hAnsi="Times New Roman"/>
            <w:sz w:val="22"/>
          </w:rPr>
          <w:t>United Nations Children's Fund (UNICEF). Immunization Coverage and System Performance Indicator Data: UNICEF 2018</w:t>
        </w:r>
      </w:hyperlink>
      <w:r w:rsidRPr="00DD14B9">
        <w:rPr>
          <w:rFonts w:ascii="Times New Roman" w:eastAsiaTheme="minorHAnsi" w:hAnsi="Times New Roman"/>
          <w:color w:val="auto"/>
          <w:sz w:val="22"/>
        </w:rPr>
        <w:t>.</w:t>
      </w:r>
    </w:p>
    <w:p w14:paraId="11920A10"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5.</w:t>
      </w:r>
      <w:r w:rsidRPr="00DD14B9">
        <w:rPr>
          <w:rFonts w:ascii="Times New Roman" w:eastAsiaTheme="minorHAnsi" w:hAnsi="Times New Roman"/>
          <w:color w:val="auto"/>
          <w:sz w:val="22"/>
        </w:rPr>
        <w:tab/>
      </w:r>
      <w:hyperlink r:id="rId16" w:history="1">
        <w:r w:rsidRPr="00DD14B9">
          <w:rPr>
            <w:rStyle w:val="Hyperlink"/>
            <w:rFonts w:ascii="Times New Roman" w:eastAsiaTheme="minorHAnsi" w:hAnsi="Times New Roman"/>
            <w:sz w:val="22"/>
          </w:rPr>
          <w:t>WASHWatch.org. World WASH data 2016</w:t>
        </w:r>
      </w:hyperlink>
      <w:r w:rsidRPr="00DD14B9">
        <w:rPr>
          <w:rFonts w:ascii="Times New Roman" w:eastAsiaTheme="minorHAnsi" w:hAnsi="Times New Roman"/>
          <w:color w:val="auto"/>
          <w:sz w:val="22"/>
        </w:rPr>
        <w:t>.</w:t>
      </w:r>
    </w:p>
    <w:p w14:paraId="2A98C88D" w14:textId="77777777" w:rsidR="00F9269A" w:rsidRPr="00DD14B9" w:rsidRDefault="00F9269A" w:rsidP="00881C97">
      <w:pPr>
        <w:spacing w:after="0" w:line="259" w:lineRule="auto"/>
        <w:rPr>
          <w:rFonts w:ascii="Times New Roman" w:eastAsiaTheme="minorHAnsi" w:hAnsi="Times New Roman"/>
          <w:color w:val="auto"/>
          <w:sz w:val="22"/>
        </w:rPr>
      </w:pPr>
      <w:r w:rsidRPr="00DD14B9">
        <w:rPr>
          <w:rFonts w:ascii="Times New Roman" w:eastAsiaTheme="minorHAnsi" w:hAnsi="Times New Roman"/>
          <w:color w:val="auto"/>
          <w:sz w:val="22"/>
        </w:rPr>
        <w:t>6.</w:t>
      </w:r>
      <w:r w:rsidRPr="00DD14B9">
        <w:rPr>
          <w:rFonts w:ascii="Times New Roman" w:eastAsiaTheme="minorHAnsi" w:hAnsi="Times New Roman"/>
          <w:color w:val="auto"/>
          <w:sz w:val="22"/>
        </w:rPr>
        <w:tab/>
      </w:r>
      <w:hyperlink r:id="rId17" w:history="1">
        <w:r w:rsidRPr="00DD14B9">
          <w:rPr>
            <w:rStyle w:val="Hyperlink"/>
            <w:rFonts w:ascii="Times New Roman" w:eastAsiaTheme="minorHAnsi" w:hAnsi="Times New Roman"/>
            <w:sz w:val="22"/>
          </w:rPr>
          <w:t>United Nations children's Fund (UNICEF). A Snapshot of Water and Sanitation in the Pacific - 2015 Update 2015</w:t>
        </w:r>
      </w:hyperlink>
      <w:r w:rsidRPr="00DD14B9">
        <w:rPr>
          <w:rFonts w:ascii="Times New Roman" w:eastAsiaTheme="minorHAnsi" w:hAnsi="Times New Roman"/>
          <w:color w:val="auto"/>
          <w:sz w:val="22"/>
        </w:rPr>
        <w:t>.</w:t>
      </w:r>
    </w:p>
    <w:p w14:paraId="4252A0AA" w14:textId="77777777" w:rsidR="007A4E2B" w:rsidRPr="007A4E2B" w:rsidRDefault="007A4E2B"/>
    <w:sectPr w:rsidR="007A4E2B" w:rsidRPr="007A4E2B" w:rsidSect="00BE7C1C">
      <w:headerReference w:type="default" r:id="rId18"/>
      <w:footerReference w:type="defaul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05075" w14:textId="77777777" w:rsidR="00617B01" w:rsidRDefault="00617B01" w:rsidP="009F5AD3">
      <w:pPr>
        <w:spacing w:after="0" w:line="240" w:lineRule="auto"/>
      </w:pPr>
      <w:r>
        <w:separator/>
      </w:r>
    </w:p>
  </w:endnote>
  <w:endnote w:type="continuationSeparator" w:id="0">
    <w:p w14:paraId="00F2F691" w14:textId="77777777" w:rsidR="00617B01" w:rsidRDefault="00617B01" w:rsidP="009F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31867" w14:textId="77777777" w:rsidR="00617B01" w:rsidRPr="001F45C4" w:rsidRDefault="00617B01" w:rsidP="00ED2DF8">
    <w:pPr>
      <w:pStyle w:val="Footer"/>
      <w:pBdr>
        <w:top w:val="single" w:sz="4" w:space="1" w:color="auto"/>
      </w:pBdr>
      <w:jc w:val="right"/>
      <w:rPr>
        <w:rFonts w:ascii="Times New Roman" w:hAnsi="Times New Roman"/>
        <w:sz w:val="20"/>
        <w:szCs w:val="20"/>
      </w:rPr>
    </w:pPr>
    <w:r w:rsidRPr="001F45C4">
      <w:rPr>
        <w:rFonts w:ascii="Times New Roman" w:hAnsi="Times New Roman"/>
        <w:sz w:val="20"/>
        <w:szCs w:val="20"/>
      </w:rPr>
      <w:fldChar w:fldCharType="begin"/>
    </w:r>
    <w:r w:rsidRPr="001F45C4">
      <w:rPr>
        <w:rFonts w:ascii="Times New Roman" w:hAnsi="Times New Roman"/>
        <w:sz w:val="20"/>
        <w:szCs w:val="20"/>
      </w:rPr>
      <w:instrText xml:space="preserve"> PAGE   \* MERGEFORMAT </w:instrText>
    </w:r>
    <w:r w:rsidRPr="001F45C4">
      <w:rPr>
        <w:rFonts w:ascii="Times New Roman" w:hAnsi="Times New Roman"/>
        <w:sz w:val="20"/>
        <w:szCs w:val="20"/>
      </w:rPr>
      <w:fldChar w:fldCharType="separate"/>
    </w:r>
    <w:r w:rsidR="003E2305">
      <w:rPr>
        <w:rFonts w:ascii="Times New Roman" w:hAnsi="Times New Roman"/>
        <w:noProof/>
        <w:sz w:val="20"/>
        <w:szCs w:val="20"/>
      </w:rPr>
      <w:t>21</w:t>
    </w:r>
    <w:r w:rsidRPr="001F45C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4B78D" w14:textId="77777777" w:rsidR="00617B01" w:rsidRDefault="00617B01" w:rsidP="009F5AD3">
      <w:pPr>
        <w:spacing w:after="0" w:line="240" w:lineRule="auto"/>
      </w:pPr>
      <w:r>
        <w:separator/>
      </w:r>
    </w:p>
  </w:footnote>
  <w:footnote w:type="continuationSeparator" w:id="0">
    <w:p w14:paraId="7E94A46D" w14:textId="77777777" w:rsidR="00617B01" w:rsidRDefault="00617B01" w:rsidP="009F5AD3">
      <w:pPr>
        <w:spacing w:after="0" w:line="240" w:lineRule="auto"/>
      </w:pPr>
      <w:r>
        <w:continuationSeparator/>
      </w:r>
    </w:p>
  </w:footnote>
  <w:footnote w:id="1">
    <w:p w14:paraId="1B352D8F" w14:textId="77777777" w:rsidR="00617B01" w:rsidRDefault="00617B01" w:rsidP="00571EAE">
      <w:pPr>
        <w:pStyle w:val="FootnoteText"/>
        <w:jc w:val="both"/>
      </w:pPr>
      <w:r>
        <w:rPr>
          <w:rStyle w:val="FootnoteReference"/>
        </w:rPr>
        <w:footnoteRef/>
      </w:r>
      <w:r>
        <w:t xml:space="preserve"> </w:t>
      </w:r>
      <w:r w:rsidRPr="00923F05">
        <w:rPr>
          <w:rFonts w:ascii="Times New Roman" w:hAnsi="Times New Roman"/>
        </w:rPr>
        <w:t>Vaccine-derived polioviruses (VDPVs) include circulating VDPVs (cVDPV), immunodeficiency-related VDPVs (iVDPV) and ambiguous VDPVs (aVDPV).</w:t>
      </w:r>
    </w:p>
  </w:footnote>
  <w:footnote w:id="2">
    <w:p w14:paraId="62219865" w14:textId="77777777" w:rsidR="00617B01" w:rsidRPr="006E31F0" w:rsidRDefault="00617B01" w:rsidP="00571EAE">
      <w:pPr>
        <w:pStyle w:val="FootnoteText"/>
        <w:jc w:val="both"/>
      </w:pPr>
      <w:r w:rsidRPr="00765FF3">
        <w:rPr>
          <w:rStyle w:val="FootnoteReference"/>
          <w:sz w:val="18"/>
          <w:szCs w:val="18"/>
        </w:rPr>
        <w:footnoteRef/>
      </w:r>
      <w:r w:rsidRPr="00765FF3">
        <w:rPr>
          <w:sz w:val="18"/>
          <w:szCs w:val="18"/>
        </w:rPr>
        <w:t xml:space="preserve"> </w:t>
      </w:r>
      <w:r w:rsidRPr="00256AA8">
        <w:rPr>
          <w:rFonts w:ascii="Times New Roman" w:hAnsi="Times New Roman"/>
          <w:b/>
        </w:rPr>
        <w:t>Note: Polio risk countries</w:t>
      </w:r>
      <w:r w:rsidRPr="00256AA8">
        <w:rPr>
          <w:rFonts w:ascii="Times New Roman" w:hAnsi="Times New Roman"/>
        </w:rPr>
        <w:t xml:space="preserve"> include all countries for which data is considered as part of the national risk assessment for Australia, whereas </w:t>
      </w:r>
      <w:r w:rsidRPr="00256AA8">
        <w:rPr>
          <w:rFonts w:ascii="Times New Roman" w:hAnsi="Times New Roman"/>
          <w:b/>
        </w:rPr>
        <w:t>polio high risk countries</w:t>
      </w:r>
      <w:r w:rsidRPr="00256AA8">
        <w:rPr>
          <w:rFonts w:ascii="Times New Roman" w:hAnsi="Times New Roman"/>
        </w:rPr>
        <w:t xml:space="preserve"> are countries listed by the </w:t>
      </w:r>
      <w:hyperlink r:id="rId1" w:history="1">
        <w:r w:rsidRPr="00256AA8">
          <w:rPr>
            <w:rStyle w:val="Hyperlink"/>
            <w:rFonts w:ascii="Times New Roman" w:hAnsi="Times New Roman"/>
            <w:lang w:eastAsia="en-AU"/>
          </w:rPr>
          <w:t>Global Polio Eradication Initiative (GPEI)</w:t>
        </w:r>
      </w:hyperlink>
      <w:r w:rsidRPr="00256AA8">
        <w:rPr>
          <w:rFonts w:ascii="Times New Roman" w:hAnsi="Times New Roman"/>
          <w:lang w:eastAsia="en-AU"/>
        </w:rPr>
        <w:t xml:space="preserve"> </w:t>
      </w:r>
      <w:r w:rsidRPr="00256AA8">
        <w:rPr>
          <w:rFonts w:ascii="Times New Roman" w:hAnsi="Times New Roman"/>
        </w:rPr>
        <w:t>under the “</w:t>
      </w:r>
      <w:r w:rsidRPr="004A083F">
        <w:rPr>
          <w:rFonts w:ascii="Times New Roman" w:hAnsi="Times New Roman"/>
          <w:i/>
        </w:rPr>
        <w:t>Endemic</w:t>
      </w:r>
      <w:r w:rsidRPr="00256AA8">
        <w:rPr>
          <w:rFonts w:ascii="Times New Roman" w:hAnsi="Times New Roman"/>
        </w:rPr>
        <w:t>”, “</w:t>
      </w:r>
      <w:r w:rsidRPr="004A083F">
        <w:rPr>
          <w:rFonts w:ascii="Times New Roman" w:hAnsi="Times New Roman"/>
          <w:i/>
        </w:rPr>
        <w:t>Outbreak</w:t>
      </w:r>
      <w:r w:rsidRPr="00256AA8">
        <w:rPr>
          <w:rFonts w:ascii="Times New Roman" w:hAnsi="Times New Roman"/>
        </w:rPr>
        <w:t>” or “</w:t>
      </w:r>
      <w:r w:rsidRPr="004A083F">
        <w:rPr>
          <w:rFonts w:ascii="Times New Roman" w:hAnsi="Times New Roman"/>
          <w:i/>
        </w:rPr>
        <w:t>Key At-risk</w:t>
      </w:r>
      <w:r w:rsidRPr="00256AA8">
        <w:rPr>
          <w:rFonts w:ascii="Times New Roman" w:hAnsi="Times New Roman"/>
        </w:rPr>
        <w:t>” categories.</w:t>
      </w:r>
    </w:p>
  </w:footnote>
  <w:footnote w:id="3">
    <w:p w14:paraId="3DE0458A" w14:textId="77777777" w:rsidR="00617B01" w:rsidRPr="009B49DD" w:rsidRDefault="00617B01" w:rsidP="00571EAE">
      <w:pPr>
        <w:spacing w:line="240" w:lineRule="auto"/>
        <w:jc w:val="both"/>
        <w:rPr>
          <w:rFonts w:ascii="Times New Roman" w:hAnsi="Times New Roman"/>
          <w:bCs/>
          <w:kern w:val="28"/>
          <w:sz w:val="20"/>
          <w:szCs w:val="20"/>
        </w:rPr>
      </w:pPr>
      <w:r>
        <w:rPr>
          <w:rStyle w:val="FootnoteReference"/>
        </w:rPr>
        <w:footnoteRef/>
      </w:r>
      <w:r>
        <w:t xml:space="preserve"> </w:t>
      </w:r>
      <w:r w:rsidRPr="009B49DD">
        <w:rPr>
          <w:rFonts w:ascii="Times New Roman" w:hAnsi="Times New Roman"/>
          <w:bCs/>
          <w:kern w:val="28"/>
          <w:sz w:val="20"/>
          <w:szCs w:val="20"/>
        </w:rPr>
        <w:t xml:space="preserve">The weighting factor for each risk element was determined through a Delphi survey involving polio experts from the Australian PEP, NCC and the Australian Government Department of Health. </w:t>
      </w:r>
    </w:p>
    <w:p w14:paraId="5FD899B8" w14:textId="77777777" w:rsidR="00617B01" w:rsidRPr="005A28C2" w:rsidRDefault="00617B01" w:rsidP="00DA60ED">
      <w:pPr>
        <w:pStyle w:val="FootnoteText"/>
        <w:rPr>
          <w:sz w:val="18"/>
          <w:szCs w:val="18"/>
        </w:rPr>
      </w:pPr>
    </w:p>
  </w:footnote>
  <w:footnote w:id="4">
    <w:p w14:paraId="138E18D7" w14:textId="77777777" w:rsidR="00617B01" w:rsidRPr="00571EAE" w:rsidRDefault="00617B01" w:rsidP="00571EAE">
      <w:pPr>
        <w:pStyle w:val="FootnoteText"/>
        <w:jc w:val="both"/>
        <w:rPr>
          <w:rFonts w:ascii="Times New Roman" w:hAnsi="Times New Roman"/>
        </w:rPr>
      </w:pPr>
      <w:r w:rsidRPr="00571EAE">
        <w:rPr>
          <w:rStyle w:val="FootnoteReference"/>
          <w:rFonts w:ascii="Times New Roman" w:hAnsi="Times New Roman"/>
        </w:rPr>
        <w:footnoteRef/>
      </w:r>
      <w:r w:rsidRPr="00571EAE">
        <w:rPr>
          <w:rFonts w:ascii="Times New Roman" w:hAnsi="Times New Roman"/>
        </w:rPr>
        <w:t xml:space="preserve"> The purpose of a structured monitoring process, surveillance system, and information technology infrastructure for record keeping, will depend on the nature of the risk element under evaluation – e.g. immigration data for monitoring of traveller arrival trends, evidence of functional surveillance plans and systems for AFP or environmental surveillance, or existence of a functional electronic surveillance database to support national notification, record keeping and data analysis. </w:t>
      </w:r>
    </w:p>
    <w:p w14:paraId="4D5BA049" w14:textId="77777777" w:rsidR="00617B01" w:rsidRPr="00702C14" w:rsidRDefault="00617B01" w:rsidP="00571EAE">
      <w:pPr>
        <w:pStyle w:val="FootnoteText"/>
        <w:jc w:val="both"/>
        <w:rPr>
          <w:rFonts w:asciiTheme="minorHAnsi" w:hAnsiTheme="minorHAnsi"/>
        </w:rPr>
      </w:pPr>
    </w:p>
  </w:footnote>
  <w:footnote w:id="5">
    <w:p w14:paraId="4F20E27E" w14:textId="77777777" w:rsidR="00617B01" w:rsidRPr="00571EAE" w:rsidRDefault="00617B01" w:rsidP="00571EAE">
      <w:pPr>
        <w:pStyle w:val="FootnoteText"/>
        <w:jc w:val="both"/>
        <w:rPr>
          <w:rFonts w:ascii="Times New Roman" w:hAnsi="Times New Roman"/>
        </w:rPr>
      </w:pPr>
      <w:r w:rsidRPr="00702C14">
        <w:rPr>
          <w:rStyle w:val="FootnoteReference"/>
        </w:rPr>
        <w:footnoteRef/>
      </w:r>
      <w:r w:rsidRPr="00702C14">
        <w:t xml:space="preserve"> </w:t>
      </w:r>
      <w:r w:rsidRPr="00571EAE">
        <w:rPr>
          <w:rFonts w:ascii="Times New Roman" w:hAnsi="Times New Roman"/>
        </w:rPr>
        <w:t>Including but not limited to, access to accredited national reference laboratories, expert technical advisory committees and a National Certification Committee for the Eradication of Poliomyelitis (NCC).</w:t>
      </w:r>
    </w:p>
    <w:p w14:paraId="3B9DCAAC" w14:textId="77777777" w:rsidR="00617B01" w:rsidRDefault="00617B01" w:rsidP="00D655E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85F" w14:textId="77777777" w:rsidR="00617B01" w:rsidRPr="003868DF" w:rsidRDefault="00617B01" w:rsidP="00ED2DF8">
    <w:pPr>
      <w:pStyle w:val="Header"/>
      <w:pBdr>
        <w:bottom w:val="single" w:sz="4" w:space="1" w:color="auto"/>
      </w:pBdr>
      <w:tabs>
        <w:tab w:val="left" w:pos="2580"/>
        <w:tab w:val="left" w:pos="2985"/>
      </w:tabs>
      <w:spacing w:after="120" w:line="276" w:lineRule="auto"/>
      <w:jc w:val="right"/>
      <w:rPr>
        <w:rFonts w:ascii="Times New Roman" w:hAnsi="Times New Roman"/>
        <w:bCs/>
        <w:color w:val="auto"/>
        <w:sz w:val="20"/>
        <w:szCs w:val="20"/>
      </w:rPr>
    </w:pPr>
    <w:r w:rsidRPr="003868DF">
      <w:rPr>
        <w:rFonts w:ascii="Times New Roman" w:hAnsi="Times New Roman"/>
        <w:bCs/>
        <w:color w:val="auto"/>
        <w:sz w:val="20"/>
        <w:szCs w:val="20"/>
      </w:rPr>
      <w:t>A poliovirus reintroduction and outbreak risk assessment</w:t>
    </w:r>
    <w:r>
      <w:rPr>
        <w:rFonts w:ascii="Times New Roman" w:hAnsi="Times New Roman"/>
        <w:bCs/>
        <w:color w:val="auto"/>
        <w:sz w:val="20"/>
        <w:szCs w:val="20"/>
      </w:rPr>
      <w:t xml:space="preserve"> methodology for Australia </w:t>
    </w:r>
    <w:r w:rsidRPr="003868DF">
      <w:rPr>
        <w:rFonts w:ascii="Times New Roman" w:hAnsi="Times New Roman"/>
        <w:bCs/>
        <w:color w:val="auto"/>
        <w:sz w:val="20"/>
        <w:szCs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7F49"/>
    <w:multiLevelType w:val="hybridMultilevel"/>
    <w:tmpl w:val="C44413C2"/>
    <w:lvl w:ilvl="0" w:tplc="0C090005">
      <w:start w:val="1"/>
      <w:numFmt w:val="bullet"/>
      <w:lvlText w:val=""/>
      <w:lvlJc w:val="left"/>
      <w:pPr>
        <w:ind w:left="361" w:hanging="360"/>
      </w:pPr>
      <w:rPr>
        <w:rFonts w:ascii="Wingdings" w:hAnsi="Wingdings"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 w15:restartNumberingAfterBreak="0">
    <w:nsid w:val="08380732"/>
    <w:multiLevelType w:val="hybridMultilevel"/>
    <w:tmpl w:val="50A0817A"/>
    <w:lvl w:ilvl="0" w:tplc="0C090005">
      <w:start w:val="1"/>
      <w:numFmt w:val="bullet"/>
      <w:lvlText w:val=""/>
      <w:lvlJc w:val="left"/>
      <w:pPr>
        <w:ind w:left="410" w:hanging="360"/>
      </w:pPr>
      <w:rPr>
        <w:rFonts w:ascii="Wingdings" w:hAnsi="Wingdings"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 w15:restartNumberingAfterBreak="0">
    <w:nsid w:val="0CA66D35"/>
    <w:multiLevelType w:val="hybridMultilevel"/>
    <w:tmpl w:val="CB10A356"/>
    <w:lvl w:ilvl="0" w:tplc="0C090009">
      <w:start w:val="1"/>
      <w:numFmt w:val="bullet"/>
      <w:lvlText w:val=""/>
      <w:lvlJc w:val="left"/>
      <w:pPr>
        <w:ind w:left="819" w:hanging="360"/>
      </w:pPr>
      <w:rPr>
        <w:rFonts w:ascii="Wingdings" w:hAnsi="Wingdings"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3" w15:restartNumberingAfterBreak="0">
    <w:nsid w:val="0D687351"/>
    <w:multiLevelType w:val="hybridMultilevel"/>
    <w:tmpl w:val="4E908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665201"/>
    <w:multiLevelType w:val="hybridMultilevel"/>
    <w:tmpl w:val="C0D67D3E"/>
    <w:lvl w:ilvl="0" w:tplc="0C090005">
      <w:start w:val="1"/>
      <w:numFmt w:val="bullet"/>
      <w:lvlText w:val=""/>
      <w:lvlJc w:val="left"/>
      <w:pPr>
        <w:ind w:left="422" w:hanging="360"/>
      </w:pPr>
      <w:rPr>
        <w:rFonts w:ascii="Wingdings" w:hAnsi="Wingdings" w:hint="default"/>
      </w:rPr>
    </w:lvl>
    <w:lvl w:ilvl="1" w:tplc="0C090003" w:tentative="1">
      <w:start w:val="1"/>
      <w:numFmt w:val="bullet"/>
      <w:lvlText w:val="o"/>
      <w:lvlJc w:val="left"/>
      <w:pPr>
        <w:ind w:left="1142" w:hanging="360"/>
      </w:pPr>
      <w:rPr>
        <w:rFonts w:ascii="Courier New" w:hAnsi="Courier New" w:cs="Courier New" w:hint="default"/>
      </w:rPr>
    </w:lvl>
    <w:lvl w:ilvl="2" w:tplc="0C090005" w:tentative="1">
      <w:start w:val="1"/>
      <w:numFmt w:val="bullet"/>
      <w:lvlText w:val=""/>
      <w:lvlJc w:val="left"/>
      <w:pPr>
        <w:ind w:left="1862" w:hanging="360"/>
      </w:pPr>
      <w:rPr>
        <w:rFonts w:ascii="Wingdings" w:hAnsi="Wingdings" w:hint="default"/>
      </w:rPr>
    </w:lvl>
    <w:lvl w:ilvl="3" w:tplc="0C090009">
      <w:start w:val="1"/>
      <w:numFmt w:val="bullet"/>
      <w:lvlText w:val=""/>
      <w:lvlJc w:val="left"/>
      <w:pPr>
        <w:ind w:left="819" w:hanging="360"/>
      </w:pPr>
      <w:rPr>
        <w:rFonts w:ascii="Wingdings" w:hAnsi="Wingdings" w:hint="default"/>
      </w:rPr>
    </w:lvl>
    <w:lvl w:ilvl="4" w:tplc="0C090003" w:tentative="1">
      <w:start w:val="1"/>
      <w:numFmt w:val="bullet"/>
      <w:lvlText w:val="o"/>
      <w:lvlJc w:val="left"/>
      <w:pPr>
        <w:ind w:left="3302" w:hanging="360"/>
      </w:pPr>
      <w:rPr>
        <w:rFonts w:ascii="Courier New" w:hAnsi="Courier New" w:cs="Courier New" w:hint="default"/>
      </w:rPr>
    </w:lvl>
    <w:lvl w:ilvl="5" w:tplc="0C090005" w:tentative="1">
      <w:start w:val="1"/>
      <w:numFmt w:val="bullet"/>
      <w:lvlText w:val=""/>
      <w:lvlJc w:val="left"/>
      <w:pPr>
        <w:ind w:left="4022" w:hanging="360"/>
      </w:pPr>
      <w:rPr>
        <w:rFonts w:ascii="Wingdings" w:hAnsi="Wingdings" w:hint="default"/>
      </w:rPr>
    </w:lvl>
    <w:lvl w:ilvl="6" w:tplc="0C090001" w:tentative="1">
      <w:start w:val="1"/>
      <w:numFmt w:val="bullet"/>
      <w:lvlText w:val=""/>
      <w:lvlJc w:val="left"/>
      <w:pPr>
        <w:ind w:left="4742" w:hanging="360"/>
      </w:pPr>
      <w:rPr>
        <w:rFonts w:ascii="Symbol" w:hAnsi="Symbol" w:hint="default"/>
      </w:rPr>
    </w:lvl>
    <w:lvl w:ilvl="7" w:tplc="0C090003" w:tentative="1">
      <w:start w:val="1"/>
      <w:numFmt w:val="bullet"/>
      <w:lvlText w:val="o"/>
      <w:lvlJc w:val="left"/>
      <w:pPr>
        <w:ind w:left="5462" w:hanging="360"/>
      </w:pPr>
      <w:rPr>
        <w:rFonts w:ascii="Courier New" w:hAnsi="Courier New" w:cs="Courier New" w:hint="default"/>
      </w:rPr>
    </w:lvl>
    <w:lvl w:ilvl="8" w:tplc="0C090005" w:tentative="1">
      <w:start w:val="1"/>
      <w:numFmt w:val="bullet"/>
      <w:lvlText w:val=""/>
      <w:lvlJc w:val="left"/>
      <w:pPr>
        <w:ind w:left="6182" w:hanging="360"/>
      </w:pPr>
      <w:rPr>
        <w:rFonts w:ascii="Wingdings" w:hAnsi="Wingdings" w:hint="default"/>
      </w:rPr>
    </w:lvl>
  </w:abstractNum>
  <w:abstractNum w:abstractNumId="5" w15:restartNumberingAfterBreak="0">
    <w:nsid w:val="1470394E"/>
    <w:multiLevelType w:val="hybridMultilevel"/>
    <w:tmpl w:val="4872C5F2"/>
    <w:lvl w:ilvl="0" w:tplc="0C090005">
      <w:start w:val="1"/>
      <w:numFmt w:val="bullet"/>
      <w:lvlText w:val=""/>
      <w:lvlJc w:val="left"/>
      <w:pPr>
        <w:ind w:left="468" w:hanging="360"/>
      </w:pPr>
      <w:rPr>
        <w:rFonts w:ascii="Wingdings" w:hAnsi="Wingdings"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6" w15:restartNumberingAfterBreak="0">
    <w:nsid w:val="156D3DB9"/>
    <w:multiLevelType w:val="hybridMultilevel"/>
    <w:tmpl w:val="597A0D80"/>
    <w:lvl w:ilvl="0" w:tplc="36A60122">
      <w:start w:val="1"/>
      <w:numFmt w:val="upperLetter"/>
      <w:lvlText w:val="%1."/>
      <w:lvlJc w:val="left"/>
      <w:pPr>
        <w:ind w:left="468" w:hanging="360"/>
      </w:pPr>
      <w:rPr>
        <w:rFonts w:hint="default"/>
        <w:b/>
        <w:i w:val="0"/>
      </w:rPr>
    </w:lvl>
    <w:lvl w:ilvl="1" w:tplc="0C090019" w:tentative="1">
      <w:start w:val="1"/>
      <w:numFmt w:val="lowerLetter"/>
      <w:lvlText w:val="%2."/>
      <w:lvlJc w:val="left"/>
      <w:pPr>
        <w:ind w:left="1188" w:hanging="360"/>
      </w:pPr>
    </w:lvl>
    <w:lvl w:ilvl="2" w:tplc="0C09001B" w:tentative="1">
      <w:start w:val="1"/>
      <w:numFmt w:val="lowerRoman"/>
      <w:lvlText w:val="%3."/>
      <w:lvlJc w:val="right"/>
      <w:pPr>
        <w:ind w:left="1908" w:hanging="180"/>
      </w:pPr>
    </w:lvl>
    <w:lvl w:ilvl="3" w:tplc="0C09000F" w:tentative="1">
      <w:start w:val="1"/>
      <w:numFmt w:val="decimal"/>
      <w:lvlText w:val="%4."/>
      <w:lvlJc w:val="left"/>
      <w:pPr>
        <w:ind w:left="2628" w:hanging="360"/>
      </w:pPr>
    </w:lvl>
    <w:lvl w:ilvl="4" w:tplc="0C090019" w:tentative="1">
      <w:start w:val="1"/>
      <w:numFmt w:val="lowerLetter"/>
      <w:lvlText w:val="%5."/>
      <w:lvlJc w:val="left"/>
      <w:pPr>
        <w:ind w:left="3348" w:hanging="360"/>
      </w:pPr>
    </w:lvl>
    <w:lvl w:ilvl="5" w:tplc="0C09001B" w:tentative="1">
      <w:start w:val="1"/>
      <w:numFmt w:val="lowerRoman"/>
      <w:lvlText w:val="%6."/>
      <w:lvlJc w:val="right"/>
      <w:pPr>
        <w:ind w:left="4068" w:hanging="180"/>
      </w:pPr>
    </w:lvl>
    <w:lvl w:ilvl="6" w:tplc="0C09000F" w:tentative="1">
      <w:start w:val="1"/>
      <w:numFmt w:val="decimal"/>
      <w:lvlText w:val="%7."/>
      <w:lvlJc w:val="left"/>
      <w:pPr>
        <w:ind w:left="4788" w:hanging="360"/>
      </w:pPr>
    </w:lvl>
    <w:lvl w:ilvl="7" w:tplc="0C090019" w:tentative="1">
      <w:start w:val="1"/>
      <w:numFmt w:val="lowerLetter"/>
      <w:lvlText w:val="%8."/>
      <w:lvlJc w:val="left"/>
      <w:pPr>
        <w:ind w:left="5508" w:hanging="360"/>
      </w:pPr>
    </w:lvl>
    <w:lvl w:ilvl="8" w:tplc="0C09001B" w:tentative="1">
      <w:start w:val="1"/>
      <w:numFmt w:val="lowerRoman"/>
      <w:lvlText w:val="%9."/>
      <w:lvlJc w:val="right"/>
      <w:pPr>
        <w:ind w:left="6228" w:hanging="180"/>
      </w:pPr>
    </w:lvl>
  </w:abstractNum>
  <w:abstractNum w:abstractNumId="7" w15:restartNumberingAfterBreak="0">
    <w:nsid w:val="174615AC"/>
    <w:multiLevelType w:val="hybridMultilevel"/>
    <w:tmpl w:val="4A4CA5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8" w15:restartNumberingAfterBreak="0">
    <w:nsid w:val="1B850426"/>
    <w:multiLevelType w:val="hybridMultilevel"/>
    <w:tmpl w:val="BF0247E6"/>
    <w:lvl w:ilvl="0" w:tplc="0C090005">
      <w:start w:val="1"/>
      <w:numFmt w:val="bullet"/>
      <w:lvlText w:val=""/>
      <w:lvlJc w:val="left"/>
      <w:pPr>
        <w:ind w:left="394" w:hanging="360"/>
      </w:pPr>
      <w:rPr>
        <w:rFonts w:ascii="Wingdings" w:hAnsi="Wingdings"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9" w15:restartNumberingAfterBreak="0">
    <w:nsid w:val="1BDD1D88"/>
    <w:multiLevelType w:val="hybridMultilevel"/>
    <w:tmpl w:val="B4C20F00"/>
    <w:lvl w:ilvl="0" w:tplc="0C090005">
      <w:start w:val="1"/>
      <w:numFmt w:val="bullet"/>
      <w:lvlText w:val=""/>
      <w:lvlJc w:val="left"/>
      <w:pPr>
        <w:ind w:left="410" w:hanging="360"/>
      </w:pPr>
      <w:rPr>
        <w:rFonts w:ascii="Wingdings" w:hAnsi="Wingdings"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1DB608B1"/>
    <w:multiLevelType w:val="hybridMultilevel"/>
    <w:tmpl w:val="CFF8F6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A664A4"/>
    <w:multiLevelType w:val="hybridMultilevel"/>
    <w:tmpl w:val="54280408"/>
    <w:lvl w:ilvl="0" w:tplc="0C090005">
      <w:start w:val="1"/>
      <w:numFmt w:val="bullet"/>
      <w:lvlText w:val=""/>
      <w:lvlJc w:val="left"/>
      <w:pPr>
        <w:ind w:left="410" w:hanging="360"/>
      </w:pPr>
      <w:rPr>
        <w:rFonts w:ascii="Wingdings" w:hAnsi="Wingdings"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2" w15:restartNumberingAfterBreak="0">
    <w:nsid w:val="20D70732"/>
    <w:multiLevelType w:val="hybridMultilevel"/>
    <w:tmpl w:val="3EC20E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E71E4D"/>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C9760F6"/>
    <w:multiLevelType w:val="hybridMultilevel"/>
    <w:tmpl w:val="230036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3529CE"/>
    <w:multiLevelType w:val="hybridMultilevel"/>
    <w:tmpl w:val="8F16A7E0"/>
    <w:lvl w:ilvl="0" w:tplc="0C090009">
      <w:start w:val="1"/>
      <w:numFmt w:val="bullet"/>
      <w:lvlText w:val=""/>
      <w:lvlJc w:val="left"/>
      <w:pPr>
        <w:ind w:left="819" w:hanging="360"/>
      </w:pPr>
      <w:rPr>
        <w:rFonts w:ascii="Wingdings" w:hAnsi="Wingdings" w:hint="default"/>
      </w:rPr>
    </w:lvl>
    <w:lvl w:ilvl="1" w:tplc="0C090003" w:tentative="1">
      <w:start w:val="1"/>
      <w:numFmt w:val="bullet"/>
      <w:lvlText w:val="o"/>
      <w:lvlJc w:val="left"/>
      <w:pPr>
        <w:ind w:left="1862" w:hanging="360"/>
      </w:pPr>
      <w:rPr>
        <w:rFonts w:ascii="Courier New" w:hAnsi="Courier New" w:cs="Courier New" w:hint="default"/>
      </w:rPr>
    </w:lvl>
    <w:lvl w:ilvl="2" w:tplc="0C090005" w:tentative="1">
      <w:start w:val="1"/>
      <w:numFmt w:val="bullet"/>
      <w:lvlText w:val=""/>
      <w:lvlJc w:val="left"/>
      <w:pPr>
        <w:ind w:left="2582" w:hanging="360"/>
      </w:pPr>
      <w:rPr>
        <w:rFonts w:ascii="Wingdings" w:hAnsi="Wingdings" w:hint="default"/>
      </w:rPr>
    </w:lvl>
    <w:lvl w:ilvl="3" w:tplc="0C090001" w:tentative="1">
      <w:start w:val="1"/>
      <w:numFmt w:val="bullet"/>
      <w:lvlText w:val=""/>
      <w:lvlJc w:val="left"/>
      <w:pPr>
        <w:ind w:left="3302" w:hanging="360"/>
      </w:pPr>
      <w:rPr>
        <w:rFonts w:ascii="Symbol" w:hAnsi="Symbol" w:hint="default"/>
      </w:rPr>
    </w:lvl>
    <w:lvl w:ilvl="4" w:tplc="0C090003" w:tentative="1">
      <w:start w:val="1"/>
      <w:numFmt w:val="bullet"/>
      <w:lvlText w:val="o"/>
      <w:lvlJc w:val="left"/>
      <w:pPr>
        <w:ind w:left="4022" w:hanging="360"/>
      </w:pPr>
      <w:rPr>
        <w:rFonts w:ascii="Courier New" w:hAnsi="Courier New" w:cs="Courier New" w:hint="default"/>
      </w:rPr>
    </w:lvl>
    <w:lvl w:ilvl="5" w:tplc="0C090005" w:tentative="1">
      <w:start w:val="1"/>
      <w:numFmt w:val="bullet"/>
      <w:lvlText w:val=""/>
      <w:lvlJc w:val="left"/>
      <w:pPr>
        <w:ind w:left="4742" w:hanging="360"/>
      </w:pPr>
      <w:rPr>
        <w:rFonts w:ascii="Wingdings" w:hAnsi="Wingdings" w:hint="default"/>
      </w:rPr>
    </w:lvl>
    <w:lvl w:ilvl="6" w:tplc="0C090001" w:tentative="1">
      <w:start w:val="1"/>
      <w:numFmt w:val="bullet"/>
      <w:lvlText w:val=""/>
      <w:lvlJc w:val="left"/>
      <w:pPr>
        <w:ind w:left="5462" w:hanging="360"/>
      </w:pPr>
      <w:rPr>
        <w:rFonts w:ascii="Symbol" w:hAnsi="Symbol" w:hint="default"/>
      </w:rPr>
    </w:lvl>
    <w:lvl w:ilvl="7" w:tplc="0C090003" w:tentative="1">
      <w:start w:val="1"/>
      <w:numFmt w:val="bullet"/>
      <w:lvlText w:val="o"/>
      <w:lvlJc w:val="left"/>
      <w:pPr>
        <w:ind w:left="6182" w:hanging="360"/>
      </w:pPr>
      <w:rPr>
        <w:rFonts w:ascii="Courier New" w:hAnsi="Courier New" w:cs="Courier New" w:hint="default"/>
      </w:rPr>
    </w:lvl>
    <w:lvl w:ilvl="8" w:tplc="0C090005" w:tentative="1">
      <w:start w:val="1"/>
      <w:numFmt w:val="bullet"/>
      <w:lvlText w:val=""/>
      <w:lvlJc w:val="left"/>
      <w:pPr>
        <w:ind w:left="6902" w:hanging="360"/>
      </w:pPr>
      <w:rPr>
        <w:rFonts w:ascii="Wingdings" w:hAnsi="Wingdings" w:hint="default"/>
      </w:rPr>
    </w:lvl>
  </w:abstractNum>
  <w:abstractNum w:abstractNumId="16" w15:restartNumberingAfterBreak="0">
    <w:nsid w:val="318B65BF"/>
    <w:multiLevelType w:val="hybridMultilevel"/>
    <w:tmpl w:val="5B845E1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D708D7"/>
    <w:multiLevelType w:val="hybridMultilevel"/>
    <w:tmpl w:val="C44E8EBE"/>
    <w:lvl w:ilvl="0" w:tplc="0C090005">
      <w:start w:val="1"/>
      <w:numFmt w:val="bullet"/>
      <w:lvlText w:val=""/>
      <w:lvlJc w:val="left"/>
      <w:pPr>
        <w:ind w:left="422" w:hanging="360"/>
      </w:pPr>
      <w:rPr>
        <w:rFonts w:ascii="Wingdings" w:hAnsi="Wingdings" w:hint="default"/>
      </w:rPr>
    </w:lvl>
    <w:lvl w:ilvl="1" w:tplc="0C090003" w:tentative="1">
      <w:start w:val="1"/>
      <w:numFmt w:val="bullet"/>
      <w:lvlText w:val="o"/>
      <w:lvlJc w:val="left"/>
      <w:pPr>
        <w:ind w:left="1142" w:hanging="360"/>
      </w:pPr>
      <w:rPr>
        <w:rFonts w:ascii="Courier New" w:hAnsi="Courier New" w:cs="Courier New" w:hint="default"/>
      </w:rPr>
    </w:lvl>
    <w:lvl w:ilvl="2" w:tplc="0C090005" w:tentative="1">
      <w:start w:val="1"/>
      <w:numFmt w:val="bullet"/>
      <w:lvlText w:val=""/>
      <w:lvlJc w:val="left"/>
      <w:pPr>
        <w:ind w:left="1862" w:hanging="360"/>
      </w:pPr>
      <w:rPr>
        <w:rFonts w:ascii="Wingdings" w:hAnsi="Wingdings" w:hint="default"/>
      </w:rPr>
    </w:lvl>
    <w:lvl w:ilvl="3" w:tplc="0C090001" w:tentative="1">
      <w:start w:val="1"/>
      <w:numFmt w:val="bullet"/>
      <w:lvlText w:val=""/>
      <w:lvlJc w:val="left"/>
      <w:pPr>
        <w:ind w:left="2582" w:hanging="360"/>
      </w:pPr>
      <w:rPr>
        <w:rFonts w:ascii="Symbol" w:hAnsi="Symbol" w:hint="default"/>
      </w:rPr>
    </w:lvl>
    <w:lvl w:ilvl="4" w:tplc="0C090003" w:tentative="1">
      <w:start w:val="1"/>
      <w:numFmt w:val="bullet"/>
      <w:lvlText w:val="o"/>
      <w:lvlJc w:val="left"/>
      <w:pPr>
        <w:ind w:left="3302" w:hanging="360"/>
      </w:pPr>
      <w:rPr>
        <w:rFonts w:ascii="Courier New" w:hAnsi="Courier New" w:cs="Courier New" w:hint="default"/>
      </w:rPr>
    </w:lvl>
    <w:lvl w:ilvl="5" w:tplc="0C090005" w:tentative="1">
      <w:start w:val="1"/>
      <w:numFmt w:val="bullet"/>
      <w:lvlText w:val=""/>
      <w:lvlJc w:val="left"/>
      <w:pPr>
        <w:ind w:left="4022" w:hanging="360"/>
      </w:pPr>
      <w:rPr>
        <w:rFonts w:ascii="Wingdings" w:hAnsi="Wingdings" w:hint="default"/>
      </w:rPr>
    </w:lvl>
    <w:lvl w:ilvl="6" w:tplc="0C090001" w:tentative="1">
      <w:start w:val="1"/>
      <w:numFmt w:val="bullet"/>
      <w:lvlText w:val=""/>
      <w:lvlJc w:val="left"/>
      <w:pPr>
        <w:ind w:left="4742" w:hanging="360"/>
      </w:pPr>
      <w:rPr>
        <w:rFonts w:ascii="Symbol" w:hAnsi="Symbol" w:hint="default"/>
      </w:rPr>
    </w:lvl>
    <w:lvl w:ilvl="7" w:tplc="0C090003" w:tentative="1">
      <w:start w:val="1"/>
      <w:numFmt w:val="bullet"/>
      <w:lvlText w:val="o"/>
      <w:lvlJc w:val="left"/>
      <w:pPr>
        <w:ind w:left="5462" w:hanging="360"/>
      </w:pPr>
      <w:rPr>
        <w:rFonts w:ascii="Courier New" w:hAnsi="Courier New" w:cs="Courier New" w:hint="default"/>
      </w:rPr>
    </w:lvl>
    <w:lvl w:ilvl="8" w:tplc="0C090005" w:tentative="1">
      <w:start w:val="1"/>
      <w:numFmt w:val="bullet"/>
      <w:lvlText w:val=""/>
      <w:lvlJc w:val="left"/>
      <w:pPr>
        <w:ind w:left="6182" w:hanging="360"/>
      </w:pPr>
      <w:rPr>
        <w:rFonts w:ascii="Wingdings" w:hAnsi="Wingdings" w:hint="default"/>
      </w:rPr>
    </w:lvl>
  </w:abstractNum>
  <w:abstractNum w:abstractNumId="18" w15:restartNumberingAfterBreak="0">
    <w:nsid w:val="3E9802E2"/>
    <w:multiLevelType w:val="hybridMultilevel"/>
    <w:tmpl w:val="95508BBA"/>
    <w:lvl w:ilvl="0" w:tplc="0C090005">
      <w:start w:val="1"/>
      <w:numFmt w:val="bullet"/>
      <w:lvlText w:val=""/>
      <w:lvlJc w:val="left"/>
      <w:pPr>
        <w:ind w:left="394" w:hanging="360"/>
      </w:pPr>
      <w:rPr>
        <w:rFonts w:ascii="Wingdings" w:hAnsi="Wingdings"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19" w15:restartNumberingAfterBreak="0">
    <w:nsid w:val="3EC26BD8"/>
    <w:multiLevelType w:val="hybridMultilevel"/>
    <w:tmpl w:val="1F8EF68E"/>
    <w:lvl w:ilvl="0" w:tplc="0C090005">
      <w:start w:val="1"/>
      <w:numFmt w:val="bullet"/>
      <w:lvlText w:val=""/>
      <w:lvlJc w:val="left"/>
      <w:pPr>
        <w:ind w:left="394" w:hanging="360"/>
      </w:pPr>
      <w:rPr>
        <w:rFonts w:ascii="Wingdings" w:hAnsi="Wingdings"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0" w15:restartNumberingAfterBreak="0">
    <w:nsid w:val="3FC779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EF60DD"/>
    <w:multiLevelType w:val="hybridMultilevel"/>
    <w:tmpl w:val="5C103E2C"/>
    <w:lvl w:ilvl="0" w:tplc="0C090009">
      <w:start w:val="1"/>
      <w:numFmt w:val="bullet"/>
      <w:lvlText w:val=""/>
      <w:lvlJc w:val="left"/>
      <w:pPr>
        <w:ind w:left="819" w:hanging="360"/>
      </w:pPr>
      <w:rPr>
        <w:rFonts w:ascii="Wingdings" w:hAnsi="Wingdings"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2" w15:restartNumberingAfterBreak="0">
    <w:nsid w:val="423247EF"/>
    <w:multiLevelType w:val="hybridMultilevel"/>
    <w:tmpl w:val="D2F0EE7A"/>
    <w:lvl w:ilvl="0" w:tplc="0C090005">
      <w:start w:val="1"/>
      <w:numFmt w:val="bullet"/>
      <w:lvlText w:val=""/>
      <w:lvlJc w:val="left"/>
      <w:pPr>
        <w:ind w:left="468" w:hanging="360"/>
      </w:pPr>
      <w:rPr>
        <w:rFonts w:ascii="Wingdings" w:hAnsi="Wingdings"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23" w15:restartNumberingAfterBreak="0">
    <w:nsid w:val="430F6B4F"/>
    <w:multiLevelType w:val="hybridMultilevel"/>
    <w:tmpl w:val="0D1C6930"/>
    <w:lvl w:ilvl="0" w:tplc="0C090009">
      <w:start w:val="1"/>
      <w:numFmt w:val="bullet"/>
      <w:lvlText w:val=""/>
      <w:lvlJc w:val="left"/>
      <w:pPr>
        <w:ind w:left="819" w:hanging="360"/>
      </w:pPr>
      <w:rPr>
        <w:rFonts w:ascii="Wingdings" w:hAnsi="Wingdings"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4" w15:restartNumberingAfterBreak="0">
    <w:nsid w:val="44953AC0"/>
    <w:multiLevelType w:val="hybridMultilevel"/>
    <w:tmpl w:val="4B6CC44A"/>
    <w:lvl w:ilvl="0" w:tplc="0C090005">
      <w:start w:val="1"/>
      <w:numFmt w:val="bullet"/>
      <w:lvlText w:val=""/>
      <w:lvlJc w:val="left"/>
      <w:pPr>
        <w:ind w:left="410" w:hanging="360"/>
      </w:pPr>
      <w:rPr>
        <w:rFonts w:ascii="Wingdings" w:hAnsi="Wingdings"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5" w15:restartNumberingAfterBreak="0">
    <w:nsid w:val="47BF2040"/>
    <w:multiLevelType w:val="hybridMultilevel"/>
    <w:tmpl w:val="20B40532"/>
    <w:lvl w:ilvl="0" w:tplc="0C090009">
      <w:start w:val="1"/>
      <w:numFmt w:val="bullet"/>
      <w:lvlText w:val=""/>
      <w:lvlJc w:val="left"/>
      <w:pPr>
        <w:ind w:left="819" w:hanging="360"/>
      </w:pPr>
      <w:rPr>
        <w:rFonts w:ascii="Wingdings" w:hAnsi="Wingdings"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6" w15:restartNumberingAfterBreak="0">
    <w:nsid w:val="49796225"/>
    <w:multiLevelType w:val="hybridMultilevel"/>
    <w:tmpl w:val="B9905B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7E32A4"/>
    <w:multiLevelType w:val="hybridMultilevel"/>
    <w:tmpl w:val="B85659D6"/>
    <w:lvl w:ilvl="0" w:tplc="0C09000F">
      <w:start w:val="1"/>
      <w:numFmt w:val="decimal"/>
      <w:lvlText w:val="%1."/>
      <w:lvlJc w:val="left"/>
      <w:pPr>
        <w:ind w:left="394" w:hanging="360"/>
      </w:pPr>
      <w:rPr>
        <w:rFonts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8" w15:restartNumberingAfterBreak="0">
    <w:nsid w:val="57907DA1"/>
    <w:multiLevelType w:val="hybridMultilevel"/>
    <w:tmpl w:val="C27C9E90"/>
    <w:lvl w:ilvl="0" w:tplc="15606B9A">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59BA7A5F"/>
    <w:multiLevelType w:val="hybridMultilevel"/>
    <w:tmpl w:val="D5B650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CD0003"/>
    <w:multiLevelType w:val="hybridMultilevel"/>
    <w:tmpl w:val="5EA09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E030CD"/>
    <w:multiLevelType w:val="hybridMultilevel"/>
    <w:tmpl w:val="AFE0A2A0"/>
    <w:lvl w:ilvl="0" w:tplc="0C090005">
      <w:start w:val="1"/>
      <w:numFmt w:val="bullet"/>
      <w:lvlText w:val=""/>
      <w:lvlJc w:val="left"/>
      <w:pPr>
        <w:ind w:left="394" w:hanging="360"/>
      </w:pPr>
      <w:rPr>
        <w:rFonts w:ascii="Wingdings" w:hAnsi="Wingdings"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32" w15:restartNumberingAfterBreak="0">
    <w:nsid w:val="5E693C53"/>
    <w:multiLevelType w:val="hybridMultilevel"/>
    <w:tmpl w:val="DDA80B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F8F36CB"/>
    <w:multiLevelType w:val="hybridMultilevel"/>
    <w:tmpl w:val="AF5E23CE"/>
    <w:lvl w:ilvl="0" w:tplc="0C090005">
      <w:start w:val="1"/>
      <w:numFmt w:val="bullet"/>
      <w:lvlText w:val=""/>
      <w:lvlJc w:val="left"/>
      <w:pPr>
        <w:ind w:left="410" w:hanging="360"/>
      </w:pPr>
      <w:rPr>
        <w:rFonts w:ascii="Wingdings" w:hAnsi="Wingdings"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4" w15:restartNumberingAfterBreak="0">
    <w:nsid w:val="62330866"/>
    <w:multiLevelType w:val="hybridMultilevel"/>
    <w:tmpl w:val="D4E62242"/>
    <w:lvl w:ilvl="0" w:tplc="0C090005">
      <w:start w:val="1"/>
      <w:numFmt w:val="bullet"/>
      <w:lvlText w:val=""/>
      <w:lvlJc w:val="left"/>
      <w:pPr>
        <w:ind w:left="468" w:hanging="360"/>
      </w:pPr>
      <w:rPr>
        <w:rFonts w:ascii="Wingdings" w:hAnsi="Wingdings" w:hint="default"/>
      </w:rPr>
    </w:lvl>
    <w:lvl w:ilvl="1" w:tplc="0C090003" w:tentative="1">
      <w:start w:val="1"/>
      <w:numFmt w:val="bullet"/>
      <w:lvlText w:val="o"/>
      <w:lvlJc w:val="left"/>
      <w:pPr>
        <w:ind w:left="1188" w:hanging="360"/>
      </w:pPr>
      <w:rPr>
        <w:rFonts w:ascii="Courier New" w:hAnsi="Courier New" w:cs="Courier New" w:hint="default"/>
      </w:rPr>
    </w:lvl>
    <w:lvl w:ilvl="2" w:tplc="0C090005" w:tentative="1">
      <w:start w:val="1"/>
      <w:numFmt w:val="bullet"/>
      <w:lvlText w:val=""/>
      <w:lvlJc w:val="left"/>
      <w:pPr>
        <w:ind w:left="1908" w:hanging="360"/>
      </w:pPr>
      <w:rPr>
        <w:rFonts w:ascii="Wingdings" w:hAnsi="Wingdings" w:hint="default"/>
      </w:rPr>
    </w:lvl>
    <w:lvl w:ilvl="3" w:tplc="0C090001" w:tentative="1">
      <w:start w:val="1"/>
      <w:numFmt w:val="bullet"/>
      <w:lvlText w:val=""/>
      <w:lvlJc w:val="left"/>
      <w:pPr>
        <w:ind w:left="2628" w:hanging="360"/>
      </w:pPr>
      <w:rPr>
        <w:rFonts w:ascii="Symbol" w:hAnsi="Symbol" w:hint="default"/>
      </w:rPr>
    </w:lvl>
    <w:lvl w:ilvl="4" w:tplc="0C090003" w:tentative="1">
      <w:start w:val="1"/>
      <w:numFmt w:val="bullet"/>
      <w:lvlText w:val="o"/>
      <w:lvlJc w:val="left"/>
      <w:pPr>
        <w:ind w:left="3348" w:hanging="360"/>
      </w:pPr>
      <w:rPr>
        <w:rFonts w:ascii="Courier New" w:hAnsi="Courier New" w:cs="Courier New" w:hint="default"/>
      </w:rPr>
    </w:lvl>
    <w:lvl w:ilvl="5" w:tplc="0C090005" w:tentative="1">
      <w:start w:val="1"/>
      <w:numFmt w:val="bullet"/>
      <w:lvlText w:val=""/>
      <w:lvlJc w:val="left"/>
      <w:pPr>
        <w:ind w:left="4068" w:hanging="360"/>
      </w:pPr>
      <w:rPr>
        <w:rFonts w:ascii="Wingdings" w:hAnsi="Wingdings" w:hint="default"/>
      </w:rPr>
    </w:lvl>
    <w:lvl w:ilvl="6" w:tplc="0C090001" w:tentative="1">
      <w:start w:val="1"/>
      <w:numFmt w:val="bullet"/>
      <w:lvlText w:val=""/>
      <w:lvlJc w:val="left"/>
      <w:pPr>
        <w:ind w:left="4788" w:hanging="360"/>
      </w:pPr>
      <w:rPr>
        <w:rFonts w:ascii="Symbol" w:hAnsi="Symbol" w:hint="default"/>
      </w:rPr>
    </w:lvl>
    <w:lvl w:ilvl="7" w:tplc="0C090003" w:tentative="1">
      <w:start w:val="1"/>
      <w:numFmt w:val="bullet"/>
      <w:lvlText w:val="o"/>
      <w:lvlJc w:val="left"/>
      <w:pPr>
        <w:ind w:left="5508" w:hanging="360"/>
      </w:pPr>
      <w:rPr>
        <w:rFonts w:ascii="Courier New" w:hAnsi="Courier New" w:cs="Courier New" w:hint="default"/>
      </w:rPr>
    </w:lvl>
    <w:lvl w:ilvl="8" w:tplc="0C090005" w:tentative="1">
      <w:start w:val="1"/>
      <w:numFmt w:val="bullet"/>
      <w:lvlText w:val=""/>
      <w:lvlJc w:val="left"/>
      <w:pPr>
        <w:ind w:left="6228" w:hanging="360"/>
      </w:pPr>
      <w:rPr>
        <w:rFonts w:ascii="Wingdings" w:hAnsi="Wingdings" w:hint="default"/>
      </w:rPr>
    </w:lvl>
  </w:abstractNum>
  <w:abstractNum w:abstractNumId="35" w15:restartNumberingAfterBreak="0">
    <w:nsid w:val="63C262E9"/>
    <w:multiLevelType w:val="hybridMultilevel"/>
    <w:tmpl w:val="AFC81D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474014"/>
    <w:multiLevelType w:val="hybridMultilevel"/>
    <w:tmpl w:val="328A387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AD37DE"/>
    <w:multiLevelType w:val="hybridMultilevel"/>
    <w:tmpl w:val="237EE1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0431385"/>
    <w:multiLevelType w:val="hybridMultilevel"/>
    <w:tmpl w:val="FF2CD4FE"/>
    <w:lvl w:ilvl="0" w:tplc="0C090009">
      <w:start w:val="1"/>
      <w:numFmt w:val="bullet"/>
      <w:lvlText w:val=""/>
      <w:lvlJc w:val="left"/>
      <w:pPr>
        <w:ind w:left="678" w:hanging="360"/>
      </w:pPr>
      <w:rPr>
        <w:rFonts w:ascii="Wingdings" w:hAnsi="Wingdings" w:hint="default"/>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39" w15:restartNumberingAfterBreak="0">
    <w:nsid w:val="704734B2"/>
    <w:multiLevelType w:val="hybridMultilevel"/>
    <w:tmpl w:val="8E5016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8664CF"/>
    <w:multiLevelType w:val="hybridMultilevel"/>
    <w:tmpl w:val="32DA43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BAA6D0B"/>
    <w:multiLevelType w:val="hybridMultilevel"/>
    <w:tmpl w:val="4E2C6328"/>
    <w:lvl w:ilvl="0" w:tplc="0C090009">
      <w:start w:val="1"/>
      <w:numFmt w:val="bullet"/>
      <w:lvlText w:val=""/>
      <w:lvlJc w:val="left"/>
      <w:pPr>
        <w:ind w:left="796" w:hanging="360"/>
      </w:pPr>
      <w:rPr>
        <w:rFonts w:ascii="Wingdings" w:hAnsi="Wingdings"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num w:numId="1">
    <w:abstractNumId w:val="20"/>
  </w:num>
  <w:num w:numId="2">
    <w:abstractNumId w:val="13"/>
  </w:num>
  <w:num w:numId="3">
    <w:abstractNumId w:val="3"/>
  </w:num>
  <w:num w:numId="4">
    <w:abstractNumId w:val="40"/>
  </w:num>
  <w:num w:numId="5">
    <w:abstractNumId w:val="39"/>
  </w:num>
  <w:num w:numId="6">
    <w:abstractNumId w:val="26"/>
  </w:num>
  <w:num w:numId="7">
    <w:abstractNumId w:val="6"/>
  </w:num>
  <w:num w:numId="8">
    <w:abstractNumId w:val="27"/>
  </w:num>
  <w:num w:numId="9">
    <w:abstractNumId w:val="0"/>
  </w:num>
  <w:num w:numId="10">
    <w:abstractNumId w:val="11"/>
  </w:num>
  <w:num w:numId="11">
    <w:abstractNumId w:val="41"/>
  </w:num>
  <w:num w:numId="12">
    <w:abstractNumId w:val="1"/>
  </w:num>
  <w:num w:numId="13">
    <w:abstractNumId w:val="9"/>
  </w:num>
  <w:num w:numId="14">
    <w:abstractNumId w:val="24"/>
  </w:num>
  <w:num w:numId="15">
    <w:abstractNumId w:val="23"/>
  </w:num>
  <w:num w:numId="16">
    <w:abstractNumId w:val="33"/>
  </w:num>
  <w:num w:numId="17">
    <w:abstractNumId w:val="4"/>
  </w:num>
  <w:num w:numId="18">
    <w:abstractNumId w:val="15"/>
  </w:num>
  <w:num w:numId="19">
    <w:abstractNumId w:val="2"/>
  </w:num>
  <w:num w:numId="20">
    <w:abstractNumId w:val="21"/>
  </w:num>
  <w:num w:numId="21">
    <w:abstractNumId w:val="8"/>
  </w:num>
  <w:num w:numId="22">
    <w:abstractNumId w:val="30"/>
  </w:num>
  <w:num w:numId="23">
    <w:abstractNumId w:val="35"/>
  </w:num>
  <w:num w:numId="24">
    <w:abstractNumId w:val="10"/>
  </w:num>
  <w:num w:numId="25">
    <w:abstractNumId w:val="38"/>
  </w:num>
  <w:num w:numId="26">
    <w:abstractNumId w:val="25"/>
  </w:num>
  <w:num w:numId="27">
    <w:abstractNumId w:val="17"/>
  </w:num>
  <w:num w:numId="28">
    <w:abstractNumId w:val="18"/>
  </w:num>
  <w:num w:numId="29">
    <w:abstractNumId w:val="36"/>
  </w:num>
  <w:num w:numId="30">
    <w:abstractNumId w:val="32"/>
  </w:num>
  <w:num w:numId="31">
    <w:abstractNumId w:val="31"/>
  </w:num>
  <w:num w:numId="32">
    <w:abstractNumId w:val="19"/>
  </w:num>
  <w:num w:numId="33">
    <w:abstractNumId w:val="37"/>
  </w:num>
  <w:num w:numId="34">
    <w:abstractNumId w:val="29"/>
  </w:num>
  <w:num w:numId="35">
    <w:abstractNumId w:val="16"/>
  </w:num>
  <w:num w:numId="36">
    <w:abstractNumId w:val="13"/>
  </w:num>
  <w:num w:numId="37">
    <w:abstractNumId w:val="28"/>
  </w:num>
  <w:num w:numId="38">
    <w:abstractNumId w:val="34"/>
  </w:num>
  <w:num w:numId="39">
    <w:abstractNumId w:val="22"/>
  </w:num>
  <w:num w:numId="40">
    <w:abstractNumId w:val="5"/>
  </w:num>
  <w:num w:numId="41">
    <w:abstractNumId w:val="14"/>
  </w:num>
  <w:num w:numId="42">
    <w:abstractNumId w:val="7"/>
  </w:num>
  <w:num w:numId="43">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sp5w29x95xtpe2velxwv5qwpzpr9a2edfp&quot;&gt;MAE_library_9-5-19&lt;record-ids&gt;&lt;item&gt;26&lt;/item&gt;&lt;item&gt;66&lt;/item&gt;&lt;item&gt;107&lt;/item&gt;&lt;item&gt;143&lt;/item&gt;&lt;item&gt;169&lt;/item&gt;&lt;item&gt;304&lt;/item&gt;&lt;item&gt;392&lt;/item&gt;&lt;/record-ids&gt;&lt;/item&gt;&lt;/Libraries&gt;"/>
  </w:docVars>
  <w:rsids>
    <w:rsidRoot w:val="00007D5F"/>
    <w:rsid w:val="0000012B"/>
    <w:rsid w:val="00000C6B"/>
    <w:rsid w:val="00001C02"/>
    <w:rsid w:val="00007D5F"/>
    <w:rsid w:val="00010DE2"/>
    <w:rsid w:val="00016238"/>
    <w:rsid w:val="000174B7"/>
    <w:rsid w:val="0002227B"/>
    <w:rsid w:val="00022BD5"/>
    <w:rsid w:val="00026FFA"/>
    <w:rsid w:val="00030B27"/>
    <w:rsid w:val="00032292"/>
    <w:rsid w:val="00032E7F"/>
    <w:rsid w:val="0004054F"/>
    <w:rsid w:val="00043C4D"/>
    <w:rsid w:val="00053CA4"/>
    <w:rsid w:val="0005539E"/>
    <w:rsid w:val="000708F3"/>
    <w:rsid w:val="00074991"/>
    <w:rsid w:val="0008288F"/>
    <w:rsid w:val="00084307"/>
    <w:rsid w:val="000902BF"/>
    <w:rsid w:val="00091E4E"/>
    <w:rsid w:val="000B1541"/>
    <w:rsid w:val="000B34F4"/>
    <w:rsid w:val="000C0B79"/>
    <w:rsid w:val="000C2D52"/>
    <w:rsid w:val="000C7D81"/>
    <w:rsid w:val="000D451B"/>
    <w:rsid w:val="000D7A79"/>
    <w:rsid w:val="000E0598"/>
    <w:rsid w:val="000E7132"/>
    <w:rsid w:val="000F18DB"/>
    <w:rsid w:val="000F4E10"/>
    <w:rsid w:val="00106067"/>
    <w:rsid w:val="00107934"/>
    <w:rsid w:val="00117FD1"/>
    <w:rsid w:val="00120270"/>
    <w:rsid w:val="00121031"/>
    <w:rsid w:val="001321C2"/>
    <w:rsid w:val="00147F89"/>
    <w:rsid w:val="00155582"/>
    <w:rsid w:val="00161F36"/>
    <w:rsid w:val="00170003"/>
    <w:rsid w:val="0017143B"/>
    <w:rsid w:val="00172E4D"/>
    <w:rsid w:val="0017326C"/>
    <w:rsid w:val="00180501"/>
    <w:rsid w:val="00181763"/>
    <w:rsid w:val="001817E2"/>
    <w:rsid w:val="0018294C"/>
    <w:rsid w:val="001A2E27"/>
    <w:rsid w:val="001B1FFF"/>
    <w:rsid w:val="001B2794"/>
    <w:rsid w:val="001B3557"/>
    <w:rsid w:val="001B412E"/>
    <w:rsid w:val="001C482B"/>
    <w:rsid w:val="001C4B2C"/>
    <w:rsid w:val="001D03FB"/>
    <w:rsid w:val="001D259E"/>
    <w:rsid w:val="001D2744"/>
    <w:rsid w:val="001D520E"/>
    <w:rsid w:val="001D5C67"/>
    <w:rsid w:val="001D6F7E"/>
    <w:rsid w:val="001D76D0"/>
    <w:rsid w:val="001E23DA"/>
    <w:rsid w:val="001E4413"/>
    <w:rsid w:val="001F090B"/>
    <w:rsid w:val="001F2FB5"/>
    <w:rsid w:val="001F45C4"/>
    <w:rsid w:val="00202945"/>
    <w:rsid w:val="002111A8"/>
    <w:rsid w:val="00215A5C"/>
    <w:rsid w:val="00226352"/>
    <w:rsid w:val="00230776"/>
    <w:rsid w:val="00235E75"/>
    <w:rsid w:val="0023777B"/>
    <w:rsid w:val="00246E82"/>
    <w:rsid w:val="002475D3"/>
    <w:rsid w:val="00256AA8"/>
    <w:rsid w:val="00257E81"/>
    <w:rsid w:val="002643BF"/>
    <w:rsid w:val="002800E1"/>
    <w:rsid w:val="00291091"/>
    <w:rsid w:val="002911FF"/>
    <w:rsid w:val="002A50C0"/>
    <w:rsid w:val="002B6213"/>
    <w:rsid w:val="002E25ED"/>
    <w:rsid w:val="002E4D6A"/>
    <w:rsid w:val="002E5A6A"/>
    <w:rsid w:val="002F4D13"/>
    <w:rsid w:val="00300A3E"/>
    <w:rsid w:val="00300DD6"/>
    <w:rsid w:val="003043AE"/>
    <w:rsid w:val="00304AB6"/>
    <w:rsid w:val="00311705"/>
    <w:rsid w:val="0031518B"/>
    <w:rsid w:val="00316FAE"/>
    <w:rsid w:val="00317A0B"/>
    <w:rsid w:val="00334F94"/>
    <w:rsid w:val="00335D8B"/>
    <w:rsid w:val="00337BBE"/>
    <w:rsid w:val="00340DF1"/>
    <w:rsid w:val="003438D4"/>
    <w:rsid w:val="0035688D"/>
    <w:rsid w:val="003629A6"/>
    <w:rsid w:val="00362DCD"/>
    <w:rsid w:val="00365340"/>
    <w:rsid w:val="003717B0"/>
    <w:rsid w:val="00380341"/>
    <w:rsid w:val="00381089"/>
    <w:rsid w:val="003824D8"/>
    <w:rsid w:val="003868DF"/>
    <w:rsid w:val="003929D4"/>
    <w:rsid w:val="0039382B"/>
    <w:rsid w:val="003A1DF2"/>
    <w:rsid w:val="003A1E36"/>
    <w:rsid w:val="003A1E55"/>
    <w:rsid w:val="003A28DB"/>
    <w:rsid w:val="003A4323"/>
    <w:rsid w:val="003A5506"/>
    <w:rsid w:val="003B4ED7"/>
    <w:rsid w:val="003B701A"/>
    <w:rsid w:val="003C028F"/>
    <w:rsid w:val="003C145C"/>
    <w:rsid w:val="003C2001"/>
    <w:rsid w:val="003C40E5"/>
    <w:rsid w:val="003C48B8"/>
    <w:rsid w:val="003D08C5"/>
    <w:rsid w:val="003D5B68"/>
    <w:rsid w:val="003D7881"/>
    <w:rsid w:val="003E2305"/>
    <w:rsid w:val="003E557C"/>
    <w:rsid w:val="003F270A"/>
    <w:rsid w:val="003F32DE"/>
    <w:rsid w:val="004142CC"/>
    <w:rsid w:val="00421C56"/>
    <w:rsid w:val="00425143"/>
    <w:rsid w:val="00425C86"/>
    <w:rsid w:val="00434702"/>
    <w:rsid w:val="00436582"/>
    <w:rsid w:val="00441C79"/>
    <w:rsid w:val="00450799"/>
    <w:rsid w:val="00452458"/>
    <w:rsid w:val="00461E12"/>
    <w:rsid w:val="0046597E"/>
    <w:rsid w:val="004665E2"/>
    <w:rsid w:val="00467BAE"/>
    <w:rsid w:val="004708EA"/>
    <w:rsid w:val="00475C8C"/>
    <w:rsid w:val="004832D2"/>
    <w:rsid w:val="00495D57"/>
    <w:rsid w:val="004A083F"/>
    <w:rsid w:val="004A4A11"/>
    <w:rsid w:val="004B1363"/>
    <w:rsid w:val="004C081B"/>
    <w:rsid w:val="004C4624"/>
    <w:rsid w:val="004D0499"/>
    <w:rsid w:val="004D1706"/>
    <w:rsid w:val="004D6357"/>
    <w:rsid w:val="004E504B"/>
    <w:rsid w:val="004E677F"/>
    <w:rsid w:val="004E6DBE"/>
    <w:rsid w:val="004F7B42"/>
    <w:rsid w:val="00505756"/>
    <w:rsid w:val="00507E42"/>
    <w:rsid w:val="005123DC"/>
    <w:rsid w:val="00513442"/>
    <w:rsid w:val="00525787"/>
    <w:rsid w:val="00541EBE"/>
    <w:rsid w:val="0055121F"/>
    <w:rsid w:val="005561C1"/>
    <w:rsid w:val="00566EC2"/>
    <w:rsid w:val="00571EAE"/>
    <w:rsid w:val="0058007B"/>
    <w:rsid w:val="0058133A"/>
    <w:rsid w:val="00585F57"/>
    <w:rsid w:val="005A0ABA"/>
    <w:rsid w:val="005A0AF0"/>
    <w:rsid w:val="005A384E"/>
    <w:rsid w:val="005A682D"/>
    <w:rsid w:val="005B608C"/>
    <w:rsid w:val="005C39EC"/>
    <w:rsid w:val="005C7009"/>
    <w:rsid w:val="005D119A"/>
    <w:rsid w:val="005D48A5"/>
    <w:rsid w:val="005D7CE4"/>
    <w:rsid w:val="005E442D"/>
    <w:rsid w:val="005E6536"/>
    <w:rsid w:val="005E7D5B"/>
    <w:rsid w:val="006045ED"/>
    <w:rsid w:val="00606289"/>
    <w:rsid w:val="006171C4"/>
    <w:rsid w:val="00617B01"/>
    <w:rsid w:val="0062242F"/>
    <w:rsid w:val="00625CA5"/>
    <w:rsid w:val="006327BC"/>
    <w:rsid w:val="00634ADB"/>
    <w:rsid w:val="00635FF2"/>
    <w:rsid w:val="006376A2"/>
    <w:rsid w:val="0064255A"/>
    <w:rsid w:val="00650176"/>
    <w:rsid w:val="00650E47"/>
    <w:rsid w:val="006511BF"/>
    <w:rsid w:val="00656750"/>
    <w:rsid w:val="006704C6"/>
    <w:rsid w:val="00672875"/>
    <w:rsid w:val="00681F44"/>
    <w:rsid w:val="0068504B"/>
    <w:rsid w:val="00697532"/>
    <w:rsid w:val="006A1003"/>
    <w:rsid w:val="006A5957"/>
    <w:rsid w:val="006A65CD"/>
    <w:rsid w:val="006B7B4F"/>
    <w:rsid w:val="006C2F12"/>
    <w:rsid w:val="006C30CC"/>
    <w:rsid w:val="006C7C36"/>
    <w:rsid w:val="006D16EE"/>
    <w:rsid w:val="006D7441"/>
    <w:rsid w:val="006D78D3"/>
    <w:rsid w:val="006E31F0"/>
    <w:rsid w:val="006F3508"/>
    <w:rsid w:val="006F4365"/>
    <w:rsid w:val="00702C14"/>
    <w:rsid w:val="0070313D"/>
    <w:rsid w:val="00706BD5"/>
    <w:rsid w:val="00712C2B"/>
    <w:rsid w:val="00717BB7"/>
    <w:rsid w:val="00721DDB"/>
    <w:rsid w:val="00726682"/>
    <w:rsid w:val="00730190"/>
    <w:rsid w:val="007319B8"/>
    <w:rsid w:val="0073365D"/>
    <w:rsid w:val="00735475"/>
    <w:rsid w:val="0073704A"/>
    <w:rsid w:val="00743296"/>
    <w:rsid w:val="0075651C"/>
    <w:rsid w:val="0076167E"/>
    <w:rsid w:val="007638F1"/>
    <w:rsid w:val="007668FE"/>
    <w:rsid w:val="007729DC"/>
    <w:rsid w:val="00776319"/>
    <w:rsid w:val="0079254F"/>
    <w:rsid w:val="007A1FA1"/>
    <w:rsid w:val="007A4E2B"/>
    <w:rsid w:val="007B5000"/>
    <w:rsid w:val="007B5536"/>
    <w:rsid w:val="007C4996"/>
    <w:rsid w:val="007D07DA"/>
    <w:rsid w:val="007E7038"/>
    <w:rsid w:val="00801CB3"/>
    <w:rsid w:val="0080316A"/>
    <w:rsid w:val="008054DF"/>
    <w:rsid w:val="00806CBF"/>
    <w:rsid w:val="00824F03"/>
    <w:rsid w:val="00835CCC"/>
    <w:rsid w:val="00843B04"/>
    <w:rsid w:val="00853634"/>
    <w:rsid w:val="008538FB"/>
    <w:rsid w:val="00855EB7"/>
    <w:rsid w:val="00864569"/>
    <w:rsid w:val="00866FED"/>
    <w:rsid w:val="0087290D"/>
    <w:rsid w:val="00881C97"/>
    <w:rsid w:val="008850B9"/>
    <w:rsid w:val="00886105"/>
    <w:rsid w:val="0089343B"/>
    <w:rsid w:val="008942B8"/>
    <w:rsid w:val="008A3725"/>
    <w:rsid w:val="008A4267"/>
    <w:rsid w:val="008B093A"/>
    <w:rsid w:val="008B16F2"/>
    <w:rsid w:val="008B2AEC"/>
    <w:rsid w:val="008B4321"/>
    <w:rsid w:val="008B46B1"/>
    <w:rsid w:val="008B5C48"/>
    <w:rsid w:val="008B6078"/>
    <w:rsid w:val="008C476C"/>
    <w:rsid w:val="008D5339"/>
    <w:rsid w:val="008D7623"/>
    <w:rsid w:val="008E1976"/>
    <w:rsid w:val="008E29DB"/>
    <w:rsid w:val="00903089"/>
    <w:rsid w:val="009072DF"/>
    <w:rsid w:val="00907DF4"/>
    <w:rsid w:val="00923F05"/>
    <w:rsid w:val="0093005C"/>
    <w:rsid w:val="0093065E"/>
    <w:rsid w:val="009612F8"/>
    <w:rsid w:val="00961BFA"/>
    <w:rsid w:val="00962AA9"/>
    <w:rsid w:val="00966958"/>
    <w:rsid w:val="00967E2E"/>
    <w:rsid w:val="0097409D"/>
    <w:rsid w:val="00981AFF"/>
    <w:rsid w:val="00983136"/>
    <w:rsid w:val="009844C1"/>
    <w:rsid w:val="00996159"/>
    <w:rsid w:val="00996CE1"/>
    <w:rsid w:val="0099775E"/>
    <w:rsid w:val="009A2C9D"/>
    <w:rsid w:val="009A4877"/>
    <w:rsid w:val="009B4090"/>
    <w:rsid w:val="009B49DD"/>
    <w:rsid w:val="009C1D92"/>
    <w:rsid w:val="009D16DF"/>
    <w:rsid w:val="009F5AD3"/>
    <w:rsid w:val="009F6BAA"/>
    <w:rsid w:val="00A05FB9"/>
    <w:rsid w:val="00A1144E"/>
    <w:rsid w:val="00A13A41"/>
    <w:rsid w:val="00A14ED6"/>
    <w:rsid w:val="00A17EE8"/>
    <w:rsid w:val="00A269DB"/>
    <w:rsid w:val="00A31B9E"/>
    <w:rsid w:val="00A32958"/>
    <w:rsid w:val="00A41ECA"/>
    <w:rsid w:val="00A44AED"/>
    <w:rsid w:val="00A556D6"/>
    <w:rsid w:val="00A55CD7"/>
    <w:rsid w:val="00A616ED"/>
    <w:rsid w:val="00A719DB"/>
    <w:rsid w:val="00A74243"/>
    <w:rsid w:val="00A871DA"/>
    <w:rsid w:val="00A9655E"/>
    <w:rsid w:val="00AA52E6"/>
    <w:rsid w:val="00AA5801"/>
    <w:rsid w:val="00AB340E"/>
    <w:rsid w:val="00AB522D"/>
    <w:rsid w:val="00AC0893"/>
    <w:rsid w:val="00AC4C0F"/>
    <w:rsid w:val="00AC58DF"/>
    <w:rsid w:val="00AC6595"/>
    <w:rsid w:val="00AC68F7"/>
    <w:rsid w:val="00AD5059"/>
    <w:rsid w:val="00AE1EC4"/>
    <w:rsid w:val="00AE2A57"/>
    <w:rsid w:val="00AE3396"/>
    <w:rsid w:val="00AE6B74"/>
    <w:rsid w:val="00B269B8"/>
    <w:rsid w:val="00B32067"/>
    <w:rsid w:val="00B33CFD"/>
    <w:rsid w:val="00B3648E"/>
    <w:rsid w:val="00B408D9"/>
    <w:rsid w:val="00B43612"/>
    <w:rsid w:val="00B548AC"/>
    <w:rsid w:val="00B55398"/>
    <w:rsid w:val="00B57638"/>
    <w:rsid w:val="00B57877"/>
    <w:rsid w:val="00B62396"/>
    <w:rsid w:val="00B6522B"/>
    <w:rsid w:val="00B661CA"/>
    <w:rsid w:val="00B70CA7"/>
    <w:rsid w:val="00B712B4"/>
    <w:rsid w:val="00B73D26"/>
    <w:rsid w:val="00B85475"/>
    <w:rsid w:val="00B922CF"/>
    <w:rsid w:val="00BA2C33"/>
    <w:rsid w:val="00BC1633"/>
    <w:rsid w:val="00BC40E2"/>
    <w:rsid w:val="00BC6B71"/>
    <w:rsid w:val="00BC6FC5"/>
    <w:rsid w:val="00BE68FA"/>
    <w:rsid w:val="00BE7C1C"/>
    <w:rsid w:val="00BF497B"/>
    <w:rsid w:val="00BF66E8"/>
    <w:rsid w:val="00C00A12"/>
    <w:rsid w:val="00C04EA1"/>
    <w:rsid w:val="00C11376"/>
    <w:rsid w:val="00C14D32"/>
    <w:rsid w:val="00C16249"/>
    <w:rsid w:val="00C21EC3"/>
    <w:rsid w:val="00C31A19"/>
    <w:rsid w:val="00C5042A"/>
    <w:rsid w:val="00C522C4"/>
    <w:rsid w:val="00C548AA"/>
    <w:rsid w:val="00C57670"/>
    <w:rsid w:val="00C630D5"/>
    <w:rsid w:val="00C6323D"/>
    <w:rsid w:val="00C71896"/>
    <w:rsid w:val="00C7674A"/>
    <w:rsid w:val="00C82DB9"/>
    <w:rsid w:val="00C8494C"/>
    <w:rsid w:val="00C92635"/>
    <w:rsid w:val="00C93B89"/>
    <w:rsid w:val="00CB17E8"/>
    <w:rsid w:val="00CB4868"/>
    <w:rsid w:val="00CB77A7"/>
    <w:rsid w:val="00CC1021"/>
    <w:rsid w:val="00CD6AC0"/>
    <w:rsid w:val="00CE0131"/>
    <w:rsid w:val="00CE11E3"/>
    <w:rsid w:val="00D0635B"/>
    <w:rsid w:val="00D1455C"/>
    <w:rsid w:val="00D23AFE"/>
    <w:rsid w:val="00D27445"/>
    <w:rsid w:val="00D27E45"/>
    <w:rsid w:val="00D30026"/>
    <w:rsid w:val="00D344EB"/>
    <w:rsid w:val="00D41A20"/>
    <w:rsid w:val="00D46174"/>
    <w:rsid w:val="00D501D0"/>
    <w:rsid w:val="00D53B26"/>
    <w:rsid w:val="00D549EF"/>
    <w:rsid w:val="00D56A17"/>
    <w:rsid w:val="00D60B81"/>
    <w:rsid w:val="00D630BC"/>
    <w:rsid w:val="00D655E7"/>
    <w:rsid w:val="00D65E89"/>
    <w:rsid w:val="00D71704"/>
    <w:rsid w:val="00D747F9"/>
    <w:rsid w:val="00D752B5"/>
    <w:rsid w:val="00D761B6"/>
    <w:rsid w:val="00D82685"/>
    <w:rsid w:val="00D953E3"/>
    <w:rsid w:val="00DA3D98"/>
    <w:rsid w:val="00DA60ED"/>
    <w:rsid w:val="00DB2E8E"/>
    <w:rsid w:val="00DB4464"/>
    <w:rsid w:val="00DB7D9A"/>
    <w:rsid w:val="00DC5F1C"/>
    <w:rsid w:val="00DD14B9"/>
    <w:rsid w:val="00DD23CB"/>
    <w:rsid w:val="00DD526A"/>
    <w:rsid w:val="00DE0013"/>
    <w:rsid w:val="00DE4CAD"/>
    <w:rsid w:val="00DE79CE"/>
    <w:rsid w:val="00E03980"/>
    <w:rsid w:val="00E04C42"/>
    <w:rsid w:val="00E15F25"/>
    <w:rsid w:val="00E24BD8"/>
    <w:rsid w:val="00E24D65"/>
    <w:rsid w:val="00E2583A"/>
    <w:rsid w:val="00E2721E"/>
    <w:rsid w:val="00E3222A"/>
    <w:rsid w:val="00E33682"/>
    <w:rsid w:val="00E343DA"/>
    <w:rsid w:val="00E5046D"/>
    <w:rsid w:val="00E55FA1"/>
    <w:rsid w:val="00E57398"/>
    <w:rsid w:val="00E6443C"/>
    <w:rsid w:val="00E64D25"/>
    <w:rsid w:val="00E70160"/>
    <w:rsid w:val="00E7324A"/>
    <w:rsid w:val="00E74FC7"/>
    <w:rsid w:val="00E84755"/>
    <w:rsid w:val="00E90BD9"/>
    <w:rsid w:val="00EA3904"/>
    <w:rsid w:val="00EB214B"/>
    <w:rsid w:val="00EB6002"/>
    <w:rsid w:val="00EB77E4"/>
    <w:rsid w:val="00EC2B4D"/>
    <w:rsid w:val="00EC3E25"/>
    <w:rsid w:val="00EC4AEB"/>
    <w:rsid w:val="00EC77B7"/>
    <w:rsid w:val="00ED2DF8"/>
    <w:rsid w:val="00ED5097"/>
    <w:rsid w:val="00ED5F1E"/>
    <w:rsid w:val="00ED6C6E"/>
    <w:rsid w:val="00ED77E0"/>
    <w:rsid w:val="00EF7A4E"/>
    <w:rsid w:val="00F0642C"/>
    <w:rsid w:val="00F20453"/>
    <w:rsid w:val="00F24571"/>
    <w:rsid w:val="00F27473"/>
    <w:rsid w:val="00F452B1"/>
    <w:rsid w:val="00F508E0"/>
    <w:rsid w:val="00F50E74"/>
    <w:rsid w:val="00F60EF7"/>
    <w:rsid w:val="00F84D10"/>
    <w:rsid w:val="00F8783D"/>
    <w:rsid w:val="00F9084C"/>
    <w:rsid w:val="00F90EB3"/>
    <w:rsid w:val="00F9269A"/>
    <w:rsid w:val="00F928C7"/>
    <w:rsid w:val="00F95BD2"/>
    <w:rsid w:val="00FA2DFE"/>
    <w:rsid w:val="00FC0C2F"/>
    <w:rsid w:val="00FC6BE0"/>
    <w:rsid w:val="00FD4CD8"/>
    <w:rsid w:val="00FE2366"/>
    <w:rsid w:val="00FE5248"/>
    <w:rsid w:val="00FE5448"/>
    <w:rsid w:val="00FE727D"/>
    <w:rsid w:val="00FF16C5"/>
    <w:rsid w:val="00FF7048"/>
    <w:rsid w:val="00FF7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65210"/>
  <w15:docId w15:val="{7AE584B3-6C9E-48EF-BDB0-F40E9544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47"/>
    <w:pPr>
      <w:spacing w:after="120" w:line="360" w:lineRule="auto"/>
    </w:pPr>
    <w:rPr>
      <w:color w:val="000000"/>
      <w:sz w:val="24"/>
      <w:szCs w:val="22"/>
      <w:lang w:eastAsia="en-US"/>
    </w:rPr>
  </w:style>
  <w:style w:type="paragraph" w:styleId="Heading1">
    <w:name w:val="heading 1"/>
    <w:basedOn w:val="Normal"/>
    <w:next w:val="Normal"/>
    <w:link w:val="Heading1Char"/>
    <w:uiPriority w:val="9"/>
    <w:qFormat/>
    <w:rsid w:val="002F4D13"/>
    <w:pPr>
      <w:keepNext/>
      <w:keepLines/>
      <w:numPr>
        <w:numId w:val="2"/>
      </w:numPr>
      <w:spacing w:before="240" w:line="240" w:lineRule="auto"/>
      <w:jc w:val="center"/>
      <w:outlineLvl w:val="0"/>
    </w:pPr>
    <w:rPr>
      <w:rFonts w:eastAsia="Times New Roman"/>
      <w:b/>
      <w:color w:val="auto"/>
      <w:sz w:val="60"/>
      <w:szCs w:val="32"/>
    </w:rPr>
  </w:style>
  <w:style w:type="paragraph" w:styleId="Heading2">
    <w:name w:val="heading 2"/>
    <w:basedOn w:val="Normal"/>
    <w:next w:val="Normal"/>
    <w:link w:val="Heading2Char"/>
    <w:uiPriority w:val="9"/>
    <w:unhideWhenUsed/>
    <w:qFormat/>
    <w:rsid w:val="002F4D13"/>
    <w:pPr>
      <w:keepNext/>
      <w:keepLines/>
      <w:numPr>
        <w:ilvl w:val="1"/>
        <w:numId w:val="2"/>
      </w:numPr>
      <w:pBdr>
        <w:top w:val="single" w:sz="4" w:space="1" w:color="auto"/>
        <w:bottom w:val="single" w:sz="4" w:space="1" w:color="auto"/>
      </w:pBdr>
      <w:spacing w:before="240" w:line="240" w:lineRule="auto"/>
      <w:outlineLvl w:val="1"/>
    </w:pPr>
    <w:rPr>
      <w:rFonts w:eastAsia="Times New Roman"/>
      <w:sz w:val="40"/>
      <w:szCs w:val="26"/>
    </w:rPr>
  </w:style>
  <w:style w:type="paragraph" w:styleId="Heading3">
    <w:name w:val="heading 3"/>
    <w:basedOn w:val="Normal"/>
    <w:next w:val="BodyText"/>
    <w:link w:val="Heading3Char"/>
    <w:uiPriority w:val="9"/>
    <w:unhideWhenUsed/>
    <w:qFormat/>
    <w:rsid w:val="00B85475"/>
    <w:pPr>
      <w:keepNext/>
      <w:keepLines/>
      <w:numPr>
        <w:ilvl w:val="2"/>
        <w:numId w:val="2"/>
      </w:numPr>
      <w:spacing w:before="60"/>
      <w:outlineLvl w:val="2"/>
    </w:pPr>
    <w:rPr>
      <w:rFonts w:eastAsia="Times New Roman"/>
      <w:b/>
      <w:color w:val="2F5496"/>
      <w:sz w:val="32"/>
      <w:szCs w:val="24"/>
    </w:rPr>
  </w:style>
  <w:style w:type="paragraph" w:styleId="Heading4">
    <w:name w:val="heading 4"/>
    <w:basedOn w:val="Normal"/>
    <w:next w:val="BodyText"/>
    <w:link w:val="Heading4Char"/>
    <w:uiPriority w:val="9"/>
    <w:unhideWhenUsed/>
    <w:qFormat/>
    <w:rsid w:val="00635FF2"/>
    <w:pPr>
      <w:keepNext/>
      <w:keepLines/>
      <w:numPr>
        <w:ilvl w:val="3"/>
        <w:numId w:val="2"/>
      </w:numPr>
      <w:spacing w:before="60"/>
      <w:outlineLvl w:val="3"/>
    </w:pPr>
    <w:rPr>
      <w:rFonts w:eastAsia="Times New Roman"/>
      <w:iCs/>
      <w:color w:val="2F5496"/>
      <w:sz w:val="28"/>
    </w:rPr>
  </w:style>
  <w:style w:type="paragraph" w:styleId="Heading5">
    <w:name w:val="heading 5"/>
    <w:basedOn w:val="Normal"/>
    <w:next w:val="BodyText"/>
    <w:link w:val="Heading5Char"/>
    <w:uiPriority w:val="9"/>
    <w:unhideWhenUsed/>
    <w:qFormat/>
    <w:rsid w:val="00B85475"/>
    <w:pPr>
      <w:keepNext/>
      <w:keepLines/>
      <w:numPr>
        <w:ilvl w:val="4"/>
        <w:numId w:val="2"/>
      </w:numPr>
      <w:spacing w:before="60"/>
      <w:outlineLvl w:val="4"/>
    </w:pPr>
    <w:rPr>
      <w:rFonts w:eastAsia="Times New Roman"/>
      <w:b/>
      <w:color w:val="2F5496"/>
    </w:rPr>
  </w:style>
  <w:style w:type="paragraph" w:styleId="Heading6">
    <w:name w:val="heading 6"/>
    <w:basedOn w:val="Normal"/>
    <w:next w:val="BodyText"/>
    <w:link w:val="Heading6Char"/>
    <w:uiPriority w:val="9"/>
    <w:unhideWhenUsed/>
    <w:qFormat/>
    <w:rsid w:val="00B85475"/>
    <w:pPr>
      <w:keepNext/>
      <w:keepLines/>
      <w:numPr>
        <w:ilvl w:val="5"/>
        <w:numId w:val="2"/>
      </w:numPr>
      <w:spacing w:before="60"/>
      <w:outlineLvl w:val="5"/>
    </w:pPr>
    <w:rPr>
      <w:rFonts w:eastAsia="Times New Roman"/>
      <w:color w:val="2F5496"/>
      <w:u w:val="single"/>
    </w:rPr>
  </w:style>
  <w:style w:type="paragraph" w:styleId="Heading7">
    <w:name w:val="heading 7"/>
    <w:basedOn w:val="Normal"/>
    <w:next w:val="Normal"/>
    <w:link w:val="Heading7Char"/>
    <w:uiPriority w:val="9"/>
    <w:semiHidden/>
    <w:unhideWhenUsed/>
    <w:qFormat/>
    <w:rsid w:val="0002227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27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2227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4D13"/>
    <w:rPr>
      <w:rFonts w:eastAsia="Times New Roman"/>
      <w:color w:val="000000"/>
      <w:sz w:val="40"/>
      <w:szCs w:val="26"/>
      <w:lang w:eastAsia="en-US"/>
    </w:rPr>
  </w:style>
  <w:style w:type="character" w:customStyle="1" w:styleId="Heading3Char">
    <w:name w:val="Heading 3 Char"/>
    <w:link w:val="Heading3"/>
    <w:uiPriority w:val="9"/>
    <w:rsid w:val="00B85475"/>
    <w:rPr>
      <w:rFonts w:eastAsia="Times New Roman"/>
      <w:b/>
      <w:color w:val="2F5496"/>
      <w:sz w:val="32"/>
      <w:szCs w:val="24"/>
      <w:lang w:eastAsia="en-US"/>
    </w:rPr>
  </w:style>
  <w:style w:type="paragraph" w:styleId="BodyText">
    <w:name w:val="Body Text"/>
    <w:basedOn w:val="Normal"/>
    <w:link w:val="BodyTextChar"/>
    <w:uiPriority w:val="99"/>
    <w:unhideWhenUsed/>
    <w:qFormat/>
    <w:rsid w:val="00650E47"/>
    <w:pPr>
      <w:jc w:val="both"/>
    </w:pPr>
  </w:style>
  <w:style w:type="character" w:customStyle="1" w:styleId="BodyTextChar">
    <w:name w:val="Body Text Char"/>
    <w:basedOn w:val="DefaultParagraphFont"/>
    <w:link w:val="BodyText"/>
    <w:uiPriority w:val="99"/>
    <w:rsid w:val="00650E47"/>
    <w:rPr>
      <w:color w:val="000000"/>
      <w:sz w:val="24"/>
      <w:szCs w:val="22"/>
      <w:lang w:eastAsia="en-US"/>
    </w:rPr>
  </w:style>
  <w:style w:type="paragraph" w:styleId="BodyText2">
    <w:name w:val="Body Text 2"/>
    <w:basedOn w:val="Normal"/>
    <w:link w:val="BodyText2Char"/>
    <w:uiPriority w:val="99"/>
    <w:unhideWhenUsed/>
    <w:rsid w:val="0000012B"/>
    <w:pPr>
      <w:spacing w:line="480" w:lineRule="auto"/>
    </w:pPr>
  </w:style>
  <w:style w:type="character" w:customStyle="1" w:styleId="BodyText2Char">
    <w:name w:val="Body Text 2 Char"/>
    <w:basedOn w:val="DefaultParagraphFont"/>
    <w:link w:val="BodyText2"/>
    <w:uiPriority w:val="99"/>
    <w:rsid w:val="0000012B"/>
  </w:style>
  <w:style w:type="character" w:customStyle="1" w:styleId="Heading4Char">
    <w:name w:val="Heading 4 Char"/>
    <w:link w:val="Heading4"/>
    <w:uiPriority w:val="9"/>
    <w:rsid w:val="00635FF2"/>
    <w:rPr>
      <w:rFonts w:eastAsia="Times New Roman"/>
      <w:iCs/>
      <w:color w:val="2F5496"/>
      <w:sz w:val="28"/>
      <w:szCs w:val="22"/>
      <w:lang w:eastAsia="en-US"/>
    </w:rPr>
  </w:style>
  <w:style w:type="character" w:customStyle="1" w:styleId="Heading5Char">
    <w:name w:val="Heading 5 Char"/>
    <w:link w:val="Heading5"/>
    <w:uiPriority w:val="9"/>
    <w:rsid w:val="00B85475"/>
    <w:rPr>
      <w:rFonts w:eastAsia="Times New Roman"/>
      <w:b/>
      <w:color w:val="2F5496"/>
      <w:sz w:val="24"/>
      <w:szCs w:val="22"/>
      <w:lang w:eastAsia="en-US"/>
    </w:rPr>
  </w:style>
  <w:style w:type="character" w:customStyle="1" w:styleId="Heading1Char">
    <w:name w:val="Heading 1 Char"/>
    <w:link w:val="Heading1"/>
    <w:uiPriority w:val="9"/>
    <w:rsid w:val="002F4D13"/>
    <w:rPr>
      <w:rFonts w:eastAsia="Times New Roman"/>
      <w:b/>
      <w:sz w:val="60"/>
      <w:szCs w:val="32"/>
      <w:lang w:eastAsia="en-US"/>
    </w:rPr>
  </w:style>
  <w:style w:type="character" w:customStyle="1" w:styleId="Heading6Char">
    <w:name w:val="Heading 6 Char"/>
    <w:link w:val="Heading6"/>
    <w:uiPriority w:val="9"/>
    <w:rsid w:val="00B85475"/>
    <w:rPr>
      <w:rFonts w:eastAsia="Times New Roman"/>
      <w:color w:val="2F5496"/>
      <w:sz w:val="24"/>
      <w:szCs w:val="22"/>
      <w:u w:val="single"/>
      <w:lang w:eastAsia="en-US"/>
    </w:rPr>
  </w:style>
  <w:style w:type="paragraph" w:styleId="Title">
    <w:name w:val="Title"/>
    <w:basedOn w:val="Normal"/>
    <w:next w:val="Normal"/>
    <w:link w:val="TitleChar"/>
    <w:uiPriority w:val="10"/>
    <w:qFormat/>
    <w:rsid w:val="00DD526A"/>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DD526A"/>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qFormat/>
    <w:rsid w:val="00DD526A"/>
    <w:pPr>
      <w:numPr>
        <w:ilvl w:val="1"/>
      </w:numPr>
    </w:pPr>
    <w:rPr>
      <w:rFonts w:eastAsia="Times New Roman"/>
      <w:color w:val="5A5A5A"/>
      <w:spacing w:val="15"/>
    </w:rPr>
  </w:style>
  <w:style w:type="character" w:customStyle="1" w:styleId="SubtitleChar">
    <w:name w:val="Subtitle Char"/>
    <w:link w:val="Subtitle"/>
    <w:rsid w:val="00DD526A"/>
    <w:rPr>
      <w:rFonts w:eastAsia="Times New Roman"/>
      <w:color w:val="5A5A5A"/>
      <w:spacing w:val="15"/>
    </w:rPr>
  </w:style>
  <w:style w:type="character" w:styleId="SubtleEmphasis">
    <w:name w:val="Subtle Emphasis"/>
    <w:uiPriority w:val="19"/>
    <w:qFormat/>
    <w:rsid w:val="00DD526A"/>
    <w:rPr>
      <w:i/>
      <w:iCs/>
      <w:color w:val="404040"/>
    </w:rPr>
  </w:style>
  <w:style w:type="character" w:styleId="Emphasis">
    <w:name w:val="Emphasis"/>
    <w:uiPriority w:val="20"/>
    <w:qFormat/>
    <w:rsid w:val="00DD526A"/>
    <w:rPr>
      <w:i/>
      <w:iCs/>
    </w:rPr>
  </w:style>
  <w:style w:type="character" w:styleId="IntenseEmphasis">
    <w:name w:val="Intense Emphasis"/>
    <w:uiPriority w:val="21"/>
    <w:qFormat/>
    <w:rsid w:val="00DD526A"/>
    <w:rPr>
      <w:i/>
      <w:iCs/>
      <w:color w:val="4472C4"/>
    </w:rPr>
  </w:style>
  <w:style w:type="paragraph" w:styleId="NormalWeb">
    <w:name w:val="Normal (Web)"/>
    <w:basedOn w:val="Normal"/>
    <w:uiPriority w:val="99"/>
    <w:semiHidden/>
    <w:unhideWhenUsed/>
    <w:rsid w:val="00074991"/>
    <w:pPr>
      <w:spacing w:before="100" w:beforeAutospacing="1" w:after="100" w:afterAutospacing="1" w:line="240" w:lineRule="auto"/>
    </w:pPr>
    <w:rPr>
      <w:rFonts w:ascii="Times New Roman" w:eastAsia="Times New Roman" w:hAnsi="Times New Roman"/>
      <w:color w:val="auto"/>
      <w:szCs w:val="24"/>
      <w:lang w:eastAsia="en-AU"/>
    </w:rPr>
  </w:style>
  <w:style w:type="paragraph" w:styleId="TOC1">
    <w:name w:val="toc 1"/>
    <w:basedOn w:val="Normal"/>
    <w:next w:val="Normal"/>
    <w:autoRedefine/>
    <w:uiPriority w:val="39"/>
    <w:unhideWhenUsed/>
    <w:rsid w:val="00D41A20"/>
    <w:pPr>
      <w:spacing w:after="100"/>
    </w:pPr>
  </w:style>
  <w:style w:type="table" w:styleId="TableGrid">
    <w:name w:val="Table Grid"/>
    <w:basedOn w:val="TableNormal"/>
    <w:rsid w:val="00D41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50E47"/>
    <w:pPr>
      <w:spacing w:after="200" w:line="240" w:lineRule="auto"/>
    </w:pPr>
    <w:rPr>
      <w:b/>
      <w:iCs/>
      <w:color w:val="2F5496"/>
      <w:sz w:val="20"/>
      <w:szCs w:val="18"/>
    </w:rPr>
  </w:style>
  <w:style w:type="paragraph" w:styleId="Header">
    <w:name w:val="header"/>
    <w:basedOn w:val="Normal"/>
    <w:link w:val="HeaderChar"/>
    <w:uiPriority w:val="99"/>
    <w:unhideWhenUsed/>
    <w:rsid w:val="009F5AD3"/>
    <w:pPr>
      <w:tabs>
        <w:tab w:val="center" w:pos="4513"/>
        <w:tab w:val="right" w:pos="9026"/>
      </w:tabs>
      <w:spacing w:after="0" w:line="240" w:lineRule="auto"/>
    </w:pPr>
  </w:style>
  <w:style w:type="character" w:customStyle="1" w:styleId="HeaderChar">
    <w:name w:val="Header Char"/>
    <w:link w:val="Header"/>
    <w:uiPriority w:val="99"/>
    <w:rsid w:val="009F5AD3"/>
    <w:rPr>
      <w:color w:val="000000"/>
      <w:sz w:val="24"/>
    </w:rPr>
  </w:style>
  <w:style w:type="paragraph" w:styleId="Footer">
    <w:name w:val="footer"/>
    <w:basedOn w:val="Normal"/>
    <w:link w:val="FooterChar"/>
    <w:uiPriority w:val="99"/>
    <w:unhideWhenUsed/>
    <w:rsid w:val="009F5AD3"/>
    <w:pPr>
      <w:tabs>
        <w:tab w:val="center" w:pos="4513"/>
        <w:tab w:val="right" w:pos="9026"/>
      </w:tabs>
      <w:spacing w:after="0" w:line="240" w:lineRule="auto"/>
    </w:pPr>
  </w:style>
  <w:style w:type="character" w:customStyle="1" w:styleId="FooterChar">
    <w:name w:val="Footer Char"/>
    <w:link w:val="Footer"/>
    <w:uiPriority w:val="99"/>
    <w:rsid w:val="009F5AD3"/>
    <w:rPr>
      <w:color w:val="000000"/>
      <w:sz w:val="24"/>
    </w:rPr>
  </w:style>
  <w:style w:type="paragraph" w:styleId="BalloonText">
    <w:name w:val="Balloon Text"/>
    <w:basedOn w:val="Normal"/>
    <w:link w:val="BalloonTextChar"/>
    <w:uiPriority w:val="99"/>
    <w:semiHidden/>
    <w:unhideWhenUsed/>
    <w:rsid w:val="009F5A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AD3"/>
    <w:rPr>
      <w:rFonts w:ascii="Tahoma" w:hAnsi="Tahoma" w:cs="Tahoma"/>
      <w:color w:val="000000"/>
      <w:sz w:val="16"/>
      <w:szCs w:val="1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8294C"/>
    <w:pPr>
      <w:ind w:left="720"/>
      <w:contextualSpacing/>
    </w:pPr>
  </w:style>
  <w:style w:type="paragraph" w:styleId="FootnoteText">
    <w:name w:val="footnote text"/>
    <w:basedOn w:val="Normal"/>
    <w:link w:val="FootnoteTextChar"/>
    <w:unhideWhenUsed/>
    <w:rsid w:val="0018294C"/>
    <w:pPr>
      <w:spacing w:after="0" w:line="240" w:lineRule="auto"/>
    </w:pPr>
    <w:rPr>
      <w:sz w:val="20"/>
      <w:szCs w:val="20"/>
    </w:rPr>
  </w:style>
  <w:style w:type="character" w:customStyle="1" w:styleId="FootnoteTextChar">
    <w:name w:val="Footnote Text Char"/>
    <w:link w:val="FootnoteText"/>
    <w:rsid w:val="0018294C"/>
    <w:rPr>
      <w:color w:val="000000"/>
      <w:lang w:eastAsia="en-US"/>
    </w:rPr>
  </w:style>
  <w:style w:type="paragraph" w:styleId="BodyTextIndent">
    <w:name w:val="Body Text Indent"/>
    <w:basedOn w:val="Normal"/>
    <w:link w:val="BodyTextIndentChar"/>
    <w:uiPriority w:val="99"/>
    <w:semiHidden/>
    <w:unhideWhenUsed/>
    <w:rsid w:val="00650E47"/>
    <w:pPr>
      <w:ind w:left="283"/>
    </w:pPr>
  </w:style>
  <w:style w:type="character" w:customStyle="1" w:styleId="BodyTextIndentChar">
    <w:name w:val="Body Text Indent Char"/>
    <w:basedOn w:val="DefaultParagraphFont"/>
    <w:link w:val="BodyTextIndent"/>
    <w:uiPriority w:val="99"/>
    <w:semiHidden/>
    <w:rsid w:val="00650E47"/>
    <w:rPr>
      <w:color w:val="000000"/>
      <w:sz w:val="24"/>
      <w:szCs w:val="22"/>
      <w:lang w:eastAsia="en-US"/>
    </w:rPr>
  </w:style>
  <w:style w:type="paragraph" w:styleId="BodyTextFirstIndent2">
    <w:name w:val="Body Text First Indent 2"/>
    <w:basedOn w:val="BodyTextIndent"/>
    <w:link w:val="BodyTextFirstIndent2Char"/>
    <w:uiPriority w:val="99"/>
    <w:unhideWhenUsed/>
    <w:rsid w:val="00650E47"/>
    <w:pPr>
      <w:ind w:left="360" w:firstLine="360"/>
    </w:pPr>
  </w:style>
  <w:style w:type="character" w:customStyle="1" w:styleId="BodyTextFirstIndent2Char">
    <w:name w:val="Body Text First Indent 2 Char"/>
    <w:basedOn w:val="BodyTextIndentChar"/>
    <w:link w:val="BodyTextFirstIndent2"/>
    <w:uiPriority w:val="99"/>
    <w:rsid w:val="00650E47"/>
    <w:rPr>
      <w:color w:val="000000"/>
      <w:sz w:val="24"/>
      <w:szCs w:val="22"/>
      <w:lang w:eastAsia="en-US"/>
    </w:rPr>
  </w:style>
  <w:style w:type="character" w:customStyle="1" w:styleId="Heading7Char">
    <w:name w:val="Heading 7 Char"/>
    <w:basedOn w:val="DefaultParagraphFont"/>
    <w:link w:val="Heading7"/>
    <w:uiPriority w:val="9"/>
    <w:semiHidden/>
    <w:rsid w:val="0002227B"/>
    <w:rPr>
      <w:rFonts w:asciiTheme="majorHAnsi" w:eastAsiaTheme="majorEastAsia" w:hAnsiTheme="majorHAnsi" w:cstheme="majorBidi"/>
      <w:i/>
      <w:iCs/>
      <w:color w:val="404040" w:themeColor="text1" w:themeTint="BF"/>
      <w:sz w:val="24"/>
      <w:szCs w:val="22"/>
      <w:lang w:eastAsia="en-US"/>
    </w:rPr>
  </w:style>
  <w:style w:type="character" w:customStyle="1" w:styleId="Heading8Char">
    <w:name w:val="Heading 8 Char"/>
    <w:basedOn w:val="DefaultParagraphFont"/>
    <w:link w:val="Heading8"/>
    <w:uiPriority w:val="9"/>
    <w:semiHidden/>
    <w:rsid w:val="0002227B"/>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2227B"/>
    <w:rPr>
      <w:rFonts w:asciiTheme="majorHAnsi" w:eastAsiaTheme="majorEastAsia" w:hAnsiTheme="majorHAnsi" w:cstheme="majorBidi"/>
      <w:i/>
      <w:iCs/>
      <w:color w:val="404040" w:themeColor="text1" w:themeTint="BF"/>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4832D2"/>
    <w:rPr>
      <w:color w:val="000000"/>
      <w:sz w:val="24"/>
      <w:szCs w:val="22"/>
      <w:lang w:eastAsia="en-US"/>
    </w:rPr>
  </w:style>
  <w:style w:type="paragraph" w:customStyle="1" w:styleId="EndNoteBibliographyTitle">
    <w:name w:val="EndNote Bibliography Title"/>
    <w:basedOn w:val="Normal"/>
    <w:link w:val="EndNoteBibliographyTitleChar"/>
    <w:rsid w:val="00461E12"/>
    <w:pPr>
      <w:spacing w:after="0"/>
      <w:jc w:val="center"/>
    </w:pPr>
    <w:rPr>
      <w:rFonts w:cs="Calibri"/>
      <w:noProof/>
      <w:sz w:val="32"/>
      <w:lang w:val="en-US"/>
    </w:rPr>
  </w:style>
  <w:style w:type="character" w:customStyle="1" w:styleId="EndNoteBibliographyTitleChar">
    <w:name w:val="EndNote Bibliography Title Char"/>
    <w:basedOn w:val="DefaultParagraphFont"/>
    <w:link w:val="EndNoteBibliographyTitle"/>
    <w:rsid w:val="00461E12"/>
    <w:rPr>
      <w:rFonts w:cs="Calibri"/>
      <w:noProof/>
      <w:color w:val="000000"/>
      <w:sz w:val="32"/>
      <w:szCs w:val="22"/>
      <w:lang w:val="en-US" w:eastAsia="en-US"/>
    </w:rPr>
  </w:style>
  <w:style w:type="paragraph" w:customStyle="1" w:styleId="EndNoteBibliography">
    <w:name w:val="EndNote Bibliography"/>
    <w:basedOn w:val="Normal"/>
    <w:link w:val="EndNoteBibliographyChar"/>
    <w:rsid w:val="00461E12"/>
    <w:pPr>
      <w:spacing w:line="240" w:lineRule="auto"/>
    </w:pPr>
    <w:rPr>
      <w:rFonts w:cs="Calibri"/>
      <w:noProof/>
      <w:sz w:val="32"/>
      <w:lang w:val="en-US"/>
    </w:rPr>
  </w:style>
  <w:style w:type="character" w:customStyle="1" w:styleId="EndNoteBibliographyChar">
    <w:name w:val="EndNote Bibliography Char"/>
    <w:basedOn w:val="DefaultParagraphFont"/>
    <w:link w:val="EndNoteBibliography"/>
    <w:rsid w:val="00461E12"/>
    <w:rPr>
      <w:rFonts w:cs="Calibri"/>
      <w:noProof/>
      <w:color w:val="000000"/>
      <w:sz w:val="32"/>
      <w:szCs w:val="22"/>
      <w:lang w:val="en-US" w:eastAsia="en-US"/>
    </w:rPr>
  </w:style>
  <w:style w:type="character" w:styleId="Hyperlink">
    <w:name w:val="Hyperlink"/>
    <w:basedOn w:val="DefaultParagraphFont"/>
    <w:uiPriority w:val="99"/>
    <w:unhideWhenUsed/>
    <w:rsid w:val="00461E12"/>
    <w:rPr>
      <w:color w:val="0000FF" w:themeColor="hyperlink"/>
      <w:u w:val="single"/>
    </w:rPr>
  </w:style>
  <w:style w:type="character" w:styleId="FootnoteReference">
    <w:name w:val="footnote reference"/>
    <w:basedOn w:val="DefaultParagraphFont"/>
    <w:rsid w:val="00FC6BE0"/>
    <w:rPr>
      <w:vertAlign w:val="superscript"/>
    </w:rPr>
  </w:style>
  <w:style w:type="character" w:styleId="FollowedHyperlink">
    <w:name w:val="FollowedHyperlink"/>
    <w:basedOn w:val="DefaultParagraphFont"/>
    <w:uiPriority w:val="99"/>
    <w:semiHidden/>
    <w:unhideWhenUsed/>
    <w:rsid w:val="00650176"/>
    <w:rPr>
      <w:color w:val="800080" w:themeColor="followedHyperlink"/>
      <w:u w:val="single"/>
    </w:rPr>
  </w:style>
  <w:style w:type="paragraph" w:styleId="TOCHeading">
    <w:name w:val="TOC Heading"/>
    <w:basedOn w:val="Heading1"/>
    <w:next w:val="Normal"/>
    <w:uiPriority w:val="39"/>
    <w:unhideWhenUsed/>
    <w:qFormat/>
    <w:rsid w:val="00806CBF"/>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rsid w:val="00806CBF"/>
    <w:pPr>
      <w:spacing w:after="100"/>
      <w:ind w:left="240"/>
    </w:pPr>
  </w:style>
  <w:style w:type="paragraph" w:styleId="TOC3">
    <w:name w:val="toc 3"/>
    <w:basedOn w:val="Normal"/>
    <w:next w:val="Normal"/>
    <w:autoRedefine/>
    <w:uiPriority w:val="39"/>
    <w:unhideWhenUsed/>
    <w:rsid w:val="00806CBF"/>
    <w:pPr>
      <w:spacing w:after="100"/>
      <w:ind w:left="480"/>
    </w:pPr>
  </w:style>
  <w:style w:type="paragraph" w:styleId="NoSpacing">
    <w:name w:val="No Spacing"/>
    <w:uiPriority w:val="1"/>
    <w:qFormat/>
    <w:rsid w:val="00DC5F1C"/>
    <w:rPr>
      <w:color w:val="000000"/>
      <w:sz w:val="24"/>
      <w:szCs w:val="22"/>
      <w:lang w:eastAsia="en-US"/>
    </w:rPr>
  </w:style>
  <w:style w:type="character" w:styleId="CommentReference">
    <w:name w:val="annotation reference"/>
    <w:basedOn w:val="DefaultParagraphFont"/>
    <w:uiPriority w:val="99"/>
    <w:semiHidden/>
    <w:unhideWhenUsed/>
    <w:rsid w:val="006D16EE"/>
    <w:rPr>
      <w:sz w:val="16"/>
      <w:szCs w:val="16"/>
    </w:rPr>
  </w:style>
  <w:style w:type="paragraph" w:styleId="CommentText">
    <w:name w:val="annotation text"/>
    <w:basedOn w:val="Normal"/>
    <w:link w:val="CommentTextChar"/>
    <w:uiPriority w:val="99"/>
    <w:semiHidden/>
    <w:unhideWhenUsed/>
    <w:rsid w:val="006D16EE"/>
    <w:pPr>
      <w:spacing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semiHidden/>
    <w:rsid w:val="006D16EE"/>
    <w:rPr>
      <w:rFonts w:ascii="Times New Roman" w:eastAsiaTheme="minorHAns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38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ho.int/csr/resources/publications/HSE_GAR_ARO_2012_1/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olioeradication.org/where-we-work/" TargetMode="External"/><Relationship Id="rId17" Type="http://schemas.openxmlformats.org/officeDocument/2006/relationships/hyperlink" Target="https://www.unicef.org/eap/reports/snapshot-water-and-sanitation-pacific" TargetMode="External"/><Relationship Id="rId2" Type="http://schemas.openxmlformats.org/officeDocument/2006/relationships/numbering" Target="numbering.xml"/><Relationship Id="rId16" Type="http://schemas.openxmlformats.org/officeDocument/2006/relationships/hyperlink" Target="https://data.humdata.org/dataset/world-wash-dat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oeradication.org" TargetMode="External"/><Relationship Id="rId5" Type="http://schemas.openxmlformats.org/officeDocument/2006/relationships/webSettings" Target="webSettings.xml"/><Relationship Id="rId15" Type="http://schemas.openxmlformats.org/officeDocument/2006/relationships/hyperlink" Target="https://data.unicef.org/topic/child-health/immunization/" TargetMode="Externa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qualtric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lioeradication.org/where-w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BCB40-C189-44A3-8091-DFE5D2ED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12546</Words>
  <Characters>71516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A poliovirus reintroduction and outbreak risk assessment methodology for Australia</vt:lpstr>
    </vt:vector>
  </TitlesOfParts>
  <Company/>
  <LinksUpToDate>false</LinksUpToDate>
  <CharactersWithSpaces>83895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poliovirus reintroduction and outbreak risk assessment methodology for Australia</dc:title>
  <dc:creator>Australian Government Department of Health</dc:creator>
  <cp:keywords>Communicable diseases</cp:keywords>
  <cp:lastModifiedBy>HOWARD, Sophie</cp:lastModifiedBy>
  <cp:revision>3</cp:revision>
  <cp:lastPrinted>2019-08-08T06:37:00Z</cp:lastPrinted>
  <dcterms:created xsi:type="dcterms:W3CDTF">2022-05-26T00:54:00Z</dcterms:created>
  <dcterms:modified xsi:type="dcterms:W3CDTF">2022-05-26T01:10:00Z</dcterms:modified>
</cp:coreProperties>
</file>