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line="259" w:lineRule="auto"/>
        <w:rPr>
          <w:b w:val="0"/>
        </w:rPr>
      </w:pPr>
      <w:r>
        <w:rPr>
          <w:b w:val="0"/>
          <w:color w:val="2D74B5"/>
        </w:rPr>
        <w:t>MAIF</w:t>
      </w:r>
      <w:r>
        <w:rPr>
          <w:b w:val="0"/>
          <w:color w:val="2D74B5"/>
          <w:spacing w:val="-6"/>
        </w:rPr>
        <w:t> </w:t>
      </w:r>
      <w:r>
        <w:rPr>
          <w:b w:val="0"/>
          <w:color w:val="2D74B5"/>
        </w:rPr>
        <w:t>Complaint</w:t>
      </w:r>
      <w:r>
        <w:rPr>
          <w:b w:val="0"/>
          <w:color w:val="2D74B5"/>
          <w:spacing w:val="-3"/>
        </w:rPr>
        <w:t> </w:t>
      </w:r>
      <w:r>
        <w:rPr>
          <w:b w:val="0"/>
          <w:color w:val="2D74B5"/>
        </w:rPr>
        <w:t>Committee’s</w:t>
      </w:r>
      <w:r>
        <w:rPr>
          <w:b w:val="0"/>
          <w:color w:val="2D74B5"/>
          <w:spacing w:val="-7"/>
        </w:rPr>
        <w:t> </w:t>
      </w:r>
      <w:r>
        <w:rPr>
          <w:b w:val="0"/>
          <w:color w:val="2D74B5"/>
        </w:rPr>
        <w:t>interpretation</w:t>
      </w:r>
      <w:r>
        <w:rPr>
          <w:b w:val="0"/>
          <w:color w:val="2D74B5"/>
          <w:spacing w:val="-6"/>
        </w:rPr>
        <w:t> </w:t>
      </w:r>
      <w:r>
        <w:rPr>
          <w:b w:val="0"/>
          <w:color w:val="2D74B5"/>
        </w:rPr>
        <w:t>of</w:t>
      </w:r>
      <w:r>
        <w:rPr>
          <w:b w:val="0"/>
          <w:color w:val="2D74B5"/>
          <w:spacing w:val="-3"/>
        </w:rPr>
        <w:t> </w:t>
      </w:r>
      <w:r>
        <w:rPr>
          <w:b w:val="0"/>
          <w:color w:val="2D74B5"/>
        </w:rPr>
        <w:t>Clause</w:t>
      </w:r>
      <w:r>
        <w:rPr>
          <w:b w:val="0"/>
          <w:color w:val="2D74B5"/>
          <w:spacing w:val="-5"/>
        </w:rPr>
        <w:t> </w:t>
      </w:r>
      <w:r>
        <w:rPr>
          <w:b w:val="0"/>
          <w:color w:val="2D74B5"/>
        </w:rPr>
        <w:t>7(a)</w:t>
      </w:r>
      <w:r>
        <w:rPr>
          <w:b w:val="0"/>
          <w:color w:val="2D74B5"/>
          <w:spacing w:val="-5"/>
        </w:rPr>
        <w:t> </w:t>
      </w:r>
      <w:r>
        <w:rPr>
          <w:b w:val="0"/>
          <w:color w:val="2D74B5"/>
        </w:rPr>
        <w:t>of</w:t>
      </w:r>
      <w:r>
        <w:rPr>
          <w:b w:val="0"/>
          <w:color w:val="2D74B5"/>
          <w:spacing w:val="-5"/>
        </w:rPr>
        <w:t> </w:t>
      </w:r>
      <w:r>
        <w:rPr>
          <w:b w:val="0"/>
          <w:color w:val="2D74B5"/>
        </w:rPr>
        <w:t>the MAIF Agreement relating to scientific and factual information provided to health care professionals</w:t>
      </w:r>
    </w:p>
    <w:p>
      <w:pPr>
        <w:pStyle w:val="BodyText"/>
        <w:rPr>
          <w:b w:val="0"/>
          <w:sz w:val="32"/>
        </w:rPr>
      </w:pPr>
    </w:p>
    <w:p>
      <w:pPr>
        <w:spacing w:line="256" w:lineRule="auto" w:before="204"/>
        <w:ind w:left="222" w:right="155" w:firstLine="0"/>
        <w:jc w:val="left"/>
        <w:rPr>
          <w:b w:val="0"/>
          <w:i/>
          <w:sz w:val="24"/>
        </w:rPr>
      </w:pPr>
      <w:r>
        <w:rPr>
          <w:b w:val="0"/>
          <w:sz w:val="24"/>
        </w:rPr>
        <w:t>7(a) </w:t>
      </w:r>
      <w:r>
        <w:rPr>
          <w:b w:val="0"/>
          <w:i/>
          <w:sz w:val="24"/>
        </w:rPr>
        <w:t>Manufacturers and importers of infant formulas providing information about the</w:t>
      </w:r>
      <w:r>
        <w:rPr>
          <w:b w:val="0"/>
          <w:i/>
          <w:sz w:val="24"/>
        </w:rPr>
        <w:t> formulas</w:t>
      </w:r>
      <w:r>
        <w:rPr>
          <w:b w:val="0"/>
          <w:i/>
          <w:spacing w:val="-4"/>
          <w:sz w:val="24"/>
        </w:rPr>
        <w:t> </w:t>
      </w:r>
      <w:r>
        <w:rPr>
          <w:b w:val="0"/>
          <w:i/>
          <w:sz w:val="24"/>
        </w:rPr>
        <w:t>to</w:t>
      </w:r>
      <w:r>
        <w:rPr>
          <w:b w:val="0"/>
          <w:i/>
          <w:spacing w:val="-4"/>
          <w:sz w:val="24"/>
        </w:rPr>
        <w:t> </w:t>
      </w:r>
      <w:r>
        <w:rPr>
          <w:b w:val="0"/>
          <w:i/>
          <w:sz w:val="24"/>
        </w:rPr>
        <w:t>health</w:t>
      </w:r>
      <w:r>
        <w:rPr>
          <w:b w:val="0"/>
          <w:i/>
          <w:spacing w:val="-2"/>
          <w:sz w:val="24"/>
        </w:rPr>
        <w:t> </w:t>
      </w:r>
      <w:r>
        <w:rPr>
          <w:b w:val="0"/>
          <w:i/>
          <w:sz w:val="24"/>
        </w:rPr>
        <w:t>care</w:t>
      </w:r>
      <w:r>
        <w:rPr>
          <w:b w:val="0"/>
          <w:i/>
          <w:spacing w:val="-2"/>
          <w:sz w:val="24"/>
        </w:rPr>
        <w:t> </w:t>
      </w:r>
      <w:r>
        <w:rPr>
          <w:b w:val="0"/>
          <w:i/>
          <w:sz w:val="24"/>
        </w:rPr>
        <w:t>professionals</w:t>
      </w:r>
      <w:r>
        <w:rPr>
          <w:b w:val="0"/>
          <w:i/>
          <w:spacing w:val="-2"/>
          <w:sz w:val="24"/>
        </w:rPr>
        <w:t> </w:t>
      </w:r>
      <w:r>
        <w:rPr>
          <w:b w:val="0"/>
          <w:i/>
          <w:sz w:val="24"/>
        </w:rPr>
        <w:t>should</w:t>
      </w:r>
      <w:r>
        <w:rPr>
          <w:b w:val="0"/>
          <w:i/>
          <w:spacing w:val="-2"/>
          <w:sz w:val="24"/>
        </w:rPr>
        <w:t> </w:t>
      </w:r>
      <w:r>
        <w:rPr>
          <w:b w:val="0"/>
          <w:i/>
          <w:sz w:val="24"/>
        </w:rPr>
        <w:t>restrict</w:t>
      </w:r>
      <w:r>
        <w:rPr>
          <w:b w:val="0"/>
          <w:i/>
          <w:spacing w:val="-2"/>
          <w:sz w:val="24"/>
        </w:rPr>
        <w:t> </w:t>
      </w:r>
      <w:r>
        <w:rPr>
          <w:b w:val="0"/>
          <w:i/>
          <w:sz w:val="24"/>
        </w:rPr>
        <w:t>the</w:t>
      </w:r>
      <w:r>
        <w:rPr>
          <w:b w:val="0"/>
          <w:i/>
          <w:spacing w:val="-5"/>
          <w:sz w:val="24"/>
        </w:rPr>
        <w:t> </w:t>
      </w:r>
      <w:r>
        <w:rPr>
          <w:b w:val="0"/>
          <w:i/>
          <w:sz w:val="24"/>
        </w:rPr>
        <w:t>information</w:t>
      </w:r>
      <w:r>
        <w:rPr>
          <w:b w:val="0"/>
          <w:i/>
          <w:spacing w:val="-4"/>
          <w:sz w:val="24"/>
        </w:rPr>
        <w:t> </w:t>
      </w:r>
      <w:r>
        <w:rPr>
          <w:b w:val="0"/>
          <w:i/>
          <w:sz w:val="24"/>
        </w:rPr>
        <w:t>to</w:t>
      </w:r>
      <w:r>
        <w:rPr>
          <w:b w:val="0"/>
          <w:i/>
          <w:spacing w:val="-4"/>
          <w:sz w:val="24"/>
        </w:rPr>
        <w:t> </w:t>
      </w:r>
      <w:r>
        <w:rPr>
          <w:b w:val="0"/>
          <w:i/>
          <w:sz w:val="24"/>
        </w:rPr>
        <w:t>scientific</w:t>
      </w:r>
      <w:r>
        <w:rPr>
          <w:b w:val="0"/>
          <w:i/>
          <w:spacing w:val="-2"/>
          <w:sz w:val="24"/>
        </w:rPr>
        <w:t> </w:t>
      </w:r>
      <w:r>
        <w:rPr>
          <w:b w:val="0"/>
          <w:i/>
          <w:sz w:val="24"/>
        </w:rPr>
        <w:t>and</w:t>
      </w:r>
      <w:r>
        <w:rPr>
          <w:b w:val="0"/>
          <w:i/>
          <w:spacing w:val="-2"/>
          <w:sz w:val="24"/>
        </w:rPr>
        <w:t> </w:t>
      </w:r>
      <w:r>
        <w:rPr>
          <w:b w:val="0"/>
          <w:i/>
          <w:sz w:val="24"/>
        </w:rPr>
        <w:t>factual </w:t>
      </w:r>
      <w:r>
        <w:rPr>
          <w:b w:val="0"/>
          <w:i/>
          <w:spacing w:val="-2"/>
          <w:sz w:val="24"/>
        </w:rPr>
        <w:t>matters.</w:t>
      </w:r>
    </w:p>
    <w:p>
      <w:pPr>
        <w:spacing w:line="259" w:lineRule="auto" w:before="118"/>
        <w:ind w:left="222" w:right="155" w:firstLine="0"/>
        <w:jc w:val="left"/>
        <w:rPr>
          <w:b w:val="0"/>
          <w:i/>
          <w:sz w:val="24"/>
        </w:rPr>
      </w:pPr>
      <w:r>
        <w:rPr>
          <w:b w:val="0"/>
          <w:sz w:val="24"/>
        </w:rPr>
        <w:t>Scientific information about infant formulas that</w:t>
      </w:r>
      <w:r>
        <w:rPr>
          <w:b w:val="0"/>
          <w:spacing w:val="-1"/>
          <w:sz w:val="24"/>
        </w:rPr>
        <w:t> </w:t>
      </w:r>
      <w:r>
        <w:rPr>
          <w:b w:val="0"/>
          <w:sz w:val="24"/>
        </w:rPr>
        <w:t>is provided to health care professionals by manufacturers</w:t>
      </w:r>
      <w:r>
        <w:rPr>
          <w:b w:val="0"/>
          <w:spacing w:val="-3"/>
          <w:sz w:val="24"/>
        </w:rPr>
        <w:t> </w:t>
      </w:r>
      <w:r>
        <w:rPr>
          <w:b w:val="0"/>
          <w:sz w:val="24"/>
        </w:rPr>
        <w:t>and</w:t>
      </w:r>
      <w:r>
        <w:rPr>
          <w:b w:val="0"/>
          <w:spacing w:val="-3"/>
          <w:sz w:val="24"/>
        </w:rPr>
        <w:t> </w:t>
      </w:r>
      <w:r>
        <w:rPr>
          <w:b w:val="0"/>
          <w:sz w:val="24"/>
        </w:rPr>
        <w:t>importers</w:t>
      </w:r>
      <w:r>
        <w:rPr>
          <w:b w:val="0"/>
          <w:spacing w:val="-3"/>
          <w:sz w:val="24"/>
        </w:rPr>
        <w:t> </w:t>
      </w:r>
      <w:r>
        <w:rPr>
          <w:b w:val="0"/>
          <w:sz w:val="24"/>
        </w:rPr>
        <w:t>should</w:t>
      </w:r>
      <w:r>
        <w:rPr>
          <w:b w:val="0"/>
          <w:spacing w:val="-3"/>
          <w:sz w:val="24"/>
        </w:rPr>
        <w:t> </w:t>
      </w:r>
      <w:r>
        <w:rPr>
          <w:b w:val="0"/>
          <w:sz w:val="24"/>
        </w:rPr>
        <w:t>reflect</w:t>
      </w:r>
      <w:r>
        <w:rPr>
          <w:b w:val="0"/>
          <w:spacing w:val="-3"/>
          <w:sz w:val="24"/>
        </w:rPr>
        <w:t> </w:t>
      </w:r>
      <w:r>
        <w:rPr>
          <w:b w:val="0"/>
          <w:sz w:val="24"/>
        </w:rPr>
        <w:t>the</w:t>
      </w:r>
      <w:r>
        <w:rPr>
          <w:b w:val="0"/>
          <w:spacing w:val="-5"/>
          <w:sz w:val="24"/>
        </w:rPr>
        <w:t> </w:t>
      </w:r>
      <w:r>
        <w:rPr>
          <w:b w:val="0"/>
          <w:sz w:val="24"/>
        </w:rPr>
        <w:t>totality</w:t>
      </w:r>
      <w:r>
        <w:rPr>
          <w:b w:val="0"/>
          <w:spacing w:val="-4"/>
          <w:sz w:val="24"/>
        </w:rPr>
        <w:t> </w:t>
      </w:r>
      <w:r>
        <w:rPr>
          <w:b w:val="0"/>
          <w:sz w:val="24"/>
        </w:rPr>
        <w:t>of</w:t>
      </w:r>
      <w:r>
        <w:rPr>
          <w:b w:val="0"/>
          <w:spacing w:val="-3"/>
          <w:sz w:val="24"/>
        </w:rPr>
        <w:t> </w:t>
      </w:r>
      <w:r>
        <w:rPr>
          <w:b w:val="0"/>
          <w:sz w:val="24"/>
        </w:rPr>
        <w:t>the</w:t>
      </w:r>
      <w:r>
        <w:rPr>
          <w:b w:val="0"/>
          <w:spacing w:val="-5"/>
          <w:sz w:val="24"/>
        </w:rPr>
        <w:t> </w:t>
      </w:r>
      <w:r>
        <w:rPr>
          <w:b w:val="0"/>
          <w:sz w:val="24"/>
        </w:rPr>
        <w:t>evidence.</w:t>
      </w:r>
      <w:r>
        <w:rPr>
          <w:b w:val="0"/>
          <w:spacing w:val="-5"/>
          <w:sz w:val="24"/>
        </w:rPr>
        <w:t> </w:t>
      </w:r>
      <w:r>
        <w:rPr>
          <w:b w:val="0"/>
          <w:sz w:val="24"/>
        </w:rPr>
        <w:t>Manufacturers</w:t>
      </w:r>
      <w:r>
        <w:rPr>
          <w:b w:val="0"/>
          <w:spacing w:val="-3"/>
          <w:sz w:val="24"/>
        </w:rPr>
        <w:t> </w:t>
      </w:r>
      <w:r>
        <w:rPr>
          <w:b w:val="0"/>
          <w:sz w:val="24"/>
        </w:rPr>
        <w:t>and importers should continue to take note of the APMAIF Interpretation (February 1993) </w:t>
      </w:r>
      <w:r>
        <w:rPr>
          <w:b w:val="0"/>
          <w:i/>
          <w:sz w:val="24"/>
        </w:rPr>
        <w:t>“Scientific information should reflect the current scientific knowledge in total, not simply</w:t>
      </w:r>
      <w:r>
        <w:rPr>
          <w:b w:val="0"/>
          <w:i/>
          <w:sz w:val="24"/>
        </w:rPr>
        <w:t> selective parts that can be used in a misleading way”.</w:t>
      </w:r>
    </w:p>
    <w:p>
      <w:pPr>
        <w:pStyle w:val="BodyText"/>
        <w:spacing w:line="259" w:lineRule="auto" w:before="117"/>
        <w:ind w:left="222" w:right="74"/>
        <w:rPr>
          <w:b w:val="0"/>
        </w:rPr>
      </w:pPr>
      <w:r>
        <w:rPr>
          <w:b w:val="0"/>
        </w:rPr>
        <w:t>Scientific claims should be supported by a reference to the scientific literature and the cited publication/s</w:t>
      </w:r>
      <w:r>
        <w:rPr>
          <w:b w:val="0"/>
          <w:spacing w:val="-2"/>
        </w:rPr>
        <w:t> </w:t>
      </w:r>
      <w:r>
        <w:rPr>
          <w:b w:val="0"/>
        </w:rPr>
        <w:t>should</w:t>
      </w:r>
      <w:r>
        <w:rPr>
          <w:b w:val="0"/>
          <w:spacing w:val="-2"/>
        </w:rPr>
        <w:t> </w:t>
      </w:r>
      <w:r>
        <w:rPr>
          <w:b w:val="0"/>
        </w:rPr>
        <w:t>be</w:t>
      </w:r>
      <w:r>
        <w:rPr>
          <w:b w:val="0"/>
          <w:spacing w:val="-4"/>
        </w:rPr>
        <w:t> </w:t>
      </w:r>
      <w:r>
        <w:rPr>
          <w:b w:val="0"/>
        </w:rPr>
        <w:t>relevant</w:t>
      </w:r>
      <w:r>
        <w:rPr>
          <w:b w:val="0"/>
          <w:spacing w:val="-2"/>
        </w:rPr>
        <w:t> </w:t>
      </w:r>
      <w:r>
        <w:rPr>
          <w:b w:val="0"/>
        </w:rPr>
        <w:t>and</w:t>
      </w:r>
      <w:r>
        <w:rPr>
          <w:b w:val="0"/>
          <w:spacing w:val="-2"/>
        </w:rPr>
        <w:t> </w:t>
      </w:r>
      <w:r>
        <w:rPr>
          <w:b w:val="0"/>
        </w:rPr>
        <w:t>have</w:t>
      </w:r>
      <w:r>
        <w:rPr>
          <w:b w:val="0"/>
          <w:spacing w:val="-4"/>
        </w:rPr>
        <w:t> </w:t>
      </w:r>
      <w:r>
        <w:rPr>
          <w:b w:val="0"/>
        </w:rPr>
        <w:t>been</w:t>
      </w:r>
      <w:r>
        <w:rPr>
          <w:b w:val="0"/>
          <w:spacing w:val="-2"/>
        </w:rPr>
        <w:t> </w:t>
      </w:r>
      <w:r>
        <w:rPr>
          <w:b w:val="0"/>
        </w:rPr>
        <w:t>published</w:t>
      </w:r>
      <w:r>
        <w:rPr>
          <w:b w:val="0"/>
          <w:spacing w:val="-2"/>
        </w:rPr>
        <w:t> </w:t>
      </w:r>
      <w:r>
        <w:rPr>
          <w:b w:val="0"/>
        </w:rPr>
        <w:t>in</w:t>
      </w:r>
      <w:r>
        <w:rPr>
          <w:b w:val="0"/>
          <w:spacing w:val="-2"/>
        </w:rPr>
        <w:t> </w:t>
      </w:r>
      <w:r>
        <w:rPr>
          <w:b w:val="0"/>
        </w:rPr>
        <w:t>a</w:t>
      </w:r>
      <w:r>
        <w:rPr>
          <w:b w:val="0"/>
          <w:spacing w:val="-3"/>
        </w:rPr>
        <w:t> </w:t>
      </w:r>
      <w:r>
        <w:rPr>
          <w:b w:val="0"/>
        </w:rPr>
        <w:t>peer</w:t>
      </w:r>
      <w:r>
        <w:rPr>
          <w:b w:val="0"/>
          <w:spacing w:val="-4"/>
        </w:rPr>
        <w:t> </w:t>
      </w:r>
      <w:r>
        <w:rPr>
          <w:b w:val="0"/>
        </w:rPr>
        <w:t>reviewed</w:t>
      </w:r>
      <w:r>
        <w:rPr>
          <w:b w:val="0"/>
          <w:spacing w:val="-2"/>
        </w:rPr>
        <w:t> </w:t>
      </w:r>
      <w:r>
        <w:rPr>
          <w:b w:val="0"/>
        </w:rPr>
        <w:t>journal.</w:t>
      </w:r>
      <w:r>
        <w:rPr>
          <w:b w:val="0"/>
          <w:spacing w:val="-4"/>
        </w:rPr>
        <w:t> </w:t>
      </w:r>
      <w:r>
        <w:rPr>
          <w:b w:val="0"/>
        </w:rPr>
        <w:t>If</w:t>
      </w:r>
      <w:r>
        <w:rPr>
          <w:b w:val="0"/>
          <w:spacing w:val="-2"/>
        </w:rPr>
        <w:t> </w:t>
      </w:r>
      <w:r>
        <w:rPr>
          <w:b w:val="0"/>
        </w:rPr>
        <w:t>this</w:t>
      </w:r>
      <w:r>
        <w:rPr>
          <w:b w:val="0"/>
          <w:spacing w:val="-2"/>
        </w:rPr>
        <w:t> </w:t>
      </w:r>
      <w:r>
        <w:rPr>
          <w:b w:val="0"/>
        </w:rPr>
        <w:t>is not possible, the manufacturer should be able to</w:t>
      </w:r>
      <w:r>
        <w:rPr>
          <w:b w:val="0"/>
          <w:spacing w:val="-1"/>
        </w:rPr>
        <w:t> </w:t>
      </w:r>
      <w:r>
        <w:rPr>
          <w:b w:val="0"/>
        </w:rPr>
        <w:t>provide the MAIF Complaints Committee, if requested, with supporting evidence and the rationale for supporting the scientific claims with that evidence.</w:t>
      </w:r>
    </w:p>
    <w:p>
      <w:pPr>
        <w:pStyle w:val="BodyText"/>
        <w:spacing w:line="259" w:lineRule="auto" w:before="119"/>
        <w:ind w:left="222" w:right="105"/>
        <w:rPr>
          <w:b w:val="0"/>
        </w:rPr>
      </w:pPr>
      <w:r>
        <w:rPr>
          <w:b w:val="0"/>
        </w:rPr>
        <w:t>The language used in scientific claims should reflect the quality and strength of the supporting</w:t>
      </w:r>
      <w:r>
        <w:rPr>
          <w:b w:val="0"/>
          <w:spacing w:val="-2"/>
        </w:rPr>
        <w:t> </w:t>
      </w:r>
      <w:r>
        <w:rPr>
          <w:b w:val="0"/>
        </w:rPr>
        <w:t>reference(s)/</w:t>
      </w:r>
      <w:r>
        <w:rPr>
          <w:b w:val="0"/>
          <w:spacing w:val="-3"/>
        </w:rPr>
        <w:t> </w:t>
      </w:r>
      <w:r>
        <w:rPr>
          <w:b w:val="0"/>
        </w:rPr>
        <w:t>evidence</w:t>
      </w:r>
      <w:r>
        <w:rPr>
          <w:b w:val="0"/>
          <w:spacing w:val="-4"/>
        </w:rPr>
        <w:t> </w:t>
      </w:r>
      <w:r>
        <w:rPr>
          <w:b w:val="0"/>
        </w:rPr>
        <w:t>and</w:t>
      </w:r>
      <w:r>
        <w:rPr>
          <w:b w:val="0"/>
          <w:spacing w:val="-2"/>
        </w:rPr>
        <w:t> </w:t>
      </w:r>
      <w:r>
        <w:rPr>
          <w:b w:val="0"/>
        </w:rPr>
        <w:t>have</w:t>
      </w:r>
      <w:r>
        <w:rPr>
          <w:b w:val="0"/>
          <w:spacing w:val="-4"/>
        </w:rPr>
        <w:t> </w:t>
      </w:r>
      <w:r>
        <w:rPr>
          <w:b w:val="0"/>
        </w:rPr>
        <w:t>regard</w:t>
      </w:r>
      <w:r>
        <w:rPr>
          <w:b w:val="0"/>
          <w:spacing w:val="-2"/>
        </w:rPr>
        <w:t> </w:t>
      </w:r>
      <w:r>
        <w:rPr>
          <w:b w:val="0"/>
        </w:rPr>
        <w:t>to</w:t>
      </w:r>
      <w:r>
        <w:rPr>
          <w:b w:val="0"/>
          <w:spacing w:val="-3"/>
        </w:rPr>
        <w:t> </w:t>
      </w:r>
      <w:r>
        <w:rPr>
          <w:b w:val="0"/>
        </w:rPr>
        <w:t>the</w:t>
      </w:r>
      <w:r>
        <w:rPr>
          <w:b w:val="0"/>
          <w:spacing w:val="-4"/>
        </w:rPr>
        <w:t> </w:t>
      </w:r>
      <w:r>
        <w:rPr>
          <w:b w:val="0"/>
        </w:rPr>
        <w:t>NHMRC</w:t>
      </w:r>
      <w:r>
        <w:rPr>
          <w:b w:val="0"/>
          <w:spacing w:val="-4"/>
        </w:rPr>
        <w:t> </w:t>
      </w:r>
      <w:r>
        <w:rPr>
          <w:b w:val="0"/>
        </w:rPr>
        <w:t>Evidence</w:t>
      </w:r>
      <w:r>
        <w:rPr>
          <w:b w:val="0"/>
          <w:spacing w:val="-4"/>
        </w:rPr>
        <w:t> </w:t>
      </w:r>
      <w:r>
        <w:rPr>
          <w:b w:val="0"/>
        </w:rPr>
        <w:t>Hierarchy</w:t>
      </w:r>
      <w:hyperlink w:history="true" w:anchor="_bookmark0">
        <w:r>
          <w:rPr>
            <w:b w:val="0"/>
            <w:vertAlign w:val="superscript"/>
          </w:rPr>
          <w:t>1</w:t>
        </w:r>
      </w:hyperlink>
      <w:r>
        <w:rPr>
          <w:b w:val="0"/>
          <w:vertAlign w:val="baseline"/>
        </w:rPr>
        <w:t>,</w:t>
      </w:r>
      <w:r>
        <w:rPr>
          <w:b w:val="0"/>
          <w:spacing w:val="-4"/>
          <w:vertAlign w:val="baseline"/>
        </w:rPr>
        <w:t> </w:t>
      </w:r>
      <w:r>
        <w:rPr>
          <w:b w:val="0"/>
          <w:vertAlign w:val="baseline"/>
        </w:rPr>
        <w:t>while noting limitations on randomisation in nutrition studies involving methods of infant feeding.</w:t>
      </w:r>
    </w:p>
    <w:p>
      <w:pPr>
        <w:pStyle w:val="BodyText"/>
        <w:spacing w:line="259" w:lineRule="auto" w:before="119"/>
        <w:ind w:left="222" w:right="155"/>
        <w:rPr>
          <w:b w:val="0"/>
        </w:rPr>
      </w:pPr>
      <w:r>
        <w:rPr>
          <w:b w:val="0"/>
        </w:rPr>
        <w:t>Such</w:t>
      </w:r>
      <w:r>
        <w:rPr>
          <w:b w:val="0"/>
          <w:spacing w:val="-2"/>
        </w:rPr>
        <w:t> </w:t>
      </w:r>
      <w:r>
        <w:rPr>
          <w:b w:val="0"/>
        </w:rPr>
        <w:t>information</w:t>
      </w:r>
      <w:r>
        <w:rPr>
          <w:b w:val="0"/>
          <w:spacing w:val="-2"/>
        </w:rPr>
        <w:t> </w:t>
      </w:r>
      <w:r>
        <w:rPr>
          <w:b w:val="0"/>
        </w:rPr>
        <w:t>should</w:t>
      </w:r>
      <w:r>
        <w:rPr>
          <w:b w:val="0"/>
          <w:spacing w:val="-5"/>
        </w:rPr>
        <w:t> </w:t>
      </w:r>
      <w:r>
        <w:rPr>
          <w:b w:val="0"/>
        </w:rPr>
        <w:t>not</w:t>
      </w:r>
      <w:r>
        <w:rPr>
          <w:b w:val="0"/>
          <w:spacing w:val="-2"/>
        </w:rPr>
        <w:t> </w:t>
      </w:r>
      <w:r>
        <w:rPr>
          <w:b w:val="0"/>
        </w:rPr>
        <w:t>imply</w:t>
      </w:r>
      <w:r>
        <w:rPr>
          <w:b w:val="0"/>
          <w:spacing w:val="-3"/>
        </w:rPr>
        <w:t> </w:t>
      </w:r>
      <w:r>
        <w:rPr>
          <w:b w:val="0"/>
        </w:rPr>
        <w:t>or</w:t>
      </w:r>
      <w:r>
        <w:rPr>
          <w:b w:val="0"/>
          <w:spacing w:val="-4"/>
        </w:rPr>
        <w:t> </w:t>
      </w:r>
      <w:r>
        <w:rPr>
          <w:b w:val="0"/>
        </w:rPr>
        <w:t>create</w:t>
      </w:r>
      <w:r>
        <w:rPr>
          <w:b w:val="0"/>
          <w:spacing w:val="-3"/>
        </w:rPr>
        <w:t> </w:t>
      </w:r>
      <w:r>
        <w:rPr>
          <w:b w:val="0"/>
        </w:rPr>
        <w:t>a</w:t>
      </w:r>
      <w:r>
        <w:rPr>
          <w:b w:val="0"/>
          <w:spacing w:val="-3"/>
        </w:rPr>
        <w:t> </w:t>
      </w:r>
      <w:r>
        <w:rPr>
          <w:b w:val="0"/>
        </w:rPr>
        <w:t>belief</w:t>
      </w:r>
      <w:r>
        <w:rPr>
          <w:b w:val="0"/>
          <w:spacing w:val="-2"/>
        </w:rPr>
        <w:t> </w:t>
      </w:r>
      <w:r>
        <w:rPr>
          <w:b w:val="0"/>
        </w:rPr>
        <w:t>that</w:t>
      </w:r>
      <w:r>
        <w:rPr>
          <w:b w:val="0"/>
          <w:spacing w:val="-2"/>
        </w:rPr>
        <w:t> </w:t>
      </w:r>
      <w:r>
        <w:rPr>
          <w:b w:val="0"/>
        </w:rPr>
        <w:t>the</w:t>
      </w:r>
      <w:r>
        <w:rPr>
          <w:b w:val="0"/>
          <w:spacing w:val="-4"/>
        </w:rPr>
        <w:t> </w:t>
      </w:r>
      <w:r>
        <w:rPr>
          <w:b w:val="0"/>
        </w:rPr>
        <w:t>infant</w:t>
      </w:r>
      <w:r>
        <w:rPr>
          <w:b w:val="0"/>
          <w:spacing w:val="-5"/>
        </w:rPr>
        <w:t> </w:t>
      </w:r>
      <w:r>
        <w:rPr>
          <w:b w:val="0"/>
        </w:rPr>
        <w:t>formula</w:t>
      </w:r>
      <w:r>
        <w:rPr>
          <w:b w:val="0"/>
          <w:spacing w:val="-3"/>
        </w:rPr>
        <w:t> </w:t>
      </w:r>
      <w:r>
        <w:rPr>
          <w:b w:val="0"/>
        </w:rPr>
        <w:t>product</w:t>
      </w:r>
      <w:r>
        <w:rPr>
          <w:b w:val="0"/>
          <w:spacing w:val="-2"/>
        </w:rPr>
        <w:t> </w:t>
      </w:r>
      <w:r>
        <w:rPr>
          <w:b w:val="0"/>
        </w:rPr>
        <w:t>is equivalent or superior to breastfeeding.</w:t>
      </w: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12"/>
        <w:rPr>
          <w:b w:val="0"/>
          <w:sz w:val="26"/>
        </w:rPr>
      </w:pPr>
      <w:r>
        <w:rPr/>
        <w:pict>
          <v:rect style="position:absolute;margin-left:66.959999pt;margin-top:17.672579pt;width:144pt;height:.72pt;mso-position-horizontal-relative:page;mso-position-vertical-relative:paragraph;z-index:-15728640;mso-wrap-distance-left:0;mso-wrap-distance-right:0" id="docshape1" filled="true" fillcolor="#000000" stroked="false">
            <v:fill type="solid"/>
            <w10:wrap type="topAndBottom"/>
          </v:rect>
        </w:pict>
      </w:r>
    </w:p>
    <w:p>
      <w:pPr>
        <w:spacing w:line="256" w:lineRule="auto" w:before="102"/>
        <w:ind w:left="119" w:right="558" w:hanging="1"/>
        <w:jc w:val="left"/>
        <w:rPr>
          <w:b w:val="0"/>
          <w:sz w:val="20"/>
        </w:rPr>
      </w:pPr>
      <w:bookmarkStart w:name="_bookmark0" w:id="1"/>
      <w:bookmarkEnd w:id="1"/>
      <w:r>
        <w:rPr/>
      </w:r>
      <w:r>
        <w:rPr>
          <w:b w:val="0"/>
          <w:sz w:val="20"/>
          <w:vertAlign w:val="superscript"/>
        </w:rPr>
        <w:t>1</w:t>
      </w:r>
      <w:r>
        <w:rPr>
          <w:b w:val="0"/>
          <w:spacing w:val="-12"/>
          <w:sz w:val="20"/>
          <w:vertAlign w:val="baseline"/>
        </w:rPr>
        <w:t> </w:t>
      </w:r>
      <w:r>
        <w:rPr>
          <w:b w:val="0"/>
          <w:sz w:val="20"/>
          <w:vertAlign w:val="baseline"/>
        </w:rPr>
        <w:t>National</w:t>
      </w:r>
      <w:r>
        <w:rPr>
          <w:b w:val="0"/>
          <w:spacing w:val="-11"/>
          <w:sz w:val="20"/>
          <w:vertAlign w:val="baseline"/>
        </w:rPr>
        <w:t> </w:t>
      </w:r>
      <w:r>
        <w:rPr>
          <w:b w:val="0"/>
          <w:sz w:val="20"/>
          <w:vertAlign w:val="baseline"/>
        </w:rPr>
        <w:t>Health</w:t>
      </w:r>
      <w:r>
        <w:rPr>
          <w:b w:val="0"/>
          <w:spacing w:val="-11"/>
          <w:sz w:val="20"/>
          <w:vertAlign w:val="baseline"/>
        </w:rPr>
        <w:t> </w:t>
      </w:r>
      <w:r>
        <w:rPr>
          <w:b w:val="0"/>
          <w:sz w:val="20"/>
          <w:vertAlign w:val="baseline"/>
        </w:rPr>
        <w:t>and</w:t>
      </w:r>
      <w:r>
        <w:rPr>
          <w:b w:val="0"/>
          <w:spacing w:val="-12"/>
          <w:sz w:val="20"/>
          <w:vertAlign w:val="baseline"/>
        </w:rPr>
        <w:t> </w:t>
      </w:r>
      <w:r>
        <w:rPr>
          <w:b w:val="0"/>
          <w:sz w:val="20"/>
          <w:vertAlign w:val="baseline"/>
        </w:rPr>
        <w:t>Medical</w:t>
      </w:r>
      <w:r>
        <w:rPr>
          <w:b w:val="0"/>
          <w:spacing w:val="-11"/>
          <w:sz w:val="20"/>
          <w:vertAlign w:val="baseline"/>
        </w:rPr>
        <w:t> </w:t>
      </w:r>
      <w:r>
        <w:rPr>
          <w:b w:val="0"/>
          <w:sz w:val="20"/>
          <w:vertAlign w:val="baseline"/>
        </w:rPr>
        <w:t>Research</w:t>
      </w:r>
      <w:r>
        <w:rPr>
          <w:b w:val="0"/>
          <w:spacing w:val="-11"/>
          <w:sz w:val="20"/>
          <w:vertAlign w:val="baseline"/>
        </w:rPr>
        <w:t> </w:t>
      </w:r>
      <w:r>
        <w:rPr>
          <w:b w:val="0"/>
          <w:sz w:val="20"/>
          <w:vertAlign w:val="baseline"/>
        </w:rPr>
        <w:t>Council</w:t>
      </w:r>
      <w:r>
        <w:rPr>
          <w:b w:val="0"/>
          <w:spacing w:val="-12"/>
          <w:sz w:val="20"/>
          <w:vertAlign w:val="baseline"/>
        </w:rPr>
        <w:t> </w:t>
      </w:r>
      <w:r>
        <w:rPr>
          <w:b w:val="0"/>
          <w:sz w:val="20"/>
          <w:vertAlign w:val="baseline"/>
        </w:rPr>
        <w:t>(NHMRC).</w:t>
      </w:r>
      <w:r>
        <w:rPr>
          <w:b w:val="0"/>
          <w:spacing w:val="-11"/>
          <w:sz w:val="20"/>
          <w:vertAlign w:val="baseline"/>
        </w:rPr>
        <w:t> </w:t>
      </w:r>
      <w:r>
        <w:rPr>
          <w:b w:val="0"/>
          <w:sz w:val="20"/>
          <w:vertAlign w:val="baseline"/>
        </w:rPr>
        <w:t>NHMRC</w:t>
      </w:r>
      <w:r>
        <w:rPr>
          <w:b w:val="0"/>
          <w:spacing w:val="-11"/>
          <w:sz w:val="20"/>
          <w:vertAlign w:val="baseline"/>
        </w:rPr>
        <w:t> </w:t>
      </w:r>
      <w:r>
        <w:rPr>
          <w:b w:val="0"/>
          <w:sz w:val="20"/>
          <w:vertAlign w:val="baseline"/>
        </w:rPr>
        <w:t>additional</w:t>
      </w:r>
      <w:r>
        <w:rPr>
          <w:b w:val="0"/>
          <w:spacing w:val="-12"/>
          <w:sz w:val="20"/>
          <w:vertAlign w:val="baseline"/>
        </w:rPr>
        <w:t> </w:t>
      </w:r>
      <w:r>
        <w:rPr>
          <w:b w:val="0"/>
          <w:sz w:val="20"/>
          <w:vertAlign w:val="baseline"/>
        </w:rPr>
        <w:t>levels</w:t>
      </w:r>
      <w:r>
        <w:rPr>
          <w:b w:val="0"/>
          <w:spacing w:val="-11"/>
          <w:sz w:val="20"/>
          <w:vertAlign w:val="baseline"/>
        </w:rPr>
        <w:t> </w:t>
      </w:r>
      <w:r>
        <w:rPr>
          <w:b w:val="0"/>
          <w:sz w:val="20"/>
          <w:vertAlign w:val="baseline"/>
        </w:rPr>
        <w:t>of</w:t>
      </w:r>
      <w:r>
        <w:rPr>
          <w:b w:val="0"/>
          <w:spacing w:val="-11"/>
          <w:sz w:val="20"/>
          <w:vertAlign w:val="baseline"/>
        </w:rPr>
        <w:t> </w:t>
      </w:r>
      <w:r>
        <w:rPr>
          <w:b w:val="0"/>
          <w:sz w:val="20"/>
          <w:vertAlign w:val="baseline"/>
        </w:rPr>
        <w:t>evidence</w:t>
      </w:r>
      <w:r>
        <w:rPr>
          <w:b w:val="0"/>
          <w:spacing w:val="-11"/>
          <w:sz w:val="20"/>
          <w:vertAlign w:val="baseline"/>
        </w:rPr>
        <w:t> </w:t>
      </w:r>
      <w:r>
        <w:rPr>
          <w:b w:val="0"/>
          <w:sz w:val="20"/>
          <w:vertAlign w:val="baseline"/>
        </w:rPr>
        <w:t>and</w:t>
      </w:r>
      <w:r>
        <w:rPr>
          <w:b w:val="0"/>
          <w:spacing w:val="-12"/>
          <w:sz w:val="20"/>
          <w:vertAlign w:val="baseline"/>
        </w:rPr>
        <w:t> </w:t>
      </w:r>
      <w:r>
        <w:rPr>
          <w:b w:val="0"/>
          <w:sz w:val="20"/>
          <w:vertAlign w:val="baseline"/>
        </w:rPr>
        <w:t>grades for recommendations for developers of guidelines. Commonwealth of Australia, 2009</w:t>
      </w:r>
    </w:p>
    <w:sectPr>
      <w:type w:val="continuous"/>
      <w:pgSz w:w="11900" w:h="16850"/>
      <w:pgMar w:top="1420" w:bottom="280" w:left="1220" w:right="1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 Light">
    <w:altName w:val="Calibri Light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 Light" w:hAnsi="Calibri Light" w:eastAsia="Calibri Light" w:cs="Calibri Light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 Light" w:hAnsi="Calibri Light" w:eastAsia="Calibri Light" w:cs="Calibri Light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21"/>
      <w:ind w:left="220" w:right="155"/>
    </w:pPr>
    <w:rPr>
      <w:rFonts w:ascii="Calibri Light" w:hAnsi="Calibri Light" w:eastAsia="Calibri Light" w:cs="Calibri Light"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Lawless, Naomi</dc:creator>
  <dc:title>Microsoft Word - pf-ScientifFactualDraft_LL3.docx</dc:title>
  <dcterms:created xsi:type="dcterms:W3CDTF">2022-04-03T23:24:40Z</dcterms:created>
  <dcterms:modified xsi:type="dcterms:W3CDTF">2022-04-03T23:24:40Z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2020-03-20T00:00:00Z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2022-04-03T00:00:00Z</vt:filetime>
  </property>
</Properties>
</file>