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6E7FA42D" w:rsidR="009B2628" w:rsidRPr="00051BAF" w:rsidRDefault="51927E59" w:rsidP="00652FCE">
      <w:pPr>
        <w:pStyle w:val="au-introduction"/>
        <w:rPr>
          <w:rFonts w:eastAsiaTheme="minorEastAsia"/>
          <w:color w:val="auto"/>
        </w:rPr>
      </w:pPr>
      <w:r w:rsidRPr="00051BAF">
        <w:rPr>
          <w:rFonts w:eastAsiaTheme="minorEastAsia"/>
          <w:color w:val="auto"/>
        </w:rPr>
        <w:t>Keep your disability workforce up to date by circulating this alert widely in your organisation</w:t>
      </w:r>
    </w:p>
    <w:p w14:paraId="3222FD03" w14:textId="77777777" w:rsidR="006E7E3B" w:rsidRPr="005B780F" w:rsidRDefault="413CCDDD" w:rsidP="300053AB">
      <w:pPr>
        <w:pStyle w:val="Heading1"/>
        <w:spacing w:before="120" w:after="120" w:line="240" w:lineRule="auto"/>
        <w:rPr>
          <w:rFonts w:eastAsiaTheme="minorEastAsia"/>
        </w:rPr>
      </w:pPr>
      <w:r w:rsidRPr="005B780F">
        <w:rPr>
          <w:rFonts w:eastAsiaTheme="minorEastAsia"/>
        </w:rPr>
        <w:t xml:space="preserve">Disability </w:t>
      </w:r>
      <w:r w:rsidR="553B5080" w:rsidRPr="005B780F">
        <w:rPr>
          <w:rFonts w:eastAsiaTheme="minorEastAsia"/>
        </w:rPr>
        <w:t>p</w:t>
      </w:r>
      <w:r w:rsidRPr="005B780F">
        <w:rPr>
          <w:rFonts w:eastAsiaTheme="minorEastAsia"/>
        </w:rPr>
        <w:t xml:space="preserve">rovider </w:t>
      </w:r>
      <w:r w:rsidR="553B5080" w:rsidRPr="005B780F">
        <w:rPr>
          <w:rFonts w:eastAsiaTheme="minorEastAsia"/>
        </w:rPr>
        <w:t>a</w:t>
      </w:r>
      <w:r w:rsidRPr="005B780F">
        <w:rPr>
          <w:rFonts w:eastAsiaTheme="minorEastAsia"/>
        </w:rPr>
        <w:t>lert</w:t>
      </w:r>
    </w:p>
    <w:p w14:paraId="1F591A9E" w14:textId="3D482BDD" w:rsidR="00715A69" w:rsidRDefault="00FA7D53" w:rsidP="003F2A42">
      <w:r>
        <w:rPr>
          <w:lang w:eastAsia="en-AU"/>
        </w:rPr>
        <w:t>14</w:t>
      </w:r>
      <w:r w:rsidR="007E3C87" w:rsidRPr="000D22B9">
        <w:rPr>
          <w:lang w:eastAsia="en-AU"/>
        </w:rPr>
        <w:t xml:space="preserve"> </w:t>
      </w:r>
      <w:r w:rsidR="00BC6D05" w:rsidRPr="000D22B9">
        <w:rPr>
          <w:lang w:eastAsia="en-AU"/>
        </w:rPr>
        <w:t>April</w:t>
      </w:r>
      <w:r w:rsidR="2986274A" w:rsidRPr="000D22B9">
        <w:rPr>
          <w:lang w:eastAsia="en-AU"/>
        </w:rPr>
        <w:t xml:space="preserve"> 2022</w:t>
      </w:r>
    </w:p>
    <w:p w14:paraId="6AFBD4D0" w14:textId="2A091870" w:rsidR="00715A69" w:rsidRPr="003F2A42" w:rsidRDefault="00715A69" w:rsidP="00715A69">
      <w:pPr>
        <w:rPr>
          <w:b/>
          <w:color w:val="3665AE"/>
          <w:sz w:val="32"/>
          <w:szCs w:val="32"/>
          <w:lang w:val="en-GB" w:eastAsia="en-AU"/>
        </w:rPr>
      </w:pPr>
      <w:r w:rsidRPr="003F2A42">
        <w:rPr>
          <w:b/>
          <w:color w:val="3665AE"/>
          <w:sz w:val="32"/>
          <w:szCs w:val="32"/>
          <w:lang w:val="en-GB" w:eastAsia="en-AU"/>
        </w:rPr>
        <w:t xml:space="preserve">COVID-19 </w:t>
      </w:r>
      <w:r w:rsidR="003F2A42">
        <w:rPr>
          <w:b/>
          <w:color w:val="3665AE"/>
          <w:sz w:val="32"/>
          <w:szCs w:val="32"/>
          <w:lang w:val="en-GB" w:eastAsia="en-AU"/>
        </w:rPr>
        <w:t>v</w:t>
      </w:r>
      <w:r w:rsidRPr="003F2A42">
        <w:rPr>
          <w:b/>
          <w:color w:val="3665AE"/>
          <w:sz w:val="32"/>
          <w:szCs w:val="32"/>
          <w:lang w:val="en-GB" w:eastAsia="en-AU"/>
        </w:rPr>
        <w:t xml:space="preserve">accination </w:t>
      </w:r>
      <w:r w:rsidR="003F2A42">
        <w:rPr>
          <w:b/>
          <w:color w:val="3665AE"/>
          <w:sz w:val="32"/>
          <w:szCs w:val="32"/>
          <w:lang w:val="en-GB" w:eastAsia="en-AU"/>
        </w:rPr>
        <w:t>c</w:t>
      </w:r>
      <w:r w:rsidRPr="003F2A42">
        <w:rPr>
          <w:b/>
          <w:color w:val="3665AE"/>
          <w:sz w:val="32"/>
          <w:szCs w:val="32"/>
          <w:lang w:val="en-GB" w:eastAsia="en-AU"/>
        </w:rPr>
        <w:t xml:space="preserve">onsent, </w:t>
      </w:r>
      <w:r w:rsidR="003F2A42">
        <w:rPr>
          <w:b/>
          <w:color w:val="3665AE"/>
          <w:sz w:val="32"/>
          <w:szCs w:val="32"/>
          <w:lang w:val="en-GB" w:eastAsia="en-AU"/>
        </w:rPr>
        <w:t>h</w:t>
      </w:r>
      <w:r w:rsidRPr="003F2A42">
        <w:rPr>
          <w:b/>
          <w:color w:val="3665AE"/>
          <w:sz w:val="32"/>
          <w:szCs w:val="32"/>
          <w:lang w:val="en-GB" w:eastAsia="en-AU"/>
        </w:rPr>
        <w:t xml:space="preserve">esitancy and </w:t>
      </w:r>
      <w:r w:rsidR="003F2A42">
        <w:rPr>
          <w:b/>
          <w:color w:val="3665AE"/>
          <w:sz w:val="32"/>
          <w:szCs w:val="32"/>
          <w:lang w:val="en-GB" w:eastAsia="en-AU"/>
        </w:rPr>
        <w:t>r</w:t>
      </w:r>
      <w:r w:rsidRPr="003F2A42">
        <w:rPr>
          <w:b/>
          <w:color w:val="3665AE"/>
          <w:sz w:val="32"/>
          <w:szCs w:val="32"/>
          <w:lang w:val="en-GB" w:eastAsia="en-AU"/>
        </w:rPr>
        <w:t xml:space="preserve">efusal: resources for disability providers </w:t>
      </w:r>
      <w:r w:rsidR="003F2A42">
        <w:rPr>
          <w:b/>
          <w:color w:val="3665AE"/>
          <w:sz w:val="32"/>
          <w:szCs w:val="32"/>
          <w:lang w:val="en-GB" w:eastAsia="en-AU"/>
        </w:rPr>
        <w:t xml:space="preserve">to </w:t>
      </w:r>
      <w:r w:rsidRPr="003F2A42">
        <w:rPr>
          <w:b/>
          <w:color w:val="3665AE"/>
          <w:sz w:val="32"/>
          <w:szCs w:val="32"/>
          <w:lang w:val="en-GB" w:eastAsia="en-AU"/>
        </w:rPr>
        <w:t>support clients with intellectual disability</w:t>
      </w:r>
    </w:p>
    <w:p w14:paraId="5A201C35" w14:textId="77777777" w:rsidR="00715A69" w:rsidRDefault="00715A69" w:rsidP="00715A69">
      <w:r>
        <w:t>Last year, the Australian Government Department of Health hosted a webinar for disability service providers (providers) on COVID-19 vaccination consent, hesitancy, and refusal. The webinar addressed several issues that providers may encounter in the context of supporting clients with intellectual disability, including:</w:t>
      </w:r>
    </w:p>
    <w:p w14:paraId="1CE705C8" w14:textId="77777777" w:rsidR="00715A69" w:rsidRDefault="00715A69" w:rsidP="00715A69">
      <w:pPr>
        <w:pStyle w:val="ListParagraph"/>
        <w:numPr>
          <w:ilvl w:val="0"/>
          <w:numId w:val="24"/>
        </w:numPr>
        <w:spacing w:before="0"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how providers can approach conversations around vaccine hesitancy and refusal with families of people with intellectual disability</w:t>
      </w:r>
    </w:p>
    <w:p w14:paraId="65D58C0A" w14:textId="77777777" w:rsidR="00715A69" w:rsidRDefault="00715A69" w:rsidP="00715A69">
      <w:pPr>
        <w:pStyle w:val="ListParagraph"/>
        <w:numPr>
          <w:ilvl w:val="0"/>
          <w:numId w:val="24"/>
        </w:numPr>
        <w:spacing w:before="0"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the role of providers in identifying authorised decision makers</w:t>
      </w:r>
    </w:p>
    <w:p w14:paraId="4C6A594A" w14:textId="77777777" w:rsidR="00715A69" w:rsidRDefault="00715A69" w:rsidP="00715A69">
      <w:pPr>
        <w:pStyle w:val="ListParagraph"/>
        <w:numPr>
          <w:ilvl w:val="0"/>
          <w:numId w:val="24"/>
        </w:numPr>
        <w:spacing w:before="0" w:after="160" w:line="252" w:lineRule="auto"/>
        <w:contextualSpacing/>
        <w:rPr>
          <w:rFonts w:eastAsia="Times New Roman"/>
        </w:rPr>
      </w:pPr>
      <w:r>
        <w:rPr>
          <w:rFonts w:eastAsia="Times New Roman"/>
          <w:lang w:eastAsia="en-AU"/>
        </w:rPr>
        <w:t>the role of the GP in making a decision about someone’s capacity to provide consent, and</w:t>
      </w:r>
    </w:p>
    <w:p w14:paraId="26F036D0" w14:textId="77777777" w:rsidR="00715A69" w:rsidRDefault="00715A69" w:rsidP="00715A69">
      <w:pPr>
        <w:pStyle w:val="ListParagraph"/>
        <w:numPr>
          <w:ilvl w:val="0"/>
          <w:numId w:val="24"/>
        </w:numPr>
        <w:spacing w:before="0" w:after="160" w:line="252" w:lineRule="auto"/>
        <w:contextualSpacing/>
        <w:rPr>
          <w:rFonts w:eastAsia="Times New Roman"/>
        </w:rPr>
      </w:pPr>
      <w:r>
        <w:rPr>
          <w:rFonts w:eastAsia="Times New Roman"/>
        </w:rPr>
        <w:t>the process for a disability service provider to ensure consent from a person with intellectual disability.</w:t>
      </w:r>
    </w:p>
    <w:p w14:paraId="6873959D" w14:textId="77777777" w:rsidR="00715A69" w:rsidRDefault="00715A69" w:rsidP="00715A69">
      <w:pPr>
        <w:rPr>
          <w:rFonts w:eastAsiaTheme="minorHAnsi"/>
        </w:rPr>
      </w:pPr>
      <w:r>
        <w:t xml:space="preserve">The webinar can be viewed on </w:t>
      </w:r>
      <w:hyperlink r:id="rId11" w:history="1">
        <w:r>
          <w:rPr>
            <w:rStyle w:val="Hyperlink"/>
          </w:rPr>
          <w:t>the Department of Heath’s website</w:t>
        </w:r>
      </w:hyperlink>
      <w:r>
        <w:t>.</w:t>
      </w:r>
    </w:p>
    <w:p w14:paraId="353F8FE3" w14:textId="77777777" w:rsidR="00715A69" w:rsidRDefault="00715A69" w:rsidP="00715A69">
      <w:r>
        <w:t>Additional resources that may be of use for disability providers or support workers are listed below.</w:t>
      </w:r>
    </w:p>
    <w:p w14:paraId="627FC7DC" w14:textId="38641BE0" w:rsidR="00715A69" w:rsidRDefault="00715A69" w:rsidP="00715A69">
      <w:pPr>
        <w:pStyle w:val="Heading2"/>
        <w:rPr>
          <w:rFonts w:eastAsia="Times New Roman"/>
          <w:sz w:val="24"/>
          <w:szCs w:val="24"/>
        </w:rPr>
      </w:pPr>
      <w:bookmarkStart w:id="0" w:name="_Toc98320174"/>
      <w:bookmarkStart w:id="1" w:name="_Toc98320173"/>
      <w:bookmarkStart w:id="2" w:name="_Toc98320172"/>
      <w:bookmarkStart w:id="3" w:name="_Toc98320171"/>
      <w:r>
        <w:rPr>
          <w:rFonts w:eastAsia="Times New Roman"/>
          <w:sz w:val="28"/>
          <w:szCs w:val="28"/>
        </w:rPr>
        <w:t>State and territory websites and resources</w:t>
      </w:r>
      <w:bookmarkEnd w:id="0"/>
    </w:p>
    <w:p w14:paraId="481B2215" w14:textId="29AE9182" w:rsidR="000A6B1A" w:rsidRDefault="00715A69" w:rsidP="00715A69">
      <w:r>
        <w:t>State</w:t>
      </w:r>
      <w:r w:rsidR="00515709">
        <w:t>s</w:t>
      </w:r>
      <w:r>
        <w:t xml:space="preserve"> and territories have laws about what should happen when someone can’t provide valid consent for themselves. Information about each state and territor</w:t>
      </w:r>
      <w:r w:rsidR="00515709">
        <w:t>y</w:t>
      </w:r>
      <w:r w:rsidR="003F2A42">
        <w:t>’s</w:t>
      </w:r>
      <w:r>
        <w:t xml:space="preserve"> arrangements can be found through the links below. </w:t>
      </w:r>
    </w:p>
    <w:p w14:paraId="2910E598" w14:textId="77777777" w:rsidR="000A6B1A" w:rsidRDefault="000A6B1A">
      <w:pPr>
        <w:spacing w:before="0" w:after="0" w:line="240" w:lineRule="auto"/>
      </w:pPr>
      <w:r>
        <w:br w:type="page"/>
      </w:r>
    </w:p>
    <w:tbl>
      <w:tblPr>
        <w:tblW w:w="10207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8222"/>
      </w:tblGrid>
      <w:tr w:rsidR="00715A69" w14:paraId="557A9108" w14:textId="77777777" w:rsidTr="003F2A42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05AE4" w14:textId="77777777" w:rsidR="00715A69" w:rsidRDefault="00715A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State</w:t>
            </w:r>
          </w:p>
        </w:tc>
        <w:tc>
          <w:tcPr>
            <w:tcW w:w="82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BC894" w14:textId="77777777" w:rsidR="00715A69" w:rsidRDefault="00715A69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Organisation/resource</w:t>
            </w:r>
          </w:p>
        </w:tc>
      </w:tr>
      <w:tr w:rsidR="00715A69" w14:paraId="19E4EEE7" w14:textId="77777777" w:rsidTr="003F2A4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AD3BE" w14:textId="77777777" w:rsidR="00715A69" w:rsidRDefault="00715A69">
            <w:pPr>
              <w:spacing w:after="0" w:line="240" w:lineRule="auto"/>
            </w:pPr>
            <w:r>
              <w:t>Australian Capital Territory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A192F" w14:textId="77777777" w:rsidR="00715A69" w:rsidRDefault="00715A69">
            <w:pPr>
              <w:spacing w:after="0" w:line="276" w:lineRule="auto"/>
            </w:pPr>
            <w:r>
              <w:t xml:space="preserve">Public Trustee and Guardian - </w:t>
            </w:r>
            <w:hyperlink r:id="rId12" w:history="1">
              <w:r>
                <w:rPr>
                  <w:rStyle w:val="Hyperlink"/>
                </w:rPr>
                <w:t>www.publictrustee.act.gov.au/guardianship</w:t>
              </w:r>
            </w:hyperlink>
          </w:p>
        </w:tc>
      </w:tr>
      <w:tr w:rsidR="00715A69" w14:paraId="49F0DF83" w14:textId="77777777" w:rsidTr="003F2A4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DCAB0" w14:textId="77777777" w:rsidR="00715A69" w:rsidRDefault="00715A69">
            <w:pPr>
              <w:spacing w:after="0" w:line="240" w:lineRule="auto"/>
            </w:pPr>
            <w:r>
              <w:t>New South Wales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5B9AC" w14:textId="77777777" w:rsidR="00715A69" w:rsidRDefault="00715A69">
            <w:pPr>
              <w:spacing w:after="0" w:line="276" w:lineRule="auto"/>
            </w:pPr>
            <w:r>
              <w:t xml:space="preserve">NSW Trustee and Guardian - </w:t>
            </w:r>
            <w:hyperlink r:id="rId13" w:history="1">
              <w:r>
                <w:rPr>
                  <w:rStyle w:val="Hyperlink"/>
                </w:rPr>
                <w:t>www.tag.nsw.gov.au</w:t>
              </w:r>
            </w:hyperlink>
            <w:r>
              <w:t xml:space="preserve"> </w:t>
            </w:r>
          </w:p>
        </w:tc>
      </w:tr>
      <w:tr w:rsidR="00715A69" w14:paraId="54C443B0" w14:textId="77777777" w:rsidTr="003F2A4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B9150" w14:textId="77777777" w:rsidR="00715A69" w:rsidRDefault="00715A69">
            <w:pPr>
              <w:spacing w:after="0" w:line="240" w:lineRule="auto"/>
            </w:pPr>
            <w:r>
              <w:t>Northern Territory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2730C" w14:textId="77777777" w:rsidR="00715A69" w:rsidRDefault="00715A69">
            <w:pPr>
              <w:spacing w:after="0" w:line="276" w:lineRule="auto"/>
              <w:rPr>
                <w:b/>
                <w:bCs/>
              </w:rPr>
            </w:pPr>
            <w:r>
              <w:t xml:space="preserve">Office of the Public Guardian - </w:t>
            </w:r>
            <w:hyperlink r:id="rId14" w:history="1">
              <w:r>
                <w:rPr>
                  <w:rStyle w:val="Hyperlink"/>
                </w:rPr>
                <w:t>www.publicguardian.nt.gov.au</w:t>
              </w:r>
            </w:hyperlink>
            <w:r>
              <w:t xml:space="preserve"> </w:t>
            </w:r>
          </w:p>
        </w:tc>
      </w:tr>
      <w:tr w:rsidR="00715A69" w14:paraId="15C3B70E" w14:textId="77777777" w:rsidTr="003F2A4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596D9" w14:textId="77777777" w:rsidR="00715A69" w:rsidRDefault="00715A69">
            <w:pPr>
              <w:spacing w:after="0" w:line="240" w:lineRule="auto"/>
            </w:pPr>
            <w:r>
              <w:t>Queensland</w:t>
            </w:r>
          </w:p>
          <w:p w14:paraId="3C58C97D" w14:textId="77777777" w:rsidR="00715A69" w:rsidRDefault="00715A69">
            <w:pPr>
              <w:spacing w:after="0" w:line="240" w:lineRule="auto"/>
            </w:pP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6A544" w14:textId="77777777" w:rsidR="00715A69" w:rsidRDefault="00715A69">
            <w:pPr>
              <w:spacing w:after="0" w:line="276" w:lineRule="auto"/>
            </w:pPr>
            <w:r>
              <w:t xml:space="preserve">Office of the Public Guardian - </w:t>
            </w:r>
            <w:hyperlink r:id="rId15" w:history="1">
              <w:r>
                <w:rPr>
                  <w:rStyle w:val="Hyperlink"/>
                </w:rPr>
                <w:t>www.publicguardian.qld.gov.au/</w:t>
              </w:r>
            </w:hyperlink>
            <w:r>
              <w:t xml:space="preserve"> </w:t>
            </w:r>
          </w:p>
          <w:p w14:paraId="0C6EE7EA" w14:textId="77777777" w:rsidR="00715A69" w:rsidRDefault="000A6B1A" w:rsidP="00715A69">
            <w:pPr>
              <w:pStyle w:val="ListParagraph"/>
              <w:numPr>
                <w:ilvl w:val="0"/>
                <w:numId w:val="25"/>
              </w:numPr>
              <w:spacing w:before="0" w:after="0" w:line="276" w:lineRule="auto"/>
              <w:contextualSpacing/>
              <w:rPr>
                <w:rFonts w:eastAsia="Times New Roman"/>
              </w:rPr>
            </w:pPr>
            <w:hyperlink r:id="rId16" w:history="1">
              <w:r w:rsidR="00715A69">
                <w:rPr>
                  <w:rStyle w:val="Hyperlink"/>
                  <w:rFonts w:eastAsia="Times New Roman"/>
                </w:rPr>
                <w:t>Office of the Public Guardian: Health decisions</w:t>
              </w:r>
            </w:hyperlink>
            <w:r w:rsidR="00715A69">
              <w:rPr>
                <w:rFonts w:eastAsia="Times New Roman"/>
              </w:rPr>
              <w:t xml:space="preserve"> </w:t>
            </w:r>
          </w:p>
        </w:tc>
      </w:tr>
      <w:tr w:rsidR="00715A69" w14:paraId="0BA66F34" w14:textId="77777777" w:rsidTr="003F2A4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CA9" w14:textId="77777777" w:rsidR="00715A69" w:rsidRDefault="00715A69">
            <w:pPr>
              <w:spacing w:after="0" w:line="240" w:lineRule="auto"/>
              <w:rPr>
                <w:rFonts w:eastAsiaTheme="minorHAnsi"/>
              </w:rPr>
            </w:pPr>
            <w:r>
              <w:t>South Australia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3A831" w14:textId="77777777" w:rsidR="00715A69" w:rsidRDefault="00715A69">
            <w:pPr>
              <w:spacing w:after="0" w:line="276" w:lineRule="auto"/>
            </w:pPr>
            <w:r>
              <w:t xml:space="preserve">Office of the Public Advocate - </w:t>
            </w:r>
            <w:hyperlink r:id="rId17" w:history="1">
              <w:r>
                <w:rPr>
                  <w:rStyle w:val="Hyperlink"/>
                </w:rPr>
                <w:t>www.opa.sa.gov.au/what_we_do/guardianship</w:t>
              </w:r>
            </w:hyperlink>
          </w:p>
          <w:p w14:paraId="64682D80" w14:textId="77777777" w:rsidR="00715A69" w:rsidRDefault="000A6B1A" w:rsidP="00715A69">
            <w:pPr>
              <w:pStyle w:val="ListParagraph"/>
              <w:numPr>
                <w:ilvl w:val="0"/>
                <w:numId w:val="26"/>
              </w:numPr>
              <w:spacing w:before="0" w:after="0" w:line="276" w:lineRule="auto"/>
              <w:contextualSpacing/>
              <w:rPr>
                <w:rFonts w:eastAsia="Times New Roman"/>
              </w:rPr>
            </w:pPr>
            <w:hyperlink r:id="rId18" w:history="1">
              <w:r w:rsidR="00715A69">
                <w:rPr>
                  <w:rStyle w:val="Hyperlink"/>
                  <w:rFonts w:eastAsia="Times New Roman"/>
                </w:rPr>
                <w:t>Fact sheets</w:t>
              </w:r>
            </w:hyperlink>
          </w:p>
        </w:tc>
      </w:tr>
      <w:tr w:rsidR="00715A69" w14:paraId="5CEF6AFD" w14:textId="77777777" w:rsidTr="003F2A42">
        <w:trPr>
          <w:trHeight w:val="63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E05B" w14:textId="77777777" w:rsidR="00715A69" w:rsidRDefault="00715A69">
            <w:pPr>
              <w:spacing w:after="0" w:line="240" w:lineRule="auto"/>
              <w:rPr>
                <w:rFonts w:eastAsiaTheme="minorHAnsi"/>
              </w:rPr>
            </w:pPr>
            <w:r>
              <w:t>Tasmania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40FD0" w14:textId="145383A2" w:rsidR="00715A69" w:rsidRDefault="00715A69">
            <w:pPr>
              <w:spacing w:after="0" w:line="276" w:lineRule="auto"/>
              <w:rPr>
                <w:b/>
                <w:bCs/>
              </w:rPr>
            </w:pPr>
            <w:r>
              <w:t xml:space="preserve">Public Trustee and Guardian - </w:t>
            </w:r>
            <w:hyperlink r:id="rId19" w:history="1">
              <w:r>
                <w:rPr>
                  <w:rStyle w:val="Hyperlink"/>
                </w:rPr>
                <w:t>https://www.publicguardian.tas.gov.au/</w:t>
              </w:r>
            </w:hyperlink>
            <w:r>
              <w:t xml:space="preserve"> </w:t>
            </w:r>
          </w:p>
        </w:tc>
      </w:tr>
      <w:tr w:rsidR="00715A69" w14:paraId="7F73F950" w14:textId="77777777" w:rsidTr="003F2A42"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8503D" w14:textId="77777777" w:rsidR="00715A69" w:rsidRDefault="00715A69">
            <w:pPr>
              <w:spacing w:after="0" w:line="240" w:lineRule="auto"/>
            </w:pPr>
            <w:r>
              <w:t>Victoria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B1651" w14:textId="77777777" w:rsidR="00715A69" w:rsidRDefault="00715A69">
            <w:pPr>
              <w:spacing w:after="0" w:line="276" w:lineRule="auto"/>
            </w:pPr>
            <w:r>
              <w:t xml:space="preserve">Office of the Public Advocate- </w:t>
            </w:r>
            <w:hyperlink r:id="rId20" w:history="1">
              <w:r>
                <w:rPr>
                  <w:rStyle w:val="Hyperlink"/>
                </w:rPr>
                <w:t>www.publicadvocate.vic.gov.au/</w:t>
              </w:r>
            </w:hyperlink>
          </w:p>
        </w:tc>
      </w:tr>
      <w:tr w:rsidR="00715A69" w14:paraId="1646ED9F" w14:textId="77777777" w:rsidTr="003F2A42">
        <w:trPr>
          <w:trHeight w:val="70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74BD" w14:textId="77777777" w:rsidR="00715A69" w:rsidRDefault="00715A69">
            <w:pPr>
              <w:spacing w:after="0" w:line="240" w:lineRule="auto"/>
            </w:pPr>
            <w:r>
              <w:t>Western Australia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B481C" w14:textId="77777777" w:rsidR="00715A69" w:rsidRDefault="00715A69">
            <w:pPr>
              <w:spacing w:after="0" w:line="276" w:lineRule="auto"/>
            </w:pPr>
            <w:r>
              <w:t xml:space="preserve">Office of the Public Advocate - </w:t>
            </w:r>
            <w:hyperlink r:id="rId21" w:history="1">
              <w:r>
                <w:rPr>
                  <w:rStyle w:val="Hyperlink"/>
                </w:rPr>
                <w:t>https://www.publicadvocate.wa.gov.au/</w:t>
              </w:r>
            </w:hyperlink>
            <w:r>
              <w:t xml:space="preserve"> </w:t>
            </w:r>
          </w:p>
          <w:p w14:paraId="630A1EA8" w14:textId="77777777" w:rsidR="00715A69" w:rsidRDefault="000A6B1A" w:rsidP="00715A69">
            <w:pPr>
              <w:pStyle w:val="ListParagraph"/>
              <w:numPr>
                <w:ilvl w:val="0"/>
                <w:numId w:val="26"/>
              </w:numPr>
              <w:spacing w:before="0" w:after="0" w:line="276" w:lineRule="auto"/>
              <w:contextualSpacing/>
              <w:rPr>
                <w:rFonts w:eastAsia="Times New Roman"/>
                <w:b/>
                <w:bCs/>
              </w:rPr>
            </w:pPr>
            <w:hyperlink r:id="rId22" w:history="1">
              <w:r w:rsidR="00715A69">
                <w:rPr>
                  <w:rStyle w:val="Hyperlink"/>
                  <w:rFonts w:eastAsia="Times New Roman"/>
                </w:rPr>
                <w:t>Making treatment decisions</w:t>
              </w:r>
            </w:hyperlink>
          </w:p>
        </w:tc>
      </w:tr>
    </w:tbl>
    <w:p w14:paraId="14864DE0" w14:textId="6A820522" w:rsidR="00715A69" w:rsidRDefault="00715A69" w:rsidP="00715A69">
      <w:pPr>
        <w:pStyle w:val="Heading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Supported decision making</w:t>
      </w:r>
      <w:bookmarkEnd w:id="1"/>
    </w:p>
    <w:p w14:paraId="7F6635FB" w14:textId="512A4081" w:rsidR="00715A69" w:rsidRDefault="00715A69" w:rsidP="00715A69">
      <w:pPr>
        <w:rPr>
          <w:rFonts w:eastAsiaTheme="minorHAnsi"/>
        </w:rPr>
      </w:pPr>
      <w:r>
        <w:t>Family members may be unaware that there are legislated requirements they must meet when acting as an authorised decision</w:t>
      </w:r>
      <w:r w:rsidR="003F2A42">
        <w:t>-</w:t>
      </w:r>
      <w:r>
        <w:t>maker. Disability support providers can assist in alerting family members to these obligations.</w:t>
      </w:r>
    </w:p>
    <w:p w14:paraId="0F31D373" w14:textId="77777777" w:rsidR="00715A69" w:rsidRDefault="00715A69" w:rsidP="003F2A42">
      <w:pPr>
        <w:pStyle w:val="ListParagraph"/>
        <w:numPr>
          <w:ilvl w:val="0"/>
          <w:numId w:val="27"/>
        </w:numPr>
        <w:spacing w:line="252" w:lineRule="auto"/>
        <w:ind w:left="714" w:hanging="357"/>
        <w:rPr>
          <w:rFonts w:ascii="Calibri Light" w:eastAsia="Times New Roman" w:hAnsi="Calibri Light" w:cs="Calibri Light"/>
          <w:color w:val="2F5496"/>
        </w:rPr>
      </w:pPr>
      <w:r>
        <w:rPr>
          <w:rFonts w:eastAsia="Times New Roman"/>
        </w:rPr>
        <w:t xml:space="preserve">The </w:t>
      </w:r>
      <w:hyperlink r:id="rId23" w:history="1">
        <w:r>
          <w:rPr>
            <w:rStyle w:val="Hyperlink"/>
            <w:rFonts w:eastAsia="Times New Roman"/>
          </w:rPr>
          <w:t>National Standards on Public Guardianship</w:t>
        </w:r>
      </w:hyperlink>
      <w:r>
        <w:rPr>
          <w:rFonts w:eastAsia="Times New Roman"/>
          <w:color w:val="000000"/>
        </w:rPr>
        <w:t xml:space="preserve"> are outlined in this Easy Read sheet from the Australian Guardianship and Administration Council.</w:t>
      </w:r>
      <w:bookmarkStart w:id="4" w:name="_State_/_territory"/>
      <w:bookmarkEnd w:id="4"/>
    </w:p>
    <w:p w14:paraId="0589A099" w14:textId="7777777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Style w:val="Hyperlink"/>
          <w:rFonts w:ascii="Calibri" w:eastAsiaTheme="minorHAnsi" w:hAnsi="Calibri" w:cs="Calibri"/>
        </w:rPr>
      </w:pPr>
      <w:hyperlink r:id="rId24" w:history="1">
        <w:r w:rsidR="00715A69">
          <w:rPr>
            <w:rStyle w:val="Hyperlink"/>
            <w:rFonts w:eastAsia="Times New Roman"/>
          </w:rPr>
          <w:t xml:space="preserve">Supported Decision Making is a Human Right – NSW Department of Communities and Justice </w:t>
        </w:r>
      </w:hyperlink>
    </w:p>
    <w:p w14:paraId="0BE2BB71" w14:textId="77777777" w:rsidR="00715A69" w:rsidRDefault="00715A69" w:rsidP="003F2A42">
      <w:pPr>
        <w:pStyle w:val="ListParagraph"/>
        <w:numPr>
          <w:ilvl w:val="1"/>
          <w:numId w:val="27"/>
        </w:numPr>
        <w:spacing w:line="252" w:lineRule="auto"/>
        <w:ind w:left="1434" w:hanging="357"/>
      </w:pPr>
      <w:r>
        <w:rPr>
          <w:rStyle w:val="Hyperlink"/>
          <w:rFonts w:eastAsia="Times New Roman"/>
        </w:rPr>
        <w:t>This four-minute video shows how informal support can build everyone's decision-making capacity.</w:t>
      </w:r>
    </w:p>
    <w:p w14:paraId="143D97D3" w14:textId="77777777" w:rsidR="00715A69" w:rsidRDefault="000A6B1A" w:rsidP="00715A69">
      <w:pPr>
        <w:pStyle w:val="ListParagraph"/>
        <w:numPr>
          <w:ilvl w:val="0"/>
          <w:numId w:val="28"/>
        </w:numPr>
        <w:spacing w:before="0" w:after="160" w:line="252" w:lineRule="auto"/>
        <w:contextualSpacing/>
        <w:rPr>
          <w:rFonts w:eastAsia="Times New Roman"/>
        </w:rPr>
      </w:pPr>
      <w:hyperlink r:id="rId25" w:history="1">
        <w:r w:rsidR="00715A69">
          <w:rPr>
            <w:rStyle w:val="Hyperlink"/>
            <w:rFonts w:eastAsia="Times New Roman"/>
          </w:rPr>
          <w:t>Supported Decision Making training</w:t>
        </w:r>
      </w:hyperlink>
      <w:r w:rsidR="00715A69">
        <w:rPr>
          <w:rStyle w:val="Hyperlink"/>
          <w:rFonts w:eastAsia="Times New Roman"/>
        </w:rPr>
        <w:t xml:space="preserve"> – National Disability Services</w:t>
      </w:r>
    </w:p>
    <w:p w14:paraId="19F62EDB" w14:textId="77777777" w:rsidR="00715A69" w:rsidRDefault="00715A69" w:rsidP="003F2A42">
      <w:pPr>
        <w:pStyle w:val="ListParagraph"/>
        <w:numPr>
          <w:ilvl w:val="1"/>
          <w:numId w:val="28"/>
        </w:numPr>
        <w:spacing w:line="252" w:lineRule="auto"/>
        <w:ind w:left="1434" w:hanging="357"/>
        <w:rPr>
          <w:rFonts w:eastAsia="Times New Roman"/>
        </w:rPr>
      </w:pPr>
      <w:r>
        <w:rPr>
          <w:rFonts w:eastAsia="Times New Roman"/>
        </w:rPr>
        <w:t>Developed and distributed on behalf of the NSW Public Guardian, this e-learning module introduces the Supported Decision-Making Practice Framework.</w:t>
      </w:r>
    </w:p>
    <w:p w14:paraId="147039B0" w14:textId="77777777" w:rsidR="00715A69" w:rsidRDefault="000A6B1A" w:rsidP="00715A69">
      <w:pPr>
        <w:pStyle w:val="ListParagraph"/>
        <w:numPr>
          <w:ilvl w:val="0"/>
          <w:numId w:val="29"/>
        </w:numPr>
        <w:spacing w:before="0" w:after="160" w:line="252" w:lineRule="auto"/>
        <w:contextualSpacing/>
        <w:rPr>
          <w:rFonts w:eastAsia="Times New Roman"/>
        </w:rPr>
      </w:pPr>
      <w:hyperlink r:id="rId26" w:history="1">
        <w:r w:rsidR="00715A69">
          <w:rPr>
            <w:rStyle w:val="Hyperlink"/>
            <w:rFonts w:eastAsia="Times New Roman"/>
          </w:rPr>
          <w:t>La Trobe Support for Decision Making Practice Framework Learning Resource</w:t>
        </w:r>
      </w:hyperlink>
    </w:p>
    <w:p w14:paraId="3061DC45" w14:textId="77777777" w:rsidR="00715A69" w:rsidRDefault="00715A69" w:rsidP="003F2A42">
      <w:pPr>
        <w:pStyle w:val="ListParagraph"/>
        <w:numPr>
          <w:ilvl w:val="1"/>
          <w:numId w:val="29"/>
        </w:numPr>
        <w:spacing w:line="252" w:lineRule="auto"/>
        <w:ind w:left="1434" w:hanging="357"/>
        <w:rPr>
          <w:rFonts w:eastAsia="Times New Roman"/>
        </w:rPr>
      </w:pPr>
      <w:r>
        <w:rPr>
          <w:rFonts w:eastAsia="Times New Roman"/>
        </w:rPr>
        <w:t>This training presents the first evidence-based framework to guide the process of supporting people with cognitive disabilities to make decisions.</w:t>
      </w:r>
    </w:p>
    <w:p w14:paraId="354C19E9" w14:textId="77777777" w:rsidR="00715A69" w:rsidRDefault="000A6B1A" w:rsidP="00715A69">
      <w:pPr>
        <w:pStyle w:val="ListParagraph"/>
        <w:numPr>
          <w:ilvl w:val="0"/>
          <w:numId w:val="28"/>
        </w:numPr>
        <w:spacing w:before="0" w:after="160" w:line="252" w:lineRule="auto"/>
        <w:contextualSpacing/>
        <w:rPr>
          <w:rFonts w:eastAsia="Times New Roman"/>
        </w:rPr>
      </w:pPr>
      <w:hyperlink r:id="rId27" w:history="1">
        <w:r w:rsidR="00715A69">
          <w:rPr>
            <w:rStyle w:val="Hyperlink"/>
            <w:rFonts w:eastAsia="Times New Roman"/>
          </w:rPr>
          <w:t>Supported Decision Making</w:t>
        </w:r>
      </w:hyperlink>
      <w:r w:rsidR="00715A69">
        <w:rPr>
          <w:rFonts w:eastAsia="Times New Roman"/>
        </w:rPr>
        <w:t xml:space="preserve"> </w:t>
      </w:r>
    </w:p>
    <w:p w14:paraId="438AC720" w14:textId="77777777" w:rsidR="00715A69" w:rsidRDefault="00715A69" w:rsidP="003F2A42">
      <w:pPr>
        <w:pStyle w:val="ListParagraph"/>
        <w:numPr>
          <w:ilvl w:val="1"/>
          <w:numId w:val="28"/>
        </w:numPr>
        <w:spacing w:line="252" w:lineRule="auto"/>
        <w:ind w:left="1434" w:hanging="357"/>
        <w:rPr>
          <w:rFonts w:eastAsia="Times New Roman"/>
          <w:color w:val="000000"/>
        </w:rPr>
      </w:pPr>
      <w:r>
        <w:rPr>
          <w:rFonts w:eastAsia="Times New Roman"/>
        </w:rPr>
        <w:t>A rights-based guide for individuals, families and the disability sector, developed by Western Australia’s Individualised Services.</w:t>
      </w:r>
    </w:p>
    <w:p w14:paraId="3E05FB67" w14:textId="77777777" w:rsidR="00715A69" w:rsidRDefault="000A6B1A" w:rsidP="00715A69">
      <w:pPr>
        <w:pStyle w:val="ListParagraph"/>
        <w:numPr>
          <w:ilvl w:val="0"/>
          <w:numId w:val="28"/>
        </w:numPr>
        <w:spacing w:before="0" w:after="0" w:line="240" w:lineRule="auto"/>
        <w:contextualSpacing/>
        <w:rPr>
          <w:rFonts w:eastAsia="Times New Roman"/>
        </w:rPr>
      </w:pPr>
      <w:hyperlink r:id="rId28" w:history="1">
        <w:r w:rsidR="00715A69">
          <w:rPr>
            <w:rStyle w:val="Hyperlink"/>
            <w:rFonts w:eastAsia="Times New Roman"/>
          </w:rPr>
          <w:t>Supporting Decisions</w:t>
        </w:r>
      </w:hyperlink>
    </w:p>
    <w:p w14:paraId="068A8406" w14:textId="77777777" w:rsidR="00715A69" w:rsidRDefault="00715A69" w:rsidP="00715A69">
      <w:pPr>
        <w:pStyle w:val="ListParagraph"/>
        <w:numPr>
          <w:ilvl w:val="1"/>
          <w:numId w:val="28"/>
        </w:numPr>
        <w:spacing w:before="0" w:after="0" w:line="240" w:lineRule="auto"/>
        <w:contextualSpacing/>
        <w:rPr>
          <w:rFonts w:eastAsia="Times New Roman"/>
        </w:rPr>
      </w:pPr>
      <w:r>
        <w:rPr>
          <w:rFonts w:eastAsia="Times New Roman"/>
        </w:rPr>
        <w:t>Aged and Carer Advocacy Service (ADACAS) has a series of resources which raise some good questions for those supporting someone to make decisions.</w:t>
      </w:r>
    </w:p>
    <w:bookmarkEnd w:id="2"/>
    <w:p w14:paraId="4CA93808" w14:textId="77777777" w:rsidR="003F2A42" w:rsidRDefault="003F2A42" w:rsidP="00715A69">
      <w:pPr>
        <w:pStyle w:val="Heading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14:paraId="57C2A387" w14:textId="35EC7DF7" w:rsidR="00715A69" w:rsidRDefault="00715A69" w:rsidP="003F2A42">
      <w:pPr>
        <w:pStyle w:val="Heading2"/>
        <w:spacing w:after="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Facilitating conversations about COVID-19 vaccination with people with intellectual disability and their families</w:t>
      </w:r>
      <w:bookmarkEnd w:id="3"/>
    </w:p>
    <w:p w14:paraId="610854B9" w14:textId="7777777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Fonts w:eastAsia="Times New Roman"/>
        </w:rPr>
      </w:pPr>
      <w:hyperlink r:id="rId29" w:history="1">
        <w:r w:rsidR="00715A69">
          <w:rPr>
            <w:rStyle w:val="Hyperlink"/>
            <w:rFonts w:eastAsia="Times New Roman"/>
          </w:rPr>
          <w:t>COVID-19 Safer and Stronger: Disability Vaccine Champions</w:t>
        </w:r>
      </w:hyperlink>
    </w:p>
    <w:p w14:paraId="17A71F84" w14:textId="77777777" w:rsidR="00715A69" w:rsidRDefault="00715A69" w:rsidP="003F2A42">
      <w:pPr>
        <w:pStyle w:val="ListParagraph"/>
        <w:numPr>
          <w:ilvl w:val="1"/>
          <w:numId w:val="27"/>
        </w:numPr>
        <w:spacing w:line="252" w:lineRule="auto"/>
        <w:ind w:left="1434" w:hanging="357"/>
        <w:rPr>
          <w:rFonts w:eastAsia="Times New Roman"/>
        </w:rPr>
      </w:pPr>
      <w:r>
        <w:rPr>
          <w:rFonts w:eastAsia="Times New Roman"/>
        </w:rPr>
        <w:t>Vaccine champions speak to the importance of COVID-19 vaccinations, and how they made the decision to get vaccinated.</w:t>
      </w:r>
    </w:p>
    <w:p w14:paraId="0170CA6C" w14:textId="7777777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Fonts w:eastAsia="Times New Roman"/>
        </w:rPr>
      </w:pPr>
      <w:hyperlink r:id="rId30" w:history="1">
        <w:r w:rsidR="00715A69">
          <w:rPr>
            <w:rStyle w:val="Hyperlink"/>
            <w:rFonts w:eastAsia="Times New Roman"/>
          </w:rPr>
          <w:t>COVID-19 Vaccine - National Disability Services</w:t>
        </w:r>
      </w:hyperlink>
      <w:r w:rsidR="00715A69">
        <w:rPr>
          <w:rFonts w:eastAsia="Times New Roman"/>
        </w:rPr>
        <w:t xml:space="preserve"> </w:t>
      </w:r>
    </w:p>
    <w:p w14:paraId="5F123EF0" w14:textId="7AAE0B8B" w:rsidR="00715A69" w:rsidRDefault="00715A69" w:rsidP="003F2A42">
      <w:pPr>
        <w:pStyle w:val="ListParagraph"/>
        <w:numPr>
          <w:ilvl w:val="1"/>
          <w:numId w:val="27"/>
        </w:numPr>
        <w:spacing w:line="252" w:lineRule="auto"/>
        <w:ind w:left="1434" w:hanging="357"/>
        <w:rPr>
          <w:rFonts w:eastAsia="Times New Roman"/>
        </w:rPr>
      </w:pPr>
      <w:r>
        <w:rPr>
          <w:rFonts w:eastAsia="Times New Roman"/>
        </w:rPr>
        <w:t>Two short videos including a person with lived experience of intellectual disability identifying the vaccination process and the reasons for receiving the vaccine. This includes the decision</w:t>
      </w:r>
      <w:r w:rsidR="003F2A42">
        <w:rPr>
          <w:rFonts w:eastAsia="Times New Roman"/>
        </w:rPr>
        <w:t>-</w:t>
      </w:r>
      <w:r>
        <w:rPr>
          <w:rFonts w:eastAsia="Times New Roman"/>
        </w:rPr>
        <w:t>making process and going back for the second dose.</w:t>
      </w:r>
    </w:p>
    <w:p w14:paraId="5A0575BF" w14:textId="7777777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Fonts w:eastAsia="Times New Roman"/>
        </w:rPr>
      </w:pPr>
      <w:hyperlink r:id="rId31" w:history="1">
        <w:r w:rsidR="00715A69">
          <w:rPr>
            <w:rStyle w:val="Hyperlink"/>
            <w:rFonts w:eastAsia="Times New Roman"/>
          </w:rPr>
          <w:t>COVID-19 vaccination stories</w:t>
        </w:r>
      </w:hyperlink>
      <w:r w:rsidR="00715A69">
        <w:rPr>
          <w:rFonts w:eastAsia="Times New Roman"/>
        </w:rPr>
        <w:t xml:space="preserve"> - Council for Intellectual Disability </w:t>
      </w:r>
    </w:p>
    <w:p w14:paraId="1E830FA8" w14:textId="129548F5" w:rsidR="00715A69" w:rsidRDefault="00715A69" w:rsidP="003F2A42">
      <w:pPr>
        <w:pStyle w:val="ListParagraph"/>
        <w:numPr>
          <w:ilvl w:val="1"/>
          <w:numId w:val="27"/>
        </w:numPr>
        <w:spacing w:line="252" w:lineRule="auto"/>
        <w:ind w:left="1434" w:hanging="357"/>
        <w:rPr>
          <w:rFonts w:eastAsia="Times New Roman"/>
        </w:rPr>
      </w:pPr>
      <w:r>
        <w:rPr>
          <w:rFonts w:eastAsia="Times New Roman"/>
        </w:rPr>
        <w:t>Five people with intellectual disability speak about their experience of getting vaccinated.</w:t>
      </w:r>
    </w:p>
    <w:p w14:paraId="24FC6FC2" w14:textId="7777777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Style w:val="d2edcug0"/>
          <w:rFonts w:eastAsiaTheme="minorHAnsi"/>
        </w:rPr>
      </w:pPr>
      <w:hyperlink r:id="rId32" w:history="1">
        <w:r w:rsidR="00715A69">
          <w:rPr>
            <w:rStyle w:val="Hyperlink"/>
            <w:rFonts w:eastAsia="Times New Roman"/>
          </w:rPr>
          <w:t>COVID-19 vaccination experiences</w:t>
        </w:r>
      </w:hyperlink>
      <w:r w:rsidR="00715A69">
        <w:rPr>
          <w:rFonts w:eastAsia="Times New Roman"/>
        </w:rPr>
        <w:t xml:space="preserve"> - YLab Global</w:t>
      </w:r>
    </w:p>
    <w:p w14:paraId="03582326" w14:textId="77777777" w:rsidR="00715A69" w:rsidRDefault="00715A69" w:rsidP="003F2A42">
      <w:pPr>
        <w:pStyle w:val="ListParagraph"/>
        <w:numPr>
          <w:ilvl w:val="1"/>
          <w:numId w:val="27"/>
        </w:numPr>
        <w:shd w:val="clear" w:color="auto" w:fill="FFFFFF"/>
        <w:spacing w:line="252" w:lineRule="auto"/>
        <w:ind w:left="1434" w:hanging="357"/>
        <w:rPr>
          <w:rFonts w:eastAsia="Times New Roman"/>
          <w:color w:val="050505"/>
        </w:rPr>
      </w:pPr>
      <w:r>
        <w:rPr>
          <w:rFonts w:eastAsia="Times New Roman"/>
          <w:color w:val="050505"/>
        </w:rPr>
        <w:t xml:space="preserve">Six young people speak about their experience of getting vaccinated. This includes young people with disability and people from multicultural communities. </w:t>
      </w:r>
    </w:p>
    <w:p w14:paraId="674908B9" w14:textId="7777777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Fonts w:eastAsia="Times New Roman"/>
        </w:rPr>
      </w:pPr>
      <w:hyperlink r:id="rId33" w:anchor=":~:text=COVID-19%20vaccination%20social%20scripts%20Amaze%2C%20in%20partnership%20with,find%20the%20process%20of%20getting%20the%20vaccination%20stressful." w:history="1">
        <w:r w:rsidR="00715A69">
          <w:rPr>
            <w:rStyle w:val="Hyperlink"/>
            <w:rFonts w:eastAsia="Times New Roman"/>
          </w:rPr>
          <w:t>COVID-19 vaccination social scripts - Amaze - Social Script</w:t>
        </w:r>
      </w:hyperlink>
    </w:p>
    <w:p w14:paraId="7C0AF3F0" w14:textId="373556E6" w:rsidR="00715A69" w:rsidRDefault="00715A69" w:rsidP="00715A69">
      <w:pPr>
        <w:pStyle w:val="ListParagraph"/>
        <w:numPr>
          <w:ilvl w:val="0"/>
          <w:numId w:val="27"/>
        </w:numPr>
        <w:shd w:val="clear" w:color="auto" w:fill="FFFFFF"/>
        <w:spacing w:before="0" w:after="160" w:line="252" w:lineRule="auto"/>
        <w:contextualSpacing/>
        <w:rPr>
          <w:rFonts w:eastAsia="Times New Roman"/>
          <w:color w:val="050505"/>
        </w:rPr>
      </w:pPr>
      <w:r>
        <w:rPr>
          <w:rFonts w:eastAsia="Times New Roman"/>
        </w:rPr>
        <w:t>Social scripts are story-based and use images and descriptions to explain new experiences and social environments. While these scripts have been developed for autistic people, they can help a wider audience.</w:t>
      </w:r>
      <w:hyperlink r:id="rId34" w:history="1">
        <w:r>
          <w:rPr>
            <w:rStyle w:val="Hyperlink"/>
            <w:rFonts w:eastAsia="Times New Roman"/>
          </w:rPr>
          <w:t>COVID-19 Vaccination – Easy Read Resources</w:t>
        </w:r>
      </w:hyperlink>
    </w:p>
    <w:p w14:paraId="4B3D4416" w14:textId="77777777" w:rsidR="00715A69" w:rsidRDefault="00715A69" w:rsidP="003F2A42">
      <w:pPr>
        <w:pStyle w:val="ListParagraph"/>
        <w:numPr>
          <w:ilvl w:val="1"/>
          <w:numId w:val="27"/>
        </w:numPr>
        <w:shd w:val="clear" w:color="auto" w:fill="FFFFFF"/>
        <w:spacing w:line="252" w:lineRule="auto"/>
        <w:ind w:left="1434" w:hanging="357"/>
        <w:rPr>
          <w:rFonts w:eastAsia="Times New Roman"/>
          <w:color w:val="0563C1"/>
          <w:u w:val="single"/>
        </w:rPr>
      </w:pPr>
      <w:r>
        <w:rPr>
          <w:rFonts w:eastAsia="Times New Roman"/>
          <w:color w:val="000000"/>
        </w:rPr>
        <w:t>The Australian Government Department of Health has produced a range of Easy Read resources on COVID-19 vaccination.</w:t>
      </w:r>
    </w:p>
    <w:p w14:paraId="0869CA40" w14:textId="7777777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Fonts w:eastAsia="Times New Roman"/>
        </w:rPr>
      </w:pPr>
      <w:hyperlink r:id="rId35" w:anchor="cov" w:history="1">
        <w:r w:rsidR="00715A69">
          <w:rPr>
            <w:rStyle w:val="Hyperlink"/>
            <w:rFonts w:eastAsia="Times New Roman"/>
          </w:rPr>
          <w:t>Coronavirus (COVID-19) information for people with disability - NDIS Quality and Safeguards Commission</w:t>
        </w:r>
      </w:hyperlink>
    </w:p>
    <w:p w14:paraId="5D80ACF3" w14:textId="77777777" w:rsidR="00715A69" w:rsidRDefault="00715A69" w:rsidP="003F2A42">
      <w:pPr>
        <w:pStyle w:val="ListParagraph"/>
        <w:numPr>
          <w:ilvl w:val="1"/>
          <w:numId w:val="27"/>
        </w:numPr>
        <w:spacing w:line="252" w:lineRule="auto"/>
        <w:ind w:left="1434" w:hanging="357"/>
        <w:rPr>
          <w:rFonts w:eastAsia="Times New Roman"/>
        </w:rPr>
      </w:pPr>
      <w:r>
        <w:rPr>
          <w:rFonts w:eastAsia="Times New Roman"/>
        </w:rPr>
        <w:t>COVID-19 vaccine information including frequently asked questions, accessible resources in Easy Read and Auslan, and fact sheets for NDIS participants.</w:t>
      </w:r>
    </w:p>
    <w:p w14:paraId="2C77CCDB" w14:textId="7777777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Fonts w:eastAsia="Times New Roman"/>
          <w:color w:val="1F497D"/>
        </w:rPr>
      </w:pPr>
      <w:hyperlink r:id="rId36" w:history="1">
        <w:r w:rsidR="00715A69">
          <w:rPr>
            <w:rStyle w:val="Hyperlink"/>
            <w:rFonts w:eastAsia="Times New Roman"/>
          </w:rPr>
          <w:t>NDIS Commission coronavirus (COVID-19) information - NDIS Quality and Safeguards Commission</w:t>
        </w:r>
      </w:hyperlink>
    </w:p>
    <w:p w14:paraId="0AFABA97" w14:textId="77777777" w:rsidR="00715A69" w:rsidRDefault="00715A69" w:rsidP="00715A69">
      <w:pPr>
        <w:pStyle w:val="ListParagraph"/>
        <w:numPr>
          <w:ilvl w:val="1"/>
          <w:numId w:val="27"/>
        </w:numPr>
        <w:spacing w:before="0" w:after="160" w:line="252" w:lineRule="auto"/>
        <w:contextualSpacing/>
        <w:rPr>
          <w:rFonts w:eastAsia="Times New Roman"/>
          <w:color w:val="1F497D"/>
        </w:rPr>
      </w:pPr>
      <w:r>
        <w:rPr>
          <w:rFonts w:eastAsia="Times New Roman"/>
        </w:rPr>
        <w:t>Information for NDIS Participants, disability support workers and providers on COVID-19 vaccination and infection prevention and control.</w:t>
      </w:r>
    </w:p>
    <w:p w14:paraId="4FD4DBD7" w14:textId="77777777" w:rsidR="00715A69" w:rsidRDefault="00715A69" w:rsidP="00715A69">
      <w:pPr>
        <w:pStyle w:val="Heading2"/>
        <w:rPr>
          <w:rFonts w:eastAsia="Times New Roman"/>
          <w:color w:val="2F5496"/>
          <w:sz w:val="28"/>
          <w:szCs w:val="28"/>
        </w:rPr>
      </w:pPr>
      <w:r>
        <w:rPr>
          <w:rFonts w:eastAsia="Times New Roman"/>
          <w:sz w:val="28"/>
          <w:szCs w:val="28"/>
        </w:rPr>
        <w:t>Further resources for providers and disability support workers</w:t>
      </w:r>
    </w:p>
    <w:p w14:paraId="3402AEA8" w14:textId="054F9A27" w:rsidR="00715A69" w:rsidRDefault="000A6B1A" w:rsidP="00715A69">
      <w:pPr>
        <w:pStyle w:val="ListParagraph"/>
        <w:numPr>
          <w:ilvl w:val="0"/>
          <w:numId w:val="27"/>
        </w:numPr>
        <w:spacing w:before="0" w:after="160" w:line="252" w:lineRule="auto"/>
        <w:contextualSpacing/>
        <w:rPr>
          <w:rFonts w:eastAsia="Times New Roman"/>
          <w:color w:val="1F497D"/>
        </w:rPr>
      </w:pPr>
      <w:hyperlink r:id="rId37" w:history="1">
        <w:r w:rsidR="00715A69">
          <w:rPr>
            <w:rStyle w:val="Hyperlink"/>
            <w:rFonts w:eastAsia="Times New Roman"/>
          </w:rPr>
          <w:t xml:space="preserve">NDIS Commission letter to </w:t>
        </w:r>
        <w:r w:rsidR="003F2A42">
          <w:rPr>
            <w:rStyle w:val="Hyperlink"/>
            <w:rFonts w:eastAsia="Times New Roman"/>
          </w:rPr>
          <w:t>p</w:t>
        </w:r>
        <w:r w:rsidR="00715A69">
          <w:rPr>
            <w:rStyle w:val="Hyperlink"/>
            <w:rFonts w:eastAsia="Times New Roman"/>
          </w:rPr>
          <w:t>roviders</w:t>
        </w:r>
      </w:hyperlink>
      <w:r w:rsidR="00715A69">
        <w:rPr>
          <w:rFonts w:eastAsia="Times New Roman"/>
        </w:rPr>
        <w:t xml:space="preserve"> </w:t>
      </w:r>
    </w:p>
    <w:p w14:paraId="65F33DEB" w14:textId="77777777" w:rsidR="00715A69" w:rsidRDefault="00715A69" w:rsidP="003F2A42">
      <w:pPr>
        <w:pStyle w:val="ListParagraph"/>
        <w:numPr>
          <w:ilvl w:val="1"/>
          <w:numId w:val="27"/>
        </w:numPr>
        <w:spacing w:line="252" w:lineRule="auto"/>
        <w:ind w:left="1434" w:hanging="357"/>
        <w:rPr>
          <w:rFonts w:eastAsia="Times New Roman"/>
        </w:rPr>
      </w:pPr>
      <w:r>
        <w:rPr>
          <w:rFonts w:eastAsia="Times New Roman"/>
        </w:rPr>
        <w:t>A letter outlining the rights of NDIS participants to receive COVID-19 vaccination, and how disability support workers can facilitate this.</w:t>
      </w:r>
    </w:p>
    <w:p w14:paraId="3F9B46E0" w14:textId="08DE074C" w:rsidR="00715A69" w:rsidRDefault="000A6B1A" w:rsidP="003F2A42">
      <w:pPr>
        <w:pStyle w:val="ListParagraph"/>
        <w:numPr>
          <w:ilvl w:val="0"/>
          <w:numId w:val="27"/>
        </w:numPr>
        <w:spacing w:line="252" w:lineRule="auto"/>
        <w:ind w:left="714" w:hanging="357"/>
        <w:rPr>
          <w:rFonts w:eastAsia="Times New Roman"/>
          <w:color w:val="0563C1"/>
          <w:u w:val="single"/>
        </w:rPr>
      </w:pPr>
      <w:hyperlink r:id="rId38" w:history="1">
        <w:r w:rsidR="00715A69">
          <w:rPr>
            <w:rStyle w:val="Hyperlink"/>
            <w:rFonts w:eastAsia="Times New Roman"/>
          </w:rPr>
          <w:t xml:space="preserve">Message from the Acting Commissioner – Supporting the rights of NDIS </w:t>
        </w:r>
        <w:r w:rsidR="003F2A42">
          <w:rPr>
            <w:rStyle w:val="Hyperlink"/>
            <w:rFonts w:eastAsia="Times New Roman"/>
          </w:rPr>
          <w:t>p</w:t>
        </w:r>
        <w:r w:rsidR="00715A69">
          <w:rPr>
            <w:rStyle w:val="Hyperlink"/>
            <w:rFonts w:eastAsia="Times New Roman"/>
          </w:rPr>
          <w:t xml:space="preserve">articipants to access COVID-19 </w:t>
        </w:r>
        <w:r w:rsidR="003F2A42">
          <w:rPr>
            <w:rStyle w:val="Hyperlink"/>
            <w:rFonts w:eastAsia="Times New Roman"/>
          </w:rPr>
          <w:t>v</w:t>
        </w:r>
        <w:r w:rsidR="00715A69">
          <w:rPr>
            <w:rStyle w:val="Hyperlink"/>
            <w:rFonts w:eastAsia="Times New Roman"/>
          </w:rPr>
          <w:t xml:space="preserve">accination </w:t>
        </w:r>
      </w:hyperlink>
    </w:p>
    <w:p w14:paraId="42FAC56F" w14:textId="77777777" w:rsidR="00715A69" w:rsidRDefault="000A6B1A" w:rsidP="00715A69">
      <w:pPr>
        <w:pStyle w:val="ListParagraph"/>
        <w:numPr>
          <w:ilvl w:val="0"/>
          <w:numId w:val="27"/>
        </w:numPr>
        <w:shd w:val="clear" w:color="auto" w:fill="FFFFFF"/>
        <w:spacing w:before="0" w:after="160" w:line="252" w:lineRule="auto"/>
        <w:contextualSpacing/>
        <w:rPr>
          <w:rFonts w:eastAsia="Times New Roman"/>
          <w:color w:val="050505"/>
        </w:rPr>
      </w:pPr>
      <w:hyperlink r:id="rId39" w:history="1">
        <w:r w:rsidR="00715A69">
          <w:rPr>
            <w:rStyle w:val="Hyperlink"/>
            <w:rFonts w:eastAsia="Times New Roman"/>
          </w:rPr>
          <w:t>COVID-19 Hub - National Disability Services</w:t>
        </w:r>
      </w:hyperlink>
    </w:p>
    <w:p w14:paraId="297506CC" w14:textId="77777777" w:rsidR="00715A69" w:rsidRDefault="00715A69" w:rsidP="003F2A42">
      <w:pPr>
        <w:pStyle w:val="ListParagraph"/>
        <w:numPr>
          <w:ilvl w:val="1"/>
          <w:numId w:val="27"/>
        </w:numPr>
        <w:shd w:val="clear" w:color="auto" w:fill="FFFFFF"/>
        <w:spacing w:line="252" w:lineRule="auto"/>
        <w:ind w:left="1434" w:hanging="357"/>
        <w:rPr>
          <w:rFonts w:eastAsia="Times New Roman"/>
          <w:color w:val="050505"/>
        </w:rPr>
      </w:pPr>
      <w:r>
        <w:rPr>
          <w:rFonts w:eastAsia="Times New Roman"/>
          <w:color w:val="050505"/>
        </w:rPr>
        <w:t>National Disability Services has a range of resources and FAQs to assist providers and workers to access COVID-19 related resources from across sector and government websites in one place.</w:t>
      </w:r>
    </w:p>
    <w:p w14:paraId="099280ED" w14:textId="77777777" w:rsidR="00715A69" w:rsidRDefault="000A6B1A" w:rsidP="00715A69">
      <w:pPr>
        <w:pStyle w:val="ListParagraph"/>
        <w:numPr>
          <w:ilvl w:val="0"/>
          <w:numId w:val="27"/>
        </w:numPr>
        <w:shd w:val="clear" w:color="auto" w:fill="FFFFFF"/>
        <w:spacing w:before="0" w:after="160" w:line="252" w:lineRule="auto"/>
        <w:contextualSpacing/>
        <w:rPr>
          <w:rFonts w:eastAsia="Times New Roman"/>
          <w:color w:val="050505"/>
        </w:rPr>
      </w:pPr>
      <w:hyperlink r:id="rId40" w:anchor=":~:text=Appointments%20for%20a%20COVID%2D19,Gateway%20on%201800%20643%20787." w:history="1">
        <w:r w:rsidR="00715A69">
          <w:rPr>
            <w:rStyle w:val="Hyperlink"/>
            <w:rFonts w:eastAsia="Times New Roman"/>
          </w:rPr>
          <w:t>Information for disability service providers about COVID-19 vaccines</w:t>
        </w:r>
      </w:hyperlink>
    </w:p>
    <w:p w14:paraId="5468BC25" w14:textId="77777777" w:rsidR="00715A69" w:rsidRDefault="00715A69" w:rsidP="003F2A42">
      <w:pPr>
        <w:pStyle w:val="ListParagraph"/>
        <w:numPr>
          <w:ilvl w:val="1"/>
          <w:numId w:val="27"/>
        </w:numPr>
        <w:shd w:val="clear" w:color="auto" w:fill="FFFFFF"/>
        <w:spacing w:line="252" w:lineRule="auto"/>
        <w:ind w:left="1434" w:hanging="357"/>
        <w:rPr>
          <w:rFonts w:eastAsia="Times New Roman"/>
          <w:color w:val="050505"/>
        </w:rPr>
      </w:pPr>
      <w:r>
        <w:rPr>
          <w:rFonts w:eastAsia="Times New Roman"/>
          <w:color w:val="050505"/>
        </w:rPr>
        <w:t>The Australian Government Department of Health website has information and resources for disability service providers regarding COVID-19 vaccinations.</w:t>
      </w:r>
    </w:p>
    <w:p w14:paraId="5106AC2F" w14:textId="77777777" w:rsidR="00715A69" w:rsidRDefault="000A6B1A" w:rsidP="00715A69">
      <w:pPr>
        <w:pStyle w:val="ListParagraph"/>
        <w:numPr>
          <w:ilvl w:val="0"/>
          <w:numId w:val="27"/>
        </w:numPr>
        <w:shd w:val="clear" w:color="auto" w:fill="FFFFFF"/>
        <w:spacing w:before="0" w:after="160" w:line="252" w:lineRule="auto"/>
        <w:contextualSpacing/>
        <w:rPr>
          <w:rFonts w:eastAsia="Times New Roman"/>
          <w:color w:val="050505"/>
        </w:rPr>
      </w:pPr>
      <w:hyperlink r:id="rId41" w:tgtFrame="_blank" w:history="1">
        <w:r w:rsidR="00715A69">
          <w:rPr>
            <w:rStyle w:val="Hyperlink"/>
            <w:rFonts w:eastAsia="Times New Roman"/>
          </w:rPr>
          <w:t>Vaccine and Coronavirus myth-busting</w:t>
        </w:r>
      </w:hyperlink>
    </w:p>
    <w:p w14:paraId="770A5033" w14:textId="3EDE3884" w:rsidR="00F85425" w:rsidRPr="00CB5190" w:rsidRDefault="00715A69" w:rsidP="003F2A42">
      <w:pPr>
        <w:pStyle w:val="ListParagraph"/>
        <w:rPr>
          <w:lang w:val="en-GB" w:eastAsia="en-AU"/>
        </w:rPr>
      </w:pPr>
      <w:r w:rsidRPr="00715A69">
        <w:rPr>
          <w:rFonts w:eastAsia="Times New Roman"/>
          <w:color w:val="050505"/>
        </w:rPr>
        <w:t>The Australian Government Department of Home Affairs website has information around myths surrounding the vaccine.</w:t>
      </w:r>
    </w:p>
    <w:sectPr w:rsidR="00F85425" w:rsidRPr="00CB5190" w:rsidSect="003F2A42">
      <w:headerReference w:type="default" r:id="rId42"/>
      <w:footerReference w:type="default" r:id="rId43"/>
      <w:headerReference w:type="first" r:id="rId44"/>
      <w:footerReference w:type="first" r:id="rId45"/>
      <w:pgSz w:w="11906" w:h="16838"/>
      <w:pgMar w:top="0" w:right="1106" w:bottom="993" w:left="1080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E14A9F" w14:textId="77777777" w:rsidR="008D7BE2" w:rsidRDefault="008D7BE2" w:rsidP="00CE7D4D">
      <w:r>
        <w:separator/>
      </w:r>
    </w:p>
  </w:endnote>
  <w:endnote w:type="continuationSeparator" w:id="0">
    <w:p w14:paraId="78156466" w14:textId="77777777" w:rsidR="008D7BE2" w:rsidRDefault="008D7BE2" w:rsidP="00CE7D4D">
      <w:r>
        <w:continuationSeparator/>
      </w:r>
    </w:p>
  </w:endnote>
  <w:endnote w:type="continuationNotice" w:id="1">
    <w:p w14:paraId="5676C2DC" w14:textId="77777777" w:rsidR="008D7BE2" w:rsidRDefault="008D7BE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39" name="Picture 39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17E64" w14:textId="77777777" w:rsidR="008D7BE2" w:rsidRDefault="008D7BE2" w:rsidP="00CE7D4D">
      <w:r>
        <w:separator/>
      </w:r>
    </w:p>
  </w:footnote>
  <w:footnote w:type="continuationSeparator" w:id="0">
    <w:p w14:paraId="142ACB16" w14:textId="77777777" w:rsidR="008D7BE2" w:rsidRDefault="008D7BE2" w:rsidP="00CE7D4D">
      <w:r>
        <w:continuationSeparator/>
      </w:r>
    </w:p>
  </w:footnote>
  <w:footnote w:type="continuationNotice" w:id="1">
    <w:p w14:paraId="31BC9937" w14:textId="77777777" w:rsidR="008D7BE2" w:rsidRDefault="008D7BE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7" name="Picture 37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38" name="Picture 38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5E290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466C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A45E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C6C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908F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DC5D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488B3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EE0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7643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D85CF9"/>
    <w:multiLevelType w:val="hybridMultilevel"/>
    <w:tmpl w:val="1C36C262"/>
    <w:lvl w:ilvl="0" w:tplc="C80053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7C2F3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26AF"/>
    <w:multiLevelType w:val="hybridMultilevel"/>
    <w:tmpl w:val="3AC63E66"/>
    <w:lvl w:ilvl="0" w:tplc="18D88998">
      <w:start w:val="1"/>
      <w:numFmt w:val="decimal"/>
      <w:lvlText w:val="%1."/>
      <w:lvlJc w:val="left"/>
      <w:pPr>
        <w:ind w:left="360" w:hanging="360"/>
      </w:pPr>
      <w:rPr>
        <w:b/>
        <w:bCs/>
        <w:color w:val="000000"/>
        <w:sz w:val="28"/>
        <w:szCs w:val="28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773AB2"/>
    <w:multiLevelType w:val="multilevel"/>
    <w:tmpl w:val="F35A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53CAC"/>
    <w:multiLevelType w:val="hybridMultilevel"/>
    <w:tmpl w:val="989C2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3C55EE"/>
    <w:multiLevelType w:val="hybridMultilevel"/>
    <w:tmpl w:val="AF3E88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81047B"/>
    <w:multiLevelType w:val="hybridMultilevel"/>
    <w:tmpl w:val="C49E754A"/>
    <w:lvl w:ilvl="0" w:tplc="4DBEC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230A6"/>
    <w:multiLevelType w:val="hybridMultilevel"/>
    <w:tmpl w:val="5F5A7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64FA7"/>
    <w:multiLevelType w:val="hybridMultilevel"/>
    <w:tmpl w:val="ABD0DD0E"/>
    <w:lvl w:ilvl="0" w:tplc="0C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D2236"/>
    <w:multiLevelType w:val="hybridMultilevel"/>
    <w:tmpl w:val="AAA62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3C8D"/>
    <w:multiLevelType w:val="multilevel"/>
    <w:tmpl w:val="76FE6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A214E6"/>
    <w:multiLevelType w:val="hybridMultilevel"/>
    <w:tmpl w:val="43B4A0B0"/>
    <w:lvl w:ilvl="0" w:tplc="1EFE51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B201C"/>
    <w:multiLevelType w:val="multilevel"/>
    <w:tmpl w:val="1EA8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FE660E"/>
    <w:multiLevelType w:val="hybridMultilevel"/>
    <w:tmpl w:val="732CF818"/>
    <w:lvl w:ilvl="0" w:tplc="4DBECD0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B6F44"/>
    <w:multiLevelType w:val="multilevel"/>
    <w:tmpl w:val="C0668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A2A2BC9"/>
    <w:multiLevelType w:val="hybridMultilevel"/>
    <w:tmpl w:val="FEF6C624"/>
    <w:lvl w:ilvl="0" w:tplc="FF32C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5F6578"/>
    <w:multiLevelType w:val="hybridMultilevel"/>
    <w:tmpl w:val="D01AF9D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3B2560C"/>
    <w:multiLevelType w:val="hybridMultilevel"/>
    <w:tmpl w:val="7D3A95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23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7"/>
  </w:num>
  <w:num w:numId="18">
    <w:abstractNumId w:val="19"/>
  </w:num>
  <w:num w:numId="19">
    <w:abstractNumId w:val="26"/>
  </w:num>
  <w:num w:numId="20">
    <w:abstractNumId w:val="21"/>
  </w:num>
  <w:num w:numId="21">
    <w:abstractNumId w:val="14"/>
  </w:num>
  <w:num w:numId="22">
    <w:abstractNumId w:val="9"/>
  </w:num>
  <w:num w:numId="23">
    <w:abstractNumId w:val="9"/>
  </w:num>
  <w:num w:numId="24">
    <w:abstractNumId w:val="13"/>
  </w:num>
  <w:num w:numId="25">
    <w:abstractNumId w:val="22"/>
  </w:num>
  <w:num w:numId="26">
    <w:abstractNumId w:val="15"/>
  </w:num>
  <w:num w:numId="27">
    <w:abstractNumId w:val="10"/>
  </w:num>
  <w:num w:numId="28">
    <w:abstractNumId w:val="20"/>
  </w:num>
  <w:num w:numId="29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16E"/>
    <w:rsid w:val="00004891"/>
    <w:rsid w:val="000050E7"/>
    <w:rsid w:val="00005C6B"/>
    <w:rsid w:val="00007714"/>
    <w:rsid w:val="00007A3C"/>
    <w:rsid w:val="00014AAC"/>
    <w:rsid w:val="00015917"/>
    <w:rsid w:val="00015D6C"/>
    <w:rsid w:val="00016380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46B4C"/>
    <w:rsid w:val="00050BEB"/>
    <w:rsid w:val="00051BAF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F3E6"/>
    <w:rsid w:val="00080061"/>
    <w:rsid w:val="00082381"/>
    <w:rsid w:val="00082485"/>
    <w:rsid w:val="000824E2"/>
    <w:rsid w:val="0008356F"/>
    <w:rsid w:val="00083A56"/>
    <w:rsid w:val="00086BA5"/>
    <w:rsid w:val="0009009B"/>
    <w:rsid w:val="00091563"/>
    <w:rsid w:val="000921EC"/>
    <w:rsid w:val="000A0F1E"/>
    <w:rsid w:val="000A5814"/>
    <w:rsid w:val="000A6A32"/>
    <w:rsid w:val="000A6B1A"/>
    <w:rsid w:val="000B02F3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E2102"/>
    <w:rsid w:val="000E449A"/>
    <w:rsid w:val="000E4CB7"/>
    <w:rsid w:val="000E6FF4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365"/>
    <w:rsid w:val="00116CA8"/>
    <w:rsid w:val="00122331"/>
    <w:rsid w:val="0012410A"/>
    <w:rsid w:val="00126356"/>
    <w:rsid w:val="00132467"/>
    <w:rsid w:val="0013264D"/>
    <w:rsid w:val="00134B78"/>
    <w:rsid w:val="00140D3C"/>
    <w:rsid w:val="00141433"/>
    <w:rsid w:val="00146E0F"/>
    <w:rsid w:val="00146E3E"/>
    <w:rsid w:val="00150E8B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2315"/>
    <w:rsid w:val="001B3614"/>
    <w:rsid w:val="001B3624"/>
    <w:rsid w:val="001B51DF"/>
    <w:rsid w:val="001B7F85"/>
    <w:rsid w:val="001C02E1"/>
    <w:rsid w:val="001C0320"/>
    <w:rsid w:val="001C0346"/>
    <w:rsid w:val="001C2A5D"/>
    <w:rsid w:val="001C40BB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1F1CF7"/>
    <w:rsid w:val="001F7AE6"/>
    <w:rsid w:val="00203A23"/>
    <w:rsid w:val="00204305"/>
    <w:rsid w:val="00204361"/>
    <w:rsid w:val="00204450"/>
    <w:rsid w:val="002050DA"/>
    <w:rsid w:val="00206963"/>
    <w:rsid w:val="002115D2"/>
    <w:rsid w:val="00212CC9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60B"/>
    <w:rsid w:val="0024417F"/>
    <w:rsid w:val="00245770"/>
    <w:rsid w:val="002465F5"/>
    <w:rsid w:val="0025081A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3CCC"/>
    <w:rsid w:val="00274442"/>
    <w:rsid w:val="00275270"/>
    <w:rsid w:val="00275DA9"/>
    <w:rsid w:val="0027687D"/>
    <w:rsid w:val="00277408"/>
    <w:rsid w:val="00282489"/>
    <w:rsid w:val="00284A81"/>
    <w:rsid w:val="00284ABE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A6D2E"/>
    <w:rsid w:val="002A7CD8"/>
    <w:rsid w:val="002B15DE"/>
    <w:rsid w:val="002B2069"/>
    <w:rsid w:val="002B3119"/>
    <w:rsid w:val="002B3616"/>
    <w:rsid w:val="002B4EF9"/>
    <w:rsid w:val="002C2392"/>
    <w:rsid w:val="002C3AF6"/>
    <w:rsid w:val="002D0FCF"/>
    <w:rsid w:val="002D1A9A"/>
    <w:rsid w:val="002D52B6"/>
    <w:rsid w:val="002D62D4"/>
    <w:rsid w:val="002D698B"/>
    <w:rsid w:val="002E1D6D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018F"/>
    <w:rsid w:val="00325980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B9E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6C6F"/>
    <w:rsid w:val="003B7CF1"/>
    <w:rsid w:val="003B9875"/>
    <w:rsid w:val="003C01E1"/>
    <w:rsid w:val="003C1A65"/>
    <w:rsid w:val="003C21BA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4196"/>
    <w:rsid w:val="003D5355"/>
    <w:rsid w:val="003D7721"/>
    <w:rsid w:val="003E5B3A"/>
    <w:rsid w:val="003E5C18"/>
    <w:rsid w:val="003F0F43"/>
    <w:rsid w:val="003F1AD2"/>
    <w:rsid w:val="003F2096"/>
    <w:rsid w:val="003F2595"/>
    <w:rsid w:val="003F2A42"/>
    <w:rsid w:val="003F2FBF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D9C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27FA5"/>
    <w:rsid w:val="004314F7"/>
    <w:rsid w:val="00431D3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353A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3B62"/>
    <w:rsid w:val="004B6E62"/>
    <w:rsid w:val="004C0B1B"/>
    <w:rsid w:val="004C0BF9"/>
    <w:rsid w:val="004C0D70"/>
    <w:rsid w:val="004C59A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501134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5709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11A0"/>
    <w:rsid w:val="00553876"/>
    <w:rsid w:val="00553EF8"/>
    <w:rsid w:val="0055520B"/>
    <w:rsid w:val="005559FC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004B"/>
    <w:rsid w:val="005B16E8"/>
    <w:rsid w:val="005B2401"/>
    <w:rsid w:val="005B39BB"/>
    <w:rsid w:val="005B6774"/>
    <w:rsid w:val="005B6A12"/>
    <w:rsid w:val="005B780F"/>
    <w:rsid w:val="005B7E15"/>
    <w:rsid w:val="005C2978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8C0"/>
    <w:rsid w:val="006770F3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5A69"/>
    <w:rsid w:val="00716EE6"/>
    <w:rsid w:val="00720F8F"/>
    <w:rsid w:val="007212A7"/>
    <w:rsid w:val="007222F1"/>
    <w:rsid w:val="00723AC7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61482"/>
    <w:rsid w:val="007720D3"/>
    <w:rsid w:val="00773B6E"/>
    <w:rsid w:val="007760BA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1607"/>
    <w:rsid w:val="007D60D9"/>
    <w:rsid w:val="007E04FD"/>
    <w:rsid w:val="007E0A7D"/>
    <w:rsid w:val="007E0F11"/>
    <w:rsid w:val="007E2463"/>
    <w:rsid w:val="007E25E6"/>
    <w:rsid w:val="007E36C5"/>
    <w:rsid w:val="007E37F9"/>
    <w:rsid w:val="007E3C87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47D7"/>
    <w:rsid w:val="00805C4A"/>
    <w:rsid w:val="008062C1"/>
    <w:rsid w:val="008078AC"/>
    <w:rsid w:val="00810076"/>
    <w:rsid w:val="0081055F"/>
    <w:rsid w:val="0081274F"/>
    <w:rsid w:val="00812A3C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1186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2FAA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090F"/>
    <w:rsid w:val="008819F3"/>
    <w:rsid w:val="00882362"/>
    <w:rsid w:val="0088239E"/>
    <w:rsid w:val="008851DA"/>
    <w:rsid w:val="00885459"/>
    <w:rsid w:val="00885C9E"/>
    <w:rsid w:val="00885EC5"/>
    <w:rsid w:val="008914A8"/>
    <w:rsid w:val="008950FE"/>
    <w:rsid w:val="008A0B5E"/>
    <w:rsid w:val="008A2BA8"/>
    <w:rsid w:val="008A315E"/>
    <w:rsid w:val="008A321B"/>
    <w:rsid w:val="008A628E"/>
    <w:rsid w:val="008B2AD5"/>
    <w:rsid w:val="008B2EC7"/>
    <w:rsid w:val="008B4AD9"/>
    <w:rsid w:val="008B5C55"/>
    <w:rsid w:val="008B68CB"/>
    <w:rsid w:val="008C6494"/>
    <w:rsid w:val="008D5520"/>
    <w:rsid w:val="008D5B59"/>
    <w:rsid w:val="008D6923"/>
    <w:rsid w:val="008D7856"/>
    <w:rsid w:val="008D78D4"/>
    <w:rsid w:val="008D7BE2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35A45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B21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B5D7D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1240"/>
    <w:rsid w:val="00AF300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25B8C"/>
    <w:rsid w:val="00B31796"/>
    <w:rsid w:val="00B34278"/>
    <w:rsid w:val="00B34EBC"/>
    <w:rsid w:val="00B36377"/>
    <w:rsid w:val="00B36B40"/>
    <w:rsid w:val="00B37E3F"/>
    <w:rsid w:val="00B4138D"/>
    <w:rsid w:val="00B4344F"/>
    <w:rsid w:val="00B43E2C"/>
    <w:rsid w:val="00B44149"/>
    <w:rsid w:val="00B44519"/>
    <w:rsid w:val="00B44FF5"/>
    <w:rsid w:val="00B472DD"/>
    <w:rsid w:val="00B50293"/>
    <w:rsid w:val="00B50752"/>
    <w:rsid w:val="00B50D72"/>
    <w:rsid w:val="00B53C13"/>
    <w:rsid w:val="00B634F6"/>
    <w:rsid w:val="00B63EE7"/>
    <w:rsid w:val="00B63F52"/>
    <w:rsid w:val="00B643D6"/>
    <w:rsid w:val="00B677C2"/>
    <w:rsid w:val="00B70018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FCB"/>
    <w:rsid w:val="00BB20C5"/>
    <w:rsid w:val="00BC2437"/>
    <w:rsid w:val="00BC3EEE"/>
    <w:rsid w:val="00BC6D05"/>
    <w:rsid w:val="00BD16BD"/>
    <w:rsid w:val="00BD16F9"/>
    <w:rsid w:val="00BD2F61"/>
    <w:rsid w:val="00BD4A6E"/>
    <w:rsid w:val="00BD54C3"/>
    <w:rsid w:val="00BD7D6A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549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5190"/>
    <w:rsid w:val="00CB6A21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B13"/>
    <w:rsid w:val="00CE6E32"/>
    <w:rsid w:val="00CE7D4D"/>
    <w:rsid w:val="00CF10C7"/>
    <w:rsid w:val="00CF1228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958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6E3"/>
    <w:rsid w:val="00D958F9"/>
    <w:rsid w:val="00D970B6"/>
    <w:rsid w:val="00DA4139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3264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69A"/>
    <w:rsid w:val="00EB2935"/>
    <w:rsid w:val="00EB34C7"/>
    <w:rsid w:val="00EB3EC8"/>
    <w:rsid w:val="00EB4A82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0790B"/>
    <w:rsid w:val="00F105B9"/>
    <w:rsid w:val="00F1087C"/>
    <w:rsid w:val="00F11039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BF2"/>
    <w:rsid w:val="00F61DEC"/>
    <w:rsid w:val="00F639AE"/>
    <w:rsid w:val="00F64AB6"/>
    <w:rsid w:val="00F7359F"/>
    <w:rsid w:val="00F75801"/>
    <w:rsid w:val="00F767AE"/>
    <w:rsid w:val="00F77B13"/>
    <w:rsid w:val="00F77DC7"/>
    <w:rsid w:val="00F85188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7D53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2DD"/>
    <w:rsid w:val="00FD5848"/>
    <w:rsid w:val="00FD5876"/>
    <w:rsid w:val="00FD5D3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09009B"/>
    <w:pPr>
      <w:keepNext/>
      <w:keepLines/>
      <w:spacing w:before="240" w:after="40" w:line="271" w:lineRule="auto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09009B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652FCE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652FCE"/>
    <w:pPr>
      <w:spacing w:before="960" w:after="100" w:afterAutospacing="1" w:line="240" w:lineRule="auto"/>
    </w:pPr>
    <w:rPr>
      <w:rFonts w:eastAsia="Times New Roman" w:cs="Times New Roman"/>
      <w:b/>
      <w:color w:val="C00000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character" w:customStyle="1" w:styleId="d2edcug0">
    <w:name w:val="d2edcug0"/>
    <w:basedOn w:val="DefaultParagraphFont"/>
    <w:rsid w:val="00715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tag.nsw.gov.au" TargetMode="External"/><Relationship Id="rId18" Type="http://schemas.openxmlformats.org/officeDocument/2006/relationships/hyperlink" Target="http://www.opa.sa.gov.au/resources/fact_sheets" TargetMode="External"/><Relationship Id="rId26" Type="http://schemas.openxmlformats.org/officeDocument/2006/relationships/hyperlink" Target="http://www.supportfordecisionmakingresource.com.au/" TargetMode="External"/><Relationship Id="rId39" Type="http://schemas.openxmlformats.org/officeDocument/2006/relationships/hyperlink" Target="https://www.nds.org.au/covid-19-hub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publicadvocate.wa.gov.au/" TargetMode="External"/><Relationship Id="rId34" Type="http://schemas.openxmlformats.org/officeDocument/2006/relationships/hyperlink" Target="https://www.health.gov.au/resources/collections/covid-19-vaccination-easy-read-resources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publictrustee.act.gov.au/guardianship" TargetMode="External"/><Relationship Id="rId17" Type="http://schemas.openxmlformats.org/officeDocument/2006/relationships/hyperlink" Target="http://www.opa.sa.gov.au/what_we_do/guardianship" TargetMode="External"/><Relationship Id="rId25" Type="http://schemas.openxmlformats.org/officeDocument/2006/relationships/hyperlink" Target="https://www.nds.org.au/events-and-training/all-events-and-training/supported-decision-making-e-learning-module-3039" TargetMode="External"/><Relationship Id="rId33" Type="http://schemas.openxmlformats.org/officeDocument/2006/relationships/hyperlink" Target="https://www.amaze.org.au/support/resources/covid-19-vaccination-social-scripts/" TargetMode="External"/><Relationship Id="rId38" Type="http://schemas.openxmlformats.org/officeDocument/2006/relationships/hyperlink" Target="https://www.ndiscommission.gov.au/document/3391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ublicguardian.qld.gov.au/health-decisions" TargetMode="External"/><Relationship Id="rId20" Type="http://schemas.openxmlformats.org/officeDocument/2006/relationships/hyperlink" Target="http://www.publicadvocate.vic.gov.au/" TargetMode="External"/><Relationship Id="rId29" Type="http://schemas.openxmlformats.org/officeDocument/2006/relationships/hyperlink" Target="https://www.nds.org.au/resources/covid-19-safer-and-stronger-disability-vaccine-champions" TargetMode="External"/><Relationship Id="rId41" Type="http://schemas.openxmlformats.org/officeDocument/2006/relationships/hyperlink" Target="https://covid19inlanguage.homeaffairs.gov.au/misinformation-and-truths-about-coronavir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videos/covid-19-vaccination-consent-and-hesitancy-webinar-for-disability-service-providers" TargetMode="External"/><Relationship Id="rId24" Type="http://schemas.openxmlformats.org/officeDocument/2006/relationships/hyperlink" Target="https://www.youtube.com/watch?app=desktop&amp;v=aI3aJfs6-X4&amp;t=237s" TargetMode="External"/><Relationship Id="rId32" Type="http://schemas.openxmlformats.org/officeDocument/2006/relationships/hyperlink" Target="https://www.ylab.global/covid-vaccination-toolkit?fbclid=IwAR1T0h7AulIiCZY1tg7D-MPN9kweaM1fXELvCVbwnoSmM70Jx1M6HPlt2_4" TargetMode="External"/><Relationship Id="rId37" Type="http://schemas.openxmlformats.org/officeDocument/2006/relationships/hyperlink" Target="http://createsend.com/t/t-63D986E2D91EF8512540EF23F30FEDED" TargetMode="External"/><Relationship Id="rId40" Type="http://schemas.openxmlformats.org/officeDocument/2006/relationships/hyperlink" Target="https://www.health.gov.au/initiatives-and-programs/covid-19-vaccines/disability-sector/service-providers" TargetMode="External"/><Relationship Id="rId45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publicguardian.qld.gov.au/" TargetMode="External"/><Relationship Id="rId23" Type="http://schemas.openxmlformats.org/officeDocument/2006/relationships/hyperlink" Target="https://www.agac.org.au/assets/images/easy-eng-nat-stds-public-grdship.pdf" TargetMode="External"/><Relationship Id="rId28" Type="http://schemas.openxmlformats.org/officeDocument/2006/relationships/hyperlink" Target="https://support-my-decision.org.au/supporting-decisions/" TargetMode="External"/><Relationship Id="rId36" Type="http://schemas.openxmlformats.org/officeDocument/2006/relationships/hyperlink" Target="https://www.ndiscommission.gov.au/resources/coronavirus-covid-19-information" TargetMode="Externa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publicguardian.tas.gov.au/" TargetMode="External"/><Relationship Id="rId31" Type="http://schemas.openxmlformats.org/officeDocument/2006/relationships/hyperlink" Target="https://cid.org.au/resource/covid-vaccination-stories/" TargetMode="External"/><Relationship Id="rId44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ublicguardian.nt.gov.au" TargetMode="External"/><Relationship Id="rId22" Type="http://schemas.openxmlformats.org/officeDocument/2006/relationships/hyperlink" Target="https://www.publicadvocate.wa.gov.au/M/making_treatment_decisions.aspx?uid=4727-3795-2343-5639" TargetMode="External"/><Relationship Id="rId27" Type="http://schemas.openxmlformats.org/officeDocument/2006/relationships/hyperlink" Target="https://waindividualisedservices.org.au/resources/supported-decision-making/" TargetMode="External"/><Relationship Id="rId30" Type="http://schemas.openxmlformats.org/officeDocument/2006/relationships/hyperlink" Target="https://www.nds.org.au/covid-19-hub/covid19-vaccine" TargetMode="External"/><Relationship Id="rId35" Type="http://schemas.openxmlformats.org/officeDocument/2006/relationships/hyperlink" Target="https://www.ndiscommission.gov.au/participants/covid-19-people-disability" TargetMode="External"/><Relationship Id="rId43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  <ds:schemaRef ds:uri="2410a292-e042-440d-aef8-ab5a9bd10e41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1364</Words>
  <Characters>7781</Characters>
  <Application>Microsoft Office Word</Application>
  <DocSecurity>4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25 March 2022</vt:lpstr>
    </vt:vector>
  </TitlesOfParts>
  <Manager/>
  <Company/>
  <LinksUpToDate>false</LinksUpToDate>
  <CharactersWithSpaces>9127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14 April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2022-04-19T22:53:00Z</dcterms:created>
  <dcterms:modified xsi:type="dcterms:W3CDTF">2022-04-19T22:53:00Z</dcterms:modified>
  <cp:category>Disability</cp:category>
  <cp:contentStatus/>
</cp:coreProperties>
</file>