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F1896" w14:textId="77777777" w:rsidR="00544E66" w:rsidRPr="00EF2F0D" w:rsidRDefault="00544E66" w:rsidP="00EF2F0D">
      <w:pPr>
        <w:pStyle w:val="Title"/>
      </w:pPr>
      <w:r w:rsidRPr="00135A98">
        <w:t>Prostheses List Reforms</w:t>
      </w:r>
    </w:p>
    <w:p w14:paraId="373EF0AF" w14:textId="159A0480" w:rsidR="00544E66" w:rsidRPr="00EF2F0D" w:rsidRDefault="00544E66" w:rsidP="00EF2F0D">
      <w:pPr>
        <w:pStyle w:val="Title"/>
      </w:pPr>
      <w:r w:rsidRPr="00135A98">
        <w:t>Consultation</w:t>
      </w:r>
      <w:r w:rsidR="00092ECB">
        <w:t xml:space="preserve"> No. 1</w:t>
      </w:r>
    </w:p>
    <w:p w14:paraId="04A43A47" w14:textId="77777777" w:rsidR="00544E66" w:rsidRPr="00135A98" w:rsidRDefault="00544E66" w:rsidP="00EF2F0D">
      <w:pPr>
        <w:pStyle w:val="Subtitle"/>
      </w:pPr>
      <w:r>
        <w:t xml:space="preserve">Executive </w:t>
      </w:r>
      <w:r w:rsidRPr="00EF2F0D">
        <w:t>Summary</w:t>
      </w:r>
    </w:p>
    <w:p w14:paraId="04E984C6" w14:textId="77777777" w:rsidR="009B12E8" w:rsidRDefault="009B12E8">
      <w:pPr>
        <w:spacing w:after="160" w:line="259" w:lineRule="auto"/>
        <w:rPr>
          <w:rFonts w:eastAsiaTheme="majorEastAsia" w:cstheme="majorBidi"/>
          <w:iCs/>
          <w:color w:val="3F4A75"/>
          <w:spacing w:val="15"/>
          <w:sz w:val="32"/>
          <w:szCs w:val="20"/>
        </w:rPr>
      </w:pPr>
      <w:r>
        <w:rPr>
          <w:sz w:val="32"/>
          <w:szCs w:val="20"/>
        </w:rPr>
        <w:br w:type="page"/>
      </w:r>
    </w:p>
    <w:p w14:paraId="1B2403B5" w14:textId="77777777" w:rsidR="00720469" w:rsidRPr="00135A98" w:rsidRDefault="00720469" w:rsidP="00D31C61">
      <w:pPr>
        <w:pStyle w:val="Subtitle"/>
        <w:jc w:val="both"/>
        <w:rPr>
          <w:sz w:val="32"/>
          <w:szCs w:val="20"/>
        </w:rPr>
        <w:sectPr w:rsidR="00720469" w:rsidRPr="00135A98" w:rsidSect="00720469">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709" w:gutter="0"/>
          <w:cols w:space="708"/>
          <w:titlePg/>
          <w:docGrid w:linePitch="360"/>
        </w:sectPr>
      </w:pPr>
    </w:p>
    <w:sdt>
      <w:sdtPr>
        <w:rPr>
          <w:rFonts w:eastAsia="Times New Roman" w:cs="Times New Roman"/>
          <w:iCs w:val="0"/>
          <w:color w:val="auto"/>
          <w:spacing w:val="0"/>
          <w:sz w:val="22"/>
        </w:rPr>
        <w:id w:val="1765111058"/>
        <w:docPartObj>
          <w:docPartGallery w:val="Table of Contents"/>
          <w:docPartUnique/>
        </w:docPartObj>
      </w:sdtPr>
      <w:sdtEndPr>
        <w:rPr>
          <w:b/>
          <w:bCs/>
          <w:noProof/>
        </w:rPr>
      </w:sdtEndPr>
      <w:sdtContent>
        <w:p w14:paraId="398D7BD1" w14:textId="01647D0D" w:rsidR="00CF5AF2" w:rsidRPr="00AA4C73" w:rsidRDefault="00CF5AF2" w:rsidP="00D31C61">
          <w:pPr>
            <w:pStyle w:val="Subtitle"/>
            <w:jc w:val="both"/>
          </w:pPr>
          <w:r w:rsidRPr="00AA4C73">
            <w:t>Table of Contents</w:t>
          </w:r>
        </w:p>
        <w:p w14:paraId="28FC0FEA" w14:textId="5DCF7A6B" w:rsidR="000A6896" w:rsidRDefault="00CF5AF2">
          <w:pPr>
            <w:pStyle w:val="TOC1"/>
            <w:rPr>
              <w:rFonts w:asciiTheme="minorHAnsi" w:eastAsiaTheme="minorEastAsia" w:hAnsiTheme="minorHAnsi" w:cstheme="minorBidi"/>
              <w:b w:val="0"/>
              <w:bCs w:val="0"/>
              <w:szCs w:val="22"/>
              <w:lang w:eastAsia="en-AU"/>
            </w:rPr>
          </w:pPr>
          <w:r w:rsidRPr="00AA4C73">
            <w:rPr>
              <w:b w:val="0"/>
              <w:bCs w:val="0"/>
            </w:rPr>
            <w:fldChar w:fldCharType="begin"/>
          </w:r>
          <w:r w:rsidRPr="00AA4C73">
            <w:rPr>
              <w:b w:val="0"/>
              <w:bCs w:val="0"/>
            </w:rPr>
            <w:instrText xml:space="preserve"> TOC \o "1-3" \h \z \u </w:instrText>
          </w:r>
          <w:r w:rsidRPr="00AA4C73">
            <w:rPr>
              <w:b w:val="0"/>
              <w:bCs w:val="0"/>
            </w:rPr>
            <w:fldChar w:fldCharType="separate"/>
          </w:r>
          <w:hyperlink w:anchor="_Toc98496161" w:history="1">
            <w:r w:rsidR="000A6896" w:rsidRPr="00CF7176">
              <w:rPr>
                <w:rStyle w:val="Hyperlink"/>
              </w:rPr>
              <w:t>Executive Summary</w:t>
            </w:r>
            <w:r w:rsidR="000A6896">
              <w:rPr>
                <w:webHidden/>
              </w:rPr>
              <w:tab/>
            </w:r>
            <w:r w:rsidR="000A6896">
              <w:rPr>
                <w:webHidden/>
              </w:rPr>
              <w:fldChar w:fldCharType="begin"/>
            </w:r>
            <w:r w:rsidR="000A6896">
              <w:rPr>
                <w:webHidden/>
              </w:rPr>
              <w:instrText xml:space="preserve"> PAGEREF _Toc98496161 \h </w:instrText>
            </w:r>
            <w:r w:rsidR="000A6896">
              <w:rPr>
                <w:webHidden/>
              </w:rPr>
            </w:r>
            <w:r w:rsidR="000A6896">
              <w:rPr>
                <w:webHidden/>
              </w:rPr>
              <w:fldChar w:fldCharType="separate"/>
            </w:r>
            <w:r w:rsidR="000A6896">
              <w:rPr>
                <w:webHidden/>
              </w:rPr>
              <w:t>3</w:t>
            </w:r>
            <w:r w:rsidR="000A6896">
              <w:rPr>
                <w:webHidden/>
              </w:rPr>
              <w:fldChar w:fldCharType="end"/>
            </w:r>
          </w:hyperlink>
        </w:p>
        <w:p w14:paraId="68FB438B" w14:textId="1CDB761A" w:rsidR="000A6896" w:rsidRDefault="000A6896">
          <w:pPr>
            <w:pStyle w:val="TOC1"/>
            <w:rPr>
              <w:rFonts w:asciiTheme="minorHAnsi" w:eastAsiaTheme="minorEastAsia" w:hAnsiTheme="minorHAnsi" w:cstheme="minorBidi"/>
              <w:b w:val="0"/>
              <w:bCs w:val="0"/>
              <w:szCs w:val="22"/>
              <w:lang w:eastAsia="en-AU"/>
            </w:rPr>
          </w:pPr>
          <w:hyperlink w:anchor="_Toc98496162" w:history="1">
            <w:r w:rsidRPr="00CF7176">
              <w:rPr>
                <w:rStyle w:val="Hyperlink"/>
              </w:rPr>
              <w:t>Stakeholders</w:t>
            </w:r>
            <w:r>
              <w:rPr>
                <w:webHidden/>
              </w:rPr>
              <w:tab/>
            </w:r>
            <w:r>
              <w:rPr>
                <w:webHidden/>
              </w:rPr>
              <w:fldChar w:fldCharType="begin"/>
            </w:r>
            <w:r>
              <w:rPr>
                <w:webHidden/>
              </w:rPr>
              <w:instrText xml:space="preserve"> PAGEREF _Toc98496162 \h </w:instrText>
            </w:r>
            <w:r>
              <w:rPr>
                <w:webHidden/>
              </w:rPr>
            </w:r>
            <w:r>
              <w:rPr>
                <w:webHidden/>
              </w:rPr>
              <w:fldChar w:fldCharType="separate"/>
            </w:r>
            <w:r>
              <w:rPr>
                <w:webHidden/>
              </w:rPr>
              <w:t>3</w:t>
            </w:r>
            <w:r>
              <w:rPr>
                <w:webHidden/>
              </w:rPr>
              <w:fldChar w:fldCharType="end"/>
            </w:r>
          </w:hyperlink>
        </w:p>
        <w:p w14:paraId="0A5B2CE7" w14:textId="538552A0" w:rsidR="000A6896" w:rsidRDefault="000A6896">
          <w:pPr>
            <w:pStyle w:val="TOC1"/>
            <w:rPr>
              <w:rFonts w:asciiTheme="minorHAnsi" w:eastAsiaTheme="minorEastAsia" w:hAnsiTheme="minorHAnsi" w:cstheme="minorBidi"/>
              <w:b w:val="0"/>
              <w:bCs w:val="0"/>
              <w:szCs w:val="22"/>
              <w:lang w:eastAsia="en-AU"/>
            </w:rPr>
          </w:pPr>
          <w:hyperlink w:anchor="_Toc98496163" w:history="1">
            <w:r w:rsidRPr="00CF7176">
              <w:rPr>
                <w:rStyle w:val="Hyperlink"/>
              </w:rPr>
              <w:t>Approach to Consultation</w:t>
            </w:r>
            <w:r>
              <w:rPr>
                <w:webHidden/>
              </w:rPr>
              <w:tab/>
            </w:r>
            <w:r>
              <w:rPr>
                <w:webHidden/>
              </w:rPr>
              <w:fldChar w:fldCharType="begin"/>
            </w:r>
            <w:r>
              <w:rPr>
                <w:webHidden/>
              </w:rPr>
              <w:instrText xml:space="preserve"> PAGEREF _Toc98496163 \h </w:instrText>
            </w:r>
            <w:r>
              <w:rPr>
                <w:webHidden/>
              </w:rPr>
            </w:r>
            <w:r>
              <w:rPr>
                <w:webHidden/>
              </w:rPr>
              <w:fldChar w:fldCharType="separate"/>
            </w:r>
            <w:r>
              <w:rPr>
                <w:webHidden/>
              </w:rPr>
              <w:t>4</w:t>
            </w:r>
            <w:r>
              <w:rPr>
                <w:webHidden/>
              </w:rPr>
              <w:fldChar w:fldCharType="end"/>
            </w:r>
          </w:hyperlink>
        </w:p>
        <w:p w14:paraId="66D641A1" w14:textId="384379BB" w:rsidR="000A6896" w:rsidRDefault="000A6896">
          <w:pPr>
            <w:pStyle w:val="TOC1"/>
            <w:rPr>
              <w:rFonts w:asciiTheme="minorHAnsi" w:eastAsiaTheme="minorEastAsia" w:hAnsiTheme="minorHAnsi" w:cstheme="minorBidi"/>
              <w:b w:val="0"/>
              <w:bCs w:val="0"/>
              <w:szCs w:val="22"/>
              <w:lang w:eastAsia="en-AU"/>
            </w:rPr>
          </w:pPr>
          <w:hyperlink w:anchor="_Toc98496164" w:history="1">
            <w:r w:rsidRPr="00CF7176">
              <w:rPr>
                <w:rStyle w:val="Hyperlink"/>
              </w:rPr>
              <w:t>Consultation Outcomes</w:t>
            </w:r>
            <w:r>
              <w:rPr>
                <w:webHidden/>
              </w:rPr>
              <w:tab/>
            </w:r>
            <w:r>
              <w:rPr>
                <w:webHidden/>
              </w:rPr>
              <w:fldChar w:fldCharType="begin"/>
            </w:r>
            <w:r>
              <w:rPr>
                <w:webHidden/>
              </w:rPr>
              <w:instrText xml:space="preserve"> PAGEREF _Toc98496164 \h </w:instrText>
            </w:r>
            <w:r>
              <w:rPr>
                <w:webHidden/>
              </w:rPr>
            </w:r>
            <w:r>
              <w:rPr>
                <w:webHidden/>
              </w:rPr>
              <w:fldChar w:fldCharType="separate"/>
            </w:r>
            <w:r>
              <w:rPr>
                <w:webHidden/>
              </w:rPr>
              <w:t>4</w:t>
            </w:r>
            <w:r>
              <w:rPr>
                <w:webHidden/>
              </w:rPr>
              <w:fldChar w:fldCharType="end"/>
            </w:r>
          </w:hyperlink>
        </w:p>
        <w:p w14:paraId="44A0A1AB" w14:textId="2C8217CA" w:rsidR="000A6896" w:rsidRDefault="000A6896">
          <w:pPr>
            <w:pStyle w:val="TOC1"/>
            <w:rPr>
              <w:rFonts w:asciiTheme="minorHAnsi" w:eastAsiaTheme="minorEastAsia" w:hAnsiTheme="minorHAnsi" w:cstheme="minorBidi"/>
              <w:b w:val="0"/>
              <w:bCs w:val="0"/>
              <w:szCs w:val="22"/>
              <w:lang w:eastAsia="en-AU"/>
            </w:rPr>
          </w:pPr>
          <w:hyperlink w:anchor="_Toc98496165" w:history="1">
            <w:r w:rsidRPr="00CF7176">
              <w:rPr>
                <w:rStyle w:val="Hyperlink"/>
              </w:rPr>
              <w:t>Clinical Implementation Reference Group (CIRG)</w:t>
            </w:r>
            <w:r>
              <w:rPr>
                <w:webHidden/>
              </w:rPr>
              <w:tab/>
            </w:r>
            <w:r>
              <w:rPr>
                <w:webHidden/>
              </w:rPr>
              <w:fldChar w:fldCharType="begin"/>
            </w:r>
            <w:r>
              <w:rPr>
                <w:webHidden/>
              </w:rPr>
              <w:instrText xml:space="preserve"> PAGEREF _Toc98496165 \h </w:instrText>
            </w:r>
            <w:r>
              <w:rPr>
                <w:webHidden/>
              </w:rPr>
            </w:r>
            <w:r>
              <w:rPr>
                <w:webHidden/>
              </w:rPr>
              <w:fldChar w:fldCharType="separate"/>
            </w:r>
            <w:r>
              <w:rPr>
                <w:webHidden/>
              </w:rPr>
              <w:t>4</w:t>
            </w:r>
            <w:r>
              <w:rPr>
                <w:webHidden/>
              </w:rPr>
              <w:fldChar w:fldCharType="end"/>
            </w:r>
          </w:hyperlink>
        </w:p>
        <w:p w14:paraId="6166F157" w14:textId="48F97429" w:rsidR="000A6896" w:rsidRDefault="000A6896">
          <w:pPr>
            <w:pStyle w:val="TOC1"/>
            <w:rPr>
              <w:rFonts w:asciiTheme="minorHAnsi" w:eastAsiaTheme="minorEastAsia" w:hAnsiTheme="minorHAnsi" w:cstheme="minorBidi"/>
              <w:b w:val="0"/>
              <w:bCs w:val="0"/>
              <w:szCs w:val="22"/>
              <w:lang w:eastAsia="en-AU"/>
            </w:rPr>
          </w:pPr>
          <w:hyperlink w:anchor="_Toc98496166" w:history="1">
            <w:r w:rsidRPr="00CF7176">
              <w:rPr>
                <w:rStyle w:val="Hyperlink"/>
              </w:rPr>
              <w:t>Findings and Analysis</w:t>
            </w:r>
            <w:r>
              <w:rPr>
                <w:webHidden/>
              </w:rPr>
              <w:tab/>
            </w:r>
            <w:r>
              <w:rPr>
                <w:webHidden/>
              </w:rPr>
              <w:fldChar w:fldCharType="begin"/>
            </w:r>
            <w:r>
              <w:rPr>
                <w:webHidden/>
              </w:rPr>
              <w:instrText xml:space="preserve"> PAGEREF _Toc98496166 \h </w:instrText>
            </w:r>
            <w:r>
              <w:rPr>
                <w:webHidden/>
              </w:rPr>
            </w:r>
            <w:r>
              <w:rPr>
                <w:webHidden/>
              </w:rPr>
              <w:fldChar w:fldCharType="separate"/>
            </w:r>
            <w:r>
              <w:rPr>
                <w:webHidden/>
              </w:rPr>
              <w:t>4</w:t>
            </w:r>
            <w:r>
              <w:rPr>
                <w:webHidden/>
              </w:rPr>
              <w:fldChar w:fldCharType="end"/>
            </w:r>
          </w:hyperlink>
        </w:p>
        <w:p w14:paraId="454576BD" w14:textId="7576FC2D"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67" w:history="1">
            <w:r w:rsidRPr="00CF7176">
              <w:rPr>
                <w:rStyle w:val="Hyperlink"/>
                <w:noProof/>
              </w:rPr>
              <w:t>Q1. Is the proposed approach to the definition of a kind of prosthesis flexible enough to anticipate future technologies while providing sufficient clarity on the scope of PL?</w:t>
            </w:r>
            <w:r>
              <w:rPr>
                <w:noProof/>
                <w:webHidden/>
              </w:rPr>
              <w:tab/>
            </w:r>
            <w:r>
              <w:rPr>
                <w:noProof/>
                <w:webHidden/>
              </w:rPr>
              <w:fldChar w:fldCharType="begin"/>
            </w:r>
            <w:r>
              <w:rPr>
                <w:noProof/>
                <w:webHidden/>
              </w:rPr>
              <w:instrText xml:space="preserve"> PAGEREF _Toc98496167 \h </w:instrText>
            </w:r>
            <w:r>
              <w:rPr>
                <w:noProof/>
                <w:webHidden/>
              </w:rPr>
            </w:r>
            <w:r>
              <w:rPr>
                <w:noProof/>
                <w:webHidden/>
              </w:rPr>
              <w:fldChar w:fldCharType="separate"/>
            </w:r>
            <w:r>
              <w:rPr>
                <w:noProof/>
                <w:webHidden/>
              </w:rPr>
              <w:t>4</w:t>
            </w:r>
            <w:r>
              <w:rPr>
                <w:noProof/>
                <w:webHidden/>
              </w:rPr>
              <w:fldChar w:fldCharType="end"/>
            </w:r>
          </w:hyperlink>
        </w:p>
        <w:p w14:paraId="14E90C3A" w14:textId="51640595"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68" w:history="1">
            <w:r w:rsidRPr="00CF7176">
              <w:rPr>
                <w:rStyle w:val="Hyperlink"/>
                <w:noProof/>
              </w:rPr>
              <w:t>Q2. Does aligning terms with established terms used by TGA (such as medical devices and biologicals) improve clarity?</w:t>
            </w:r>
            <w:r>
              <w:rPr>
                <w:noProof/>
                <w:webHidden/>
              </w:rPr>
              <w:tab/>
            </w:r>
            <w:r>
              <w:rPr>
                <w:noProof/>
                <w:webHidden/>
              </w:rPr>
              <w:fldChar w:fldCharType="begin"/>
            </w:r>
            <w:r>
              <w:rPr>
                <w:noProof/>
                <w:webHidden/>
              </w:rPr>
              <w:instrText xml:space="preserve"> PAGEREF _Toc98496168 \h </w:instrText>
            </w:r>
            <w:r>
              <w:rPr>
                <w:noProof/>
                <w:webHidden/>
              </w:rPr>
            </w:r>
            <w:r>
              <w:rPr>
                <w:noProof/>
                <w:webHidden/>
              </w:rPr>
              <w:fldChar w:fldCharType="separate"/>
            </w:r>
            <w:r>
              <w:rPr>
                <w:noProof/>
                <w:webHidden/>
              </w:rPr>
              <w:t>5</w:t>
            </w:r>
            <w:r>
              <w:rPr>
                <w:noProof/>
                <w:webHidden/>
              </w:rPr>
              <w:fldChar w:fldCharType="end"/>
            </w:r>
          </w:hyperlink>
        </w:p>
        <w:p w14:paraId="4B86BF32" w14:textId="759A678C"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69" w:history="1">
            <w:r w:rsidRPr="00CF7176">
              <w:rPr>
                <w:rStyle w:val="Hyperlink"/>
                <w:noProof/>
              </w:rPr>
              <w:t>Q3. Are the proposed listing criteria for Part A fit-for-purpose? If not, what changes are needed?</w:t>
            </w:r>
            <w:r>
              <w:rPr>
                <w:noProof/>
                <w:webHidden/>
              </w:rPr>
              <w:tab/>
            </w:r>
            <w:r>
              <w:rPr>
                <w:noProof/>
                <w:webHidden/>
              </w:rPr>
              <w:fldChar w:fldCharType="begin"/>
            </w:r>
            <w:r>
              <w:rPr>
                <w:noProof/>
                <w:webHidden/>
              </w:rPr>
              <w:instrText xml:space="preserve"> PAGEREF _Toc98496169 \h </w:instrText>
            </w:r>
            <w:r>
              <w:rPr>
                <w:noProof/>
                <w:webHidden/>
              </w:rPr>
            </w:r>
            <w:r>
              <w:rPr>
                <w:noProof/>
                <w:webHidden/>
              </w:rPr>
              <w:fldChar w:fldCharType="separate"/>
            </w:r>
            <w:r>
              <w:rPr>
                <w:noProof/>
                <w:webHidden/>
              </w:rPr>
              <w:t>5</w:t>
            </w:r>
            <w:r>
              <w:rPr>
                <w:noProof/>
                <w:webHidden/>
              </w:rPr>
              <w:fldChar w:fldCharType="end"/>
            </w:r>
          </w:hyperlink>
        </w:p>
        <w:p w14:paraId="0B61CEDD" w14:textId="57A995BF"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70" w:history="1">
            <w:r w:rsidRPr="00CF7176">
              <w:rPr>
                <w:rStyle w:val="Hyperlink"/>
                <w:noProof/>
              </w:rPr>
              <w:t>Q4. Should the scope of products eligible for listing on Part B remain unchanged?</w:t>
            </w:r>
            <w:r>
              <w:rPr>
                <w:noProof/>
                <w:webHidden/>
              </w:rPr>
              <w:tab/>
            </w:r>
            <w:r>
              <w:rPr>
                <w:noProof/>
                <w:webHidden/>
              </w:rPr>
              <w:fldChar w:fldCharType="begin"/>
            </w:r>
            <w:r>
              <w:rPr>
                <w:noProof/>
                <w:webHidden/>
              </w:rPr>
              <w:instrText xml:space="preserve"> PAGEREF _Toc98496170 \h </w:instrText>
            </w:r>
            <w:r>
              <w:rPr>
                <w:noProof/>
                <w:webHidden/>
              </w:rPr>
            </w:r>
            <w:r>
              <w:rPr>
                <w:noProof/>
                <w:webHidden/>
              </w:rPr>
              <w:fldChar w:fldCharType="separate"/>
            </w:r>
            <w:r>
              <w:rPr>
                <w:noProof/>
                <w:webHidden/>
              </w:rPr>
              <w:t>5</w:t>
            </w:r>
            <w:r>
              <w:rPr>
                <w:noProof/>
                <w:webHidden/>
              </w:rPr>
              <w:fldChar w:fldCharType="end"/>
            </w:r>
          </w:hyperlink>
        </w:p>
        <w:p w14:paraId="4249A4C4" w14:textId="604D0D69"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71" w:history="1">
            <w:r w:rsidRPr="00CF7176">
              <w:rPr>
                <w:rStyle w:val="Hyperlink"/>
                <w:noProof/>
              </w:rPr>
              <w:t>Q5. Should the PL retain an option for the Minister to list items in exceptional circumstances on Part C?</w:t>
            </w:r>
            <w:r>
              <w:rPr>
                <w:noProof/>
                <w:webHidden/>
              </w:rPr>
              <w:tab/>
            </w:r>
            <w:r>
              <w:rPr>
                <w:noProof/>
                <w:webHidden/>
              </w:rPr>
              <w:fldChar w:fldCharType="begin"/>
            </w:r>
            <w:r>
              <w:rPr>
                <w:noProof/>
                <w:webHidden/>
              </w:rPr>
              <w:instrText xml:space="preserve"> PAGEREF _Toc98496171 \h </w:instrText>
            </w:r>
            <w:r>
              <w:rPr>
                <w:noProof/>
                <w:webHidden/>
              </w:rPr>
            </w:r>
            <w:r>
              <w:rPr>
                <w:noProof/>
                <w:webHidden/>
              </w:rPr>
              <w:fldChar w:fldCharType="separate"/>
            </w:r>
            <w:r>
              <w:rPr>
                <w:noProof/>
                <w:webHidden/>
              </w:rPr>
              <w:t>5</w:t>
            </w:r>
            <w:r>
              <w:rPr>
                <w:noProof/>
                <w:webHidden/>
              </w:rPr>
              <w:fldChar w:fldCharType="end"/>
            </w:r>
          </w:hyperlink>
        </w:p>
        <w:p w14:paraId="1E42BAB0" w14:textId="5EFC6C3E"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72" w:history="1">
            <w:r w:rsidRPr="00CF7176">
              <w:rPr>
                <w:rStyle w:val="Hyperlink"/>
                <w:noProof/>
              </w:rPr>
              <w:t>Q6. Are there any other exceptional circumstances factors that Part C should accommodate?</w:t>
            </w:r>
            <w:r>
              <w:rPr>
                <w:noProof/>
                <w:webHidden/>
              </w:rPr>
              <w:tab/>
            </w:r>
            <w:r>
              <w:rPr>
                <w:noProof/>
                <w:webHidden/>
              </w:rPr>
              <w:fldChar w:fldCharType="begin"/>
            </w:r>
            <w:r>
              <w:rPr>
                <w:noProof/>
                <w:webHidden/>
              </w:rPr>
              <w:instrText xml:space="preserve"> PAGEREF _Toc98496172 \h </w:instrText>
            </w:r>
            <w:r>
              <w:rPr>
                <w:noProof/>
                <w:webHidden/>
              </w:rPr>
            </w:r>
            <w:r>
              <w:rPr>
                <w:noProof/>
                <w:webHidden/>
              </w:rPr>
              <w:fldChar w:fldCharType="separate"/>
            </w:r>
            <w:r>
              <w:rPr>
                <w:noProof/>
                <w:webHidden/>
              </w:rPr>
              <w:t>5</w:t>
            </w:r>
            <w:r>
              <w:rPr>
                <w:noProof/>
                <w:webHidden/>
              </w:rPr>
              <w:fldChar w:fldCharType="end"/>
            </w:r>
          </w:hyperlink>
        </w:p>
        <w:p w14:paraId="0100B05B" w14:textId="76EE71D6"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73" w:history="1">
            <w:r w:rsidRPr="00CF7176">
              <w:rPr>
                <w:rStyle w:val="Hyperlink"/>
                <w:noProof/>
              </w:rPr>
              <w:t>Q7. Please consider the tables at Attachment B and explain which products meet the future criteria for listing and the reasons why?</w:t>
            </w:r>
            <w:r>
              <w:rPr>
                <w:noProof/>
                <w:webHidden/>
              </w:rPr>
              <w:tab/>
            </w:r>
            <w:r>
              <w:rPr>
                <w:noProof/>
                <w:webHidden/>
              </w:rPr>
              <w:fldChar w:fldCharType="begin"/>
            </w:r>
            <w:r>
              <w:rPr>
                <w:noProof/>
                <w:webHidden/>
              </w:rPr>
              <w:instrText xml:space="preserve"> PAGEREF _Toc98496173 \h </w:instrText>
            </w:r>
            <w:r>
              <w:rPr>
                <w:noProof/>
                <w:webHidden/>
              </w:rPr>
            </w:r>
            <w:r>
              <w:rPr>
                <w:noProof/>
                <w:webHidden/>
              </w:rPr>
              <w:fldChar w:fldCharType="separate"/>
            </w:r>
            <w:r>
              <w:rPr>
                <w:noProof/>
                <w:webHidden/>
              </w:rPr>
              <w:t>5</w:t>
            </w:r>
            <w:r>
              <w:rPr>
                <w:noProof/>
                <w:webHidden/>
              </w:rPr>
              <w:fldChar w:fldCharType="end"/>
            </w:r>
          </w:hyperlink>
        </w:p>
        <w:p w14:paraId="127A524D" w14:textId="1F7764F1"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74" w:history="1">
            <w:r w:rsidRPr="00CF7176">
              <w:rPr>
                <w:rStyle w:val="Hyperlink"/>
                <w:noProof/>
              </w:rPr>
              <w:t>Q8. Should the name of the list be modernised and, if so, what should it be called?</w:t>
            </w:r>
            <w:r>
              <w:rPr>
                <w:noProof/>
                <w:webHidden/>
              </w:rPr>
              <w:tab/>
            </w:r>
            <w:r>
              <w:rPr>
                <w:noProof/>
                <w:webHidden/>
              </w:rPr>
              <w:fldChar w:fldCharType="begin"/>
            </w:r>
            <w:r>
              <w:rPr>
                <w:noProof/>
                <w:webHidden/>
              </w:rPr>
              <w:instrText xml:space="preserve"> PAGEREF _Toc98496174 \h </w:instrText>
            </w:r>
            <w:r>
              <w:rPr>
                <w:noProof/>
                <w:webHidden/>
              </w:rPr>
            </w:r>
            <w:r>
              <w:rPr>
                <w:noProof/>
                <w:webHidden/>
              </w:rPr>
              <w:fldChar w:fldCharType="separate"/>
            </w:r>
            <w:r>
              <w:rPr>
                <w:noProof/>
                <w:webHidden/>
              </w:rPr>
              <w:t>5</w:t>
            </w:r>
            <w:r>
              <w:rPr>
                <w:noProof/>
                <w:webHidden/>
              </w:rPr>
              <w:fldChar w:fldCharType="end"/>
            </w:r>
          </w:hyperlink>
        </w:p>
        <w:p w14:paraId="79B41323" w14:textId="5159CF22"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75" w:history="1">
            <w:r w:rsidRPr="00CF7176">
              <w:rPr>
                <w:rStyle w:val="Hyperlink"/>
                <w:noProof/>
              </w:rPr>
              <w:t>Q9. Does the list of items at Attachment A flagged for inclusion and removal accurately reflect the proposed future criteria for listing?</w:t>
            </w:r>
            <w:r>
              <w:rPr>
                <w:noProof/>
                <w:webHidden/>
              </w:rPr>
              <w:tab/>
            </w:r>
            <w:r>
              <w:rPr>
                <w:noProof/>
                <w:webHidden/>
              </w:rPr>
              <w:fldChar w:fldCharType="begin"/>
            </w:r>
            <w:r>
              <w:rPr>
                <w:noProof/>
                <w:webHidden/>
              </w:rPr>
              <w:instrText xml:space="preserve"> PAGEREF _Toc98496175 \h </w:instrText>
            </w:r>
            <w:r>
              <w:rPr>
                <w:noProof/>
                <w:webHidden/>
              </w:rPr>
            </w:r>
            <w:r>
              <w:rPr>
                <w:noProof/>
                <w:webHidden/>
              </w:rPr>
              <w:fldChar w:fldCharType="separate"/>
            </w:r>
            <w:r>
              <w:rPr>
                <w:noProof/>
                <w:webHidden/>
              </w:rPr>
              <w:t>5</w:t>
            </w:r>
            <w:r>
              <w:rPr>
                <w:noProof/>
                <w:webHidden/>
              </w:rPr>
              <w:fldChar w:fldCharType="end"/>
            </w:r>
          </w:hyperlink>
        </w:p>
        <w:p w14:paraId="0C4F0FC8" w14:textId="56509CF8" w:rsidR="000A6896" w:rsidRDefault="000A6896">
          <w:pPr>
            <w:pStyle w:val="TOC2"/>
            <w:tabs>
              <w:tab w:val="right" w:leader="dot" w:pos="9016"/>
            </w:tabs>
            <w:rPr>
              <w:rFonts w:asciiTheme="minorHAnsi" w:eastAsiaTheme="minorEastAsia" w:hAnsiTheme="minorHAnsi" w:cstheme="minorBidi"/>
              <w:noProof/>
              <w:szCs w:val="22"/>
              <w:lang w:eastAsia="en-AU"/>
            </w:rPr>
          </w:pPr>
          <w:hyperlink w:anchor="_Toc98496176" w:history="1">
            <w:r w:rsidRPr="00CF7176">
              <w:rPr>
                <w:rStyle w:val="Hyperlink"/>
                <w:noProof/>
              </w:rPr>
              <w:t>Q10. The removal of items identified at Attachment A is scheduled to commence from February 2022. If a decision is taken to remove these items in tranches, is there a logical bundling of the items at Attachment A that would make staged implementation over time possible? Is the proposed staged removal aligned with PL updates workable? What is the most appropriate timing?</w:t>
            </w:r>
            <w:r>
              <w:rPr>
                <w:noProof/>
                <w:webHidden/>
              </w:rPr>
              <w:tab/>
            </w:r>
            <w:r>
              <w:rPr>
                <w:noProof/>
                <w:webHidden/>
              </w:rPr>
              <w:fldChar w:fldCharType="begin"/>
            </w:r>
            <w:r>
              <w:rPr>
                <w:noProof/>
                <w:webHidden/>
              </w:rPr>
              <w:instrText xml:space="preserve"> PAGEREF _Toc98496176 \h </w:instrText>
            </w:r>
            <w:r>
              <w:rPr>
                <w:noProof/>
                <w:webHidden/>
              </w:rPr>
            </w:r>
            <w:r>
              <w:rPr>
                <w:noProof/>
                <w:webHidden/>
              </w:rPr>
              <w:fldChar w:fldCharType="separate"/>
            </w:r>
            <w:r>
              <w:rPr>
                <w:noProof/>
                <w:webHidden/>
              </w:rPr>
              <w:t>6</w:t>
            </w:r>
            <w:r>
              <w:rPr>
                <w:noProof/>
                <w:webHidden/>
              </w:rPr>
              <w:fldChar w:fldCharType="end"/>
            </w:r>
          </w:hyperlink>
        </w:p>
        <w:p w14:paraId="501D104C" w14:textId="79F35C2B" w:rsidR="000A6896" w:rsidRDefault="000A6896">
          <w:pPr>
            <w:pStyle w:val="TOC1"/>
            <w:rPr>
              <w:rFonts w:asciiTheme="minorHAnsi" w:eastAsiaTheme="minorEastAsia" w:hAnsiTheme="minorHAnsi" w:cstheme="minorBidi"/>
              <w:b w:val="0"/>
              <w:bCs w:val="0"/>
              <w:szCs w:val="22"/>
              <w:lang w:eastAsia="en-AU"/>
            </w:rPr>
          </w:pPr>
          <w:hyperlink w:anchor="_Toc98496177" w:history="1">
            <w:r w:rsidRPr="00CF7176">
              <w:rPr>
                <w:rStyle w:val="Hyperlink"/>
              </w:rPr>
              <w:t>Departmental Response</w:t>
            </w:r>
            <w:r>
              <w:rPr>
                <w:webHidden/>
              </w:rPr>
              <w:tab/>
            </w:r>
            <w:r>
              <w:rPr>
                <w:webHidden/>
              </w:rPr>
              <w:fldChar w:fldCharType="begin"/>
            </w:r>
            <w:r>
              <w:rPr>
                <w:webHidden/>
              </w:rPr>
              <w:instrText xml:space="preserve"> PAGEREF _Toc98496177 \h </w:instrText>
            </w:r>
            <w:r>
              <w:rPr>
                <w:webHidden/>
              </w:rPr>
            </w:r>
            <w:r>
              <w:rPr>
                <w:webHidden/>
              </w:rPr>
              <w:fldChar w:fldCharType="separate"/>
            </w:r>
            <w:r>
              <w:rPr>
                <w:webHidden/>
              </w:rPr>
              <w:t>6</w:t>
            </w:r>
            <w:r>
              <w:rPr>
                <w:webHidden/>
              </w:rPr>
              <w:fldChar w:fldCharType="end"/>
            </w:r>
          </w:hyperlink>
        </w:p>
        <w:p w14:paraId="060706A2" w14:textId="6C996A03" w:rsidR="000A6896" w:rsidRDefault="000A6896">
          <w:pPr>
            <w:pStyle w:val="TOC1"/>
            <w:rPr>
              <w:rFonts w:asciiTheme="minorHAnsi" w:eastAsiaTheme="minorEastAsia" w:hAnsiTheme="minorHAnsi" w:cstheme="minorBidi"/>
              <w:b w:val="0"/>
              <w:bCs w:val="0"/>
              <w:szCs w:val="22"/>
              <w:lang w:eastAsia="en-AU"/>
            </w:rPr>
          </w:pPr>
          <w:hyperlink w:anchor="_Toc98496178" w:history="1">
            <w:r w:rsidRPr="00CF7176">
              <w:rPr>
                <w:rStyle w:val="Hyperlink"/>
              </w:rPr>
              <w:t>Next Steps</w:t>
            </w:r>
            <w:r>
              <w:rPr>
                <w:webHidden/>
              </w:rPr>
              <w:tab/>
            </w:r>
            <w:r>
              <w:rPr>
                <w:webHidden/>
              </w:rPr>
              <w:fldChar w:fldCharType="begin"/>
            </w:r>
            <w:r>
              <w:rPr>
                <w:webHidden/>
              </w:rPr>
              <w:instrText xml:space="preserve"> PAGEREF _Toc98496178 \h </w:instrText>
            </w:r>
            <w:r>
              <w:rPr>
                <w:webHidden/>
              </w:rPr>
            </w:r>
            <w:r>
              <w:rPr>
                <w:webHidden/>
              </w:rPr>
              <w:fldChar w:fldCharType="separate"/>
            </w:r>
            <w:r>
              <w:rPr>
                <w:webHidden/>
              </w:rPr>
              <w:t>7</w:t>
            </w:r>
            <w:r>
              <w:rPr>
                <w:webHidden/>
              </w:rPr>
              <w:fldChar w:fldCharType="end"/>
            </w:r>
          </w:hyperlink>
        </w:p>
        <w:p w14:paraId="2529D142" w14:textId="56963237" w:rsidR="00CF5AF2" w:rsidRDefault="00CF5AF2" w:rsidP="00D31C61">
          <w:pPr>
            <w:jc w:val="both"/>
          </w:pPr>
          <w:r w:rsidRPr="00AA4C73">
            <w:rPr>
              <w:noProof/>
            </w:rPr>
            <w:fldChar w:fldCharType="end"/>
          </w:r>
        </w:p>
      </w:sdtContent>
    </w:sdt>
    <w:p w14:paraId="50FC02AE" w14:textId="77777777" w:rsidR="007214B5" w:rsidRPr="00EF2F0D" w:rsidRDefault="007214B5" w:rsidP="00EF2F0D">
      <w:bookmarkStart w:id="0" w:name="_Toc87425688"/>
      <w:r>
        <w:br w:type="page"/>
      </w:r>
    </w:p>
    <w:p w14:paraId="3C202361" w14:textId="68543BB2" w:rsidR="00CF5AF2" w:rsidRPr="00EF2F0D" w:rsidRDefault="00CF5AF2" w:rsidP="00EF2F0D">
      <w:pPr>
        <w:pStyle w:val="Heading1"/>
      </w:pPr>
      <w:bookmarkStart w:id="1" w:name="_Toc98496161"/>
      <w:r>
        <w:lastRenderedPageBreak/>
        <w:t>Executive Summary</w:t>
      </w:r>
      <w:bookmarkEnd w:id="0"/>
      <w:bookmarkEnd w:id="1"/>
    </w:p>
    <w:p w14:paraId="6ACA9C52" w14:textId="2B522566" w:rsidR="00B3071A" w:rsidRPr="00275EC8" w:rsidRDefault="00CF5AF2" w:rsidP="00EF2F0D">
      <w:pPr>
        <w:pStyle w:val="Paragraphtext"/>
        <w:rPr>
          <w:rFonts w:eastAsia="Arial"/>
        </w:rPr>
      </w:pPr>
      <w:r w:rsidRPr="00275EC8">
        <w:rPr>
          <w:rFonts w:eastAsia="Arial"/>
        </w:rPr>
        <w:t>In August 2021</w:t>
      </w:r>
      <w:r w:rsidR="0057189C" w:rsidRPr="00275EC8">
        <w:rPr>
          <w:rFonts w:eastAsia="Arial"/>
        </w:rPr>
        <w:t xml:space="preserve"> </w:t>
      </w:r>
      <w:r w:rsidRPr="00275EC8">
        <w:rPr>
          <w:rFonts w:eastAsia="Arial"/>
        </w:rPr>
        <w:t xml:space="preserve">the Department of </w:t>
      </w:r>
      <w:r w:rsidRPr="00EF2F0D">
        <w:rPr>
          <w:rFonts w:eastAsia="Arial"/>
        </w:rPr>
        <w:t>Health</w:t>
      </w:r>
      <w:r w:rsidRPr="00275EC8">
        <w:rPr>
          <w:rFonts w:eastAsia="Arial"/>
        </w:rPr>
        <w:t xml:space="preserve"> released </w:t>
      </w:r>
      <w:r w:rsidRPr="00275EC8">
        <w:t xml:space="preserve">Consultation Paper No. 1 – </w:t>
      </w:r>
      <w:r w:rsidRPr="00275EC8">
        <w:rPr>
          <w:i/>
          <w:iCs/>
        </w:rPr>
        <w:t>Prostheses List Purpose, Definition and Scope</w:t>
      </w:r>
      <w:r w:rsidRPr="00275EC8">
        <w:t xml:space="preserve"> (the Paper). </w:t>
      </w:r>
      <w:r w:rsidRPr="00275EC8">
        <w:rPr>
          <w:rFonts w:eastAsia="Arial"/>
        </w:rPr>
        <w:t>The aim of the Paper was to canvass stakeholder views on proposed implementation of improvements to the P</w:t>
      </w:r>
      <w:r w:rsidR="00B3071A" w:rsidRPr="00275EC8">
        <w:rPr>
          <w:rFonts w:eastAsia="Arial"/>
        </w:rPr>
        <w:t xml:space="preserve">rotheses </w:t>
      </w:r>
      <w:r w:rsidRPr="00275EC8">
        <w:rPr>
          <w:rFonts w:eastAsia="Arial"/>
        </w:rPr>
        <w:t>L</w:t>
      </w:r>
      <w:r w:rsidR="00B3071A" w:rsidRPr="00275EC8">
        <w:rPr>
          <w:rFonts w:eastAsia="Arial"/>
        </w:rPr>
        <w:t>ist (PL)</w:t>
      </w:r>
      <w:r w:rsidRPr="00275EC8">
        <w:rPr>
          <w:rFonts w:eastAsia="Arial"/>
        </w:rPr>
        <w:t xml:space="preserve"> as announced in the </w:t>
      </w:r>
      <w:r w:rsidR="00B3071A" w:rsidRPr="00275EC8">
        <w:rPr>
          <w:rFonts w:eastAsia="Arial"/>
        </w:rPr>
        <w:t>2021- 22 Federal </w:t>
      </w:r>
      <w:r w:rsidRPr="00275EC8">
        <w:rPr>
          <w:rFonts w:eastAsia="Arial"/>
        </w:rPr>
        <w:t>Budget.</w:t>
      </w:r>
    </w:p>
    <w:p w14:paraId="6FA50C23" w14:textId="19E6AEFB" w:rsidR="002631E1" w:rsidRPr="00275EC8" w:rsidRDefault="00CF5AF2" w:rsidP="00EF2F0D">
      <w:pPr>
        <w:pStyle w:val="Paragraphtext"/>
        <w:rPr>
          <w:rFonts w:eastAsia="Arial" w:cs="Arial"/>
        </w:rPr>
      </w:pPr>
      <w:r w:rsidRPr="00275EC8">
        <w:t xml:space="preserve">A total of 116 submissions were received from stakeholders </w:t>
      </w:r>
      <w:r w:rsidR="00B3071A" w:rsidRPr="00275EC8">
        <w:t>representing</w:t>
      </w:r>
      <w:r w:rsidR="0036545E" w:rsidRPr="00275EC8">
        <w:t xml:space="preserve"> </w:t>
      </w:r>
      <w:r w:rsidRPr="00275EC8">
        <w:t xml:space="preserve">the Medical Technology Sector, Private Hospitals, Private Health Insurers, Clinical Societies, and individual clinicians. </w:t>
      </w:r>
      <w:r w:rsidRPr="00275EC8">
        <w:rPr>
          <w:rFonts w:eastAsia="Arial" w:cs="Arial"/>
        </w:rPr>
        <w:t xml:space="preserve">The purpose of </w:t>
      </w:r>
      <w:r w:rsidRPr="00275EC8">
        <w:t xml:space="preserve">the </w:t>
      </w:r>
      <w:r w:rsidRPr="00EF2F0D">
        <w:t>Paper</w:t>
      </w:r>
      <w:r w:rsidRPr="00275EC8">
        <w:rPr>
          <w:rFonts w:eastAsia="Arial" w:cs="Arial"/>
        </w:rPr>
        <w:t xml:space="preserve"> was to seek stakeholder views about the Government’s decision to better define the PL purpose, definition, and scope, </w:t>
      </w:r>
      <w:r w:rsidR="00B3071A" w:rsidRPr="00275EC8">
        <w:rPr>
          <w:rFonts w:eastAsia="Arial" w:cs="Arial"/>
        </w:rPr>
        <w:t>to inform decision-making about implementation activities including amendments to</w:t>
      </w:r>
      <w:r w:rsidRPr="00275EC8">
        <w:rPr>
          <w:rFonts w:eastAsia="Arial" w:cs="Arial"/>
        </w:rPr>
        <w:t xml:space="preserve"> legislation</w:t>
      </w:r>
      <w:r w:rsidR="002631E1" w:rsidRPr="00275EC8">
        <w:rPr>
          <w:rFonts w:eastAsia="Arial" w:cs="Arial"/>
        </w:rPr>
        <w:t>.</w:t>
      </w:r>
    </w:p>
    <w:p w14:paraId="4F1FC21C" w14:textId="4C609370" w:rsidR="009639E0" w:rsidRPr="00275EC8" w:rsidRDefault="00CF5AF2" w:rsidP="00EF2F0D">
      <w:pPr>
        <w:pStyle w:val="Paragraphtext"/>
        <w:spacing w:line="264" w:lineRule="auto"/>
        <w:rPr>
          <w:rFonts w:eastAsia="Arial" w:cs="Arial"/>
          <w:color w:val="auto"/>
          <w:sz w:val="22"/>
          <w:szCs w:val="22"/>
        </w:rPr>
      </w:pPr>
      <w:r w:rsidRPr="00275EC8">
        <w:rPr>
          <w:rFonts w:eastAsia="Arial" w:cs="Arial"/>
          <w:color w:val="auto"/>
          <w:sz w:val="22"/>
          <w:szCs w:val="22"/>
        </w:rPr>
        <w:t xml:space="preserve">The Paper proposed the definition and listing criteria be </w:t>
      </w:r>
      <w:r w:rsidR="0057189C" w:rsidRPr="00275EC8">
        <w:rPr>
          <w:rFonts w:eastAsia="Arial" w:cs="Arial"/>
          <w:color w:val="auto"/>
          <w:sz w:val="22"/>
          <w:szCs w:val="22"/>
        </w:rPr>
        <w:t>redefined</w:t>
      </w:r>
      <w:r w:rsidRPr="00275EC8">
        <w:rPr>
          <w:rFonts w:eastAsia="Arial" w:cs="Arial"/>
          <w:color w:val="auto"/>
          <w:sz w:val="22"/>
          <w:szCs w:val="22"/>
        </w:rPr>
        <w:t xml:space="preserve"> to</w:t>
      </w:r>
      <w:r w:rsidRPr="00275EC8" w:rsidDel="00C85777">
        <w:rPr>
          <w:rFonts w:eastAsia="Arial" w:cs="Arial"/>
          <w:color w:val="auto"/>
          <w:sz w:val="22"/>
          <w:szCs w:val="22"/>
        </w:rPr>
        <w:t xml:space="preserve"> </w:t>
      </w:r>
      <w:r w:rsidRPr="00275EC8">
        <w:rPr>
          <w:rFonts w:eastAsia="Arial" w:cs="Arial"/>
          <w:color w:val="auto"/>
          <w:sz w:val="22"/>
          <w:szCs w:val="22"/>
        </w:rPr>
        <w:t xml:space="preserve">clarify product eligibility for the PL. </w:t>
      </w:r>
      <w:r w:rsidR="00B3071A" w:rsidRPr="00275EC8">
        <w:rPr>
          <w:rFonts w:eastAsia="Arial" w:cs="Arial"/>
          <w:color w:val="auto"/>
          <w:sz w:val="22"/>
          <w:szCs w:val="22"/>
        </w:rPr>
        <w:t xml:space="preserve">The implication of this </w:t>
      </w:r>
      <w:r w:rsidRPr="00275EC8">
        <w:rPr>
          <w:rFonts w:eastAsia="Arial" w:cs="Arial"/>
          <w:color w:val="auto"/>
          <w:sz w:val="22"/>
          <w:szCs w:val="22"/>
        </w:rPr>
        <w:t>change</w:t>
      </w:r>
      <w:r w:rsidR="00B3071A" w:rsidRPr="00275EC8">
        <w:rPr>
          <w:rFonts w:eastAsia="Arial" w:cs="Arial"/>
          <w:color w:val="auto"/>
          <w:sz w:val="22"/>
          <w:szCs w:val="22"/>
        </w:rPr>
        <w:t xml:space="preserve"> will result in </w:t>
      </w:r>
      <w:r w:rsidRPr="00275EC8">
        <w:rPr>
          <w:rFonts w:eastAsia="Arial" w:cs="Arial"/>
          <w:color w:val="auto"/>
          <w:sz w:val="22"/>
          <w:szCs w:val="22"/>
        </w:rPr>
        <w:t xml:space="preserve">certain general use products </w:t>
      </w:r>
      <w:r w:rsidR="00B3071A" w:rsidRPr="00275EC8">
        <w:rPr>
          <w:rFonts w:eastAsia="Arial" w:cs="Arial"/>
          <w:color w:val="auto"/>
          <w:sz w:val="22"/>
          <w:szCs w:val="22"/>
        </w:rPr>
        <w:t xml:space="preserve">currently listed in </w:t>
      </w:r>
      <w:r w:rsidRPr="00275EC8">
        <w:rPr>
          <w:rFonts w:eastAsia="Arial" w:cs="Arial"/>
          <w:color w:val="auto"/>
          <w:sz w:val="22"/>
          <w:szCs w:val="22"/>
        </w:rPr>
        <w:t>Part A,</w:t>
      </w:r>
      <w:r w:rsidR="0057189C" w:rsidRPr="00275EC8">
        <w:rPr>
          <w:rFonts w:eastAsia="Arial" w:cs="Arial"/>
          <w:color w:val="auto"/>
          <w:sz w:val="22"/>
          <w:szCs w:val="22"/>
        </w:rPr>
        <w:t xml:space="preserve"> Part B and</w:t>
      </w:r>
      <w:r w:rsidRPr="00275EC8">
        <w:rPr>
          <w:rFonts w:eastAsia="Arial" w:cs="Arial"/>
          <w:color w:val="auto"/>
          <w:sz w:val="22"/>
          <w:szCs w:val="22"/>
        </w:rPr>
        <w:t xml:space="preserve"> </w:t>
      </w:r>
      <w:r w:rsidR="0057189C" w:rsidRPr="00275EC8">
        <w:rPr>
          <w:rFonts w:eastAsia="Arial" w:cs="Arial"/>
          <w:color w:val="auto"/>
          <w:sz w:val="22"/>
          <w:szCs w:val="22"/>
        </w:rPr>
        <w:t xml:space="preserve">the </w:t>
      </w:r>
      <w:r w:rsidRPr="00275EC8">
        <w:rPr>
          <w:rFonts w:eastAsia="Arial" w:cs="Arial"/>
          <w:color w:val="auto"/>
          <w:sz w:val="22"/>
          <w:szCs w:val="22"/>
        </w:rPr>
        <w:t xml:space="preserve">General Miscellaneous Category no longer </w:t>
      </w:r>
      <w:r w:rsidR="0057189C" w:rsidRPr="00275EC8">
        <w:rPr>
          <w:rFonts w:eastAsia="Arial" w:cs="Arial"/>
          <w:color w:val="auto"/>
          <w:sz w:val="22"/>
          <w:szCs w:val="22"/>
        </w:rPr>
        <w:t>meet</w:t>
      </w:r>
      <w:r w:rsidR="00B3071A" w:rsidRPr="00275EC8">
        <w:rPr>
          <w:rFonts w:eastAsia="Arial" w:cs="Arial"/>
          <w:color w:val="auto"/>
          <w:sz w:val="22"/>
          <w:szCs w:val="22"/>
        </w:rPr>
        <w:t>ing</w:t>
      </w:r>
      <w:r w:rsidR="0057189C" w:rsidRPr="00275EC8">
        <w:rPr>
          <w:rFonts w:eastAsia="Arial" w:cs="Arial"/>
          <w:color w:val="auto"/>
          <w:sz w:val="22"/>
          <w:szCs w:val="22"/>
        </w:rPr>
        <w:t xml:space="preserve"> the eligibility requirements. </w:t>
      </w:r>
      <w:r w:rsidR="009639E0" w:rsidRPr="00275EC8">
        <w:rPr>
          <w:rFonts w:eastAsia="Arial" w:cs="Arial"/>
          <w:color w:val="auto"/>
          <w:sz w:val="22"/>
          <w:szCs w:val="22"/>
        </w:rPr>
        <w:t xml:space="preserve">Additionally, there are </w:t>
      </w:r>
      <w:r w:rsidR="00B3071A" w:rsidRPr="00275EC8">
        <w:rPr>
          <w:rFonts w:eastAsia="Arial" w:cs="Arial"/>
          <w:color w:val="auto"/>
          <w:sz w:val="22"/>
          <w:szCs w:val="22"/>
        </w:rPr>
        <w:t>products</w:t>
      </w:r>
      <w:r w:rsidR="009639E0" w:rsidRPr="00275EC8">
        <w:rPr>
          <w:rFonts w:eastAsia="Arial" w:cs="Arial"/>
          <w:color w:val="auto"/>
          <w:sz w:val="22"/>
          <w:szCs w:val="22"/>
        </w:rPr>
        <w:t>, such as skin glues</w:t>
      </w:r>
      <w:r w:rsidR="00B3071A" w:rsidRPr="00275EC8">
        <w:rPr>
          <w:rFonts w:eastAsia="Arial" w:cs="Arial"/>
          <w:color w:val="auto"/>
          <w:sz w:val="22"/>
          <w:szCs w:val="22"/>
        </w:rPr>
        <w:t xml:space="preserve"> that </w:t>
      </w:r>
      <w:r w:rsidR="0057189C" w:rsidRPr="00275EC8">
        <w:rPr>
          <w:rFonts w:eastAsia="Arial" w:cs="Arial"/>
          <w:color w:val="auto"/>
          <w:sz w:val="22"/>
          <w:szCs w:val="22"/>
        </w:rPr>
        <w:t xml:space="preserve">do not meet the current listing criteria </w:t>
      </w:r>
      <w:r w:rsidR="009639E0" w:rsidRPr="00275EC8">
        <w:rPr>
          <w:rFonts w:eastAsia="Arial" w:cs="Arial"/>
          <w:color w:val="auto"/>
          <w:sz w:val="22"/>
          <w:szCs w:val="22"/>
        </w:rPr>
        <w:t>that were flagged for removal.</w:t>
      </w:r>
    </w:p>
    <w:p w14:paraId="59C0528E" w14:textId="742E51D7" w:rsidR="00CF5AF2" w:rsidRPr="00EF2F0D" w:rsidRDefault="00CF5AF2" w:rsidP="00EF2F0D">
      <w:pPr>
        <w:pStyle w:val="Paragraphtext"/>
        <w:rPr>
          <w:rFonts w:eastAsia="Arial"/>
        </w:rPr>
      </w:pPr>
      <w:r w:rsidRPr="00275EC8">
        <w:rPr>
          <w:rFonts w:eastAsia="Arial"/>
        </w:rPr>
        <w:t>The Paper</w:t>
      </w:r>
      <w:r w:rsidRPr="00275EC8" w:rsidDel="001B0D49">
        <w:rPr>
          <w:rFonts w:eastAsia="Arial"/>
        </w:rPr>
        <w:t xml:space="preserve"> </w:t>
      </w:r>
      <w:r w:rsidRPr="00275EC8">
        <w:rPr>
          <w:rFonts w:eastAsia="Arial"/>
        </w:rPr>
        <w:t xml:space="preserve">presented further proposals for consideration, including an update to the name of </w:t>
      </w:r>
      <w:r w:rsidRPr="00EF2F0D">
        <w:rPr>
          <w:rFonts w:eastAsia="Arial"/>
        </w:rPr>
        <w:t xml:space="preserve">the PL </w:t>
      </w:r>
      <w:r w:rsidRPr="00EF2F0D" w:rsidDel="00217644">
        <w:rPr>
          <w:rFonts w:eastAsia="Arial"/>
        </w:rPr>
        <w:t>to</w:t>
      </w:r>
      <w:r w:rsidRPr="00EF2F0D">
        <w:rPr>
          <w:rFonts w:eastAsia="Arial"/>
        </w:rPr>
        <w:t xml:space="preserve"> more accurately reflect the products listed, as well as aligning PL terminology</w:t>
      </w:r>
      <w:r w:rsidR="009639E0" w:rsidRPr="00EF2F0D">
        <w:rPr>
          <w:rFonts w:eastAsia="Arial"/>
        </w:rPr>
        <w:t xml:space="preserve"> to be consistent</w:t>
      </w:r>
      <w:r w:rsidRPr="00EF2F0D">
        <w:rPr>
          <w:rFonts w:eastAsia="Arial"/>
        </w:rPr>
        <w:t xml:space="preserve"> with terms used by the Therapeutic Goods Administration</w:t>
      </w:r>
      <w:r w:rsidR="009639E0" w:rsidRPr="00EF2F0D">
        <w:rPr>
          <w:rFonts w:eastAsia="Arial"/>
        </w:rPr>
        <w:t xml:space="preserve"> (TGA) where relevant</w:t>
      </w:r>
      <w:r w:rsidRPr="00EF2F0D">
        <w:rPr>
          <w:rFonts w:eastAsia="Arial"/>
        </w:rPr>
        <w:t xml:space="preserve">. </w:t>
      </w:r>
    </w:p>
    <w:p w14:paraId="5EB99141" w14:textId="2205C75F" w:rsidR="0057189C" w:rsidRPr="00275EC8" w:rsidRDefault="0057189C" w:rsidP="00EF2F0D">
      <w:pPr>
        <w:pStyle w:val="Paragraphtext"/>
        <w:rPr>
          <w:rFonts w:eastAsia="Arial"/>
        </w:rPr>
      </w:pPr>
      <w:r w:rsidRPr="00EF2F0D">
        <w:t xml:space="preserve">The Prostheses List Reform Taskforce (the Taskforce) have </w:t>
      </w:r>
      <w:r w:rsidR="009639E0" w:rsidRPr="00EF2F0D">
        <w:t xml:space="preserve">analysed the stakeholder feedback on the Consequences of Changes to the PL as outlined in Attachment A of the Paper. This analysis was provided to </w:t>
      </w:r>
      <w:r w:rsidRPr="00EF2F0D">
        <w:t>the newly established Clinical Implementation Reference Group</w:t>
      </w:r>
      <w:r w:rsidRPr="00275EC8">
        <w:t xml:space="preserve"> (CIRG)</w:t>
      </w:r>
      <w:r w:rsidR="009639E0" w:rsidRPr="00275EC8">
        <w:t xml:space="preserve">. This Group is made up of clinicians and is </w:t>
      </w:r>
      <w:r w:rsidRPr="00275EC8">
        <w:rPr>
          <w:rFonts w:eastAsia="Arial"/>
        </w:rPr>
        <w:t xml:space="preserve">tasked with providing clinical guidance </w:t>
      </w:r>
      <w:r w:rsidR="009639E0" w:rsidRPr="00275EC8">
        <w:rPr>
          <w:rFonts w:eastAsia="Arial"/>
        </w:rPr>
        <w:t xml:space="preserve">on implementation matters </w:t>
      </w:r>
      <w:r w:rsidRPr="00275EC8">
        <w:rPr>
          <w:rFonts w:eastAsia="Arial"/>
        </w:rPr>
        <w:t>to the Department</w:t>
      </w:r>
      <w:r w:rsidR="008F2D34" w:rsidRPr="00275EC8">
        <w:rPr>
          <w:rFonts w:eastAsia="Arial"/>
        </w:rPr>
        <w:t xml:space="preserve"> during</w:t>
      </w:r>
      <w:r w:rsidRPr="00275EC8">
        <w:rPr>
          <w:rFonts w:eastAsia="Arial"/>
        </w:rPr>
        <w:t xml:space="preserve"> the life of the Prostheses List Reforms. The </w:t>
      </w:r>
      <w:r w:rsidR="009639E0" w:rsidRPr="00275EC8">
        <w:rPr>
          <w:rFonts w:eastAsia="Arial"/>
        </w:rPr>
        <w:t xml:space="preserve">CIRG was provided with a </w:t>
      </w:r>
      <w:r w:rsidRPr="00275EC8">
        <w:rPr>
          <w:rFonts w:eastAsia="Arial"/>
        </w:rPr>
        <w:t xml:space="preserve">broad summation of stakeholder views and </w:t>
      </w:r>
      <w:r w:rsidR="008F2D34" w:rsidRPr="00275EC8">
        <w:rPr>
          <w:rFonts w:eastAsia="Arial"/>
        </w:rPr>
        <w:t>asked to provide the Department with clinical advice to help inform implementation decisions.</w:t>
      </w:r>
      <w:r w:rsidRPr="00275EC8">
        <w:t xml:space="preserve"> The </w:t>
      </w:r>
      <w:r w:rsidR="008F2D34" w:rsidRPr="00275EC8">
        <w:t xml:space="preserve">analysis of this feedback </w:t>
      </w:r>
      <w:r w:rsidRPr="00275EC8">
        <w:rPr>
          <w:rFonts w:eastAsia="Arial"/>
        </w:rPr>
        <w:t xml:space="preserve">will inform the development of legislative amendments to the </w:t>
      </w:r>
      <w:r w:rsidRPr="00275EC8">
        <w:rPr>
          <w:rFonts w:eastAsia="Arial"/>
          <w:i/>
          <w:iCs/>
        </w:rPr>
        <w:t>Private Health Insurance Act 2007</w:t>
      </w:r>
      <w:r w:rsidRPr="00275EC8">
        <w:rPr>
          <w:rFonts w:eastAsia="Arial"/>
        </w:rPr>
        <w:t xml:space="preserve">, </w:t>
      </w:r>
      <w:r w:rsidRPr="00275EC8">
        <w:rPr>
          <w:rFonts w:eastAsia="Arial"/>
          <w:i/>
          <w:iCs/>
        </w:rPr>
        <w:t xml:space="preserve">Private Health Insurance (Prostheses) Rules </w:t>
      </w:r>
      <w:r w:rsidRPr="00275EC8">
        <w:rPr>
          <w:rFonts w:eastAsia="Arial"/>
        </w:rPr>
        <w:t>and other relevant Acts and delegated legislation.</w:t>
      </w:r>
    </w:p>
    <w:p w14:paraId="23BD714A" w14:textId="3EBD5877" w:rsidR="00CF5AF2" w:rsidRDefault="00CF5AF2" w:rsidP="00D31C61">
      <w:pPr>
        <w:pStyle w:val="Heading1"/>
        <w:jc w:val="both"/>
      </w:pPr>
      <w:bookmarkStart w:id="2" w:name="_Toc98496162"/>
      <w:r w:rsidRPr="00CF5AF2">
        <w:t>Stakeholders</w:t>
      </w:r>
      <w:bookmarkEnd w:id="2"/>
    </w:p>
    <w:p w14:paraId="78A86169" w14:textId="39D98938" w:rsidR="00CF5AF2" w:rsidRPr="00275EC8" w:rsidRDefault="00EA308F" w:rsidP="00EF2F0D">
      <w:pPr>
        <w:pStyle w:val="Paragraphtext"/>
        <w:rPr>
          <w:color w:val="auto"/>
        </w:rPr>
      </w:pPr>
      <w:r w:rsidRPr="00EA308F">
        <w:rPr>
          <w:noProof/>
        </w:rPr>
        <w:drawing>
          <wp:anchor distT="0" distB="0" distL="114300" distR="114300" simplePos="0" relativeHeight="251658240" behindDoc="0" locked="0" layoutInCell="1" allowOverlap="1" wp14:anchorId="1586E3AB" wp14:editId="02685085">
            <wp:simplePos x="0" y="0"/>
            <wp:positionH relativeFrom="margin">
              <wp:align>right</wp:align>
            </wp:positionH>
            <wp:positionV relativeFrom="paragraph">
              <wp:posOffset>46355</wp:posOffset>
            </wp:positionV>
            <wp:extent cx="3307715" cy="2867025"/>
            <wp:effectExtent l="0" t="0" r="698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7715"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r>
        <w:t>S</w:t>
      </w:r>
      <w:r w:rsidR="00D36776" w:rsidRPr="00275EC8">
        <w:t xml:space="preserve">takeholders </w:t>
      </w:r>
      <w:r>
        <w:t xml:space="preserve">from </w:t>
      </w:r>
      <w:r w:rsidR="00D36776" w:rsidRPr="00275EC8">
        <w:t>across several sectors are set to be impacted by the proposed changes</w:t>
      </w:r>
      <w:r w:rsidR="0092781E" w:rsidRPr="00275EC8">
        <w:t xml:space="preserve"> to the PL</w:t>
      </w:r>
      <w:r w:rsidR="00D36776" w:rsidRPr="00275EC8">
        <w:t xml:space="preserve">. </w:t>
      </w:r>
      <w:r w:rsidR="0092781E" w:rsidRPr="00275EC8">
        <w:t>As a result, this</w:t>
      </w:r>
      <w:r w:rsidR="00D36776" w:rsidRPr="00275EC8">
        <w:t xml:space="preserve"> consultation received robust and informative responses</w:t>
      </w:r>
      <w:r w:rsidR="0092781E" w:rsidRPr="00275EC8">
        <w:t>.</w:t>
      </w:r>
      <w:r w:rsidR="00D36776" w:rsidRPr="00275EC8">
        <w:t xml:space="preserve"> </w:t>
      </w:r>
      <w:r>
        <w:t>T</w:t>
      </w:r>
      <w:r w:rsidR="00D36776" w:rsidRPr="00275EC8">
        <w:t xml:space="preserve">he </w:t>
      </w:r>
      <w:r w:rsidR="0092781E" w:rsidRPr="00275EC8">
        <w:t>Department</w:t>
      </w:r>
      <w:r w:rsidR="00D36776" w:rsidRPr="00275EC8">
        <w:t xml:space="preserve"> received </w:t>
      </w:r>
      <w:r w:rsidR="00CF5AF2" w:rsidRPr="00275EC8">
        <w:rPr>
          <w:color w:val="auto"/>
        </w:rPr>
        <w:t>116 submissions from stakeholders in the Medical Technology Industry (MTI), Private Hospitals (PH), Private Health Insurers (PHI),</w:t>
      </w:r>
      <w:r w:rsidR="00191AF0" w:rsidRPr="00275EC8">
        <w:rPr>
          <w:color w:val="auto"/>
        </w:rPr>
        <w:t xml:space="preserve"> Consumers, </w:t>
      </w:r>
      <w:r w:rsidR="00CF5AF2" w:rsidRPr="00275EC8">
        <w:rPr>
          <w:color w:val="auto"/>
        </w:rPr>
        <w:t>Clinical Societies</w:t>
      </w:r>
      <w:r w:rsidR="0092781E" w:rsidRPr="00275EC8">
        <w:rPr>
          <w:color w:val="auto"/>
        </w:rPr>
        <w:t xml:space="preserve">, </w:t>
      </w:r>
      <w:r w:rsidR="00CF5AF2" w:rsidRPr="00275EC8">
        <w:rPr>
          <w:color w:val="auto"/>
        </w:rPr>
        <w:t xml:space="preserve">individual </w:t>
      </w:r>
      <w:proofErr w:type="gramStart"/>
      <w:r w:rsidR="00CF5AF2" w:rsidRPr="00275EC8">
        <w:rPr>
          <w:color w:val="auto"/>
        </w:rPr>
        <w:t>clinicians</w:t>
      </w:r>
      <w:proofErr w:type="gramEnd"/>
      <w:r w:rsidR="0092781E" w:rsidRPr="00275EC8">
        <w:rPr>
          <w:color w:val="auto"/>
        </w:rPr>
        <w:t xml:space="preserve"> and other individuals</w:t>
      </w:r>
      <w:r w:rsidR="00CF5AF2" w:rsidRPr="00275EC8">
        <w:rPr>
          <w:color w:val="auto"/>
        </w:rPr>
        <w:t xml:space="preserve">. </w:t>
      </w:r>
      <w:r w:rsidR="0092781E" w:rsidRPr="00275EC8">
        <w:rPr>
          <w:color w:val="auto"/>
        </w:rPr>
        <w:t xml:space="preserve">Stakeholders were </w:t>
      </w:r>
      <w:r w:rsidR="00CF5AF2" w:rsidRPr="00275EC8">
        <w:rPr>
          <w:color w:val="auto"/>
        </w:rPr>
        <w:t xml:space="preserve">invited to respond via the </w:t>
      </w:r>
      <w:r w:rsidR="0092781E" w:rsidRPr="00275EC8">
        <w:rPr>
          <w:color w:val="auto"/>
        </w:rPr>
        <w:t xml:space="preserve">Department’s </w:t>
      </w:r>
      <w:r w:rsidR="00CF5AF2" w:rsidRPr="00275EC8">
        <w:rPr>
          <w:color w:val="auto"/>
        </w:rPr>
        <w:t>Consultation Hub to ten questions</w:t>
      </w:r>
      <w:r w:rsidR="0092781E" w:rsidRPr="00275EC8">
        <w:rPr>
          <w:color w:val="auto"/>
        </w:rPr>
        <w:t xml:space="preserve"> presented </w:t>
      </w:r>
      <w:r w:rsidR="00CF5AF2" w:rsidRPr="00275EC8">
        <w:rPr>
          <w:color w:val="auto"/>
        </w:rPr>
        <w:t xml:space="preserve">in the Paper. </w:t>
      </w:r>
      <w:r>
        <w:rPr>
          <w:color w:val="auto"/>
        </w:rPr>
        <w:t>They</w:t>
      </w:r>
      <w:r w:rsidR="00CF5AF2" w:rsidRPr="00275EC8">
        <w:rPr>
          <w:color w:val="auto"/>
        </w:rPr>
        <w:t xml:space="preserve"> were also invited to upload documents detailing additional clinical evidence if necessary.</w:t>
      </w:r>
    </w:p>
    <w:p w14:paraId="45AA8D61" w14:textId="1F7224D8" w:rsidR="00CF5AF2" w:rsidRDefault="00CF5AF2" w:rsidP="00D31C61">
      <w:pPr>
        <w:pStyle w:val="Heading1"/>
        <w:jc w:val="both"/>
      </w:pPr>
      <w:bookmarkStart w:id="3" w:name="_Toc98496163"/>
      <w:r w:rsidRPr="00CF5AF2">
        <w:lastRenderedPageBreak/>
        <w:t>Approach to Consultation</w:t>
      </w:r>
      <w:bookmarkEnd w:id="3"/>
    </w:p>
    <w:p w14:paraId="78FC36A6" w14:textId="17BDDC95" w:rsidR="00A92C13" w:rsidRPr="00682193" w:rsidRDefault="0092781E" w:rsidP="00EF2F0D">
      <w:pPr>
        <w:pStyle w:val="Paragraphtext"/>
      </w:pPr>
      <w:r w:rsidRPr="00682193">
        <w:t xml:space="preserve">The Department’s approach to this consultation activity included release of a discussion paper that outlined the proposed changes to the Purpose, Definition and Scope of the PL. The consultation was </w:t>
      </w:r>
      <w:r w:rsidRPr="00EF2F0D">
        <w:t>publicly</w:t>
      </w:r>
      <w:r w:rsidRPr="00682193">
        <w:t xml:space="preserve"> available to anyone that registered. The consultation was promoted through the Private Health Insurance Circulars as well as through regular stakeholder updates provided by the Taskforce.</w:t>
      </w:r>
    </w:p>
    <w:p w14:paraId="04724CA4" w14:textId="60AEE1CD" w:rsidR="00962236" w:rsidRPr="00682193" w:rsidRDefault="00962236" w:rsidP="00EF2F0D">
      <w:pPr>
        <w:pStyle w:val="Paragraphtext"/>
      </w:pPr>
      <w:r w:rsidRPr="00682193">
        <w:t xml:space="preserve">The questions in the </w:t>
      </w:r>
      <w:r w:rsidRPr="00EF2F0D">
        <w:t>Paper</w:t>
      </w:r>
      <w:r w:rsidRPr="00682193">
        <w:t xml:space="preserve"> were structured to draw feedback about:</w:t>
      </w:r>
    </w:p>
    <w:p w14:paraId="30196711" w14:textId="3513B3FF" w:rsidR="00962236" w:rsidRPr="00275EC8" w:rsidRDefault="00962236" w:rsidP="00EF2F0D">
      <w:pPr>
        <w:pStyle w:val="ListBullet"/>
      </w:pPr>
      <w:r w:rsidRPr="00275EC8">
        <w:t>Definition and scope</w:t>
      </w:r>
    </w:p>
    <w:p w14:paraId="4FED0AE3" w14:textId="3A530B61" w:rsidR="00962236" w:rsidRPr="00275EC8" w:rsidRDefault="00962236" w:rsidP="00EF2F0D">
      <w:pPr>
        <w:pStyle w:val="ListBullet"/>
      </w:pPr>
      <w:r w:rsidRPr="00275EC8">
        <w:t>Criteria</w:t>
      </w:r>
    </w:p>
    <w:p w14:paraId="1EE850D9" w14:textId="6B0EAD44" w:rsidR="00962236" w:rsidRPr="00275EC8" w:rsidRDefault="00962236" w:rsidP="00EF2F0D">
      <w:pPr>
        <w:pStyle w:val="ListBullet"/>
      </w:pPr>
      <w:r w:rsidRPr="00275EC8">
        <w:t>Name</w:t>
      </w:r>
    </w:p>
    <w:p w14:paraId="4FF438AC" w14:textId="03C894EF" w:rsidR="00962236" w:rsidRPr="00275EC8" w:rsidRDefault="00962236" w:rsidP="00EF2F0D">
      <w:pPr>
        <w:pStyle w:val="ListBullet"/>
      </w:pPr>
      <w:r w:rsidRPr="00275EC8">
        <w:t>Consequence of changes</w:t>
      </w:r>
    </w:p>
    <w:p w14:paraId="41063E7C" w14:textId="3099C715" w:rsidR="00962236" w:rsidRPr="00275EC8" w:rsidRDefault="00962236" w:rsidP="00EF2F0D">
      <w:pPr>
        <w:pStyle w:val="Paragraphtext"/>
      </w:pPr>
      <w:r w:rsidRPr="00275EC8">
        <w:t>The consultation Paper was released on 2</w:t>
      </w:r>
      <w:r w:rsidR="001D2626" w:rsidRPr="00275EC8">
        <w:t>3</w:t>
      </w:r>
      <w:r w:rsidRPr="00275EC8">
        <w:t xml:space="preserve"> August and closed on 24 September 2021. The Taskforce convened a Webinar attended by a range of stakeholders on 8 September 2021 that focused on changes to the Purpose, Definitions and Scope as presented in the Paper.</w:t>
      </w:r>
    </w:p>
    <w:p w14:paraId="4BCFC6F7" w14:textId="259876BB" w:rsidR="00D859BD" w:rsidRDefault="00F54C54" w:rsidP="00D31C61">
      <w:pPr>
        <w:pStyle w:val="Heading1"/>
        <w:jc w:val="both"/>
      </w:pPr>
      <w:bookmarkStart w:id="4" w:name="_Toc98496164"/>
      <w:r>
        <w:t xml:space="preserve">Consultation </w:t>
      </w:r>
      <w:r w:rsidR="00962236">
        <w:t>Outcomes</w:t>
      </w:r>
      <w:bookmarkEnd w:id="4"/>
    </w:p>
    <w:p w14:paraId="0F1597D9" w14:textId="313B3EF4" w:rsidR="00F54C54" w:rsidRPr="00275EC8" w:rsidRDefault="003C7C71" w:rsidP="00EF2F0D">
      <w:pPr>
        <w:pStyle w:val="Paragraphtext"/>
      </w:pPr>
      <w:r w:rsidRPr="00275EC8">
        <w:t xml:space="preserve">The Taskforce collated and summarised the </w:t>
      </w:r>
      <w:r w:rsidR="001D2626" w:rsidRPr="00275EC8">
        <w:t xml:space="preserve">stakeholder </w:t>
      </w:r>
      <w:r w:rsidR="00962236" w:rsidRPr="00275EC8">
        <w:t>feedback against each question in the Paper</w:t>
      </w:r>
      <w:r w:rsidR="001D2626" w:rsidRPr="00275EC8">
        <w:t>.</w:t>
      </w:r>
      <w:r w:rsidRPr="00275EC8">
        <w:t xml:space="preserve"> </w:t>
      </w:r>
      <w:r w:rsidR="001D2626" w:rsidRPr="00275EC8">
        <w:t xml:space="preserve">This summary will be used by the </w:t>
      </w:r>
      <w:r w:rsidRPr="00275EC8">
        <w:t xml:space="preserve">Taskforce to inform the </w:t>
      </w:r>
      <w:r w:rsidR="001D2626" w:rsidRPr="00275EC8">
        <w:t xml:space="preserve">decision-making about implementation of the </w:t>
      </w:r>
      <w:r w:rsidRPr="00275EC8">
        <w:t>reforms</w:t>
      </w:r>
      <w:r w:rsidR="001D2626" w:rsidRPr="00275EC8">
        <w:t>.</w:t>
      </w:r>
      <w:r w:rsidR="00F54C54" w:rsidRPr="00275EC8">
        <w:t xml:space="preserve"> </w:t>
      </w:r>
      <w:r w:rsidR="001D2626" w:rsidRPr="00275EC8">
        <w:t>The summary of feedback on the Consequences of Changes that are outlined in Attachment A to the Paper has been provided to the CIRG for consideration.</w:t>
      </w:r>
    </w:p>
    <w:p w14:paraId="74391B9F" w14:textId="32650DE7" w:rsidR="004E12B1" w:rsidRDefault="004E12B1">
      <w:pPr>
        <w:pStyle w:val="Heading1"/>
        <w:jc w:val="both"/>
      </w:pPr>
      <w:bookmarkStart w:id="5" w:name="_Toc98496165"/>
      <w:r w:rsidRPr="00CF5AF2">
        <w:t>Clinical Implementation Reference Group</w:t>
      </w:r>
      <w:r w:rsidR="001D2626">
        <w:t xml:space="preserve"> (CIRG)</w:t>
      </w:r>
      <w:bookmarkEnd w:id="5"/>
    </w:p>
    <w:p w14:paraId="4DE59939" w14:textId="6A83A833" w:rsidR="004E12B1" w:rsidRPr="00EF2F0D" w:rsidRDefault="0097774C" w:rsidP="00EF2F0D">
      <w:pPr>
        <w:pStyle w:val="Paragraphtext"/>
      </w:pPr>
      <w:r w:rsidRPr="00275EC8">
        <w:t>The role of the CIRG is to support the effective implementation of changes to the PL resulting from the PL Reforms by providing clinical advice to the Department</w:t>
      </w:r>
      <w:r w:rsidR="001D2626" w:rsidRPr="00275EC8">
        <w:t xml:space="preserve"> about implementation matters</w:t>
      </w:r>
      <w:r w:rsidRPr="00275EC8">
        <w:t xml:space="preserve">. The CIRG will be a time limited </w:t>
      </w:r>
      <w:r w:rsidR="001D2626" w:rsidRPr="00275EC8">
        <w:t>group</w:t>
      </w:r>
      <w:r w:rsidRPr="00275EC8">
        <w:t xml:space="preserve"> that will be in place until 30 June 2022.</w:t>
      </w:r>
      <w:r w:rsidR="001D2626" w:rsidRPr="00275EC8">
        <w:t xml:space="preserve"> The Department will consider clinical advice from the CIRG in its decision-making about implementation of the reforms.</w:t>
      </w:r>
    </w:p>
    <w:p w14:paraId="445CD7DE" w14:textId="1AFDCB33" w:rsidR="00477D0C" w:rsidRPr="00275EC8" w:rsidRDefault="00477D0C" w:rsidP="00EF2F0D">
      <w:pPr>
        <w:pStyle w:val="Paragraphtext"/>
      </w:pPr>
      <w:r w:rsidRPr="00275EC8">
        <w:t>Outcomes of consultation with the CIRG will be published following each meeting.</w:t>
      </w:r>
    </w:p>
    <w:p w14:paraId="58EEB388" w14:textId="0820B261" w:rsidR="00CF5AF2" w:rsidRDefault="00CF5AF2" w:rsidP="00EF2F0D">
      <w:pPr>
        <w:pStyle w:val="Heading1"/>
      </w:pPr>
      <w:bookmarkStart w:id="6" w:name="_Toc98496166"/>
      <w:r w:rsidRPr="00EF2F0D">
        <w:t>Findings</w:t>
      </w:r>
      <w:r w:rsidRPr="00CF5AF2">
        <w:t xml:space="preserve"> and Analysis</w:t>
      </w:r>
      <w:bookmarkEnd w:id="6"/>
    </w:p>
    <w:p w14:paraId="79AC778A" w14:textId="64BF0952" w:rsidR="002A16BD" w:rsidRPr="00275EC8" w:rsidRDefault="002A16BD" w:rsidP="00EF2F0D">
      <w:pPr>
        <w:pStyle w:val="Paragraphtext"/>
      </w:pPr>
      <w:r w:rsidRPr="00275EC8">
        <w:t xml:space="preserve">This stakeholder feedback has provided sector-based data and opinion on the proposed reforms, particularly drawing attention to how </w:t>
      </w:r>
      <w:r w:rsidR="00D85E54" w:rsidRPr="00275EC8">
        <w:t>the</w:t>
      </w:r>
      <w:r w:rsidRPr="00275EC8">
        <w:t xml:space="preserve"> changes may impact certain sectors.</w:t>
      </w:r>
    </w:p>
    <w:p w14:paraId="5EA54A43" w14:textId="64E6184A" w:rsidR="00CC61D2" w:rsidRPr="00EF2F0D" w:rsidRDefault="00CC61D2" w:rsidP="00EF2F0D">
      <w:pPr>
        <w:pStyle w:val="Paragraphtext"/>
      </w:pPr>
      <w:r w:rsidRPr="00275EC8">
        <w:t xml:space="preserve">Stakeholders </w:t>
      </w:r>
      <w:r w:rsidR="002A16BD" w:rsidRPr="00275EC8">
        <w:t>provide</w:t>
      </w:r>
      <w:r w:rsidR="00D85E54" w:rsidRPr="00275EC8">
        <w:t>d</w:t>
      </w:r>
      <w:r w:rsidR="002A16BD" w:rsidRPr="00275EC8">
        <w:t xml:space="preserve"> robust responses in their submissions, with many detailing historical</w:t>
      </w:r>
      <w:r w:rsidRPr="00275EC8">
        <w:t xml:space="preserve"> issues or inefficiencies</w:t>
      </w:r>
      <w:r w:rsidR="002A16BD" w:rsidRPr="00275EC8">
        <w:t xml:space="preserve">. The Department is taking this information into account and using </w:t>
      </w:r>
      <w:r w:rsidR="00D85E54" w:rsidRPr="00275EC8">
        <w:t xml:space="preserve">this </w:t>
      </w:r>
      <w:r w:rsidR="002A16BD" w:rsidRPr="00275EC8">
        <w:t xml:space="preserve">feedback to inform </w:t>
      </w:r>
      <w:r w:rsidR="00D85E54" w:rsidRPr="00275EC8">
        <w:t xml:space="preserve">implementation </w:t>
      </w:r>
      <w:r w:rsidR="002A16BD" w:rsidRPr="00275EC8">
        <w:t>approaches</w:t>
      </w:r>
      <w:r w:rsidR="00D85E54" w:rsidRPr="00275EC8">
        <w:t xml:space="preserve"> including amendments to legislation.</w:t>
      </w:r>
      <w:r w:rsidR="002A16BD" w:rsidRPr="00275EC8">
        <w:t xml:space="preserve"> </w:t>
      </w:r>
      <w:r w:rsidR="00072BA1" w:rsidRPr="00275EC8">
        <w:t xml:space="preserve">The </w:t>
      </w:r>
      <w:r w:rsidR="00D85E54" w:rsidRPr="00275EC8">
        <w:t>feedback</w:t>
      </w:r>
      <w:r w:rsidR="00072BA1" w:rsidRPr="00275EC8">
        <w:t xml:space="preserve"> will </w:t>
      </w:r>
      <w:r w:rsidR="00D85E54" w:rsidRPr="00EF2F0D">
        <w:t>also help</w:t>
      </w:r>
      <w:r w:rsidR="00072BA1" w:rsidRPr="00EF2F0D">
        <w:t xml:space="preserve"> shape </w:t>
      </w:r>
      <w:r w:rsidRPr="00EF2F0D">
        <w:t xml:space="preserve">future </w:t>
      </w:r>
      <w:r w:rsidR="002A16BD" w:rsidRPr="00EF2F0D">
        <w:t>consultations</w:t>
      </w:r>
      <w:r w:rsidR="00D85E54" w:rsidRPr="00EF2F0D">
        <w:t>.</w:t>
      </w:r>
    </w:p>
    <w:p w14:paraId="56A0D622" w14:textId="63DE5DEB" w:rsidR="00BB099A" w:rsidRPr="00275EC8" w:rsidRDefault="00226D5E" w:rsidP="00EF2F0D">
      <w:pPr>
        <w:pStyle w:val="Paragraphtext"/>
        <w:rPr>
          <w:i/>
          <w:iCs/>
        </w:rPr>
      </w:pPr>
      <w:r w:rsidRPr="00EF2F0D">
        <w:t>The following are</w:t>
      </w:r>
      <w:r w:rsidRPr="00275EC8">
        <w:t xml:space="preserve"> b</w:t>
      </w:r>
      <w:r w:rsidR="002A16BD" w:rsidRPr="00275EC8">
        <w:t xml:space="preserve">rief summaries of the feedback received for </w:t>
      </w:r>
      <w:r w:rsidR="002A16BD" w:rsidRPr="00EF2F0D">
        <w:t>each</w:t>
      </w:r>
      <w:r w:rsidR="002A16BD" w:rsidRPr="00275EC8">
        <w:t xml:space="preserve"> question from the Paper</w:t>
      </w:r>
      <w:r w:rsidRPr="00275EC8">
        <w:t>.</w:t>
      </w:r>
      <w:r w:rsidR="00D85E54" w:rsidRPr="00275EC8">
        <w:rPr>
          <w:noProof/>
        </w:rPr>
        <w:t xml:space="preserve"> Not all stakeholders responded to all questions, therefore the </w:t>
      </w:r>
      <w:r w:rsidR="008F03FC" w:rsidRPr="00275EC8">
        <w:rPr>
          <w:noProof/>
        </w:rPr>
        <w:t xml:space="preserve">percentages reflect the portion of stakeholders who </w:t>
      </w:r>
      <w:r w:rsidR="00D85E54" w:rsidRPr="00275EC8">
        <w:rPr>
          <w:noProof/>
        </w:rPr>
        <w:t>did respond.</w:t>
      </w:r>
    </w:p>
    <w:p w14:paraId="5911D3A1" w14:textId="77777777" w:rsidR="00804D5A" w:rsidRPr="00863652" w:rsidRDefault="00804D5A" w:rsidP="00EF2F0D">
      <w:pPr>
        <w:pStyle w:val="Heading2"/>
      </w:pPr>
      <w:bookmarkStart w:id="7" w:name="_Toc87425691"/>
      <w:bookmarkStart w:id="8" w:name="_Toc98496167"/>
      <w:r w:rsidRPr="00863652">
        <w:t>Q1. Is the proposed approach to the definition of a kind of prosthesis flexible enough to anticipate future technologies while providing sufficient clarity on the scope of PL?</w:t>
      </w:r>
      <w:bookmarkEnd w:id="7"/>
      <w:bookmarkEnd w:id="8"/>
    </w:p>
    <w:p w14:paraId="1DCBD5E2" w14:textId="1A7555B7" w:rsidR="002901D0" w:rsidRPr="00275EC8" w:rsidRDefault="009F51B8" w:rsidP="00EF2F0D">
      <w:pPr>
        <w:pStyle w:val="Paragraphtext"/>
        <w:rPr>
          <w:rFonts w:eastAsia="Arial"/>
        </w:rPr>
      </w:pPr>
      <w:r w:rsidRPr="00275EC8">
        <w:t xml:space="preserve">The </w:t>
      </w:r>
      <w:r w:rsidRPr="00EF2F0D">
        <w:t>proposed</w:t>
      </w:r>
      <w:r w:rsidRPr="00275EC8">
        <w:t xml:space="preserve"> approach</w:t>
      </w:r>
      <w:r w:rsidRPr="00275EC8">
        <w:rPr>
          <w:rFonts w:eastAsia="Arial"/>
          <w:i/>
          <w:iCs/>
        </w:rPr>
        <w:t xml:space="preserve"> </w:t>
      </w:r>
      <w:r w:rsidRPr="00275EC8">
        <w:rPr>
          <w:rFonts w:eastAsia="Arial"/>
        </w:rPr>
        <w:t xml:space="preserve">that a device no longer needs to be implanted to qualify for listing was cited by </w:t>
      </w:r>
      <w:r w:rsidR="00226D5E" w:rsidRPr="00275EC8">
        <w:rPr>
          <w:rFonts w:eastAsia="Arial"/>
        </w:rPr>
        <w:t xml:space="preserve">54 per cent of </w:t>
      </w:r>
      <w:r w:rsidRPr="00275EC8">
        <w:rPr>
          <w:rFonts w:eastAsia="Arial"/>
        </w:rPr>
        <w:t xml:space="preserve">stakeholders </w:t>
      </w:r>
      <w:r w:rsidR="00226D5E" w:rsidRPr="00275EC8">
        <w:rPr>
          <w:rFonts w:eastAsia="Arial"/>
        </w:rPr>
        <w:t xml:space="preserve">as being a </w:t>
      </w:r>
      <w:r w:rsidRPr="00275EC8">
        <w:rPr>
          <w:rFonts w:eastAsia="Arial"/>
        </w:rPr>
        <w:t>progressive and welcome improvement</w:t>
      </w:r>
      <w:r w:rsidR="00226D5E" w:rsidRPr="00275EC8">
        <w:rPr>
          <w:rFonts w:eastAsia="Arial"/>
        </w:rPr>
        <w:t xml:space="preserve"> and ag</w:t>
      </w:r>
      <w:r w:rsidR="00486F6F" w:rsidRPr="00275EC8">
        <w:rPr>
          <w:rFonts w:eastAsia="Arial"/>
        </w:rPr>
        <w:t xml:space="preserve">reeing </w:t>
      </w:r>
      <w:r w:rsidRPr="00275EC8">
        <w:rPr>
          <w:rFonts w:eastAsia="Arial"/>
        </w:rPr>
        <w:t xml:space="preserve">that </w:t>
      </w:r>
      <w:r w:rsidR="00486F6F" w:rsidRPr="00275EC8">
        <w:rPr>
          <w:rFonts w:eastAsia="Arial"/>
        </w:rPr>
        <w:t xml:space="preserve">the new definition </w:t>
      </w:r>
      <w:r w:rsidRPr="00275EC8">
        <w:rPr>
          <w:rFonts w:eastAsia="Arial"/>
        </w:rPr>
        <w:t>w</w:t>
      </w:r>
      <w:r w:rsidR="00226D5E" w:rsidRPr="00275EC8">
        <w:rPr>
          <w:rFonts w:eastAsia="Arial"/>
        </w:rPr>
        <w:t xml:space="preserve">ould </w:t>
      </w:r>
      <w:r w:rsidRPr="00275EC8">
        <w:rPr>
          <w:rFonts w:eastAsia="Arial"/>
        </w:rPr>
        <w:t xml:space="preserve">improve flexibility </w:t>
      </w:r>
      <w:r w:rsidR="00226D5E" w:rsidRPr="00275EC8">
        <w:rPr>
          <w:rFonts w:eastAsia="Arial"/>
        </w:rPr>
        <w:t xml:space="preserve">to </w:t>
      </w:r>
      <w:r w:rsidRPr="00275EC8">
        <w:rPr>
          <w:rFonts w:eastAsia="Arial"/>
        </w:rPr>
        <w:t>anticipate future technologies.</w:t>
      </w:r>
    </w:p>
    <w:p w14:paraId="2521B730" w14:textId="77777777" w:rsidR="00804D5A" w:rsidRPr="00863652" w:rsidRDefault="00804D5A" w:rsidP="00EF2F0D">
      <w:pPr>
        <w:pStyle w:val="Heading2"/>
      </w:pPr>
      <w:bookmarkStart w:id="9" w:name="_Toc87425692"/>
      <w:bookmarkStart w:id="10" w:name="_Toc98496168"/>
      <w:r w:rsidRPr="00863652">
        <w:lastRenderedPageBreak/>
        <w:t xml:space="preserve">Q2. </w:t>
      </w:r>
      <w:r w:rsidRPr="0036545E">
        <w:t>Does aligning terms with established terms used by TGA (such as medical devices and biologicals) improve clarity?</w:t>
      </w:r>
      <w:bookmarkEnd w:id="9"/>
      <w:bookmarkEnd w:id="10"/>
    </w:p>
    <w:p w14:paraId="43670743" w14:textId="07CE25AD" w:rsidR="00486F6F" w:rsidRPr="00275EC8" w:rsidRDefault="00CC57C4" w:rsidP="00EF2F0D">
      <w:pPr>
        <w:pStyle w:val="Paragraphtext"/>
        <w:rPr>
          <w:rFonts w:eastAsia="Arial"/>
        </w:rPr>
      </w:pPr>
      <w:r w:rsidRPr="00275EC8">
        <w:rPr>
          <w:rFonts w:eastAsia="Arial"/>
        </w:rPr>
        <w:t xml:space="preserve">Stakeholders held mixed views regarding an alignment with TGA terms, with </w:t>
      </w:r>
      <w:r w:rsidR="00486F6F" w:rsidRPr="00275EC8">
        <w:rPr>
          <w:rFonts w:eastAsia="Arial"/>
        </w:rPr>
        <w:t>52 per cent of stakeholders in agreement</w:t>
      </w:r>
      <w:r w:rsidRPr="00275EC8">
        <w:rPr>
          <w:rFonts w:eastAsia="Arial"/>
        </w:rPr>
        <w:t>.</w:t>
      </w:r>
      <w:r w:rsidR="00486F6F" w:rsidRPr="00275EC8">
        <w:rPr>
          <w:rFonts w:eastAsia="Arial"/>
        </w:rPr>
        <w:t xml:space="preserve"> 40 per cent of stakeholders </w:t>
      </w:r>
      <w:r w:rsidR="00F52CE0" w:rsidRPr="00275EC8">
        <w:rPr>
          <w:rFonts w:eastAsia="Arial"/>
        </w:rPr>
        <w:t>made</w:t>
      </w:r>
      <w:r w:rsidR="00486F6F" w:rsidRPr="00275EC8">
        <w:rPr>
          <w:rFonts w:eastAsia="Arial"/>
        </w:rPr>
        <w:t xml:space="preserve"> their own recommendations</w:t>
      </w:r>
      <w:r w:rsidR="00F52CE0" w:rsidRPr="00275EC8">
        <w:rPr>
          <w:rFonts w:eastAsia="Arial"/>
        </w:rPr>
        <w:t xml:space="preserve"> or suggestions for alternative approaches.</w:t>
      </w:r>
      <w:r w:rsidR="00486F6F" w:rsidRPr="00275EC8">
        <w:rPr>
          <w:rFonts w:eastAsia="Arial"/>
        </w:rPr>
        <w:t xml:space="preserve"> 8 per cent of stakeholders disagreed</w:t>
      </w:r>
      <w:r w:rsidR="00F52CE0" w:rsidRPr="00275EC8">
        <w:rPr>
          <w:rFonts w:eastAsia="Arial"/>
        </w:rPr>
        <w:t xml:space="preserve">, asserting </w:t>
      </w:r>
      <w:r w:rsidR="00540198" w:rsidRPr="00275EC8">
        <w:rPr>
          <w:rFonts w:eastAsia="Arial"/>
        </w:rPr>
        <w:t>that</w:t>
      </w:r>
      <w:r w:rsidR="007A6FE7" w:rsidRPr="00275EC8">
        <w:rPr>
          <w:rFonts w:eastAsia="Arial"/>
        </w:rPr>
        <w:t xml:space="preserve"> the intent</w:t>
      </w:r>
      <w:r w:rsidR="00F31417" w:rsidRPr="00275EC8">
        <w:rPr>
          <w:rFonts w:eastAsia="Arial"/>
        </w:rPr>
        <w:t xml:space="preserve">ion </w:t>
      </w:r>
      <w:r w:rsidR="007A6FE7" w:rsidRPr="00275EC8">
        <w:rPr>
          <w:rFonts w:eastAsia="Arial"/>
        </w:rPr>
        <w:t>of the PL is very different to that of the ARTG and as such, its own distinct terminology should be retained</w:t>
      </w:r>
      <w:r w:rsidR="000A185A" w:rsidRPr="00275EC8">
        <w:rPr>
          <w:rFonts w:eastAsia="Arial"/>
        </w:rPr>
        <w:t xml:space="preserve"> and utilised.</w:t>
      </w:r>
    </w:p>
    <w:p w14:paraId="556F80FE" w14:textId="77777777" w:rsidR="00804D5A" w:rsidRPr="00863652" w:rsidRDefault="00804D5A" w:rsidP="00EF2F0D">
      <w:pPr>
        <w:pStyle w:val="Heading2"/>
      </w:pPr>
      <w:bookmarkStart w:id="11" w:name="_Toc87425694"/>
      <w:bookmarkStart w:id="12" w:name="_Toc98496169"/>
      <w:r w:rsidRPr="00863652">
        <w:t>Q3. Are the proposed listing criteria for Part A fit-for-purpose? If not, what changes are needed?</w:t>
      </w:r>
      <w:bookmarkEnd w:id="11"/>
      <w:bookmarkEnd w:id="12"/>
    </w:p>
    <w:p w14:paraId="0676D246" w14:textId="2459F2EE" w:rsidR="00804D5A" w:rsidRPr="00275EC8" w:rsidRDefault="00F87B4D" w:rsidP="00EF2F0D">
      <w:pPr>
        <w:pStyle w:val="Paragraphtext"/>
      </w:pPr>
      <w:r w:rsidRPr="00275EC8">
        <w:t xml:space="preserve">21 per cent of stakeholders agreed </w:t>
      </w:r>
      <w:r w:rsidR="000A185A" w:rsidRPr="00275EC8">
        <w:t>that</w:t>
      </w:r>
      <w:r w:rsidRPr="00275EC8">
        <w:t xml:space="preserve"> the propose</w:t>
      </w:r>
      <w:r w:rsidR="00A076B0" w:rsidRPr="00275EC8">
        <w:t>d</w:t>
      </w:r>
      <w:r w:rsidRPr="00275EC8">
        <w:t xml:space="preserve"> listing criteria for Part A </w:t>
      </w:r>
      <w:r w:rsidR="000A185A" w:rsidRPr="00275EC8">
        <w:t>is</w:t>
      </w:r>
      <w:r w:rsidRPr="00275EC8">
        <w:t xml:space="preserve"> fit for purpose. 73 per cent of stakeholders, primarily stakeholders from the Medical Technology and Day Hospital sector</w:t>
      </w:r>
      <w:r w:rsidR="000A185A" w:rsidRPr="00275EC8">
        <w:t>s,</w:t>
      </w:r>
      <w:r w:rsidRPr="00275EC8">
        <w:t xml:space="preserve"> were concerned that their most used items w</w:t>
      </w:r>
      <w:r w:rsidR="00D9365B" w:rsidRPr="00275EC8">
        <w:t xml:space="preserve">ould </w:t>
      </w:r>
      <w:r w:rsidRPr="00275EC8">
        <w:t>not be included in the new criteria</w:t>
      </w:r>
      <w:r w:rsidR="00BD0536" w:rsidRPr="00275EC8">
        <w:t xml:space="preserve"> due to limited flexibility</w:t>
      </w:r>
      <w:r w:rsidRPr="00275EC8">
        <w:t xml:space="preserve">, posing financial </w:t>
      </w:r>
      <w:r w:rsidR="00D9365B" w:rsidRPr="00275EC8">
        <w:t>consequences</w:t>
      </w:r>
      <w:r w:rsidRPr="00275EC8">
        <w:t>.</w:t>
      </w:r>
    </w:p>
    <w:p w14:paraId="176D7E5B" w14:textId="77777777" w:rsidR="00804D5A" w:rsidRPr="007A6FE7" w:rsidRDefault="00804D5A" w:rsidP="00EF2F0D">
      <w:pPr>
        <w:pStyle w:val="Heading2"/>
      </w:pPr>
      <w:bookmarkStart w:id="13" w:name="_Toc87425695"/>
      <w:bookmarkStart w:id="14" w:name="_Toc98496170"/>
      <w:r w:rsidRPr="007A6FE7">
        <w:t>Q4. Should the scope of products eligible for listing on Part B remain unchanged?</w:t>
      </w:r>
      <w:bookmarkEnd w:id="13"/>
      <w:bookmarkEnd w:id="14"/>
    </w:p>
    <w:p w14:paraId="6809237B" w14:textId="3534660B" w:rsidR="00804D5A" w:rsidRPr="00275EC8" w:rsidRDefault="00C00CB5" w:rsidP="00EF2F0D">
      <w:pPr>
        <w:pStyle w:val="Paragraphtext"/>
        <w:rPr>
          <w:rFonts w:eastAsia="Arial" w:cs="Arial"/>
          <w:i/>
        </w:rPr>
      </w:pPr>
      <w:r w:rsidRPr="00275EC8">
        <w:t>42 per cent of s</w:t>
      </w:r>
      <w:r w:rsidR="00804D5A" w:rsidRPr="00275EC8">
        <w:t>takeholders</w:t>
      </w:r>
      <w:r w:rsidR="004F7D49" w:rsidRPr="00275EC8">
        <w:t xml:space="preserve"> a</w:t>
      </w:r>
      <w:r w:rsidR="00804D5A" w:rsidRPr="00275EC8">
        <w:t xml:space="preserve">greed that the current scope </w:t>
      </w:r>
      <w:r w:rsidR="004F7D49" w:rsidRPr="00275EC8">
        <w:t>and</w:t>
      </w:r>
      <w:r w:rsidR="00804D5A" w:rsidRPr="00275EC8">
        <w:t xml:space="preserve"> the existing criteria </w:t>
      </w:r>
      <w:r w:rsidR="003A5F2F" w:rsidRPr="00275EC8">
        <w:t xml:space="preserve">for Part B </w:t>
      </w:r>
      <w:r w:rsidR="00804D5A" w:rsidRPr="00275EC8">
        <w:t>is sufficient</w:t>
      </w:r>
      <w:r w:rsidR="00D9365B" w:rsidRPr="00275EC8">
        <w:t>, with some noting that it should be subject to ongoing review</w:t>
      </w:r>
      <w:r w:rsidRPr="00275EC8">
        <w:t xml:space="preserve">. 58 per cent of </w:t>
      </w:r>
      <w:r w:rsidRPr="00275EC8">
        <w:rPr>
          <w:rFonts w:eastAsia="Arial" w:cs="Arial"/>
        </w:rPr>
        <w:t xml:space="preserve">stakeholders </w:t>
      </w:r>
      <w:r w:rsidRPr="00EF2F0D">
        <w:rPr>
          <w:rFonts w:eastAsia="Arial"/>
        </w:rPr>
        <w:t>reserved</w:t>
      </w:r>
      <w:r w:rsidRPr="00275EC8">
        <w:rPr>
          <w:rFonts w:eastAsia="Arial" w:cs="Arial"/>
        </w:rPr>
        <w:t xml:space="preserve"> comment for the upcoming consultation relating to Part </w:t>
      </w:r>
      <w:r w:rsidR="00C53F40" w:rsidRPr="00275EC8">
        <w:rPr>
          <w:rFonts w:eastAsia="Arial" w:cs="Arial"/>
        </w:rPr>
        <w:t>B or</w:t>
      </w:r>
      <w:r w:rsidRPr="00275EC8">
        <w:rPr>
          <w:rFonts w:eastAsia="Arial" w:cs="Arial"/>
        </w:rPr>
        <w:t xml:space="preserve"> disagreed with the current scope.</w:t>
      </w:r>
    </w:p>
    <w:p w14:paraId="41A31002" w14:textId="77777777" w:rsidR="00804D5A" w:rsidRPr="00C5669B" w:rsidRDefault="00804D5A" w:rsidP="00EF2F0D">
      <w:pPr>
        <w:pStyle w:val="Heading2"/>
      </w:pPr>
      <w:bookmarkStart w:id="15" w:name="_Toc87425696"/>
      <w:bookmarkStart w:id="16" w:name="_Toc98496171"/>
      <w:r w:rsidRPr="00C5669B">
        <w:t>Q5. Should the PL retain an option for the Minister to list items in exceptional circumstances on Part C?</w:t>
      </w:r>
      <w:bookmarkEnd w:id="15"/>
      <w:bookmarkEnd w:id="16"/>
    </w:p>
    <w:p w14:paraId="2F03D5D4" w14:textId="6189926D" w:rsidR="00804D5A" w:rsidRPr="00275EC8" w:rsidRDefault="00925019" w:rsidP="00EF2F0D">
      <w:pPr>
        <w:pStyle w:val="Paragraphtext"/>
        <w:rPr>
          <w:rFonts w:eastAsia="Arial"/>
        </w:rPr>
      </w:pPr>
      <w:r w:rsidRPr="00275EC8">
        <w:rPr>
          <w:rFonts w:eastAsia="Arial"/>
        </w:rPr>
        <w:t xml:space="preserve">84 per cent of stakeholders agreed that the PL should retain an option for the Minister to list items in exceptional circumstances under Part C. </w:t>
      </w:r>
      <w:r w:rsidR="003E1E2A" w:rsidRPr="00275EC8">
        <w:rPr>
          <w:rFonts w:eastAsia="Arial"/>
        </w:rPr>
        <w:t xml:space="preserve">Stakeholders supported this option as when considering production of future items with advanced technology or purpose there is potential for </w:t>
      </w:r>
      <w:r w:rsidR="000570B9" w:rsidRPr="00275EC8">
        <w:rPr>
          <w:rFonts w:eastAsia="Arial"/>
        </w:rPr>
        <w:t>such</w:t>
      </w:r>
      <w:r w:rsidR="003E1E2A" w:rsidRPr="00275EC8">
        <w:rPr>
          <w:rFonts w:eastAsia="Arial"/>
        </w:rPr>
        <w:t xml:space="preserve"> items failing to meet criteria, purely </w:t>
      </w:r>
      <w:r w:rsidR="000570B9" w:rsidRPr="00275EC8">
        <w:rPr>
          <w:rFonts w:eastAsia="Arial"/>
        </w:rPr>
        <w:t xml:space="preserve">due to the growth of modern medical technology. </w:t>
      </w:r>
    </w:p>
    <w:p w14:paraId="52CDFE50" w14:textId="77777777" w:rsidR="00804D5A" w:rsidRPr="00C5669B" w:rsidRDefault="00804D5A" w:rsidP="00EF2F0D">
      <w:pPr>
        <w:pStyle w:val="Heading2"/>
      </w:pPr>
      <w:bookmarkStart w:id="17" w:name="_Toc87425697"/>
      <w:bookmarkStart w:id="18" w:name="_Toc98496172"/>
      <w:r w:rsidRPr="00C5669B">
        <w:t xml:space="preserve">Q6. Are there any other exceptional circumstances </w:t>
      </w:r>
      <w:proofErr w:type="gramStart"/>
      <w:r w:rsidRPr="00C5669B">
        <w:t>factors</w:t>
      </w:r>
      <w:proofErr w:type="gramEnd"/>
      <w:r w:rsidRPr="00C5669B">
        <w:t xml:space="preserve"> that Part C should accommodate?</w:t>
      </w:r>
      <w:bookmarkEnd w:id="17"/>
      <w:bookmarkEnd w:id="18"/>
    </w:p>
    <w:p w14:paraId="358E988A" w14:textId="4D133257" w:rsidR="00434F32" w:rsidRPr="00275EC8" w:rsidRDefault="00434F32" w:rsidP="00EF2F0D">
      <w:pPr>
        <w:pStyle w:val="Paragraphtext"/>
        <w:rPr>
          <w:i/>
          <w:iCs/>
        </w:rPr>
      </w:pPr>
      <w:r w:rsidRPr="00275EC8">
        <w:rPr>
          <w:rFonts w:eastAsia="Arial" w:cs="Arial"/>
        </w:rPr>
        <w:t xml:space="preserve">Stakeholders </w:t>
      </w:r>
      <w:r w:rsidR="0014408A" w:rsidRPr="00275EC8">
        <w:rPr>
          <w:rFonts w:eastAsia="Arial" w:cs="Arial"/>
        </w:rPr>
        <w:t xml:space="preserve">provided broad and in-depth commentary about </w:t>
      </w:r>
      <w:r w:rsidR="00EE521F" w:rsidRPr="00275EC8">
        <w:rPr>
          <w:rFonts w:eastAsia="Arial" w:cs="Arial"/>
        </w:rPr>
        <w:t>exceptional circumstances</w:t>
      </w:r>
      <w:r w:rsidR="0014408A" w:rsidRPr="00275EC8">
        <w:rPr>
          <w:rFonts w:eastAsia="Arial" w:cs="Arial"/>
        </w:rPr>
        <w:t xml:space="preserve">. </w:t>
      </w:r>
      <w:r w:rsidR="00EE521F" w:rsidRPr="00275EC8">
        <w:rPr>
          <w:rFonts w:eastAsia="Arial" w:cs="Arial"/>
        </w:rPr>
        <w:t>M</w:t>
      </w:r>
      <w:r w:rsidR="00804D5A" w:rsidRPr="00275EC8">
        <w:t>any stakeholders expressed views that the current Ministerial discretion to list items on the PL was appropriate, especially regarding new and emerging technologies that do not have a comparable PL entry</w:t>
      </w:r>
      <w:r w:rsidRPr="00275EC8">
        <w:t xml:space="preserve">, for example </w:t>
      </w:r>
      <w:r w:rsidR="00804D5A" w:rsidRPr="00275EC8">
        <w:t xml:space="preserve">software as a medical </w:t>
      </w:r>
      <w:r w:rsidRPr="00275EC8">
        <w:t>device.</w:t>
      </w:r>
      <w:r w:rsidR="00804D5A" w:rsidRPr="00275EC8">
        <w:t xml:space="preserve"> However, it was noted that c</w:t>
      </w:r>
      <w:r w:rsidR="00804D5A" w:rsidRPr="00275EC8">
        <w:rPr>
          <w:rFonts w:eastAsia="Arial" w:cs="Arial"/>
        </w:rPr>
        <w:t xml:space="preserve">riteria for </w:t>
      </w:r>
      <w:r w:rsidR="00804D5A" w:rsidRPr="00EF2F0D">
        <w:rPr>
          <w:rFonts w:eastAsia="Arial"/>
        </w:rPr>
        <w:t>exemption</w:t>
      </w:r>
      <w:r w:rsidR="00804D5A" w:rsidRPr="00275EC8">
        <w:rPr>
          <w:rFonts w:eastAsia="Arial" w:cs="Arial"/>
        </w:rPr>
        <w:t xml:space="preserve"> by the Minister should be kept to a minimum, so the integrity of the process is not compromised. </w:t>
      </w:r>
      <w:r w:rsidRPr="00275EC8">
        <w:t>There was overall agreement that the</w:t>
      </w:r>
      <w:r w:rsidRPr="00275EC8">
        <w:rPr>
          <w:rFonts w:eastAsia="Arial" w:cs="Arial"/>
        </w:rPr>
        <w:t xml:space="preserve"> implementation of any changes </w:t>
      </w:r>
      <w:r w:rsidR="001D71AC" w:rsidRPr="00275EC8">
        <w:rPr>
          <w:rFonts w:eastAsia="Arial" w:cs="Arial"/>
        </w:rPr>
        <w:t xml:space="preserve">to this provision </w:t>
      </w:r>
      <w:r w:rsidRPr="00275EC8">
        <w:rPr>
          <w:rFonts w:eastAsia="Arial" w:cs="Arial"/>
        </w:rPr>
        <w:t>should be undertaken in a well-publicised manner that does not disrupt or compromise patient care.</w:t>
      </w:r>
    </w:p>
    <w:p w14:paraId="241AEF62" w14:textId="77777777" w:rsidR="00804D5A" w:rsidRPr="00C5669B" w:rsidRDefault="00804D5A" w:rsidP="00EF2F0D">
      <w:pPr>
        <w:pStyle w:val="Heading2"/>
      </w:pPr>
      <w:bookmarkStart w:id="19" w:name="_Toc87425698"/>
      <w:bookmarkStart w:id="20" w:name="_Toc98496173"/>
      <w:r w:rsidRPr="00C5669B">
        <w:t>Q7. Please consider the tables at Attachment B and explain which products meet the future criteria for listing and the reasons why?</w:t>
      </w:r>
      <w:bookmarkEnd w:id="19"/>
      <w:bookmarkEnd w:id="20"/>
      <w:r w:rsidRPr="00C5669B">
        <w:t xml:space="preserve"> </w:t>
      </w:r>
    </w:p>
    <w:p w14:paraId="0BF4796C" w14:textId="08AD9FEE" w:rsidR="00804D5A" w:rsidRPr="00275EC8" w:rsidRDefault="005F6D6A" w:rsidP="00EF2F0D">
      <w:pPr>
        <w:pStyle w:val="Paragraphtext"/>
        <w:rPr>
          <w:rFonts w:eastAsia="Arial"/>
        </w:rPr>
      </w:pPr>
      <w:r w:rsidRPr="00275EC8">
        <w:t xml:space="preserve">83 per cent of stakeholders </w:t>
      </w:r>
      <w:r w:rsidR="001D71AC" w:rsidRPr="00275EC8">
        <w:t>provided feedback on sp</w:t>
      </w:r>
      <w:r w:rsidRPr="00275EC8">
        <w:t>ecific products</w:t>
      </w:r>
      <w:r w:rsidR="006A68DD" w:rsidRPr="00275EC8">
        <w:t>,</w:t>
      </w:r>
      <w:r w:rsidRPr="00275EC8">
        <w:t xml:space="preserve"> with </w:t>
      </w:r>
      <w:r w:rsidR="001D71AC" w:rsidRPr="00275EC8">
        <w:t xml:space="preserve">some </w:t>
      </w:r>
      <w:r w:rsidRPr="00275EC8">
        <w:t>s</w:t>
      </w:r>
      <w:r w:rsidR="00804D5A" w:rsidRPr="00275EC8">
        <w:t xml:space="preserve">takeholders </w:t>
      </w:r>
      <w:r w:rsidRPr="00275EC8">
        <w:t>choosing</w:t>
      </w:r>
      <w:r w:rsidR="00804D5A" w:rsidRPr="00275EC8">
        <w:t xml:space="preserve"> to </w:t>
      </w:r>
      <w:r w:rsidR="001D71AC" w:rsidRPr="00275EC8">
        <w:t xml:space="preserve">await </w:t>
      </w:r>
      <w:r w:rsidR="001D71AC" w:rsidRPr="00EF2F0D">
        <w:t>outcomes</w:t>
      </w:r>
      <w:r w:rsidR="001D71AC" w:rsidRPr="00275EC8">
        <w:t xml:space="preserve"> of consultation with CIRG</w:t>
      </w:r>
      <w:r w:rsidR="009531F9" w:rsidRPr="00275EC8">
        <w:t>.</w:t>
      </w:r>
      <w:r w:rsidR="00804D5A" w:rsidRPr="00275EC8">
        <w:rPr>
          <w:color w:val="auto"/>
        </w:rPr>
        <w:t xml:space="preserve"> </w:t>
      </w:r>
      <w:r w:rsidR="00804D5A" w:rsidRPr="00275EC8">
        <w:rPr>
          <w:rFonts w:eastAsia="Arial" w:cs="Arial"/>
        </w:rPr>
        <w:t>Overall, stakeholder</w:t>
      </w:r>
      <w:r w:rsidR="001D71AC" w:rsidRPr="00275EC8">
        <w:rPr>
          <w:rFonts w:eastAsia="Arial" w:cs="Arial"/>
        </w:rPr>
        <w:t xml:space="preserve"> feedback was varied on the items </w:t>
      </w:r>
      <w:r w:rsidR="00804D5A" w:rsidRPr="00275EC8">
        <w:rPr>
          <w:rFonts w:eastAsia="Arial" w:cs="Arial"/>
        </w:rPr>
        <w:t xml:space="preserve">in Attachment B </w:t>
      </w:r>
      <w:r w:rsidR="001D71AC" w:rsidRPr="00275EC8">
        <w:rPr>
          <w:rFonts w:eastAsia="Arial" w:cs="Arial"/>
        </w:rPr>
        <w:t xml:space="preserve">and </w:t>
      </w:r>
      <w:proofErr w:type="gramStart"/>
      <w:r w:rsidR="001D71AC" w:rsidRPr="00275EC8">
        <w:rPr>
          <w:rFonts w:eastAsia="Arial" w:cs="Arial"/>
        </w:rPr>
        <w:t>whether or not</w:t>
      </w:r>
      <w:proofErr w:type="gramEnd"/>
      <w:r w:rsidR="001D71AC" w:rsidRPr="00275EC8">
        <w:rPr>
          <w:rFonts w:eastAsia="Arial" w:cs="Arial"/>
        </w:rPr>
        <w:t xml:space="preserve"> they </w:t>
      </w:r>
      <w:r w:rsidR="00804D5A" w:rsidRPr="00275EC8">
        <w:rPr>
          <w:rFonts w:eastAsia="Arial" w:cs="Arial"/>
        </w:rPr>
        <w:t>met the proposed future listing criteria.</w:t>
      </w:r>
    </w:p>
    <w:p w14:paraId="3CE2E739" w14:textId="77777777" w:rsidR="00804D5A" w:rsidRPr="00C5669B" w:rsidRDefault="00804D5A" w:rsidP="00EF2F0D">
      <w:pPr>
        <w:pStyle w:val="Heading2"/>
      </w:pPr>
      <w:bookmarkStart w:id="21" w:name="_Toc87425699"/>
      <w:bookmarkStart w:id="22" w:name="_Toc98496174"/>
      <w:r w:rsidRPr="00C5669B">
        <w:t>Q8. Should the name of the list be modernised and, if so, what should it be called?</w:t>
      </w:r>
      <w:bookmarkEnd w:id="21"/>
      <w:bookmarkEnd w:id="22"/>
    </w:p>
    <w:p w14:paraId="5C446A3C" w14:textId="7CAB2D48" w:rsidR="00455E2B" w:rsidRPr="00275EC8" w:rsidRDefault="00290FB0" w:rsidP="00EF2F0D">
      <w:pPr>
        <w:pStyle w:val="Paragraphtext"/>
      </w:pPr>
      <w:r w:rsidRPr="00275EC8">
        <w:t>Stakeholders</w:t>
      </w:r>
      <w:r w:rsidR="00804D5A" w:rsidRPr="00275EC8">
        <w:t xml:space="preserve"> </w:t>
      </w:r>
      <w:r w:rsidR="00455E2B" w:rsidRPr="00275EC8">
        <w:t>welcome</w:t>
      </w:r>
      <w:r w:rsidR="001D71AC" w:rsidRPr="00275EC8">
        <w:t>d</w:t>
      </w:r>
      <w:r w:rsidR="00455E2B" w:rsidRPr="00275EC8">
        <w:t xml:space="preserve"> a change in name with 73 per cent in agreement. Stakeholders provided suggestions for a new name, </w:t>
      </w:r>
      <w:r w:rsidR="001D71AC" w:rsidRPr="00275EC8">
        <w:t>such as</w:t>
      </w:r>
      <w:r w:rsidR="00455E2B" w:rsidRPr="00275EC8">
        <w:t xml:space="preserve"> Medical Device List, Implantable Medical Device List, and Private Health Insurance Medical Device List.</w:t>
      </w:r>
    </w:p>
    <w:p w14:paraId="5A19CE09" w14:textId="77777777" w:rsidR="00804D5A" w:rsidRPr="00C5669B" w:rsidRDefault="00804D5A" w:rsidP="00EF2F0D">
      <w:pPr>
        <w:pStyle w:val="Heading2"/>
      </w:pPr>
      <w:bookmarkStart w:id="23" w:name="_Toc87425701"/>
      <w:bookmarkStart w:id="24" w:name="_Toc98496175"/>
      <w:r w:rsidRPr="00C5669B">
        <w:t>Q9. Does the list of items at Attachment A flagged for inclusion and removal accurately reflect the proposed future criteria for listing?</w:t>
      </w:r>
      <w:bookmarkEnd w:id="23"/>
      <w:bookmarkEnd w:id="24"/>
    </w:p>
    <w:p w14:paraId="1667B6C4" w14:textId="4E3AA53A" w:rsidR="00804D5A" w:rsidRDefault="00C728BD" w:rsidP="00EF2F0D">
      <w:pPr>
        <w:pStyle w:val="Paragraphtext"/>
      </w:pPr>
      <w:r w:rsidRPr="00275EC8">
        <w:t>93 per cent of stakeholders disagree</w:t>
      </w:r>
      <w:r w:rsidR="001D71AC" w:rsidRPr="00275EC8">
        <w:t>d and strongly recommended</w:t>
      </w:r>
      <w:r w:rsidRPr="00275EC8">
        <w:t xml:space="preserve"> </w:t>
      </w:r>
      <w:r w:rsidR="002E3644" w:rsidRPr="00275EC8">
        <w:t>changes</w:t>
      </w:r>
      <w:r w:rsidR="001D71AC" w:rsidRPr="00275EC8">
        <w:t xml:space="preserve"> were subjected to c</w:t>
      </w:r>
      <w:r w:rsidRPr="00275EC8">
        <w:t xml:space="preserve">linical consultation prior to removal. </w:t>
      </w:r>
      <w:r w:rsidR="00804D5A" w:rsidRPr="00275EC8">
        <w:t>Stakeholder</w:t>
      </w:r>
      <w:r w:rsidR="001D71AC" w:rsidRPr="00275EC8">
        <w:t>s</w:t>
      </w:r>
      <w:r w:rsidR="00804D5A" w:rsidRPr="00275EC8">
        <w:t xml:space="preserve"> </w:t>
      </w:r>
      <w:r w:rsidR="001D71AC" w:rsidRPr="00275EC8">
        <w:t xml:space="preserve">highlighted </w:t>
      </w:r>
      <w:r w:rsidR="00804D5A" w:rsidRPr="00275EC8">
        <w:t>concern</w:t>
      </w:r>
      <w:r w:rsidR="002E3644" w:rsidRPr="00275EC8">
        <w:t xml:space="preserve">s </w:t>
      </w:r>
      <w:r w:rsidR="001D71AC" w:rsidRPr="00275EC8">
        <w:t xml:space="preserve">about </w:t>
      </w:r>
      <w:r w:rsidR="002E3644" w:rsidRPr="00275EC8">
        <w:t xml:space="preserve">specific items, including </w:t>
      </w:r>
      <w:r w:rsidR="00BC5ACC" w:rsidRPr="00275EC8">
        <w:t>i</w:t>
      </w:r>
      <w:r w:rsidRPr="00275EC8">
        <w:t>ntra</w:t>
      </w:r>
      <w:r w:rsidR="00BC5ACC" w:rsidRPr="00275EC8">
        <w:t>-</w:t>
      </w:r>
      <w:r w:rsidRPr="00275EC8">
        <w:t xml:space="preserve">ocular fluids, </w:t>
      </w:r>
      <w:r w:rsidR="00BC5ACC" w:rsidRPr="00275EC8">
        <w:t>h</w:t>
      </w:r>
      <w:r w:rsidRPr="00275EC8">
        <w:t xml:space="preserve">aemostatic devices, and </w:t>
      </w:r>
      <w:r w:rsidR="00BC5ACC" w:rsidRPr="00275EC8">
        <w:t xml:space="preserve">other </w:t>
      </w:r>
      <w:r w:rsidRPr="00275EC8">
        <w:t>closure devices</w:t>
      </w:r>
      <w:r w:rsidR="001D71AC" w:rsidRPr="00275EC8">
        <w:t xml:space="preserve"> and presented specific claims of meeting the proposed criteria</w:t>
      </w:r>
      <w:r w:rsidR="00804D5A" w:rsidRPr="00275EC8">
        <w:t xml:space="preserve">. </w:t>
      </w:r>
      <w:r w:rsidR="00A31F1D" w:rsidRPr="00275EC8">
        <w:t xml:space="preserve">Stakeholders </w:t>
      </w:r>
      <w:r w:rsidR="001D71AC" w:rsidRPr="00275EC8">
        <w:t xml:space="preserve">strongly argued </w:t>
      </w:r>
      <w:r w:rsidR="00A31F1D" w:rsidRPr="00275EC8">
        <w:t>t</w:t>
      </w:r>
      <w:r w:rsidR="001D71AC" w:rsidRPr="00275EC8">
        <w:t>hat</w:t>
      </w:r>
      <w:r w:rsidR="00A31F1D" w:rsidRPr="00275EC8">
        <w:t xml:space="preserve"> the items </w:t>
      </w:r>
      <w:r w:rsidR="00A31F1D" w:rsidRPr="00275EC8">
        <w:lastRenderedPageBreak/>
        <w:t>identified for removal w</w:t>
      </w:r>
      <w:r w:rsidR="001D71AC" w:rsidRPr="00275EC8">
        <w:t>ould</w:t>
      </w:r>
      <w:r w:rsidR="00A31F1D" w:rsidRPr="00275EC8">
        <w:t xml:space="preserve"> </w:t>
      </w:r>
      <w:r w:rsidR="00804D5A" w:rsidRPr="00275EC8">
        <w:t xml:space="preserve">have significant impacts </w:t>
      </w:r>
      <w:r w:rsidR="00A31F1D" w:rsidRPr="00275EC8">
        <w:t>on</w:t>
      </w:r>
      <w:r w:rsidR="00804D5A" w:rsidRPr="00275EC8">
        <w:t xml:space="preserve"> patient outcomes</w:t>
      </w:r>
      <w:r w:rsidR="001D71AC" w:rsidRPr="00275EC8">
        <w:t xml:space="preserve"> as well as</w:t>
      </w:r>
      <w:r w:rsidR="001D71AC">
        <w:t xml:space="preserve"> </w:t>
      </w:r>
      <w:r w:rsidR="001D71AC" w:rsidRPr="00275EC8">
        <w:t xml:space="preserve">disproportionate </w:t>
      </w:r>
      <w:r w:rsidR="00804D5A" w:rsidRPr="00275EC8">
        <w:t>financial impact</w:t>
      </w:r>
      <w:r w:rsidR="00A31F1D" w:rsidRPr="00275EC8">
        <w:t xml:space="preserve"> </w:t>
      </w:r>
      <w:r w:rsidR="001D71AC" w:rsidRPr="00275EC8">
        <w:t xml:space="preserve">on </w:t>
      </w:r>
      <w:r w:rsidR="00804D5A" w:rsidRPr="00275EC8">
        <w:t>day hospitals.</w:t>
      </w:r>
      <w:r w:rsidR="002443F3" w:rsidRPr="00275EC8">
        <w:t xml:space="preserve"> </w:t>
      </w:r>
      <w:r w:rsidR="00804D5A" w:rsidRPr="00275EC8">
        <w:t xml:space="preserve">The Medical Technology and Private and </w:t>
      </w:r>
      <w:r w:rsidR="00A31F1D" w:rsidRPr="00275EC8">
        <w:t>D</w:t>
      </w:r>
      <w:r w:rsidR="00804D5A" w:rsidRPr="00275EC8">
        <w:t>ay Hospital</w:t>
      </w:r>
      <w:r w:rsidR="00A31F1D" w:rsidRPr="00275EC8">
        <w:t xml:space="preserve"> </w:t>
      </w:r>
      <w:r w:rsidR="001D71AC" w:rsidRPr="00275EC8">
        <w:t xml:space="preserve">Stakeholders </w:t>
      </w:r>
      <w:r w:rsidR="00A31F1D" w:rsidRPr="00275EC8">
        <w:t xml:space="preserve">were the most vocal regarding item removal, </w:t>
      </w:r>
      <w:r w:rsidR="001D71AC" w:rsidRPr="00275EC8">
        <w:t xml:space="preserve">urging the </w:t>
      </w:r>
      <w:r w:rsidR="00A31F1D" w:rsidRPr="00275EC8">
        <w:t>Department reconsider the removal of these items</w:t>
      </w:r>
      <w:r w:rsidR="001D71AC" w:rsidRPr="00275EC8">
        <w:t>.</w:t>
      </w:r>
    </w:p>
    <w:p w14:paraId="6849119D" w14:textId="77777777" w:rsidR="00804D5A" w:rsidRPr="00C5669B" w:rsidRDefault="00804D5A" w:rsidP="00EF2F0D">
      <w:pPr>
        <w:pStyle w:val="Heading2"/>
      </w:pPr>
      <w:bookmarkStart w:id="25" w:name="_Toc87425702"/>
      <w:bookmarkStart w:id="26" w:name="_Toc98496176"/>
      <w:r w:rsidRPr="00C5669B">
        <w:t>Q10. The removal of items identified at Attachment A is scheduled to commence from February 2022. If a decision is taken to remove these items in tranches, is there a logical bundling of the items at Attachment A that would make staged implementation over time possible? Is the proposed staged removal aligned with PL updates workable? What is the most appropriate timing?</w:t>
      </w:r>
      <w:bookmarkEnd w:id="25"/>
      <w:bookmarkEnd w:id="26"/>
    </w:p>
    <w:p w14:paraId="702F6968" w14:textId="78A70981" w:rsidR="00BB099A" w:rsidRPr="00275EC8" w:rsidRDefault="00804D5A">
      <w:pPr>
        <w:pStyle w:val="Paragraphtext"/>
        <w:jc w:val="both"/>
        <w:rPr>
          <w:sz w:val="22"/>
          <w:szCs w:val="22"/>
        </w:rPr>
      </w:pPr>
      <w:r w:rsidRPr="00275EC8">
        <w:rPr>
          <w:sz w:val="22"/>
          <w:szCs w:val="22"/>
        </w:rPr>
        <w:t xml:space="preserve">The feedback was </w:t>
      </w:r>
      <w:r w:rsidR="00182C69" w:rsidRPr="00275EC8">
        <w:rPr>
          <w:sz w:val="22"/>
          <w:szCs w:val="22"/>
        </w:rPr>
        <w:t>consistent</w:t>
      </w:r>
      <w:r w:rsidRPr="00275EC8">
        <w:rPr>
          <w:sz w:val="22"/>
          <w:szCs w:val="22"/>
        </w:rPr>
        <w:t xml:space="preserve"> across the stakeholder groups regarding the proposed timeframe. </w:t>
      </w:r>
      <w:r w:rsidR="00610C2C" w:rsidRPr="00275EC8">
        <w:rPr>
          <w:sz w:val="22"/>
          <w:szCs w:val="22"/>
        </w:rPr>
        <w:t>83 per cent of stakeholders disagreed with t</w:t>
      </w:r>
      <w:r w:rsidRPr="00275EC8">
        <w:rPr>
          <w:sz w:val="22"/>
          <w:szCs w:val="22"/>
        </w:rPr>
        <w:t>he proposed February 2022 date for removal</w:t>
      </w:r>
      <w:r w:rsidR="001D71AC" w:rsidRPr="00275EC8">
        <w:rPr>
          <w:sz w:val="22"/>
          <w:szCs w:val="22"/>
        </w:rPr>
        <w:t xml:space="preserve">. The </w:t>
      </w:r>
      <w:r w:rsidR="00AE1AA6" w:rsidRPr="00275EC8">
        <w:rPr>
          <w:sz w:val="22"/>
          <w:szCs w:val="22"/>
        </w:rPr>
        <w:t xml:space="preserve">primary </w:t>
      </w:r>
      <w:r w:rsidR="001D71AC" w:rsidRPr="00275EC8">
        <w:rPr>
          <w:sz w:val="22"/>
          <w:szCs w:val="22"/>
        </w:rPr>
        <w:t xml:space="preserve">concerns </w:t>
      </w:r>
      <w:r w:rsidR="00AE1AA6" w:rsidRPr="00275EC8">
        <w:rPr>
          <w:sz w:val="22"/>
          <w:szCs w:val="22"/>
        </w:rPr>
        <w:t>from Private and Day Hospitals</w:t>
      </w:r>
      <w:r w:rsidR="001D71AC" w:rsidRPr="00275EC8">
        <w:rPr>
          <w:sz w:val="22"/>
          <w:szCs w:val="22"/>
        </w:rPr>
        <w:t xml:space="preserve"> </w:t>
      </w:r>
      <w:r w:rsidR="00477D0C" w:rsidRPr="00275EC8">
        <w:rPr>
          <w:sz w:val="22"/>
          <w:szCs w:val="22"/>
        </w:rPr>
        <w:t xml:space="preserve">that this was insufficient time to establish </w:t>
      </w:r>
      <w:r w:rsidR="00AE1AA6" w:rsidRPr="00275EC8">
        <w:rPr>
          <w:sz w:val="22"/>
          <w:szCs w:val="22"/>
        </w:rPr>
        <w:t>alternative funding arrangements</w:t>
      </w:r>
      <w:r w:rsidR="00477D0C" w:rsidRPr="00275EC8">
        <w:rPr>
          <w:sz w:val="22"/>
          <w:szCs w:val="22"/>
        </w:rPr>
        <w:t xml:space="preserve"> prior to removal</w:t>
      </w:r>
      <w:r w:rsidR="00AE1AA6" w:rsidRPr="00275EC8">
        <w:rPr>
          <w:sz w:val="22"/>
          <w:szCs w:val="22"/>
        </w:rPr>
        <w:t xml:space="preserve">. </w:t>
      </w:r>
      <w:r w:rsidR="00477D0C" w:rsidRPr="00275EC8">
        <w:rPr>
          <w:sz w:val="22"/>
          <w:szCs w:val="22"/>
        </w:rPr>
        <w:t>Stakeholders are c</w:t>
      </w:r>
      <w:r w:rsidR="00AE1AA6" w:rsidRPr="00275EC8">
        <w:rPr>
          <w:sz w:val="22"/>
          <w:szCs w:val="22"/>
        </w:rPr>
        <w:t>oncern</w:t>
      </w:r>
      <w:r w:rsidR="00477D0C" w:rsidRPr="00275EC8">
        <w:rPr>
          <w:sz w:val="22"/>
          <w:szCs w:val="22"/>
        </w:rPr>
        <w:t xml:space="preserve">ed about </w:t>
      </w:r>
      <w:r w:rsidR="00AE1AA6" w:rsidRPr="00275EC8">
        <w:rPr>
          <w:sz w:val="22"/>
          <w:szCs w:val="22"/>
        </w:rPr>
        <w:t xml:space="preserve">the </w:t>
      </w:r>
      <w:r w:rsidR="00477D0C" w:rsidRPr="00275EC8">
        <w:rPr>
          <w:sz w:val="22"/>
          <w:szCs w:val="22"/>
        </w:rPr>
        <w:t xml:space="preserve">potential increase in </w:t>
      </w:r>
      <w:r w:rsidR="00AE1AA6" w:rsidRPr="00275EC8">
        <w:rPr>
          <w:sz w:val="22"/>
          <w:szCs w:val="22"/>
        </w:rPr>
        <w:t>cost to Australian patients</w:t>
      </w:r>
      <w:r w:rsidR="00477D0C" w:rsidRPr="00275EC8">
        <w:rPr>
          <w:sz w:val="22"/>
          <w:szCs w:val="22"/>
        </w:rPr>
        <w:t xml:space="preserve">, reduced clinical choice and </w:t>
      </w:r>
      <w:r w:rsidR="00AE1AA6" w:rsidRPr="00275EC8">
        <w:rPr>
          <w:sz w:val="22"/>
          <w:szCs w:val="22"/>
        </w:rPr>
        <w:t xml:space="preserve">the financial burden </w:t>
      </w:r>
      <w:r w:rsidR="00477D0C" w:rsidRPr="00275EC8">
        <w:rPr>
          <w:sz w:val="22"/>
          <w:szCs w:val="22"/>
        </w:rPr>
        <w:t xml:space="preserve">on </w:t>
      </w:r>
      <w:r w:rsidR="00AE1AA6" w:rsidRPr="00275EC8">
        <w:rPr>
          <w:sz w:val="22"/>
          <w:szCs w:val="22"/>
        </w:rPr>
        <w:t>private and day hospitals during the transition period.</w:t>
      </w:r>
    </w:p>
    <w:p w14:paraId="133EED84" w14:textId="22A2C699" w:rsidR="00B71021" w:rsidRDefault="00B71021" w:rsidP="0036545E">
      <w:pPr>
        <w:pStyle w:val="Heading1"/>
        <w:jc w:val="both"/>
      </w:pPr>
      <w:bookmarkStart w:id="27" w:name="_Toc98496177"/>
      <w:r>
        <w:t>Departmental Response</w:t>
      </w:r>
      <w:bookmarkEnd w:id="27"/>
    </w:p>
    <w:p w14:paraId="31FA625F" w14:textId="565F4FAF" w:rsidR="002A3BF3" w:rsidRPr="00275EC8" w:rsidRDefault="002A3BF3" w:rsidP="00EF2F0D">
      <w:pPr>
        <w:pStyle w:val="Paragraphtext"/>
      </w:pPr>
      <w:r w:rsidRPr="00275EC8">
        <w:t>The Department thank</w:t>
      </w:r>
      <w:r w:rsidR="00477D0C" w:rsidRPr="00275EC8">
        <w:t>s</w:t>
      </w:r>
      <w:r w:rsidRPr="00275EC8">
        <w:t xml:space="preserve"> all stakeholders who have contributed to th</w:t>
      </w:r>
      <w:r w:rsidR="00477D0C" w:rsidRPr="00275EC8">
        <w:t>is</w:t>
      </w:r>
      <w:r w:rsidRPr="00275EC8">
        <w:t xml:space="preserve"> consultation process. The Department is pleased to announce the establishment of CIRG </w:t>
      </w:r>
      <w:r w:rsidR="00477D0C" w:rsidRPr="00275EC8">
        <w:t xml:space="preserve">in </w:t>
      </w:r>
      <w:r w:rsidRPr="00275EC8">
        <w:t>recogni</w:t>
      </w:r>
      <w:r w:rsidR="00477D0C" w:rsidRPr="00275EC8">
        <w:t xml:space="preserve">tion of </w:t>
      </w:r>
      <w:r w:rsidRPr="00275EC8">
        <w:t xml:space="preserve">the importance of clinical consultation throughout the </w:t>
      </w:r>
      <w:r w:rsidR="00477D0C" w:rsidRPr="00275EC8">
        <w:t xml:space="preserve">implementation of these </w:t>
      </w:r>
      <w:r w:rsidRPr="00275EC8">
        <w:t>reform</w:t>
      </w:r>
      <w:r w:rsidR="00477D0C" w:rsidRPr="00275EC8">
        <w:t>s</w:t>
      </w:r>
      <w:r w:rsidRPr="00275EC8">
        <w:t>.</w:t>
      </w:r>
    </w:p>
    <w:p w14:paraId="764D4315" w14:textId="13B385CA" w:rsidR="00804328" w:rsidRPr="00275EC8" w:rsidRDefault="00804328" w:rsidP="00EF2F0D">
      <w:pPr>
        <w:pStyle w:val="Paragraphtext"/>
      </w:pPr>
      <w:r w:rsidRPr="00275EC8">
        <w:t>It is important to note that these changes are aimed a</w:t>
      </w:r>
      <w:r w:rsidR="00C17184">
        <w:t>t</w:t>
      </w:r>
      <w:r w:rsidRPr="00275EC8">
        <w:t xml:space="preserve"> delivering structural improvements whilst also streamlining application processes.</w:t>
      </w:r>
    </w:p>
    <w:p w14:paraId="6AB411F5" w14:textId="31F891BE" w:rsidR="00477D0C" w:rsidRPr="00275EC8" w:rsidRDefault="004046A0" w:rsidP="00EF2F0D">
      <w:pPr>
        <w:pStyle w:val="Paragraphtext"/>
      </w:pPr>
      <w:r w:rsidRPr="00275EC8">
        <w:t xml:space="preserve">The Department </w:t>
      </w:r>
      <w:r w:rsidR="00477D0C" w:rsidRPr="00275EC8">
        <w:t xml:space="preserve">has used the feedback from this consultation to inform implementation of the reforms to Purpose, Definitions and Scope of the PL. Specifically, summary of feedback on the Consequence of Changes as outlined in the Paper have been provided to the CIRG for consideration of the clinical implications of implementing these changes. </w:t>
      </w:r>
    </w:p>
    <w:p w14:paraId="4AA15F60" w14:textId="516526B5" w:rsidR="00804328" w:rsidRPr="00275EC8" w:rsidRDefault="00804328" w:rsidP="00EF2F0D">
      <w:pPr>
        <w:pStyle w:val="Paragraphtext"/>
      </w:pPr>
      <w:r w:rsidRPr="00275EC8">
        <w:t>Further consideration of the feedback from this consultation will be used to inform the development of amendments to the legislation that will support the changes. The amendments to the legislation will be the subject of an upcoming consultation paper.</w:t>
      </w:r>
    </w:p>
    <w:p w14:paraId="1B4EB762" w14:textId="09B7F1FE" w:rsidR="00804328" w:rsidRPr="00275EC8" w:rsidRDefault="00361E9D" w:rsidP="00EF2F0D">
      <w:pPr>
        <w:pStyle w:val="Paragraphtext"/>
        <w:rPr>
          <w:rFonts w:eastAsia="Arial" w:cs="Arial"/>
          <w:color w:val="auto"/>
          <w:sz w:val="22"/>
        </w:rPr>
      </w:pPr>
      <w:r>
        <w:rPr>
          <w:sz w:val="22"/>
        </w:rPr>
        <w:t xml:space="preserve">In consideration of the proposed listing criteria, around 70 percent of </w:t>
      </w:r>
      <w:r w:rsidR="00FC65F8">
        <w:rPr>
          <w:sz w:val="22"/>
        </w:rPr>
        <w:t>s</w:t>
      </w:r>
      <w:r w:rsidR="00804328" w:rsidRPr="00275EC8">
        <w:rPr>
          <w:sz w:val="22"/>
        </w:rPr>
        <w:t xml:space="preserve">takeholders </w:t>
      </w:r>
      <w:r>
        <w:rPr>
          <w:sz w:val="22"/>
        </w:rPr>
        <w:t>expressed concerns centred on financial considerations and the continued availability of items flagged for removal from the PL.</w:t>
      </w:r>
      <w:r w:rsidR="009D573A" w:rsidRPr="00275EC8">
        <w:rPr>
          <w:sz w:val="22"/>
        </w:rPr>
        <w:t xml:space="preserve"> On this basis, </w:t>
      </w:r>
      <w:r>
        <w:rPr>
          <w:sz w:val="22"/>
        </w:rPr>
        <w:t xml:space="preserve">the Department will continue to consult </w:t>
      </w:r>
      <w:r w:rsidR="000617F8" w:rsidRPr="00275EC8">
        <w:rPr>
          <w:rFonts w:eastAsia="Arial" w:cs="Arial"/>
          <w:color w:val="auto"/>
          <w:sz w:val="22"/>
        </w:rPr>
        <w:t>stakeholders about</w:t>
      </w:r>
      <w:r>
        <w:rPr>
          <w:rFonts w:eastAsia="Arial" w:cs="Arial"/>
          <w:color w:val="auto"/>
          <w:sz w:val="22"/>
        </w:rPr>
        <w:t xml:space="preserve"> the </w:t>
      </w:r>
      <w:r w:rsidR="009D573A" w:rsidRPr="00275EC8">
        <w:rPr>
          <w:rFonts w:eastAsia="Arial" w:cs="Arial"/>
          <w:color w:val="auto"/>
          <w:sz w:val="22"/>
        </w:rPr>
        <w:t>specific details of the listing criteria as well as</w:t>
      </w:r>
      <w:r w:rsidR="00804328" w:rsidRPr="00275EC8">
        <w:rPr>
          <w:rFonts w:eastAsia="Arial" w:cs="Arial"/>
          <w:color w:val="auto"/>
          <w:sz w:val="22"/>
        </w:rPr>
        <w:t xml:space="preserve"> the suitable timeframes for implementation</w:t>
      </w:r>
      <w:r w:rsidR="009D573A" w:rsidRPr="00275EC8">
        <w:rPr>
          <w:rFonts w:eastAsia="Arial" w:cs="Arial"/>
          <w:color w:val="auto"/>
          <w:sz w:val="22"/>
        </w:rPr>
        <w:t>.</w:t>
      </w:r>
      <w:r w:rsidR="00804328" w:rsidRPr="00275EC8">
        <w:rPr>
          <w:rFonts w:eastAsia="Arial" w:cs="Arial"/>
          <w:color w:val="auto"/>
          <w:sz w:val="22"/>
        </w:rPr>
        <w:t xml:space="preserve"> </w:t>
      </w:r>
      <w:r w:rsidR="009D573A" w:rsidRPr="00275EC8">
        <w:rPr>
          <w:rFonts w:eastAsia="Arial" w:cs="Arial"/>
          <w:color w:val="auto"/>
          <w:sz w:val="22"/>
        </w:rPr>
        <w:t>Th</w:t>
      </w:r>
      <w:r>
        <w:rPr>
          <w:rFonts w:eastAsia="Arial" w:cs="Arial"/>
          <w:color w:val="auto"/>
          <w:sz w:val="22"/>
        </w:rPr>
        <w:t>e</w:t>
      </w:r>
      <w:r w:rsidR="009D573A" w:rsidRPr="00275EC8">
        <w:rPr>
          <w:rFonts w:eastAsia="Arial" w:cs="Arial"/>
          <w:color w:val="auto"/>
          <w:sz w:val="22"/>
        </w:rPr>
        <w:t xml:space="preserve"> Taskforce </w:t>
      </w:r>
      <w:r>
        <w:rPr>
          <w:rFonts w:eastAsia="Arial" w:cs="Arial"/>
          <w:color w:val="auto"/>
          <w:sz w:val="22"/>
        </w:rPr>
        <w:t xml:space="preserve">is keen to </w:t>
      </w:r>
      <w:r w:rsidR="009D573A" w:rsidRPr="00275EC8">
        <w:rPr>
          <w:rFonts w:eastAsia="Arial" w:cs="Arial"/>
          <w:color w:val="auto"/>
          <w:sz w:val="22"/>
        </w:rPr>
        <w:t xml:space="preserve">minimise potential </w:t>
      </w:r>
      <w:r w:rsidR="00804328" w:rsidRPr="00275EC8">
        <w:rPr>
          <w:rFonts w:eastAsia="Arial" w:cs="Arial"/>
          <w:color w:val="auto"/>
          <w:sz w:val="22"/>
        </w:rPr>
        <w:t>disruption to administration and application assessment</w:t>
      </w:r>
      <w:r w:rsidR="009D573A" w:rsidRPr="00275EC8">
        <w:rPr>
          <w:rFonts w:eastAsia="Arial" w:cs="Arial"/>
          <w:color w:val="auto"/>
          <w:sz w:val="22"/>
        </w:rPr>
        <w:t>s</w:t>
      </w:r>
      <w:r>
        <w:rPr>
          <w:rFonts w:eastAsia="Arial" w:cs="Arial"/>
          <w:color w:val="auto"/>
          <w:sz w:val="22"/>
        </w:rPr>
        <w:t xml:space="preserve"> where possible</w:t>
      </w:r>
      <w:r w:rsidR="00804328" w:rsidRPr="00275EC8">
        <w:rPr>
          <w:rFonts w:eastAsia="Arial" w:cs="Arial"/>
          <w:color w:val="auto"/>
          <w:sz w:val="22"/>
        </w:rPr>
        <w:t>.</w:t>
      </w:r>
    </w:p>
    <w:p w14:paraId="5A0E3D83" w14:textId="3BAC3719" w:rsidR="00120A19" w:rsidRPr="00275EC8" w:rsidRDefault="00120A19" w:rsidP="00EF2F0D">
      <w:pPr>
        <w:pStyle w:val="Paragraphtext"/>
        <w:rPr>
          <w:rFonts w:eastAsia="Arial"/>
        </w:rPr>
      </w:pPr>
      <w:r w:rsidRPr="00275EC8">
        <w:rPr>
          <w:rFonts w:eastAsia="Arial"/>
        </w:rPr>
        <w:t xml:space="preserve">The Department will </w:t>
      </w:r>
      <w:r w:rsidR="00A91F5C" w:rsidRPr="00275EC8">
        <w:rPr>
          <w:rFonts w:eastAsia="Arial"/>
        </w:rPr>
        <w:t xml:space="preserve">consider </w:t>
      </w:r>
      <w:r w:rsidRPr="00275EC8">
        <w:rPr>
          <w:rFonts w:eastAsia="Arial"/>
        </w:rPr>
        <w:t>alignment with TGA terminology, noting that more than half of stakeholders who responded to this question were supportive.</w:t>
      </w:r>
    </w:p>
    <w:p w14:paraId="2CC5782B" w14:textId="65FE54AC" w:rsidR="00F12750" w:rsidRPr="00275EC8" w:rsidRDefault="00A91F5C" w:rsidP="00EF2F0D">
      <w:pPr>
        <w:pStyle w:val="Paragraphtext"/>
      </w:pPr>
      <w:r w:rsidRPr="00275EC8">
        <w:t>T</w:t>
      </w:r>
      <w:r w:rsidR="00643075" w:rsidRPr="00275EC8">
        <w:t xml:space="preserve">he Department notes the input from stakeholders that any changes to Part B should be subject to ongoing review. </w:t>
      </w:r>
      <w:r w:rsidR="00AF728E" w:rsidRPr="00275EC8">
        <w:t xml:space="preserve">The Department </w:t>
      </w:r>
      <w:r w:rsidRPr="00275EC8">
        <w:t xml:space="preserve">will be releasing a </w:t>
      </w:r>
      <w:r w:rsidR="00AF728E" w:rsidRPr="00275EC8">
        <w:t xml:space="preserve">consultation paper </w:t>
      </w:r>
      <w:r w:rsidRPr="00275EC8">
        <w:t xml:space="preserve">focussed on reforms to </w:t>
      </w:r>
      <w:r w:rsidR="00AF728E" w:rsidRPr="00275EC8">
        <w:t xml:space="preserve">Part B </w:t>
      </w:r>
      <w:r w:rsidR="00B95F53" w:rsidRPr="00275EC8">
        <w:t>and</w:t>
      </w:r>
      <w:r w:rsidR="00AF728E" w:rsidRPr="00275EC8">
        <w:t xml:space="preserve"> welcomes input from stakeholders regarding </w:t>
      </w:r>
      <w:r w:rsidR="007D4FE0" w:rsidRPr="00275EC8">
        <w:t xml:space="preserve">the approach and timeline of </w:t>
      </w:r>
      <w:r w:rsidRPr="00275EC8">
        <w:t xml:space="preserve">these </w:t>
      </w:r>
      <w:r w:rsidR="007D4FE0" w:rsidRPr="00275EC8">
        <w:t>reform</w:t>
      </w:r>
      <w:r w:rsidRPr="00275EC8">
        <w:t>s.</w:t>
      </w:r>
    </w:p>
    <w:p w14:paraId="7BB8DA37" w14:textId="24095445" w:rsidR="00F12750" w:rsidRPr="00275EC8" w:rsidRDefault="00643075" w:rsidP="00EF2F0D">
      <w:pPr>
        <w:pStyle w:val="Paragraphtext"/>
      </w:pPr>
      <w:r w:rsidRPr="00275EC8">
        <w:t xml:space="preserve">The Department </w:t>
      </w:r>
      <w:r w:rsidR="00C17184">
        <w:t xml:space="preserve">notes that </w:t>
      </w:r>
      <w:r w:rsidR="006A6BDD" w:rsidRPr="00275EC8">
        <w:t>most</w:t>
      </w:r>
      <w:r w:rsidRPr="00275EC8">
        <w:t xml:space="preserve"> stakeholders</w:t>
      </w:r>
      <w:r w:rsidR="00C17184">
        <w:t xml:space="preserve"> agree</w:t>
      </w:r>
      <w:r w:rsidRPr="00275EC8">
        <w:t xml:space="preserve"> the Minister retain the power to list items on the PL under Part C. The Department agrees that any changes made throughout the PL reform should be undertaken in</w:t>
      </w:r>
      <w:r w:rsidRPr="00275EC8">
        <w:rPr>
          <w:rFonts w:eastAsia="Arial"/>
        </w:rPr>
        <w:t xml:space="preserve"> a well-publicised manner that does not disrupt or compromise patient care.</w:t>
      </w:r>
    </w:p>
    <w:p w14:paraId="0458C401" w14:textId="77634042" w:rsidR="00D23406" w:rsidRPr="00275EC8" w:rsidRDefault="007B373F" w:rsidP="00EF2F0D">
      <w:pPr>
        <w:pStyle w:val="Paragraphtext"/>
      </w:pPr>
      <w:r w:rsidRPr="00275EC8">
        <w:t xml:space="preserve">The Department </w:t>
      </w:r>
      <w:r w:rsidR="00A91F5C" w:rsidRPr="00275EC8">
        <w:t>will progress the changes to u</w:t>
      </w:r>
      <w:r w:rsidRPr="00275EC8">
        <w:t>pdating the name</w:t>
      </w:r>
      <w:r w:rsidR="00A91F5C" w:rsidRPr="00275EC8">
        <w:t xml:space="preserve"> of the PL so that it better defines the purpose and function of the PL</w:t>
      </w:r>
      <w:r w:rsidRPr="00275EC8">
        <w:t>.</w:t>
      </w:r>
    </w:p>
    <w:p w14:paraId="329B9B78" w14:textId="49D1C413" w:rsidR="00F12750" w:rsidRPr="00275EC8" w:rsidRDefault="00F12750" w:rsidP="00EF2F0D">
      <w:pPr>
        <w:pStyle w:val="Paragraphtext"/>
      </w:pPr>
      <w:r w:rsidRPr="00275EC8">
        <w:t xml:space="preserve">The Department acknowledges that removing items </w:t>
      </w:r>
      <w:r w:rsidR="00A91F5C" w:rsidRPr="00275EC8">
        <w:t xml:space="preserve">from the PL </w:t>
      </w:r>
      <w:r w:rsidRPr="00275EC8">
        <w:t xml:space="preserve">is impactful </w:t>
      </w:r>
      <w:r w:rsidR="00C17184">
        <w:t>and that adequate time is essential to ensure alternative funding arrangements are in place.</w:t>
      </w:r>
    </w:p>
    <w:p w14:paraId="78B558BA" w14:textId="0C333CFC" w:rsidR="002443F3" w:rsidRDefault="00CF5AF2" w:rsidP="008B5542">
      <w:pPr>
        <w:pStyle w:val="Heading1"/>
        <w:jc w:val="both"/>
      </w:pPr>
      <w:bookmarkStart w:id="28" w:name="_Toc98496178"/>
      <w:r w:rsidRPr="00CF5AF2">
        <w:lastRenderedPageBreak/>
        <w:t>Next Steps</w:t>
      </w:r>
      <w:bookmarkEnd w:id="28"/>
    </w:p>
    <w:p w14:paraId="0DFDA3F3" w14:textId="7F06F4DF" w:rsidR="009A55D8" w:rsidRDefault="008B5542" w:rsidP="00EF2F0D">
      <w:pPr>
        <w:pStyle w:val="Paragraphtext"/>
      </w:pPr>
      <w:r w:rsidRPr="00275EC8">
        <w:t>The Taskforce is in the process of developing</w:t>
      </w:r>
      <w:r w:rsidR="00CA63BE" w:rsidRPr="00275EC8">
        <w:t xml:space="preserve"> subsequent </w:t>
      </w:r>
      <w:r w:rsidRPr="00275EC8">
        <w:t>Consultation Paper</w:t>
      </w:r>
      <w:r w:rsidR="00CA63BE" w:rsidRPr="00275EC8">
        <w:t>s.</w:t>
      </w:r>
      <w:r w:rsidRPr="00275EC8">
        <w:t xml:space="preserve"> </w:t>
      </w:r>
      <w:r w:rsidR="007B373F" w:rsidRPr="00275EC8">
        <w:t>Stakeholders will be advised of the release date</w:t>
      </w:r>
      <w:r w:rsidR="00CA63BE" w:rsidRPr="00275EC8">
        <w:t>s</w:t>
      </w:r>
      <w:r w:rsidR="007B373F" w:rsidRPr="00275EC8">
        <w:t xml:space="preserve"> of the</w:t>
      </w:r>
      <w:r w:rsidR="00CA63BE" w:rsidRPr="00275EC8">
        <w:t xml:space="preserve">se </w:t>
      </w:r>
      <w:r w:rsidR="005258EF" w:rsidRPr="00275EC8">
        <w:t>consultation</w:t>
      </w:r>
      <w:r w:rsidR="007B373F" w:rsidRPr="00275EC8">
        <w:t xml:space="preserve"> paper</w:t>
      </w:r>
      <w:r w:rsidR="00CA63BE" w:rsidRPr="00275EC8">
        <w:t>s through the usual channels of engagement already established by the Taskforce.</w:t>
      </w:r>
    </w:p>
    <w:p w14:paraId="519C711B" w14:textId="4572D9BE" w:rsidR="00361E9D" w:rsidRPr="000617F8" w:rsidRDefault="00361E9D" w:rsidP="00EF2F0D">
      <w:pPr>
        <w:pStyle w:val="Paragraphtext"/>
      </w:pPr>
      <w:r w:rsidRPr="000617F8">
        <w:t>A final list of item</w:t>
      </w:r>
      <w:r>
        <w:t>s</w:t>
      </w:r>
      <w:r w:rsidRPr="000617F8">
        <w:t xml:space="preserve"> to be removed and the timing of removals will be published by th</w:t>
      </w:r>
      <w:r>
        <w:t>e</w:t>
      </w:r>
      <w:r w:rsidRPr="000617F8">
        <w:t xml:space="preserve"> end of November 2021.</w:t>
      </w:r>
    </w:p>
    <w:sectPr w:rsidR="00361E9D" w:rsidRPr="000617F8" w:rsidSect="0036545E">
      <w:headerReference w:type="default" r:id="rId15"/>
      <w:footerReference w:type="default" r:id="rId1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EEBD0" w14:textId="77777777" w:rsidR="003C16E2" w:rsidRDefault="003C16E2" w:rsidP="002631E1">
      <w:r>
        <w:separator/>
      </w:r>
    </w:p>
  </w:endnote>
  <w:endnote w:type="continuationSeparator" w:id="0">
    <w:p w14:paraId="62684985" w14:textId="77777777" w:rsidR="003C16E2" w:rsidRDefault="003C16E2" w:rsidP="0026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46F25" w14:textId="77777777" w:rsidR="00AF67D5" w:rsidRDefault="00AF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1D1D" w14:textId="77777777" w:rsidR="00477D0C" w:rsidRDefault="001F53F3" w:rsidP="00477D0C">
    <w:pPr>
      <w:pStyle w:val="Footer"/>
      <w:jc w:val="right"/>
    </w:pPr>
    <w:sdt>
      <w:sdtPr>
        <w:id w:val="633059987"/>
        <w:docPartObj>
          <w:docPartGallery w:val="Page Numbers (Bottom of Page)"/>
          <w:docPartUnique/>
        </w:docPartObj>
      </w:sdtPr>
      <w:sdtEndPr>
        <w:rPr>
          <w:noProof/>
        </w:rPr>
      </w:sdtEndPr>
      <w:sdtContent>
        <w:r w:rsidR="00477D0C">
          <w:fldChar w:fldCharType="begin"/>
        </w:r>
        <w:r w:rsidR="00477D0C">
          <w:instrText xml:space="preserve"> PAGE   \* MERGEFORMAT </w:instrText>
        </w:r>
        <w:r w:rsidR="00477D0C">
          <w:fldChar w:fldCharType="separate"/>
        </w:r>
        <w:r w:rsidR="00477D0C">
          <w:rPr>
            <w:noProof/>
          </w:rPr>
          <w:t>2</w:t>
        </w:r>
        <w:r w:rsidR="00477D0C">
          <w:rPr>
            <w:noProof/>
          </w:rPr>
          <w:fldChar w:fldCharType="end"/>
        </w:r>
      </w:sdtContent>
    </w:sdt>
  </w:p>
  <w:p w14:paraId="6912D78C" w14:textId="77777777" w:rsidR="00477D0C" w:rsidRPr="002C21D4" w:rsidRDefault="00477D0C" w:rsidP="00477D0C">
    <w:pPr>
      <w:pStyle w:val="Footer"/>
    </w:pPr>
    <w:r>
      <w:rPr>
        <w:szCs w:val="20"/>
      </w:rPr>
      <w:t>Consultation Feedback Report No. 1 – Prostheses List Reforms - Purpose, Definition and Scope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3AD1" w14:textId="73105132" w:rsidR="00477D0C" w:rsidRPr="00720469" w:rsidRDefault="00477D0C" w:rsidP="007204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41F0" w14:textId="77777777" w:rsidR="00477D0C" w:rsidRDefault="001F53F3" w:rsidP="00D95DB1">
    <w:pPr>
      <w:pStyle w:val="Footer"/>
      <w:jc w:val="right"/>
    </w:pPr>
    <w:sdt>
      <w:sdtPr>
        <w:id w:val="63075882"/>
        <w:docPartObj>
          <w:docPartGallery w:val="Page Numbers (Bottom of Page)"/>
          <w:docPartUnique/>
        </w:docPartObj>
      </w:sdtPr>
      <w:sdtEndPr>
        <w:rPr>
          <w:noProof/>
        </w:rPr>
      </w:sdtEndPr>
      <w:sdtContent>
        <w:r w:rsidR="00477D0C" w:rsidRPr="006043C7">
          <w:rPr>
            <w:szCs w:val="20"/>
          </w:rPr>
          <w:fldChar w:fldCharType="begin"/>
        </w:r>
        <w:r w:rsidR="00477D0C">
          <w:instrText xml:space="preserve"> PAGE   \* MERGEFORMAT </w:instrText>
        </w:r>
        <w:r w:rsidR="00477D0C" w:rsidRPr="006043C7">
          <w:rPr>
            <w:szCs w:val="20"/>
          </w:rPr>
          <w:fldChar w:fldCharType="separate"/>
        </w:r>
        <w:r w:rsidR="00477D0C">
          <w:rPr>
            <w:noProof/>
          </w:rPr>
          <w:t>2</w:t>
        </w:r>
        <w:r w:rsidR="00477D0C" w:rsidRPr="006043C7">
          <w:rPr>
            <w:szCs w:val="20"/>
          </w:rPr>
          <w:fldChar w:fldCharType="end"/>
        </w:r>
      </w:sdtContent>
    </w:sdt>
  </w:p>
  <w:p w14:paraId="0346A2DD" w14:textId="77777777" w:rsidR="00477D0C" w:rsidRDefault="00477D0C" w:rsidP="00D95DB1">
    <w:pPr>
      <w:pStyle w:val="Footer"/>
      <w:rPr>
        <w:szCs w:val="20"/>
      </w:rPr>
    </w:pPr>
    <w:r>
      <w:rPr>
        <w:szCs w:val="20"/>
      </w:rPr>
      <w:t>Consultation No.1 Feedback</w:t>
    </w:r>
  </w:p>
  <w:p w14:paraId="4A7D8687" w14:textId="43BEA181" w:rsidR="00477D0C" w:rsidRPr="00227035" w:rsidRDefault="00477D0C" w:rsidP="00D95DB1">
    <w:pPr>
      <w:pStyle w:val="Footer"/>
    </w:pPr>
    <w:r>
      <w:rPr>
        <w:szCs w:val="20"/>
      </w:rPr>
      <w:t>Executive Summary – Prostheses List Reforms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E7CB1" w14:textId="77777777" w:rsidR="003C16E2" w:rsidRDefault="003C16E2" w:rsidP="002631E1">
      <w:r>
        <w:separator/>
      </w:r>
    </w:p>
  </w:footnote>
  <w:footnote w:type="continuationSeparator" w:id="0">
    <w:p w14:paraId="4EBB4BA4" w14:textId="77777777" w:rsidR="003C16E2" w:rsidRDefault="003C16E2" w:rsidP="0026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C9F5" w14:textId="77777777" w:rsidR="00AF67D5" w:rsidRDefault="00AF6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354B1" w14:textId="77777777" w:rsidR="00477D0C" w:rsidRPr="00D23690" w:rsidRDefault="00477D0C" w:rsidP="00477D0C">
    <w:pPr>
      <w:pStyle w:val="Header"/>
      <w:jc w:val="center"/>
      <w:rPr>
        <w:rFonts w:cs="Arial"/>
        <w:b/>
        <w:color w:val="FF0000"/>
        <w:sz w:val="28"/>
      </w:rPr>
    </w:pPr>
    <w:r>
      <w:rPr>
        <w:rFonts w:cs="Arial"/>
        <w:b/>
        <w:color w:val="FF0000"/>
        <w:sz w:val="28"/>
      </w:rPr>
      <w:t>OFFICIAL: Internal Use Only</w:t>
    </w:r>
  </w:p>
  <w:p w14:paraId="1F94D515" w14:textId="77777777" w:rsidR="00477D0C" w:rsidRDefault="00477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B1223" w14:textId="2199EB86" w:rsidR="00477D0C" w:rsidRDefault="00477D0C" w:rsidP="00720469">
    <w:pPr>
      <w:pStyle w:val="Header"/>
      <w:tabs>
        <w:tab w:val="clear" w:pos="4513"/>
        <w:tab w:val="clear" w:pos="9026"/>
        <w:tab w:val="center" w:pos="4535"/>
      </w:tabs>
    </w:pPr>
    <w:r>
      <w:rPr>
        <w:noProof/>
        <w:lang w:eastAsia="en-AU"/>
      </w:rPr>
      <w:drawing>
        <wp:anchor distT="0" distB="0" distL="114300" distR="114300" simplePos="0" relativeHeight="251659264" behindDoc="1" locked="0" layoutInCell="1" allowOverlap="1" wp14:anchorId="463F8EB2" wp14:editId="09B7F035">
          <wp:simplePos x="0" y="0"/>
          <wp:positionH relativeFrom="page">
            <wp:align>center</wp:align>
          </wp:positionH>
          <wp:positionV relativeFrom="page">
            <wp:align>center</wp:align>
          </wp:positionV>
          <wp:extent cx="7560000" cy="1069267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6AD2F" w14:textId="77777777" w:rsidR="00477D0C" w:rsidRDefault="00477D0C" w:rsidP="00D95DB1">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AC5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DCB8F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DA6773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987C9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66208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266445F6"/>
    <w:lvl w:ilvl="0">
      <w:start w:val="1"/>
      <w:numFmt w:val="decimal"/>
      <w:lvlText w:val="%1."/>
      <w:lvlJc w:val="left"/>
      <w:pPr>
        <w:tabs>
          <w:tab w:val="num" w:pos="360"/>
        </w:tabs>
        <w:ind w:left="360" w:hanging="360"/>
      </w:pPr>
    </w:lvl>
  </w:abstractNum>
  <w:abstractNum w:abstractNumId="6"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AE3F0A"/>
    <w:multiLevelType w:val="hybridMultilevel"/>
    <w:tmpl w:val="2D5801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A7785"/>
    <w:multiLevelType w:val="hybridMultilevel"/>
    <w:tmpl w:val="F5520A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4576A"/>
    <w:multiLevelType w:val="hybridMultilevel"/>
    <w:tmpl w:val="AF9473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CA7F19"/>
    <w:multiLevelType w:val="hybridMultilevel"/>
    <w:tmpl w:val="836AE2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6614FF"/>
    <w:multiLevelType w:val="hybridMultilevel"/>
    <w:tmpl w:val="BEDC874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65389E"/>
    <w:multiLevelType w:val="hybridMultilevel"/>
    <w:tmpl w:val="DD1E8B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BF731AC"/>
    <w:multiLevelType w:val="hybridMultilevel"/>
    <w:tmpl w:val="5DBC8B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55146"/>
    <w:multiLevelType w:val="hybridMultilevel"/>
    <w:tmpl w:val="642AF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2A6D42"/>
    <w:multiLevelType w:val="hybridMultilevel"/>
    <w:tmpl w:val="B5AE6C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D16B9E"/>
    <w:multiLevelType w:val="hybridMultilevel"/>
    <w:tmpl w:val="C7105B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931322"/>
    <w:multiLevelType w:val="hybridMultilevel"/>
    <w:tmpl w:val="8222B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0B3608"/>
    <w:multiLevelType w:val="hybridMultilevel"/>
    <w:tmpl w:val="FFA878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1E2308"/>
    <w:multiLevelType w:val="hybridMultilevel"/>
    <w:tmpl w:val="589A9F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ED01BB"/>
    <w:multiLevelType w:val="hybridMultilevel"/>
    <w:tmpl w:val="009476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22"/>
  </w:num>
  <w:num w:numId="3">
    <w:abstractNumId w:val="6"/>
  </w:num>
  <w:num w:numId="4">
    <w:abstractNumId w:val="25"/>
  </w:num>
  <w:num w:numId="5">
    <w:abstractNumId w:val="9"/>
  </w:num>
  <w:num w:numId="6">
    <w:abstractNumId w:val="14"/>
  </w:num>
  <w:num w:numId="7">
    <w:abstractNumId w:val="12"/>
  </w:num>
  <w:num w:numId="8">
    <w:abstractNumId w:val="8"/>
  </w:num>
  <w:num w:numId="9">
    <w:abstractNumId w:val="19"/>
  </w:num>
  <w:num w:numId="10">
    <w:abstractNumId w:val="17"/>
  </w:num>
  <w:num w:numId="11">
    <w:abstractNumId w:val="24"/>
  </w:num>
  <w:num w:numId="12">
    <w:abstractNumId w:val="7"/>
  </w:num>
  <w:num w:numId="13">
    <w:abstractNumId w:val="15"/>
  </w:num>
  <w:num w:numId="14">
    <w:abstractNumId w:val="11"/>
  </w:num>
  <w:num w:numId="15">
    <w:abstractNumId w:val="21"/>
  </w:num>
  <w:num w:numId="16">
    <w:abstractNumId w:val="10"/>
  </w:num>
  <w:num w:numId="17">
    <w:abstractNumId w:val="23"/>
  </w:num>
  <w:num w:numId="18">
    <w:abstractNumId w:val="13"/>
  </w:num>
  <w:num w:numId="19">
    <w:abstractNumId w:val="16"/>
  </w:num>
  <w:num w:numId="20">
    <w:abstractNumId w:val="20"/>
  </w:num>
  <w:num w:numId="21">
    <w:abstractNumId w:val="4"/>
  </w:num>
  <w:num w:numId="22">
    <w:abstractNumId w:val="3"/>
  </w:num>
  <w:num w:numId="23">
    <w:abstractNumId w:val="2"/>
  </w:num>
  <w:num w:numId="24">
    <w:abstractNumId w:val="5"/>
  </w:num>
  <w:num w:numId="25">
    <w:abstractNumId w:val="1"/>
  </w:num>
  <w:num w:numId="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23"/>
    <w:rsid w:val="0004386F"/>
    <w:rsid w:val="000570B9"/>
    <w:rsid w:val="000617F8"/>
    <w:rsid w:val="00072BA1"/>
    <w:rsid w:val="00087ED3"/>
    <w:rsid w:val="00092ECB"/>
    <w:rsid w:val="000A185A"/>
    <w:rsid w:val="000A6896"/>
    <w:rsid w:val="000D73F2"/>
    <w:rsid w:val="000F51B5"/>
    <w:rsid w:val="001014E0"/>
    <w:rsid w:val="0011338E"/>
    <w:rsid w:val="00120A19"/>
    <w:rsid w:val="0014408A"/>
    <w:rsid w:val="0016069D"/>
    <w:rsid w:val="00173F23"/>
    <w:rsid w:val="00182C69"/>
    <w:rsid w:val="00191AF0"/>
    <w:rsid w:val="001A01AE"/>
    <w:rsid w:val="001D2626"/>
    <w:rsid w:val="001D71AC"/>
    <w:rsid w:val="001F53F3"/>
    <w:rsid w:val="00226D5E"/>
    <w:rsid w:val="002443F3"/>
    <w:rsid w:val="00251D18"/>
    <w:rsid w:val="00252A25"/>
    <w:rsid w:val="00252F90"/>
    <w:rsid w:val="002631E1"/>
    <w:rsid w:val="0026387C"/>
    <w:rsid w:val="00265BF3"/>
    <w:rsid w:val="00273CEF"/>
    <w:rsid w:val="00275EC8"/>
    <w:rsid w:val="00280050"/>
    <w:rsid w:val="002901D0"/>
    <w:rsid w:val="00290D2F"/>
    <w:rsid w:val="00290FB0"/>
    <w:rsid w:val="00293268"/>
    <w:rsid w:val="002A16BD"/>
    <w:rsid w:val="002A3BF3"/>
    <w:rsid w:val="002A727E"/>
    <w:rsid w:val="002B1A4B"/>
    <w:rsid w:val="002C3296"/>
    <w:rsid w:val="002E3644"/>
    <w:rsid w:val="00317610"/>
    <w:rsid w:val="003278AB"/>
    <w:rsid w:val="00361E9D"/>
    <w:rsid w:val="0036545E"/>
    <w:rsid w:val="00377495"/>
    <w:rsid w:val="003A0BD2"/>
    <w:rsid w:val="003A5F2F"/>
    <w:rsid w:val="003A7B8D"/>
    <w:rsid w:val="003C16E2"/>
    <w:rsid w:val="003C4E87"/>
    <w:rsid w:val="003C7C71"/>
    <w:rsid w:val="003E1E2A"/>
    <w:rsid w:val="003E60AD"/>
    <w:rsid w:val="003F5939"/>
    <w:rsid w:val="004000CA"/>
    <w:rsid w:val="004046A0"/>
    <w:rsid w:val="0041122B"/>
    <w:rsid w:val="00415E41"/>
    <w:rsid w:val="00434F32"/>
    <w:rsid w:val="00441D25"/>
    <w:rsid w:val="00446870"/>
    <w:rsid w:val="004511B6"/>
    <w:rsid w:val="004520A8"/>
    <w:rsid w:val="0045349E"/>
    <w:rsid w:val="00455E2B"/>
    <w:rsid w:val="004650DD"/>
    <w:rsid w:val="00477D0C"/>
    <w:rsid w:val="00486F6F"/>
    <w:rsid w:val="004B1558"/>
    <w:rsid w:val="004B1AB8"/>
    <w:rsid w:val="004E12B1"/>
    <w:rsid w:val="004F7D49"/>
    <w:rsid w:val="005058B8"/>
    <w:rsid w:val="00511D23"/>
    <w:rsid w:val="005258EF"/>
    <w:rsid w:val="005306A6"/>
    <w:rsid w:val="00540198"/>
    <w:rsid w:val="005408CE"/>
    <w:rsid w:val="00544B50"/>
    <w:rsid w:val="00544E66"/>
    <w:rsid w:val="00551DBD"/>
    <w:rsid w:val="00553799"/>
    <w:rsid w:val="0057189C"/>
    <w:rsid w:val="00590C6A"/>
    <w:rsid w:val="005B2F4B"/>
    <w:rsid w:val="005C2028"/>
    <w:rsid w:val="005E6FEF"/>
    <w:rsid w:val="005F6D6A"/>
    <w:rsid w:val="00610C2C"/>
    <w:rsid w:val="00643075"/>
    <w:rsid w:val="00646493"/>
    <w:rsid w:val="00670F8E"/>
    <w:rsid w:val="00682193"/>
    <w:rsid w:val="006864BC"/>
    <w:rsid w:val="006A68DD"/>
    <w:rsid w:val="006A6BDD"/>
    <w:rsid w:val="006B6FE7"/>
    <w:rsid w:val="006B7B64"/>
    <w:rsid w:val="006D0C4E"/>
    <w:rsid w:val="006E6A32"/>
    <w:rsid w:val="00704AC5"/>
    <w:rsid w:val="00720469"/>
    <w:rsid w:val="007214B5"/>
    <w:rsid w:val="00755748"/>
    <w:rsid w:val="00782287"/>
    <w:rsid w:val="0079190B"/>
    <w:rsid w:val="007A08FC"/>
    <w:rsid w:val="007A6FE7"/>
    <w:rsid w:val="007B373F"/>
    <w:rsid w:val="007D4FE0"/>
    <w:rsid w:val="007D7EA8"/>
    <w:rsid w:val="007F6D7D"/>
    <w:rsid w:val="00804328"/>
    <w:rsid w:val="00804D5A"/>
    <w:rsid w:val="00863652"/>
    <w:rsid w:val="00884A55"/>
    <w:rsid w:val="00897A2D"/>
    <w:rsid w:val="008B5542"/>
    <w:rsid w:val="008E65D8"/>
    <w:rsid w:val="008E6680"/>
    <w:rsid w:val="008F03FC"/>
    <w:rsid w:val="008F2D34"/>
    <w:rsid w:val="009017B3"/>
    <w:rsid w:val="00913671"/>
    <w:rsid w:val="0092132E"/>
    <w:rsid w:val="00925019"/>
    <w:rsid w:val="0092781E"/>
    <w:rsid w:val="00934474"/>
    <w:rsid w:val="009531F9"/>
    <w:rsid w:val="00962236"/>
    <w:rsid w:val="009639E0"/>
    <w:rsid w:val="0097774C"/>
    <w:rsid w:val="009A55D8"/>
    <w:rsid w:val="009A65C8"/>
    <w:rsid w:val="009B12E8"/>
    <w:rsid w:val="009B6AC9"/>
    <w:rsid w:val="009C5589"/>
    <w:rsid w:val="009C56E9"/>
    <w:rsid w:val="009D5468"/>
    <w:rsid w:val="009D573A"/>
    <w:rsid w:val="009F023D"/>
    <w:rsid w:val="009F51B8"/>
    <w:rsid w:val="00A076B0"/>
    <w:rsid w:val="00A31F1D"/>
    <w:rsid w:val="00A91F5C"/>
    <w:rsid w:val="00A92C13"/>
    <w:rsid w:val="00AA4C73"/>
    <w:rsid w:val="00AB37B5"/>
    <w:rsid w:val="00AC14EE"/>
    <w:rsid w:val="00AE1AA6"/>
    <w:rsid w:val="00AE405A"/>
    <w:rsid w:val="00AF67D5"/>
    <w:rsid w:val="00AF728E"/>
    <w:rsid w:val="00B20682"/>
    <w:rsid w:val="00B3071A"/>
    <w:rsid w:val="00B71021"/>
    <w:rsid w:val="00B95F53"/>
    <w:rsid w:val="00BA546C"/>
    <w:rsid w:val="00BB099A"/>
    <w:rsid w:val="00BC5ACC"/>
    <w:rsid w:val="00BD0536"/>
    <w:rsid w:val="00BE66DE"/>
    <w:rsid w:val="00C00CB5"/>
    <w:rsid w:val="00C17184"/>
    <w:rsid w:val="00C40FFF"/>
    <w:rsid w:val="00C426AD"/>
    <w:rsid w:val="00C53F40"/>
    <w:rsid w:val="00C5669B"/>
    <w:rsid w:val="00C728BD"/>
    <w:rsid w:val="00C81A37"/>
    <w:rsid w:val="00C9790A"/>
    <w:rsid w:val="00CA63BE"/>
    <w:rsid w:val="00CB0537"/>
    <w:rsid w:val="00CC57C4"/>
    <w:rsid w:val="00CC61D2"/>
    <w:rsid w:val="00CD7C03"/>
    <w:rsid w:val="00CF5AF2"/>
    <w:rsid w:val="00D02A8A"/>
    <w:rsid w:val="00D02BA0"/>
    <w:rsid w:val="00D0570C"/>
    <w:rsid w:val="00D05759"/>
    <w:rsid w:val="00D23406"/>
    <w:rsid w:val="00D31C61"/>
    <w:rsid w:val="00D34269"/>
    <w:rsid w:val="00D36776"/>
    <w:rsid w:val="00D47C95"/>
    <w:rsid w:val="00D54E30"/>
    <w:rsid w:val="00D859BD"/>
    <w:rsid w:val="00D85E54"/>
    <w:rsid w:val="00D93068"/>
    <w:rsid w:val="00D9365B"/>
    <w:rsid w:val="00D95942"/>
    <w:rsid w:val="00D95DB1"/>
    <w:rsid w:val="00DA0551"/>
    <w:rsid w:val="00DA4F77"/>
    <w:rsid w:val="00DB3222"/>
    <w:rsid w:val="00DD1018"/>
    <w:rsid w:val="00DE4165"/>
    <w:rsid w:val="00E72CF7"/>
    <w:rsid w:val="00EA308F"/>
    <w:rsid w:val="00ED3BC9"/>
    <w:rsid w:val="00EE521F"/>
    <w:rsid w:val="00EF2F0D"/>
    <w:rsid w:val="00EF4507"/>
    <w:rsid w:val="00F12750"/>
    <w:rsid w:val="00F14D6C"/>
    <w:rsid w:val="00F21987"/>
    <w:rsid w:val="00F21B27"/>
    <w:rsid w:val="00F233FC"/>
    <w:rsid w:val="00F31417"/>
    <w:rsid w:val="00F52CE0"/>
    <w:rsid w:val="00F54C54"/>
    <w:rsid w:val="00F63F1B"/>
    <w:rsid w:val="00F87B4D"/>
    <w:rsid w:val="00F90400"/>
    <w:rsid w:val="00FB473C"/>
    <w:rsid w:val="00FB48FA"/>
    <w:rsid w:val="00FC531F"/>
    <w:rsid w:val="00FC65F8"/>
    <w:rsid w:val="00FC73BA"/>
    <w:rsid w:val="00FC740E"/>
    <w:rsid w:val="00FE3C13"/>
    <w:rsid w:val="00FF3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07372"/>
  <w15:chartTrackingRefBased/>
  <w15:docId w15:val="{FB0856B4-DBD6-401D-9E36-3135E898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2F0D"/>
    <w:pPr>
      <w:spacing w:after="0" w:line="240" w:lineRule="auto"/>
    </w:pPr>
    <w:rPr>
      <w:rFonts w:ascii="Arial" w:eastAsia="Times New Roman" w:hAnsi="Arial"/>
      <w:sz w:val="22"/>
    </w:rPr>
  </w:style>
  <w:style w:type="paragraph" w:styleId="Heading1">
    <w:name w:val="heading 1"/>
    <w:basedOn w:val="Normal"/>
    <w:next w:val="Normal"/>
    <w:link w:val="Heading1Char"/>
    <w:qFormat/>
    <w:rsid w:val="00511D23"/>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EF2F0D"/>
    <w:pPr>
      <w:keepNext/>
      <w:spacing w:before="120" w:after="120" w:line="240" w:lineRule="auto"/>
      <w:outlineLvl w:val="1"/>
    </w:pPr>
    <w:rPr>
      <w:rFonts w:ascii="Arial" w:eastAsia="Times New Roman" w:hAnsi="Arial" w:cs="Arial"/>
      <w:bCs/>
      <w:iCs/>
      <w:color w:val="358189"/>
      <w:sz w:val="22"/>
      <w:szCs w:val="28"/>
    </w:rPr>
  </w:style>
  <w:style w:type="paragraph" w:styleId="Heading3">
    <w:name w:val="heading 3"/>
    <w:next w:val="Normal"/>
    <w:link w:val="Heading3Char"/>
    <w:qFormat/>
    <w:rsid w:val="00511D23"/>
    <w:pPr>
      <w:keepNext/>
      <w:spacing w:before="180" w:after="60" w:line="240" w:lineRule="auto"/>
      <w:outlineLvl w:val="2"/>
    </w:pPr>
    <w:rPr>
      <w:rFonts w:ascii="Arial" w:eastAsia="Times New Roman" w:hAnsi="Arial" w:cs="Arial"/>
      <w:bCs/>
      <w:color w:val="358189"/>
      <w:sz w:val="28"/>
      <w:szCs w:val="26"/>
    </w:rPr>
  </w:style>
  <w:style w:type="paragraph" w:styleId="Heading4">
    <w:name w:val="heading 4"/>
    <w:basedOn w:val="Normal"/>
    <w:next w:val="Normal"/>
    <w:link w:val="Heading4Char"/>
    <w:qFormat/>
    <w:rsid w:val="00511D23"/>
    <w:pPr>
      <w:keepNext/>
      <w:spacing w:before="240" w:after="60"/>
      <w:outlineLvl w:val="3"/>
    </w:pPr>
    <w:rPr>
      <w:b/>
      <w:bCs/>
      <w:i/>
      <w:color w:val="414141"/>
      <w:sz w:val="24"/>
      <w:szCs w:val="28"/>
    </w:rPr>
  </w:style>
  <w:style w:type="paragraph" w:styleId="Heading5">
    <w:name w:val="heading 5"/>
    <w:basedOn w:val="Normal"/>
    <w:next w:val="Normal"/>
    <w:link w:val="Heading5Char"/>
    <w:rsid w:val="00511D23"/>
    <w:pPr>
      <w:keepNext/>
      <w:spacing w:before="240" w:after="60"/>
      <w:outlineLvl w:val="4"/>
    </w:pPr>
    <w:rPr>
      <w:b/>
      <w:bCs/>
      <w:iCs/>
      <w:szCs w:val="26"/>
    </w:rPr>
  </w:style>
  <w:style w:type="paragraph" w:styleId="Heading6">
    <w:name w:val="heading 6"/>
    <w:basedOn w:val="Normal"/>
    <w:next w:val="Normal"/>
    <w:link w:val="Heading6Char"/>
    <w:rsid w:val="00511D23"/>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D23"/>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EF2F0D"/>
    <w:rPr>
      <w:rFonts w:ascii="Arial" w:eastAsia="Times New Roman" w:hAnsi="Arial" w:cs="Arial"/>
      <w:bCs/>
      <w:iCs/>
      <w:color w:val="358189"/>
      <w:sz w:val="22"/>
      <w:szCs w:val="28"/>
    </w:rPr>
  </w:style>
  <w:style w:type="character" w:customStyle="1" w:styleId="Heading3Char">
    <w:name w:val="Heading 3 Char"/>
    <w:basedOn w:val="DefaultParagraphFont"/>
    <w:link w:val="Heading3"/>
    <w:rsid w:val="00511D23"/>
    <w:rPr>
      <w:rFonts w:ascii="Arial" w:eastAsia="Times New Roman" w:hAnsi="Arial" w:cs="Arial"/>
      <w:bCs/>
      <w:color w:val="358189"/>
      <w:sz w:val="28"/>
      <w:szCs w:val="26"/>
    </w:rPr>
  </w:style>
  <w:style w:type="character" w:customStyle="1" w:styleId="Heading4Char">
    <w:name w:val="Heading 4 Char"/>
    <w:basedOn w:val="DefaultParagraphFont"/>
    <w:link w:val="Heading4"/>
    <w:rsid w:val="00511D23"/>
    <w:rPr>
      <w:rFonts w:ascii="Arial" w:eastAsia="Times New Roman" w:hAnsi="Arial"/>
      <w:b/>
      <w:bCs/>
      <w:i/>
      <w:color w:val="414141"/>
      <w:szCs w:val="28"/>
    </w:rPr>
  </w:style>
  <w:style w:type="character" w:customStyle="1" w:styleId="Heading5Char">
    <w:name w:val="Heading 5 Char"/>
    <w:basedOn w:val="DefaultParagraphFont"/>
    <w:link w:val="Heading5"/>
    <w:rsid w:val="00511D23"/>
    <w:rPr>
      <w:rFonts w:ascii="Arial" w:eastAsia="Times New Roman" w:hAnsi="Arial"/>
      <w:b/>
      <w:bCs/>
      <w:iCs/>
      <w:sz w:val="22"/>
      <w:szCs w:val="26"/>
    </w:rPr>
  </w:style>
  <w:style w:type="character" w:customStyle="1" w:styleId="Heading6Char">
    <w:name w:val="Heading 6 Char"/>
    <w:basedOn w:val="DefaultParagraphFont"/>
    <w:link w:val="Heading6"/>
    <w:rsid w:val="00511D23"/>
    <w:rPr>
      <w:rFonts w:ascii="Arial" w:eastAsia="Times New Roman" w:hAnsi="Arial"/>
      <w:b/>
      <w:bCs/>
      <w:i/>
      <w:sz w:val="22"/>
      <w:szCs w:val="22"/>
    </w:rPr>
  </w:style>
  <w:style w:type="paragraph" w:customStyle="1" w:styleId="Paragraphtext">
    <w:name w:val="Paragraph text"/>
    <w:basedOn w:val="Normal"/>
    <w:qFormat/>
    <w:rsid w:val="00511D23"/>
    <w:pPr>
      <w:spacing w:before="120" w:after="60"/>
    </w:pPr>
    <w:rPr>
      <w:color w:val="000000" w:themeColor="text1"/>
      <w:sz w:val="21"/>
    </w:rPr>
  </w:style>
  <w:style w:type="character" w:styleId="Emphasis">
    <w:name w:val="Emphasis"/>
    <w:basedOn w:val="DefaultParagraphFont"/>
    <w:rsid w:val="00511D23"/>
    <w:rPr>
      <w:i/>
      <w:iCs/>
    </w:rPr>
  </w:style>
  <w:style w:type="character" w:styleId="Strong">
    <w:name w:val="Strong"/>
    <w:basedOn w:val="DefaultParagraphFont"/>
    <w:rsid w:val="00511D23"/>
    <w:rPr>
      <w:b/>
      <w:bCs/>
    </w:rPr>
  </w:style>
  <w:style w:type="paragraph" w:styleId="Subtitle">
    <w:name w:val="Subtitle"/>
    <w:next w:val="Normal"/>
    <w:link w:val="SubtitleChar"/>
    <w:qFormat/>
    <w:rsid w:val="00EF2F0D"/>
    <w:pPr>
      <w:numPr>
        <w:ilvl w:val="1"/>
      </w:numPr>
      <w:spacing w:before="120" w:after="60" w:line="240" w:lineRule="auto"/>
    </w:pPr>
    <w:rPr>
      <w:rFonts w:ascii="Arial" w:eastAsiaTheme="majorEastAsia" w:hAnsi="Arial" w:cstheme="majorBidi"/>
      <w:iCs/>
      <w:color w:val="3F4A75"/>
      <w:spacing w:val="15"/>
      <w:sz w:val="36"/>
    </w:rPr>
  </w:style>
  <w:style w:type="character" w:customStyle="1" w:styleId="SubtitleChar">
    <w:name w:val="Subtitle Char"/>
    <w:basedOn w:val="DefaultParagraphFont"/>
    <w:link w:val="Subtitle"/>
    <w:rsid w:val="00EF2F0D"/>
    <w:rPr>
      <w:rFonts w:ascii="Arial" w:eastAsiaTheme="majorEastAsia" w:hAnsi="Arial" w:cstheme="majorBidi"/>
      <w:iCs/>
      <w:color w:val="3F4A75"/>
      <w:spacing w:val="15"/>
      <w:sz w:val="36"/>
    </w:rPr>
  </w:style>
  <w:style w:type="paragraph" w:styleId="Title">
    <w:name w:val="Title"/>
    <w:basedOn w:val="Normal"/>
    <w:next w:val="Paragraphtext"/>
    <w:link w:val="TitleChar"/>
    <w:qFormat/>
    <w:rsid w:val="00EF2F0D"/>
    <w:pPr>
      <w:spacing w:before="216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EF2F0D"/>
    <w:rPr>
      <w:rFonts w:ascii="Arial" w:eastAsiaTheme="majorEastAsia" w:hAnsi="Arial" w:cstheme="majorBidi"/>
      <w:color w:val="3F4A75"/>
      <w:kern w:val="28"/>
      <w:sz w:val="48"/>
      <w:szCs w:val="52"/>
    </w:rPr>
  </w:style>
  <w:style w:type="paragraph" w:styleId="NoSpacing">
    <w:name w:val="No Spacing"/>
    <w:uiPriority w:val="1"/>
    <w:rsid w:val="00511D23"/>
    <w:pPr>
      <w:spacing w:after="0" w:line="240" w:lineRule="auto"/>
    </w:pPr>
    <w:rPr>
      <w:rFonts w:eastAsia="Times New Roman"/>
    </w:rPr>
  </w:style>
  <w:style w:type="character" w:styleId="SubtleEmphasis">
    <w:name w:val="Subtle Emphasis"/>
    <w:basedOn w:val="DefaultParagraphFont"/>
    <w:uiPriority w:val="19"/>
    <w:rsid w:val="00511D23"/>
    <w:rPr>
      <w:i/>
      <w:iCs/>
      <w:color w:val="808080" w:themeColor="text1" w:themeTint="7F"/>
    </w:rPr>
  </w:style>
  <w:style w:type="character" w:styleId="IntenseEmphasis">
    <w:name w:val="Intense Emphasis"/>
    <w:basedOn w:val="DefaultParagraphFont"/>
    <w:uiPriority w:val="21"/>
    <w:rsid w:val="00511D23"/>
    <w:rPr>
      <w:b/>
      <w:bCs/>
      <w:i/>
      <w:iCs/>
      <w:color w:val="4472C4" w:themeColor="accent1"/>
    </w:rPr>
  </w:style>
  <w:style w:type="paragraph" w:styleId="Quote">
    <w:name w:val="Quote"/>
    <w:next w:val="Normal"/>
    <w:link w:val="QuoteChar"/>
    <w:uiPriority w:val="29"/>
    <w:qFormat/>
    <w:rsid w:val="00511D23"/>
    <w:pPr>
      <w:spacing w:after="0" w:line="240" w:lineRule="auto"/>
      <w:ind w:left="720"/>
    </w:pPr>
    <w:rPr>
      <w:rFonts w:ascii="Arial" w:eastAsia="Times New Roman" w:hAnsi="Arial"/>
      <w:i/>
      <w:iCs/>
      <w:color w:val="000000" w:themeColor="text1"/>
      <w:sz w:val="22"/>
    </w:rPr>
  </w:style>
  <w:style w:type="character" w:customStyle="1" w:styleId="QuoteChar">
    <w:name w:val="Quote Char"/>
    <w:basedOn w:val="DefaultParagraphFont"/>
    <w:link w:val="Quote"/>
    <w:uiPriority w:val="29"/>
    <w:rsid w:val="00511D23"/>
    <w:rPr>
      <w:rFonts w:ascii="Arial" w:eastAsia="Times New Roman" w:hAnsi="Arial"/>
      <w:i/>
      <w:iCs/>
      <w:color w:val="000000" w:themeColor="text1"/>
      <w:sz w:val="22"/>
    </w:rPr>
  </w:style>
  <w:style w:type="paragraph" w:styleId="IntenseQuote">
    <w:name w:val="Intense Quote"/>
    <w:basedOn w:val="Normal"/>
    <w:next w:val="Normal"/>
    <w:link w:val="IntenseQuoteChar"/>
    <w:uiPriority w:val="30"/>
    <w:rsid w:val="00511D2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11D23"/>
    <w:rPr>
      <w:rFonts w:ascii="Arial" w:eastAsia="Times New Roman" w:hAnsi="Arial"/>
      <w:b/>
      <w:bCs/>
      <w:i/>
      <w:iCs/>
      <w:color w:val="4472C4" w:themeColor="accent1"/>
      <w:sz w:val="22"/>
    </w:rPr>
  </w:style>
  <w:style w:type="character" w:styleId="SubtleReference">
    <w:name w:val="Subtle Reference"/>
    <w:basedOn w:val="DefaultParagraphFont"/>
    <w:uiPriority w:val="31"/>
    <w:rsid w:val="00511D23"/>
    <w:rPr>
      <w:smallCaps/>
      <w:color w:val="ED7D31" w:themeColor="accent2"/>
      <w:u w:val="single"/>
    </w:rPr>
  </w:style>
  <w:style w:type="character" w:styleId="IntenseReference">
    <w:name w:val="Intense Reference"/>
    <w:basedOn w:val="DefaultParagraphFont"/>
    <w:uiPriority w:val="32"/>
    <w:rsid w:val="00511D23"/>
    <w:rPr>
      <w:b/>
      <w:bCs/>
      <w:i/>
      <w:smallCaps/>
      <w:color w:val="ED7D31" w:themeColor="accent2"/>
      <w:spacing w:val="5"/>
      <w:u w:val="none"/>
    </w:rPr>
  </w:style>
  <w:style w:type="paragraph" w:styleId="ListBullet2">
    <w:name w:val="List Bullet 2"/>
    <w:basedOn w:val="ListNumber2"/>
    <w:rsid w:val="00511D23"/>
    <w:pPr>
      <w:numPr>
        <w:numId w:val="4"/>
      </w:numPr>
      <w:ind w:left="568" w:hanging="284"/>
    </w:pPr>
  </w:style>
  <w:style w:type="paragraph" w:styleId="ListNumber2">
    <w:name w:val="List Number 2"/>
    <w:basedOn w:val="ListBullet"/>
    <w:qFormat/>
    <w:rsid w:val="00511D23"/>
    <w:pPr>
      <w:numPr>
        <w:numId w:val="6"/>
      </w:numPr>
    </w:pPr>
  </w:style>
  <w:style w:type="paragraph" w:styleId="ListBullet">
    <w:name w:val="List Bullet"/>
    <w:basedOn w:val="Normal"/>
    <w:qFormat/>
    <w:rsid w:val="00EF2F0D"/>
    <w:pPr>
      <w:numPr>
        <w:numId w:val="5"/>
      </w:numPr>
      <w:ind w:left="527" w:hanging="357"/>
      <w:contextualSpacing/>
    </w:pPr>
    <w:rPr>
      <w:color w:val="000000" w:themeColor="text1"/>
      <w:sz w:val="21"/>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511D23"/>
    <w:pPr>
      <w:ind w:left="720"/>
      <w:contextualSpacing/>
    </w:pPr>
  </w:style>
  <w:style w:type="paragraph" w:styleId="ListNumber3">
    <w:name w:val="List Number 3"/>
    <w:aliases w:val="List Third Level"/>
    <w:basedOn w:val="ListNumber2"/>
    <w:rsid w:val="00511D23"/>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11D23"/>
    <w:pPr>
      <w:tabs>
        <w:tab w:val="num" w:pos="1080"/>
      </w:tabs>
      <w:spacing w:before="120" w:after="0" w:line="240" w:lineRule="exact"/>
    </w:pPr>
    <w:rPr>
      <w:rFonts w:ascii="Arial" w:eastAsia="Times New Roman" w:hAnsi="Arial"/>
      <w:color w:val="000000" w:themeColor="text1"/>
      <w:sz w:val="22"/>
    </w:rPr>
  </w:style>
  <w:style w:type="paragraph" w:styleId="BalloonText">
    <w:name w:val="Balloon Text"/>
    <w:basedOn w:val="Normal"/>
    <w:link w:val="BalloonTextChar"/>
    <w:rsid w:val="00511D23"/>
    <w:rPr>
      <w:rFonts w:ascii="Tahoma" w:hAnsi="Tahoma" w:cs="Tahoma"/>
      <w:sz w:val="16"/>
      <w:szCs w:val="16"/>
    </w:rPr>
  </w:style>
  <w:style w:type="character" w:customStyle="1" w:styleId="BalloonTextChar">
    <w:name w:val="Balloon Text Char"/>
    <w:basedOn w:val="DefaultParagraphFont"/>
    <w:link w:val="BalloonText"/>
    <w:rsid w:val="00511D23"/>
    <w:rPr>
      <w:rFonts w:ascii="Tahoma" w:eastAsia="Times New Roman" w:hAnsi="Tahoma" w:cs="Tahoma"/>
      <w:sz w:val="16"/>
      <w:szCs w:val="16"/>
    </w:rPr>
  </w:style>
  <w:style w:type="table" w:styleId="TableGrid">
    <w:name w:val="Table Grid"/>
    <w:basedOn w:val="TableNormal"/>
    <w:rsid w:val="00511D2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511D23"/>
    <w:pPr>
      <w:spacing w:after="0" w:line="240" w:lineRule="auto"/>
    </w:pPr>
    <w:rPr>
      <w:rFonts w:eastAsia="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511D23"/>
    <w:pPr>
      <w:spacing w:before="60" w:after="60" w:line="240" w:lineRule="auto"/>
    </w:pPr>
    <w:rPr>
      <w:rFonts w:ascii="Arial" w:eastAsia="Times New Roman" w:hAnsi="Arial"/>
      <w:color w:val="000000" w:themeColor="text1"/>
      <w:sz w:val="21"/>
    </w:rPr>
  </w:style>
  <w:style w:type="table" w:styleId="TableColumns2">
    <w:name w:val="Table Columns 2"/>
    <w:basedOn w:val="TableNormal"/>
    <w:rsid w:val="00511D23"/>
    <w:pPr>
      <w:spacing w:before="120" w:after="0" w:line="240" w:lineRule="exact"/>
    </w:pPr>
    <w:rPr>
      <w:rFonts w:eastAsia="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511D23"/>
    <w:pPr>
      <w:spacing w:after="0" w:line="240" w:lineRule="auto"/>
    </w:pPr>
    <w:rPr>
      <w:rFonts w:eastAsia="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11D23"/>
    <w:pPr>
      <w:spacing w:after="0" w:line="240" w:lineRule="auto"/>
    </w:pPr>
    <w:rPr>
      <w:rFonts w:eastAsia="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511D23"/>
    <w:pPr>
      <w:spacing w:after="0" w:line="240" w:lineRule="auto"/>
    </w:pPr>
    <w:rPr>
      <w:rFonts w:eastAsia="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511D23"/>
    <w:pPr>
      <w:spacing w:after="0" w:line="240" w:lineRule="auto"/>
    </w:pPr>
    <w:rPr>
      <w:rFonts w:eastAsia="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511D23"/>
    <w:pPr>
      <w:spacing w:before="120" w:after="120" w:line="240" w:lineRule="auto"/>
    </w:pPr>
    <w:rPr>
      <w:rFonts w:ascii="Arial" w:eastAsia="Times New Roman" w:hAnsi="Arial"/>
      <w:b/>
      <w:color w:val="000000" w:themeColor="text1"/>
      <w:sz w:val="22"/>
      <w:lang w:val="en-US"/>
    </w:rPr>
  </w:style>
  <w:style w:type="paragraph" w:styleId="Header">
    <w:name w:val="header"/>
    <w:basedOn w:val="Normal"/>
    <w:link w:val="HeaderChar"/>
    <w:uiPriority w:val="99"/>
    <w:qFormat/>
    <w:rsid w:val="00511D23"/>
    <w:pPr>
      <w:tabs>
        <w:tab w:val="center" w:pos="4513"/>
        <w:tab w:val="right" w:pos="9026"/>
      </w:tabs>
    </w:pPr>
  </w:style>
  <w:style w:type="character" w:customStyle="1" w:styleId="HeaderChar">
    <w:name w:val="Header Char"/>
    <w:basedOn w:val="DefaultParagraphFont"/>
    <w:link w:val="Header"/>
    <w:uiPriority w:val="99"/>
    <w:rsid w:val="00511D23"/>
    <w:rPr>
      <w:rFonts w:ascii="Arial" w:eastAsia="Times New Roman" w:hAnsi="Arial"/>
      <w:sz w:val="22"/>
    </w:rPr>
  </w:style>
  <w:style w:type="paragraph" w:styleId="Footer">
    <w:name w:val="footer"/>
    <w:basedOn w:val="Normal"/>
    <w:link w:val="FooterChar"/>
    <w:uiPriority w:val="99"/>
    <w:qFormat/>
    <w:rsid w:val="00511D23"/>
    <w:pPr>
      <w:tabs>
        <w:tab w:val="center" w:pos="4513"/>
        <w:tab w:val="right" w:pos="9026"/>
      </w:tabs>
    </w:pPr>
    <w:rPr>
      <w:sz w:val="20"/>
    </w:rPr>
  </w:style>
  <w:style w:type="character" w:customStyle="1" w:styleId="FooterChar">
    <w:name w:val="Footer Char"/>
    <w:basedOn w:val="DefaultParagraphFont"/>
    <w:link w:val="Footer"/>
    <w:uiPriority w:val="99"/>
    <w:rsid w:val="00511D23"/>
    <w:rPr>
      <w:rFonts w:ascii="Arial" w:eastAsia="Times New Roman" w:hAnsi="Arial"/>
      <w:sz w:val="20"/>
    </w:rPr>
  </w:style>
  <w:style w:type="paragraph" w:customStyle="1" w:styleId="TableHeaderWhite">
    <w:name w:val="Table Header White"/>
    <w:basedOn w:val="Normal"/>
    <w:next w:val="Tabletextleft"/>
    <w:qFormat/>
    <w:rsid w:val="00511D23"/>
    <w:pPr>
      <w:spacing w:before="80" w:after="80"/>
    </w:pPr>
    <w:rPr>
      <w:rFonts w:eastAsia="Cambria"/>
      <w:b/>
      <w:color w:val="FFFFFF" w:themeColor="background1"/>
      <w:szCs w:val="22"/>
      <w:lang w:val="en-US"/>
    </w:rPr>
  </w:style>
  <w:style w:type="table" w:styleId="TableGrid7">
    <w:name w:val="Table Grid 7"/>
    <w:basedOn w:val="TableNormal"/>
    <w:rsid w:val="00511D23"/>
    <w:pPr>
      <w:spacing w:after="0" w:line="240" w:lineRule="auto"/>
    </w:pPr>
    <w:rPr>
      <w:rFonts w:eastAsia="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511D23"/>
    <w:pPr>
      <w:spacing w:before="60" w:after="60"/>
    </w:pPr>
    <w:rPr>
      <w:rFonts w:cs="Arial"/>
      <w:b/>
      <w:sz w:val="20"/>
    </w:rPr>
  </w:style>
  <w:style w:type="paragraph" w:customStyle="1" w:styleId="FigureTitle">
    <w:name w:val="Figure Title"/>
    <w:basedOn w:val="Normal"/>
    <w:next w:val="Paragraphtext"/>
    <w:qFormat/>
    <w:rsid w:val="00511D23"/>
    <w:pPr>
      <w:spacing w:before="120" w:after="120"/>
    </w:pPr>
    <w:rPr>
      <w:rFonts w:cs="Arial"/>
      <w:b/>
      <w:bCs/>
      <w:iCs/>
      <w:color w:val="000000" w:themeColor="text1"/>
      <w:szCs w:val="22"/>
    </w:rPr>
  </w:style>
  <w:style w:type="paragraph" w:styleId="NormalWeb">
    <w:name w:val="Normal (Web)"/>
    <w:basedOn w:val="Normal"/>
    <w:uiPriority w:val="99"/>
    <w:unhideWhenUsed/>
    <w:rsid w:val="00511D23"/>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511D23"/>
    <w:pPr>
      <w:jc w:val="right"/>
    </w:pPr>
    <w:rPr>
      <w:sz w:val="20"/>
    </w:rPr>
  </w:style>
  <w:style w:type="character" w:styleId="Hyperlink">
    <w:name w:val="Hyperlink"/>
    <w:basedOn w:val="DefaultParagraphFont"/>
    <w:uiPriority w:val="99"/>
    <w:qFormat/>
    <w:rsid w:val="00511D23"/>
    <w:rPr>
      <w:color w:val="0563C1" w:themeColor="hyperlink"/>
      <w:u w:val="single"/>
    </w:rPr>
  </w:style>
  <w:style w:type="table" w:customStyle="1" w:styleId="PHNGreyTable">
    <w:name w:val="PHN Grey Table"/>
    <w:basedOn w:val="TableNormal"/>
    <w:uiPriority w:val="99"/>
    <w:rsid w:val="00511D23"/>
    <w:pPr>
      <w:spacing w:before="120" w:after="120" w:line="240" w:lineRule="auto"/>
    </w:pPr>
    <w:rPr>
      <w:rFonts w:ascii="Arial" w:eastAsia="Times New Roman" w:hAnsi="Arial"/>
      <w:sz w:val="22"/>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2Purple">
    <w:name w:val="Heading 2 Purple"/>
    <w:basedOn w:val="Heading2"/>
    <w:next w:val="Paragraphtext"/>
    <w:rsid w:val="00511D23"/>
    <w:pPr>
      <w:spacing w:before="180"/>
    </w:pPr>
    <w:rPr>
      <w:color w:val="8D188D"/>
    </w:rPr>
  </w:style>
  <w:style w:type="paragraph" w:customStyle="1" w:styleId="Tablelistbullet">
    <w:name w:val="Table list bullet"/>
    <w:basedOn w:val="Tabletextleft"/>
    <w:qFormat/>
    <w:rsid w:val="00511D23"/>
    <w:pPr>
      <w:numPr>
        <w:numId w:val="2"/>
      </w:numPr>
      <w:ind w:left="284" w:hanging="284"/>
    </w:pPr>
    <w:rPr>
      <w:szCs w:val="20"/>
    </w:rPr>
  </w:style>
  <w:style w:type="paragraph" w:customStyle="1" w:styleId="Tablelistnumber">
    <w:name w:val="Table list number"/>
    <w:basedOn w:val="Tabletextleft"/>
    <w:qFormat/>
    <w:rsid w:val="00511D23"/>
    <w:pPr>
      <w:numPr>
        <w:numId w:val="3"/>
      </w:numPr>
    </w:pPr>
    <w:rPr>
      <w:bCs/>
      <w14:numSpacing w14:val="proportional"/>
    </w:rPr>
  </w:style>
  <w:style w:type="paragraph" w:customStyle="1" w:styleId="TableHeader">
    <w:name w:val="Table Header"/>
    <w:basedOn w:val="Normal"/>
    <w:next w:val="Tabletextleft"/>
    <w:qFormat/>
    <w:rsid w:val="00511D2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511D23"/>
    <w:rPr>
      <w:szCs w:val="32"/>
    </w:rPr>
  </w:style>
  <w:style w:type="paragraph" w:customStyle="1" w:styleId="Heading2Orange">
    <w:name w:val="Heading 2 Orange"/>
    <w:basedOn w:val="Heading2"/>
    <w:rsid w:val="00511D23"/>
    <w:rPr>
      <w:color w:val="D72F0D"/>
    </w:rPr>
  </w:style>
  <w:style w:type="paragraph" w:styleId="FootnoteText">
    <w:name w:val="footnote text"/>
    <w:basedOn w:val="Normal"/>
    <w:link w:val="FootnoteTextChar"/>
    <w:rsid w:val="00511D23"/>
    <w:rPr>
      <w:sz w:val="20"/>
      <w:szCs w:val="20"/>
    </w:rPr>
  </w:style>
  <w:style w:type="character" w:customStyle="1" w:styleId="FootnoteTextChar">
    <w:name w:val="Footnote Text Char"/>
    <w:basedOn w:val="DefaultParagraphFont"/>
    <w:link w:val="FootnoteText"/>
    <w:rsid w:val="00511D23"/>
    <w:rPr>
      <w:rFonts w:ascii="Arial" w:eastAsia="Times New Roman" w:hAnsi="Arial"/>
      <w:sz w:val="20"/>
      <w:szCs w:val="20"/>
    </w:rPr>
  </w:style>
  <w:style w:type="paragraph" w:styleId="Caption">
    <w:name w:val="caption"/>
    <w:basedOn w:val="Normal"/>
    <w:next w:val="Normal"/>
    <w:unhideWhenUsed/>
    <w:rsid w:val="00511D23"/>
    <w:pPr>
      <w:spacing w:after="200"/>
    </w:pPr>
    <w:rPr>
      <w:b/>
      <w:bCs/>
      <w:color w:val="4472C4" w:themeColor="accent1"/>
      <w:sz w:val="18"/>
      <w:szCs w:val="18"/>
    </w:rPr>
  </w:style>
  <w:style w:type="paragraph" w:customStyle="1" w:styleId="VisionBox">
    <w:name w:val="VisionBox"/>
    <w:basedOn w:val="Normal"/>
    <w:qFormat/>
    <w:rsid w:val="00511D23"/>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511D2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11D23"/>
    <w:rPr>
      <w:b/>
      <w:caps/>
      <w:smallCaps w:val="0"/>
      <w:color w:val="358189"/>
      <w:bdr w:val="none" w:sz="0" w:space="0" w:color="auto"/>
    </w:rPr>
  </w:style>
  <w:style w:type="paragraph" w:customStyle="1" w:styleId="PolicyStatement">
    <w:name w:val="PolicyStatement"/>
    <w:basedOn w:val="Normal"/>
    <w:qFormat/>
    <w:rsid w:val="00511D23"/>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511D23"/>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511D23"/>
    <w:rPr>
      <w:rFonts w:ascii="Arial" w:eastAsia="Times New Roman" w:hAnsi="Arial"/>
      <w:b/>
      <w:color w:val="000000" w:themeColor="text1"/>
      <w:sz w:val="22"/>
      <w:lang w:val="en-US"/>
    </w:rPr>
  </w:style>
  <w:style w:type="paragraph" w:customStyle="1" w:styleId="IntroPara">
    <w:name w:val="Intro Para"/>
    <w:basedOn w:val="Paragraphtext"/>
    <w:next w:val="Paragraphtext"/>
    <w:qFormat/>
    <w:rsid w:val="00511D23"/>
    <w:pPr>
      <w:spacing w:before="480" w:line="400" w:lineRule="exact"/>
    </w:pPr>
    <w:rPr>
      <w:color w:val="358189"/>
      <w:sz w:val="28"/>
    </w:rPr>
  </w:style>
  <w:style w:type="paragraph" w:customStyle="1" w:styleId="TableTextright">
    <w:name w:val="Table Text right"/>
    <w:basedOn w:val="Tabletextleft"/>
    <w:rsid w:val="00511D23"/>
    <w:pPr>
      <w:jc w:val="right"/>
    </w:pPr>
  </w:style>
  <w:style w:type="paragraph" w:customStyle="1" w:styleId="Tabletextright0">
    <w:name w:val="Table text right"/>
    <w:basedOn w:val="Tabletextleft"/>
    <w:rsid w:val="00511D23"/>
    <w:pPr>
      <w:jc w:val="right"/>
    </w:pPr>
  </w:style>
  <w:style w:type="paragraph" w:customStyle="1" w:styleId="Tabletextcentre">
    <w:name w:val="Table text centre"/>
    <w:basedOn w:val="Tabletextleft"/>
    <w:rsid w:val="00511D23"/>
    <w:pPr>
      <w:jc w:val="center"/>
    </w:pPr>
  </w:style>
  <w:style w:type="paragraph" w:customStyle="1" w:styleId="Boxheading">
    <w:name w:val="Box heading"/>
    <w:basedOn w:val="Boxtype"/>
    <w:rsid w:val="00511D23"/>
    <w:pPr>
      <w:spacing w:before="240"/>
    </w:pPr>
    <w:rPr>
      <w:rFonts w:cs="Times New Roman"/>
      <w:b/>
      <w:bCs/>
      <w:caps/>
      <w:color w:val="358189"/>
      <w:szCs w:val="20"/>
    </w:rPr>
  </w:style>
  <w:style w:type="paragraph" w:customStyle="1" w:styleId="Boxtype">
    <w:name w:val="Box type"/>
    <w:next w:val="Normal"/>
    <w:qFormat/>
    <w:rsid w:val="00511D2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styleId="CommentReference">
    <w:name w:val="annotation reference"/>
    <w:basedOn w:val="DefaultParagraphFont"/>
    <w:semiHidden/>
    <w:unhideWhenUsed/>
    <w:rsid w:val="00511D23"/>
    <w:rPr>
      <w:sz w:val="16"/>
      <w:szCs w:val="16"/>
    </w:rPr>
  </w:style>
  <w:style w:type="paragraph" w:styleId="CommentText">
    <w:name w:val="annotation text"/>
    <w:basedOn w:val="Normal"/>
    <w:link w:val="CommentTextChar"/>
    <w:semiHidden/>
    <w:unhideWhenUsed/>
    <w:rsid w:val="00511D23"/>
    <w:rPr>
      <w:sz w:val="20"/>
      <w:szCs w:val="20"/>
    </w:rPr>
  </w:style>
  <w:style w:type="character" w:customStyle="1" w:styleId="CommentTextChar">
    <w:name w:val="Comment Text Char"/>
    <w:basedOn w:val="DefaultParagraphFont"/>
    <w:link w:val="CommentText"/>
    <w:semiHidden/>
    <w:rsid w:val="00511D23"/>
    <w:rPr>
      <w:rFonts w:ascii="Arial" w:eastAsia="Times New Roman" w:hAnsi="Arial"/>
      <w:sz w:val="20"/>
      <w:szCs w:val="20"/>
    </w:rPr>
  </w:style>
  <w:style w:type="paragraph" w:styleId="CommentSubject">
    <w:name w:val="annotation subject"/>
    <w:basedOn w:val="CommentText"/>
    <w:next w:val="CommentText"/>
    <w:link w:val="CommentSubjectChar"/>
    <w:semiHidden/>
    <w:unhideWhenUsed/>
    <w:rsid w:val="00511D23"/>
    <w:rPr>
      <w:b/>
      <w:bCs/>
    </w:rPr>
  </w:style>
  <w:style w:type="character" w:customStyle="1" w:styleId="CommentSubjectChar">
    <w:name w:val="Comment Subject Char"/>
    <w:basedOn w:val="CommentTextChar"/>
    <w:link w:val="CommentSubject"/>
    <w:semiHidden/>
    <w:rsid w:val="00511D23"/>
    <w:rPr>
      <w:rFonts w:ascii="Arial" w:eastAsia="Times New Roman" w:hAnsi="Arial"/>
      <w:b/>
      <w:bCs/>
      <w:sz w:val="20"/>
      <w:szCs w:val="20"/>
    </w:rPr>
  </w:style>
  <w:style w:type="table" w:styleId="LightGrid-Accent1">
    <w:name w:val="Light Grid Accent 1"/>
    <w:basedOn w:val="TableNormal"/>
    <w:uiPriority w:val="62"/>
    <w:rsid w:val="00511D23"/>
    <w:pPr>
      <w:spacing w:after="0" w:line="240" w:lineRule="auto"/>
    </w:pPr>
    <w:rPr>
      <w:rFonts w:asciiTheme="minorHAnsi" w:eastAsiaTheme="minorEastAsia" w:hAnsiTheme="minorHAnsi" w:cstheme="minorBidi"/>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stTable3-Accent2">
    <w:name w:val="List Table 3 Accent 2"/>
    <w:basedOn w:val="TableNormal"/>
    <w:uiPriority w:val="48"/>
    <w:rsid w:val="00511D23"/>
    <w:pPr>
      <w:spacing w:after="0" w:line="240" w:lineRule="auto"/>
    </w:pPr>
    <w:rPr>
      <w:rFonts w:eastAsia="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UnresolvedMention">
    <w:name w:val="Unresolved Mention"/>
    <w:basedOn w:val="DefaultParagraphFont"/>
    <w:uiPriority w:val="99"/>
    <w:semiHidden/>
    <w:unhideWhenUsed/>
    <w:rsid w:val="00511D23"/>
    <w:rPr>
      <w:color w:val="605E5C"/>
      <w:shd w:val="clear" w:color="auto" w:fill="E1DFDD"/>
    </w:rPr>
  </w:style>
  <w:style w:type="table" w:styleId="ListTable2-Accent6">
    <w:name w:val="List Table 2 Accent 6"/>
    <w:basedOn w:val="TableNormal"/>
    <w:uiPriority w:val="47"/>
    <w:rsid w:val="00511D23"/>
    <w:pPr>
      <w:spacing w:after="0" w:line="240" w:lineRule="auto"/>
    </w:pPr>
    <w:rPr>
      <w:rFonts w:eastAsia="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3">
    <w:name w:val="List Table 3 Accent 3"/>
    <w:basedOn w:val="TableNormal"/>
    <w:uiPriority w:val="48"/>
    <w:rsid w:val="00511D23"/>
    <w:pPr>
      <w:spacing w:after="0" w:line="240" w:lineRule="auto"/>
    </w:pPr>
    <w:rPr>
      <w:rFonts w:eastAsia="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Accent1">
    <w:name w:val="Grid Table 4 Accent 1"/>
    <w:basedOn w:val="TableNormal"/>
    <w:uiPriority w:val="49"/>
    <w:rsid w:val="00511D23"/>
    <w:pPr>
      <w:spacing w:after="0" w:line="240" w:lineRule="auto"/>
    </w:pPr>
    <w:rPr>
      <w:rFonts w:eastAsia="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511D23"/>
    <w:pPr>
      <w:autoSpaceDE w:val="0"/>
      <w:autoSpaceDN w:val="0"/>
      <w:adjustRightInd w:val="0"/>
      <w:spacing w:after="0" w:line="240" w:lineRule="auto"/>
    </w:pPr>
    <w:rPr>
      <w:rFonts w:ascii="Arial" w:eastAsia="Times New Roman" w:hAnsi="Arial" w:cs="Arial"/>
      <w:color w:val="000000"/>
      <w:lang w:eastAsia="en-AU"/>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511D23"/>
    <w:rPr>
      <w:rFonts w:ascii="Arial" w:eastAsia="Times New Roman" w:hAnsi="Arial"/>
      <w:sz w:val="22"/>
    </w:rPr>
  </w:style>
  <w:style w:type="paragraph" w:styleId="TOCHeading">
    <w:name w:val="TOC Heading"/>
    <w:basedOn w:val="Heading1"/>
    <w:next w:val="Normal"/>
    <w:uiPriority w:val="39"/>
    <w:unhideWhenUsed/>
    <w:qFormat/>
    <w:rsid w:val="00511D23"/>
    <w:pPr>
      <w:keepLines/>
      <w:spacing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 w:type="paragraph" w:styleId="TOC1">
    <w:name w:val="toc 1"/>
    <w:basedOn w:val="Normal"/>
    <w:next w:val="Normal"/>
    <w:autoRedefine/>
    <w:uiPriority w:val="39"/>
    <w:unhideWhenUsed/>
    <w:rsid w:val="00511D23"/>
    <w:pPr>
      <w:tabs>
        <w:tab w:val="right" w:leader="dot" w:pos="9060"/>
      </w:tabs>
      <w:spacing w:after="100"/>
    </w:pPr>
    <w:rPr>
      <w:b/>
      <w:bCs/>
      <w:noProof/>
    </w:rPr>
  </w:style>
  <w:style w:type="paragraph" w:styleId="TOC2">
    <w:name w:val="toc 2"/>
    <w:basedOn w:val="Normal"/>
    <w:next w:val="Normal"/>
    <w:autoRedefine/>
    <w:uiPriority w:val="39"/>
    <w:unhideWhenUsed/>
    <w:rsid w:val="00511D23"/>
    <w:pPr>
      <w:spacing w:after="100"/>
      <w:ind w:left="220"/>
    </w:pPr>
  </w:style>
  <w:style w:type="paragraph" w:styleId="TOC3">
    <w:name w:val="toc 3"/>
    <w:basedOn w:val="Normal"/>
    <w:next w:val="Normal"/>
    <w:autoRedefine/>
    <w:uiPriority w:val="39"/>
    <w:unhideWhenUsed/>
    <w:rsid w:val="00511D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77141">
      <w:bodyDiv w:val="1"/>
      <w:marLeft w:val="0"/>
      <w:marRight w:val="0"/>
      <w:marTop w:val="0"/>
      <w:marBottom w:val="0"/>
      <w:divBdr>
        <w:top w:val="none" w:sz="0" w:space="0" w:color="auto"/>
        <w:left w:val="none" w:sz="0" w:space="0" w:color="auto"/>
        <w:bottom w:val="none" w:sz="0" w:space="0" w:color="auto"/>
        <w:right w:val="none" w:sz="0" w:space="0" w:color="auto"/>
      </w:divBdr>
    </w:div>
    <w:div w:id="65781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8C8C-3266-40C3-AB41-A5F72BA4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2470</Words>
  <Characters>14156</Characters>
  <Application>Microsoft Office Word</Application>
  <DocSecurity>0</DocSecurity>
  <Lines>202</Lines>
  <Paragraphs>63</Paragraphs>
  <ScaleCrop>false</ScaleCrop>
  <HeadingPairs>
    <vt:vector size="2" baseType="variant">
      <vt:variant>
        <vt:lpstr>Title</vt:lpstr>
      </vt:variant>
      <vt:variant>
        <vt:i4>1</vt:i4>
      </vt:variant>
    </vt:vector>
  </HeadingPairs>
  <TitlesOfParts>
    <vt:vector size="1" baseType="lpstr">
      <vt:lpstr>Prostheses List Reforms Consultation No. 1 – Executive Summary</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Prostheses List Reforms Consultation No. 1 – Executive Summary</dc:title>
  <dc:subject>Private health insurance</dc:subject>
  <dc:creator>Australian Government Department of Health</dc:creator>
  <cp:keywords>Private health insurance; Prosthese list reforms;</cp:keywords>
  <dc:description>_x000d_
</dc:description>
  <cp:lastModifiedBy>MASCHKE, Elvia</cp:lastModifiedBy>
  <cp:revision>5</cp:revision>
  <cp:lastPrinted>2022-03-17T06:08:00Z</cp:lastPrinted>
  <dcterms:created xsi:type="dcterms:W3CDTF">2022-03-18T00:39:00Z</dcterms:created>
  <dcterms:modified xsi:type="dcterms:W3CDTF">2022-03-18T01:08:00Z</dcterms:modified>
</cp:coreProperties>
</file>