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AF90C" w14:textId="49B0571E" w:rsidR="00BA2732" w:rsidRDefault="00F23D7C" w:rsidP="00F23D7C">
      <w:pPr>
        <w:pStyle w:val="Heading1"/>
      </w:pPr>
      <w:bookmarkStart w:id="0" w:name="_Toc95900139"/>
      <w:bookmarkStart w:id="1" w:name="_Toc97115714"/>
      <w:bookmarkStart w:id="2" w:name="_Toc97728981"/>
      <w:bookmarkStart w:id="3" w:name="_Toc98937428"/>
      <w:r w:rsidRPr="00F23D7C">
        <w:t xml:space="preserve">Private Health Insurance </w:t>
      </w:r>
      <w:r w:rsidR="00266138">
        <w:t xml:space="preserve">- </w:t>
      </w:r>
      <w:r w:rsidR="000436DC">
        <w:t xml:space="preserve">increasing the </w:t>
      </w:r>
      <w:r w:rsidRPr="00F23D7C">
        <w:t>age of dependants– questions and answers</w:t>
      </w:r>
      <w:bookmarkEnd w:id="0"/>
      <w:bookmarkEnd w:id="1"/>
      <w:bookmarkEnd w:id="2"/>
      <w:bookmarkEnd w:id="3"/>
    </w:p>
    <w:p w14:paraId="25282111" w14:textId="48D5246D" w:rsidR="00BD0996" w:rsidRDefault="00B43A0C" w:rsidP="00BD0996">
      <w:r>
        <w:t>March 2022</w:t>
      </w:r>
    </w:p>
    <w:sdt>
      <w:sdtPr>
        <w:id w:val="-293756559"/>
        <w:docPartObj>
          <w:docPartGallery w:val="Table of Contents"/>
          <w:docPartUnique/>
        </w:docPartObj>
      </w:sdtPr>
      <w:sdtEndPr>
        <w:rPr>
          <w:b/>
          <w:bCs/>
          <w:noProof/>
        </w:rPr>
      </w:sdtEndPr>
      <w:sdtContent>
        <w:p w14:paraId="50D93457" w14:textId="1683EAD7" w:rsidR="00067BB8" w:rsidRDefault="009A6B96">
          <w:pPr>
            <w:pStyle w:val="TOC1"/>
            <w:tabs>
              <w:tab w:val="right" w:leader="dot" w:pos="9060"/>
            </w:tabs>
            <w:rPr>
              <w:rFonts w:asciiTheme="minorHAnsi" w:eastAsiaTheme="minorEastAsia" w:hAnsiTheme="minorHAnsi" w:cstheme="minorBidi"/>
              <w:noProof/>
              <w:szCs w:val="22"/>
              <w:lang w:eastAsia="en-AU"/>
            </w:rPr>
          </w:pPr>
          <w:r>
            <w:rPr>
              <w:rFonts w:asciiTheme="majorHAnsi" w:eastAsiaTheme="majorEastAsia" w:hAnsiTheme="majorHAnsi" w:cstheme="majorBidi"/>
              <w:color w:val="2F3757" w:themeColor="accent1" w:themeShade="BF"/>
              <w:sz w:val="32"/>
              <w:szCs w:val="32"/>
              <w:lang w:val="en-US"/>
            </w:rPr>
            <w:fldChar w:fldCharType="begin"/>
          </w:r>
          <w:r>
            <w:instrText xml:space="preserve"> TOC \o "1-3" \h \z \u </w:instrText>
          </w:r>
          <w:r>
            <w:rPr>
              <w:rFonts w:asciiTheme="majorHAnsi" w:eastAsiaTheme="majorEastAsia" w:hAnsiTheme="majorHAnsi" w:cstheme="majorBidi"/>
              <w:color w:val="2F3757" w:themeColor="accent1" w:themeShade="BF"/>
              <w:sz w:val="32"/>
              <w:szCs w:val="32"/>
              <w:lang w:val="en-US"/>
            </w:rPr>
            <w:fldChar w:fldCharType="separate"/>
          </w:r>
          <w:hyperlink w:anchor="_Toc98937428" w:history="1"/>
        </w:p>
        <w:p w14:paraId="37B9C63F" w14:textId="7DDF5A2F"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29" w:history="1">
            <w:r w:rsidRPr="00D774F1">
              <w:rPr>
                <w:rStyle w:val="Hyperlink"/>
                <w:noProof/>
              </w:rPr>
              <w:t>What is the purpose of this measure?</w:t>
            </w:r>
            <w:r>
              <w:rPr>
                <w:noProof/>
                <w:webHidden/>
              </w:rPr>
              <w:tab/>
            </w:r>
            <w:r>
              <w:rPr>
                <w:noProof/>
                <w:webHidden/>
              </w:rPr>
              <w:fldChar w:fldCharType="begin"/>
            </w:r>
            <w:r>
              <w:rPr>
                <w:noProof/>
                <w:webHidden/>
              </w:rPr>
              <w:instrText xml:space="preserve"> PAGEREF _Toc98937429 \h </w:instrText>
            </w:r>
            <w:r>
              <w:rPr>
                <w:noProof/>
                <w:webHidden/>
              </w:rPr>
            </w:r>
            <w:r>
              <w:rPr>
                <w:noProof/>
                <w:webHidden/>
              </w:rPr>
              <w:fldChar w:fldCharType="separate"/>
            </w:r>
            <w:r>
              <w:rPr>
                <w:noProof/>
                <w:webHidden/>
              </w:rPr>
              <w:t>3</w:t>
            </w:r>
            <w:r>
              <w:rPr>
                <w:noProof/>
                <w:webHidden/>
              </w:rPr>
              <w:fldChar w:fldCharType="end"/>
            </w:r>
          </w:hyperlink>
        </w:p>
        <w:p w14:paraId="6CF73427" w14:textId="0447148C"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30" w:history="1">
            <w:r w:rsidRPr="00D774F1">
              <w:rPr>
                <w:rStyle w:val="Hyperlink"/>
                <w:noProof/>
              </w:rPr>
              <w:t>Are insurers required to implement these changes?</w:t>
            </w:r>
            <w:r>
              <w:rPr>
                <w:noProof/>
                <w:webHidden/>
              </w:rPr>
              <w:tab/>
            </w:r>
            <w:r>
              <w:rPr>
                <w:noProof/>
                <w:webHidden/>
              </w:rPr>
              <w:fldChar w:fldCharType="begin"/>
            </w:r>
            <w:r>
              <w:rPr>
                <w:noProof/>
                <w:webHidden/>
              </w:rPr>
              <w:instrText xml:space="preserve"> PAGEREF _Toc98937430 \h </w:instrText>
            </w:r>
            <w:r>
              <w:rPr>
                <w:noProof/>
                <w:webHidden/>
              </w:rPr>
            </w:r>
            <w:r>
              <w:rPr>
                <w:noProof/>
                <w:webHidden/>
              </w:rPr>
              <w:fldChar w:fldCharType="separate"/>
            </w:r>
            <w:r>
              <w:rPr>
                <w:noProof/>
                <w:webHidden/>
              </w:rPr>
              <w:t>3</w:t>
            </w:r>
            <w:r>
              <w:rPr>
                <w:noProof/>
                <w:webHidden/>
              </w:rPr>
              <w:fldChar w:fldCharType="end"/>
            </w:r>
          </w:hyperlink>
        </w:p>
        <w:p w14:paraId="6298B121" w14:textId="2D36B037"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31" w:history="1">
            <w:r w:rsidRPr="00D774F1">
              <w:rPr>
                <w:rStyle w:val="Hyperlink"/>
                <w:noProof/>
              </w:rPr>
              <w:t>When do the changes start?</w:t>
            </w:r>
            <w:r>
              <w:rPr>
                <w:noProof/>
                <w:webHidden/>
              </w:rPr>
              <w:tab/>
            </w:r>
            <w:r>
              <w:rPr>
                <w:noProof/>
                <w:webHidden/>
              </w:rPr>
              <w:fldChar w:fldCharType="begin"/>
            </w:r>
            <w:r>
              <w:rPr>
                <w:noProof/>
                <w:webHidden/>
              </w:rPr>
              <w:instrText xml:space="preserve"> PAGEREF _Toc98937431 \h </w:instrText>
            </w:r>
            <w:r>
              <w:rPr>
                <w:noProof/>
                <w:webHidden/>
              </w:rPr>
            </w:r>
            <w:r>
              <w:rPr>
                <w:noProof/>
                <w:webHidden/>
              </w:rPr>
              <w:fldChar w:fldCharType="separate"/>
            </w:r>
            <w:r>
              <w:rPr>
                <w:noProof/>
                <w:webHidden/>
              </w:rPr>
              <w:t>3</w:t>
            </w:r>
            <w:r>
              <w:rPr>
                <w:noProof/>
                <w:webHidden/>
              </w:rPr>
              <w:fldChar w:fldCharType="end"/>
            </w:r>
          </w:hyperlink>
        </w:p>
        <w:p w14:paraId="16D02DA9" w14:textId="166376F3"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32" w:history="1">
            <w:r w:rsidRPr="00D774F1">
              <w:rPr>
                <w:rStyle w:val="Hyperlink"/>
                <w:noProof/>
              </w:rPr>
              <w:t>Are insurers required to offer coverage for dependent people with a disability?</w:t>
            </w:r>
            <w:r>
              <w:rPr>
                <w:noProof/>
                <w:webHidden/>
              </w:rPr>
              <w:tab/>
            </w:r>
            <w:r>
              <w:rPr>
                <w:noProof/>
                <w:webHidden/>
              </w:rPr>
              <w:fldChar w:fldCharType="begin"/>
            </w:r>
            <w:r>
              <w:rPr>
                <w:noProof/>
                <w:webHidden/>
              </w:rPr>
              <w:instrText xml:space="preserve"> PAGEREF _Toc98937432 \h </w:instrText>
            </w:r>
            <w:r>
              <w:rPr>
                <w:noProof/>
                <w:webHidden/>
              </w:rPr>
            </w:r>
            <w:r>
              <w:rPr>
                <w:noProof/>
                <w:webHidden/>
              </w:rPr>
              <w:fldChar w:fldCharType="separate"/>
            </w:r>
            <w:r>
              <w:rPr>
                <w:noProof/>
                <w:webHidden/>
              </w:rPr>
              <w:t>3</w:t>
            </w:r>
            <w:r>
              <w:rPr>
                <w:noProof/>
                <w:webHidden/>
              </w:rPr>
              <w:fldChar w:fldCharType="end"/>
            </w:r>
          </w:hyperlink>
        </w:p>
        <w:p w14:paraId="4B746ABC" w14:textId="21A877D7"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33" w:history="1">
            <w:r w:rsidRPr="00D774F1">
              <w:rPr>
                <w:rStyle w:val="Hyperlink"/>
                <w:noProof/>
              </w:rPr>
              <w:t>What legislation supports this measure?</w:t>
            </w:r>
            <w:r>
              <w:rPr>
                <w:noProof/>
                <w:webHidden/>
              </w:rPr>
              <w:tab/>
            </w:r>
            <w:r>
              <w:rPr>
                <w:noProof/>
                <w:webHidden/>
              </w:rPr>
              <w:fldChar w:fldCharType="begin"/>
            </w:r>
            <w:r>
              <w:rPr>
                <w:noProof/>
                <w:webHidden/>
              </w:rPr>
              <w:instrText xml:space="preserve"> PAGEREF _Toc98937433 \h </w:instrText>
            </w:r>
            <w:r>
              <w:rPr>
                <w:noProof/>
                <w:webHidden/>
              </w:rPr>
            </w:r>
            <w:r>
              <w:rPr>
                <w:noProof/>
                <w:webHidden/>
              </w:rPr>
              <w:fldChar w:fldCharType="separate"/>
            </w:r>
            <w:r>
              <w:rPr>
                <w:noProof/>
                <w:webHidden/>
              </w:rPr>
              <w:t>3</w:t>
            </w:r>
            <w:r>
              <w:rPr>
                <w:noProof/>
                <w:webHidden/>
              </w:rPr>
              <w:fldChar w:fldCharType="end"/>
            </w:r>
          </w:hyperlink>
        </w:p>
        <w:p w14:paraId="4C2F8CEE" w14:textId="131DADE5"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34" w:history="1">
            <w:r w:rsidRPr="00D774F1">
              <w:rPr>
                <w:rStyle w:val="Hyperlink"/>
                <w:noProof/>
              </w:rPr>
              <w:t>What are the different types of dependants?</w:t>
            </w:r>
            <w:r>
              <w:rPr>
                <w:noProof/>
                <w:webHidden/>
              </w:rPr>
              <w:tab/>
            </w:r>
            <w:r>
              <w:rPr>
                <w:noProof/>
                <w:webHidden/>
              </w:rPr>
              <w:fldChar w:fldCharType="begin"/>
            </w:r>
            <w:r>
              <w:rPr>
                <w:noProof/>
                <w:webHidden/>
              </w:rPr>
              <w:instrText xml:space="preserve"> PAGEREF _Toc98937434 \h </w:instrText>
            </w:r>
            <w:r>
              <w:rPr>
                <w:noProof/>
                <w:webHidden/>
              </w:rPr>
            </w:r>
            <w:r>
              <w:rPr>
                <w:noProof/>
                <w:webHidden/>
              </w:rPr>
              <w:fldChar w:fldCharType="separate"/>
            </w:r>
            <w:r>
              <w:rPr>
                <w:noProof/>
                <w:webHidden/>
              </w:rPr>
              <w:t>4</w:t>
            </w:r>
            <w:r>
              <w:rPr>
                <w:noProof/>
                <w:webHidden/>
              </w:rPr>
              <w:fldChar w:fldCharType="end"/>
            </w:r>
          </w:hyperlink>
        </w:p>
        <w:p w14:paraId="573E701C" w14:textId="4B71DC26"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35" w:history="1">
            <w:r w:rsidRPr="00D774F1">
              <w:rPr>
                <w:rStyle w:val="Hyperlink"/>
                <w:noProof/>
              </w:rPr>
              <w:t>How are dependants covered by insurers?</w:t>
            </w:r>
            <w:r>
              <w:rPr>
                <w:noProof/>
                <w:webHidden/>
              </w:rPr>
              <w:tab/>
            </w:r>
            <w:r>
              <w:rPr>
                <w:noProof/>
                <w:webHidden/>
              </w:rPr>
              <w:fldChar w:fldCharType="begin"/>
            </w:r>
            <w:r>
              <w:rPr>
                <w:noProof/>
                <w:webHidden/>
              </w:rPr>
              <w:instrText xml:space="preserve"> PAGEREF _Toc98937435 \h </w:instrText>
            </w:r>
            <w:r>
              <w:rPr>
                <w:noProof/>
                <w:webHidden/>
              </w:rPr>
            </w:r>
            <w:r>
              <w:rPr>
                <w:noProof/>
                <w:webHidden/>
              </w:rPr>
              <w:fldChar w:fldCharType="separate"/>
            </w:r>
            <w:r>
              <w:rPr>
                <w:noProof/>
                <w:webHidden/>
              </w:rPr>
              <w:t>4</w:t>
            </w:r>
            <w:r>
              <w:rPr>
                <w:noProof/>
                <w:webHidden/>
              </w:rPr>
              <w:fldChar w:fldCharType="end"/>
            </w:r>
          </w:hyperlink>
        </w:p>
        <w:p w14:paraId="115FC05C" w14:textId="758FA3F5"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36" w:history="1">
            <w:r w:rsidRPr="00D774F1">
              <w:rPr>
                <w:rStyle w:val="Hyperlink"/>
                <w:noProof/>
              </w:rPr>
              <w:t>Why do the insured groups for families include more than one type of dependant?</w:t>
            </w:r>
            <w:r>
              <w:rPr>
                <w:noProof/>
                <w:webHidden/>
              </w:rPr>
              <w:tab/>
            </w:r>
            <w:r>
              <w:rPr>
                <w:noProof/>
                <w:webHidden/>
              </w:rPr>
              <w:fldChar w:fldCharType="begin"/>
            </w:r>
            <w:r>
              <w:rPr>
                <w:noProof/>
                <w:webHidden/>
              </w:rPr>
              <w:instrText xml:space="preserve"> PAGEREF _Toc98937436 \h </w:instrText>
            </w:r>
            <w:r>
              <w:rPr>
                <w:noProof/>
                <w:webHidden/>
              </w:rPr>
            </w:r>
            <w:r>
              <w:rPr>
                <w:noProof/>
                <w:webHidden/>
              </w:rPr>
              <w:fldChar w:fldCharType="separate"/>
            </w:r>
            <w:r>
              <w:rPr>
                <w:noProof/>
                <w:webHidden/>
              </w:rPr>
              <w:t>5</w:t>
            </w:r>
            <w:r>
              <w:rPr>
                <w:noProof/>
                <w:webHidden/>
              </w:rPr>
              <w:fldChar w:fldCharType="end"/>
            </w:r>
          </w:hyperlink>
        </w:p>
        <w:p w14:paraId="21634943" w14:textId="4267B08A"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37" w:history="1">
            <w:r w:rsidRPr="00D774F1">
              <w:rPr>
                <w:rStyle w:val="Hyperlink"/>
                <w:noProof/>
              </w:rPr>
              <w:t>Can an insurer charge different premiums for the same product if it covers different types of dependants?</w:t>
            </w:r>
            <w:r>
              <w:rPr>
                <w:noProof/>
                <w:webHidden/>
              </w:rPr>
              <w:tab/>
            </w:r>
            <w:r>
              <w:rPr>
                <w:noProof/>
                <w:webHidden/>
              </w:rPr>
              <w:fldChar w:fldCharType="begin"/>
            </w:r>
            <w:r>
              <w:rPr>
                <w:noProof/>
                <w:webHidden/>
              </w:rPr>
              <w:instrText xml:space="preserve"> PAGEREF _Toc98937437 \h </w:instrText>
            </w:r>
            <w:r>
              <w:rPr>
                <w:noProof/>
                <w:webHidden/>
              </w:rPr>
            </w:r>
            <w:r>
              <w:rPr>
                <w:noProof/>
                <w:webHidden/>
              </w:rPr>
              <w:fldChar w:fldCharType="separate"/>
            </w:r>
            <w:r>
              <w:rPr>
                <w:noProof/>
                <w:webHidden/>
              </w:rPr>
              <w:t>5</w:t>
            </w:r>
            <w:r>
              <w:rPr>
                <w:noProof/>
                <w:webHidden/>
              </w:rPr>
              <w:fldChar w:fldCharType="end"/>
            </w:r>
          </w:hyperlink>
        </w:p>
        <w:p w14:paraId="78FE5FE2" w14:textId="05FD09E6"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38" w:history="1">
            <w:r w:rsidRPr="00D774F1">
              <w:rPr>
                <w:rStyle w:val="Hyperlink"/>
                <w:noProof/>
              </w:rPr>
              <w:t>Can a person with a disability be covered as a dependant under other insured groups apart from insured groups (g) and (k)?</w:t>
            </w:r>
            <w:r>
              <w:rPr>
                <w:noProof/>
                <w:webHidden/>
              </w:rPr>
              <w:tab/>
            </w:r>
            <w:r>
              <w:rPr>
                <w:noProof/>
                <w:webHidden/>
              </w:rPr>
              <w:fldChar w:fldCharType="begin"/>
            </w:r>
            <w:r>
              <w:rPr>
                <w:noProof/>
                <w:webHidden/>
              </w:rPr>
              <w:instrText xml:space="preserve"> PAGEREF _Toc98937438 \h </w:instrText>
            </w:r>
            <w:r>
              <w:rPr>
                <w:noProof/>
                <w:webHidden/>
              </w:rPr>
            </w:r>
            <w:r>
              <w:rPr>
                <w:noProof/>
                <w:webHidden/>
              </w:rPr>
              <w:fldChar w:fldCharType="separate"/>
            </w:r>
            <w:r>
              <w:rPr>
                <w:noProof/>
                <w:webHidden/>
              </w:rPr>
              <w:t>5</w:t>
            </w:r>
            <w:r>
              <w:rPr>
                <w:noProof/>
                <w:webHidden/>
              </w:rPr>
              <w:fldChar w:fldCharType="end"/>
            </w:r>
          </w:hyperlink>
        </w:p>
        <w:p w14:paraId="51B16B6B" w14:textId="583FE051"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39" w:history="1">
            <w:r w:rsidRPr="00D774F1">
              <w:rPr>
                <w:rStyle w:val="Hyperlink"/>
                <w:noProof/>
              </w:rPr>
              <w:t>Do insurers have to cover all types of dependants?</w:t>
            </w:r>
            <w:r>
              <w:rPr>
                <w:noProof/>
                <w:webHidden/>
              </w:rPr>
              <w:tab/>
            </w:r>
            <w:r>
              <w:rPr>
                <w:noProof/>
                <w:webHidden/>
              </w:rPr>
              <w:fldChar w:fldCharType="begin"/>
            </w:r>
            <w:r>
              <w:rPr>
                <w:noProof/>
                <w:webHidden/>
              </w:rPr>
              <w:instrText xml:space="preserve"> PAGEREF _Toc98937439 \h </w:instrText>
            </w:r>
            <w:r>
              <w:rPr>
                <w:noProof/>
                <w:webHidden/>
              </w:rPr>
            </w:r>
            <w:r>
              <w:rPr>
                <w:noProof/>
                <w:webHidden/>
              </w:rPr>
              <w:fldChar w:fldCharType="separate"/>
            </w:r>
            <w:r>
              <w:rPr>
                <w:noProof/>
                <w:webHidden/>
              </w:rPr>
              <w:t>5</w:t>
            </w:r>
            <w:r>
              <w:rPr>
                <w:noProof/>
                <w:webHidden/>
              </w:rPr>
              <w:fldChar w:fldCharType="end"/>
            </w:r>
          </w:hyperlink>
        </w:p>
        <w:p w14:paraId="1E72CDB3" w14:textId="2E32BC02"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40" w:history="1">
            <w:r w:rsidRPr="00D774F1">
              <w:rPr>
                <w:rStyle w:val="Hyperlink"/>
                <w:noProof/>
              </w:rPr>
              <w:t>Can an insurer define dependant types differently for different products?</w:t>
            </w:r>
            <w:r>
              <w:rPr>
                <w:noProof/>
                <w:webHidden/>
              </w:rPr>
              <w:tab/>
            </w:r>
            <w:r>
              <w:rPr>
                <w:noProof/>
                <w:webHidden/>
              </w:rPr>
              <w:fldChar w:fldCharType="begin"/>
            </w:r>
            <w:r>
              <w:rPr>
                <w:noProof/>
                <w:webHidden/>
              </w:rPr>
              <w:instrText xml:space="preserve"> PAGEREF _Toc98937440 \h </w:instrText>
            </w:r>
            <w:r>
              <w:rPr>
                <w:noProof/>
                <w:webHidden/>
              </w:rPr>
            </w:r>
            <w:r>
              <w:rPr>
                <w:noProof/>
                <w:webHidden/>
              </w:rPr>
              <w:fldChar w:fldCharType="separate"/>
            </w:r>
            <w:r>
              <w:rPr>
                <w:noProof/>
                <w:webHidden/>
              </w:rPr>
              <w:t>6</w:t>
            </w:r>
            <w:r>
              <w:rPr>
                <w:noProof/>
                <w:webHidden/>
              </w:rPr>
              <w:fldChar w:fldCharType="end"/>
            </w:r>
          </w:hyperlink>
        </w:p>
        <w:p w14:paraId="354A2019" w14:textId="428E7FC9"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41" w:history="1">
            <w:r w:rsidRPr="00D774F1">
              <w:rPr>
                <w:rStyle w:val="Hyperlink"/>
                <w:noProof/>
              </w:rPr>
              <w:t>Why is there a non-classified dependent person type of dependant?</w:t>
            </w:r>
            <w:r>
              <w:rPr>
                <w:noProof/>
                <w:webHidden/>
              </w:rPr>
              <w:tab/>
            </w:r>
            <w:r>
              <w:rPr>
                <w:noProof/>
                <w:webHidden/>
              </w:rPr>
              <w:fldChar w:fldCharType="begin"/>
            </w:r>
            <w:r>
              <w:rPr>
                <w:noProof/>
                <w:webHidden/>
              </w:rPr>
              <w:instrText xml:space="preserve"> PAGEREF _Toc98937441 \h </w:instrText>
            </w:r>
            <w:r>
              <w:rPr>
                <w:noProof/>
                <w:webHidden/>
              </w:rPr>
            </w:r>
            <w:r>
              <w:rPr>
                <w:noProof/>
                <w:webHidden/>
              </w:rPr>
              <w:fldChar w:fldCharType="separate"/>
            </w:r>
            <w:r>
              <w:rPr>
                <w:noProof/>
                <w:webHidden/>
              </w:rPr>
              <w:t>6</w:t>
            </w:r>
            <w:r>
              <w:rPr>
                <w:noProof/>
                <w:webHidden/>
              </w:rPr>
              <w:fldChar w:fldCharType="end"/>
            </w:r>
          </w:hyperlink>
        </w:p>
        <w:p w14:paraId="77BE3146" w14:textId="300BF4E5"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42" w:history="1">
            <w:r w:rsidRPr="00D774F1">
              <w:rPr>
                <w:rStyle w:val="Hyperlink"/>
                <w:noProof/>
              </w:rPr>
              <w:t>How is dependency defined?</w:t>
            </w:r>
            <w:r>
              <w:rPr>
                <w:noProof/>
                <w:webHidden/>
              </w:rPr>
              <w:tab/>
            </w:r>
            <w:r>
              <w:rPr>
                <w:noProof/>
                <w:webHidden/>
              </w:rPr>
              <w:fldChar w:fldCharType="begin"/>
            </w:r>
            <w:r>
              <w:rPr>
                <w:noProof/>
                <w:webHidden/>
              </w:rPr>
              <w:instrText xml:space="preserve"> PAGEREF _Toc98937442 \h </w:instrText>
            </w:r>
            <w:r>
              <w:rPr>
                <w:noProof/>
                <w:webHidden/>
              </w:rPr>
            </w:r>
            <w:r>
              <w:rPr>
                <w:noProof/>
                <w:webHidden/>
              </w:rPr>
              <w:fldChar w:fldCharType="separate"/>
            </w:r>
            <w:r>
              <w:rPr>
                <w:noProof/>
                <w:webHidden/>
              </w:rPr>
              <w:t>6</w:t>
            </w:r>
            <w:r>
              <w:rPr>
                <w:noProof/>
                <w:webHidden/>
              </w:rPr>
              <w:fldChar w:fldCharType="end"/>
            </w:r>
          </w:hyperlink>
        </w:p>
        <w:p w14:paraId="56755499" w14:textId="5030C54F"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43" w:history="1">
            <w:r w:rsidRPr="00D774F1">
              <w:rPr>
                <w:rStyle w:val="Hyperlink"/>
                <w:noProof/>
              </w:rPr>
              <w:t>Which dependent person age ranges can an insurer set in its rules?</w:t>
            </w:r>
            <w:r>
              <w:rPr>
                <w:noProof/>
                <w:webHidden/>
              </w:rPr>
              <w:tab/>
            </w:r>
            <w:r>
              <w:rPr>
                <w:noProof/>
                <w:webHidden/>
              </w:rPr>
              <w:fldChar w:fldCharType="begin"/>
            </w:r>
            <w:r>
              <w:rPr>
                <w:noProof/>
                <w:webHidden/>
              </w:rPr>
              <w:instrText xml:space="preserve"> PAGEREF _Toc98937443 \h </w:instrText>
            </w:r>
            <w:r>
              <w:rPr>
                <w:noProof/>
                <w:webHidden/>
              </w:rPr>
            </w:r>
            <w:r>
              <w:rPr>
                <w:noProof/>
                <w:webHidden/>
              </w:rPr>
              <w:fldChar w:fldCharType="separate"/>
            </w:r>
            <w:r>
              <w:rPr>
                <w:noProof/>
                <w:webHidden/>
              </w:rPr>
              <w:t>6</w:t>
            </w:r>
            <w:r>
              <w:rPr>
                <w:noProof/>
                <w:webHidden/>
              </w:rPr>
              <w:fldChar w:fldCharType="end"/>
            </w:r>
          </w:hyperlink>
        </w:p>
        <w:p w14:paraId="6E3B4952" w14:textId="042D22D0"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44" w:history="1">
            <w:r w:rsidRPr="00D774F1">
              <w:rPr>
                <w:rStyle w:val="Hyperlink"/>
                <w:noProof/>
              </w:rPr>
              <w:t>Are insurers compelled to increase the maximum age of dependent students and non-students to 31 years?</w:t>
            </w:r>
            <w:r>
              <w:rPr>
                <w:noProof/>
                <w:webHidden/>
              </w:rPr>
              <w:tab/>
            </w:r>
            <w:r>
              <w:rPr>
                <w:noProof/>
                <w:webHidden/>
              </w:rPr>
              <w:fldChar w:fldCharType="begin"/>
            </w:r>
            <w:r>
              <w:rPr>
                <w:noProof/>
                <w:webHidden/>
              </w:rPr>
              <w:instrText xml:space="preserve"> PAGEREF _Toc98937444 \h </w:instrText>
            </w:r>
            <w:r>
              <w:rPr>
                <w:noProof/>
                <w:webHidden/>
              </w:rPr>
            </w:r>
            <w:r>
              <w:rPr>
                <w:noProof/>
                <w:webHidden/>
              </w:rPr>
              <w:fldChar w:fldCharType="separate"/>
            </w:r>
            <w:r>
              <w:rPr>
                <w:noProof/>
                <w:webHidden/>
              </w:rPr>
              <w:t>6</w:t>
            </w:r>
            <w:r>
              <w:rPr>
                <w:noProof/>
                <w:webHidden/>
              </w:rPr>
              <w:fldChar w:fldCharType="end"/>
            </w:r>
          </w:hyperlink>
        </w:p>
        <w:p w14:paraId="7378C386" w14:textId="16CAD9ED"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45" w:history="1">
            <w:r w:rsidRPr="00D774F1">
              <w:rPr>
                <w:rStyle w:val="Hyperlink"/>
                <w:noProof/>
              </w:rPr>
              <w:t>How is disability defined?</w:t>
            </w:r>
            <w:r>
              <w:rPr>
                <w:noProof/>
                <w:webHidden/>
              </w:rPr>
              <w:tab/>
            </w:r>
            <w:r>
              <w:rPr>
                <w:noProof/>
                <w:webHidden/>
              </w:rPr>
              <w:fldChar w:fldCharType="begin"/>
            </w:r>
            <w:r>
              <w:rPr>
                <w:noProof/>
                <w:webHidden/>
              </w:rPr>
              <w:instrText xml:space="preserve"> PAGEREF _Toc98937445 \h </w:instrText>
            </w:r>
            <w:r>
              <w:rPr>
                <w:noProof/>
                <w:webHidden/>
              </w:rPr>
            </w:r>
            <w:r>
              <w:rPr>
                <w:noProof/>
                <w:webHidden/>
              </w:rPr>
              <w:fldChar w:fldCharType="separate"/>
            </w:r>
            <w:r>
              <w:rPr>
                <w:noProof/>
                <w:webHidden/>
              </w:rPr>
              <w:t>7</w:t>
            </w:r>
            <w:r>
              <w:rPr>
                <w:noProof/>
                <w:webHidden/>
              </w:rPr>
              <w:fldChar w:fldCharType="end"/>
            </w:r>
          </w:hyperlink>
        </w:p>
        <w:p w14:paraId="7AF1EBE1" w14:textId="2FD72348"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46" w:history="1">
            <w:r w:rsidRPr="00D774F1">
              <w:rPr>
                <w:rStyle w:val="Hyperlink"/>
                <w:noProof/>
              </w:rPr>
              <w:t>What happens if a person with a disability is no longer a participant in the National Disability Insurance Scheme (NDIS)?</w:t>
            </w:r>
            <w:r>
              <w:rPr>
                <w:noProof/>
                <w:webHidden/>
              </w:rPr>
              <w:tab/>
            </w:r>
            <w:r>
              <w:rPr>
                <w:noProof/>
                <w:webHidden/>
              </w:rPr>
              <w:fldChar w:fldCharType="begin"/>
            </w:r>
            <w:r>
              <w:rPr>
                <w:noProof/>
                <w:webHidden/>
              </w:rPr>
              <w:instrText xml:space="preserve"> PAGEREF _Toc98937446 \h </w:instrText>
            </w:r>
            <w:r>
              <w:rPr>
                <w:noProof/>
                <w:webHidden/>
              </w:rPr>
            </w:r>
            <w:r>
              <w:rPr>
                <w:noProof/>
                <w:webHidden/>
              </w:rPr>
              <w:fldChar w:fldCharType="separate"/>
            </w:r>
            <w:r>
              <w:rPr>
                <w:noProof/>
                <w:webHidden/>
              </w:rPr>
              <w:t>7</w:t>
            </w:r>
            <w:r>
              <w:rPr>
                <w:noProof/>
                <w:webHidden/>
              </w:rPr>
              <w:fldChar w:fldCharType="end"/>
            </w:r>
          </w:hyperlink>
        </w:p>
        <w:p w14:paraId="2DF30EDA" w14:textId="2FC65303"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47" w:history="1">
            <w:r w:rsidRPr="00D774F1">
              <w:rPr>
                <w:rStyle w:val="Hyperlink"/>
                <w:noProof/>
              </w:rPr>
              <w:t>How will Lifetime Health Cover affect a dependent person with a disability?</w:t>
            </w:r>
            <w:r>
              <w:rPr>
                <w:noProof/>
                <w:webHidden/>
              </w:rPr>
              <w:tab/>
            </w:r>
            <w:r>
              <w:rPr>
                <w:noProof/>
                <w:webHidden/>
              </w:rPr>
              <w:fldChar w:fldCharType="begin"/>
            </w:r>
            <w:r>
              <w:rPr>
                <w:noProof/>
                <w:webHidden/>
              </w:rPr>
              <w:instrText xml:space="preserve"> PAGEREF _Toc98937447 \h </w:instrText>
            </w:r>
            <w:r>
              <w:rPr>
                <w:noProof/>
                <w:webHidden/>
              </w:rPr>
            </w:r>
            <w:r>
              <w:rPr>
                <w:noProof/>
                <w:webHidden/>
              </w:rPr>
              <w:fldChar w:fldCharType="separate"/>
            </w:r>
            <w:r>
              <w:rPr>
                <w:noProof/>
                <w:webHidden/>
              </w:rPr>
              <w:t>7</w:t>
            </w:r>
            <w:r>
              <w:rPr>
                <w:noProof/>
                <w:webHidden/>
              </w:rPr>
              <w:fldChar w:fldCharType="end"/>
            </w:r>
          </w:hyperlink>
        </w:p>
        <w:p w14:paraId="608D7B43" w14:textId="58F6137A"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48" w:history="1">
            <w:r w:rsidRPr="00D774F1">
              <w:rPr>
                <w:rStyle w:val="Hyperlink"/>
                <w:noProof/>
              </w:rPr>
              <w:t>How many decimal places should the average Lifetime Health Cover loading for a policy contain?</w:t>
            </w:r>
            <w:r>
              <w:rPr>
                <w:noProof/>
                <w:webHidden/>
              </w:rPr>
              <w:tab/>
            </w:r>
            <w:r>
              <w:rPr>
                <w:noProof/>
                <w:webHidden/>
              </w:rPr>
              <w:fldChar w:fldCharType="begin"/>
            </w:r>
            <w:r>
              <w:rPr>
                <w:noProof/>
                <w:webHidden/>
              </w:rPr>
              <w:instrText xml:space="preserve"> PAGEREF _Toc98937448 \h </w:instrText>
            </w:r>
            <w:r>
              <w:rPr>
                <w:noProof/>
                <w:webHidden/>
              </w:rPr>
            </w:r>
            <w:r>
              <w:rPr>
                <w:noProof/>
                <w:webHidden/>
              </w:rPr>
              <w:fldChar w:fldCharType="separate"/>
            </w:r>
            <w:r>
              <w:rPr>
                <w:noProof/>
                <w:webHidden/>
              </w:rPr>
              <w:t>7</w:t>
            </w:r>
            <w:r>
              <w:rPr>
                <w:noProof/>
                <w:webHidden/>
              </w:rPr>
              <w:fldChar w:fldCharType="end"/>
            </w:r>
          </w:hyperlink>
        </w:p>
        <w:p w14:paraId="2EBEB0C7" w14:textId="66DADBAD"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49" w:history="1">
            <w:r w:rsidRPr="00D774F1">
              <w:rPr>
                <w:rStyle w:val="Hyperlink"/>
                <w:noProof/>
              </w:rPr>
              <w:t>How are dependent students and dependent non-students with hospital cover on 1 July after they turn 31 treated for the purposes of Lifetime Health Cover?</w:t>
            </w:r>
            <w:r>
              <w:rPr>
                <w:noProof/>
                <w:webHidden/>
              </w:rPr>
              <w:tab/>
            </w:r>
            <w:r>
              <w:rPr>
                <w:noProof/>
                <w:webHidden/>
              </w:rPr>
              <w:fldChar w:fldCharType="begin"/>
            </w:r>
            <w:r>
              <w:rPr>
                <w:noProof/>
                <w:webHidden/>
              </w:rPr>
              <w:instrText xml:space="preserve"> PAGEREF _Toc98937449 \h </w:instrText>
            </w:r>
            <w:r>
              <w:rPr>
                <w:noProof/>
                <w:webHidden/>
              </w:rPr>
            </w:r>
            <w:r>
              <w:rPr>
                <w:noProof/>
                <w:webHidden/>
              </w:rPr>
              <w:fldChar w:fldCharType="separate"/>
            </w:r>
            <w:r>
              <w:rPr>
                <w:noProof/>
                <w:webHidden/>
              </w:rPr>
              <w:t>9</w:t>
            </w:r>
            <w:r>
              <w:rPr>
                <w:noProof/>
                <w:webHidden/>
              </w:rPr>
              <w:fldChar w:fldCharType="end"/>
            </w:r>
          </w:hyperlink>
        </w:p>
        <w:p w14:paraId="64908A4C" w14:textId="612C5C11"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50" w:history="1">
            <w:r w:rsidRPr="00D774F1">
              <w:rPr>
                <w:rStyle w:val="Hyperlink"/>
                <w:noProof/>
              </w:rPr>
              <w:t>How does this measure interact with age-based discounts?</w:t>
            </w:r>
            <w:r>
              <w:rPr>
                <w:noProof/>
                <w:webHidden/>
              </w:rPr>
              <w:tab/>
            </w:r>
            <w:r>
              <w:rPr>
                <w:noProof/>
                <w:webHidden/>
              </w:rPr>
              <w:fldChar w:fldCharType="begin"/>
            </w:r>
            <w:r>
              <w:rPr>
                <w:noProof/>
                <w:webHidden/>
              </w:rPr>
              <w:instrText xml:space="preserve"> PAGEREF _Toc98937450 \h </w:instrText>
            </w:r>
            <w:r>
              <w:rPr>
                <w:noProof/>
                <w:webHidden/>
              </w:rPr>
            </w:r>
            <w:r>
              <w:rPr>
                <w:noProof/>
                <w:webHidden/>
              </w:rPr>
              <w:fldChar w:fldCharType="separate"/>
            </w:r>
            <w:r>
              <w:rPr>
                <w:noProof/>
                <w:webHidden/>
              </w:rPr>
              <w:t>9</w:t>
            </w:r>
            <w:r>
              <w:rPr>
                <w:noProof/>
                <w:webHidden/>
              </w:rPr>
              <w:fldChar w:fldCharType="end"/>
            </w:r>
          </w:hyperlink>
        </w:p>
        <w:p w14:paraId="181674CE" w14:textId="2B550EB4"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51" w:history="1">
            <w:r w:rsidRPr="00D774F1">
              <w:rPr>
                <w:rStyle w:val="Hyperlink"/>
                <w:noProof/>
              </w:rPr>
              <w:t>How do these changes affect Private Health Information Statements and Privatehealth.gov.au?</w:t>
            </w:r>
            <w:r>
              <w:rPr>
                <w:noProof/>
                <w:webHidden/>
              </w:rPr>
              <w:tab/>
            </w:r>
            <w:r>
              <w:rPr>
                <w:noProof/>
                <w:webHidden/>
              </w:rPr>
              <w:fldChar w:fldCharType="begin"/>
            </w:r>
            <w:r>
              <w:rPr>
                <w:noProof/>
                <w:webHidden/>
              </w:rPr>
              <w:instrText xml:space="preserve"> PAGEREF _Toc98937451 \h </w:instrText>
            </w:r>
            <w:r>
              <w:rPr>
                <w:noProof/>
                <w:webHidden/>
              </w:rPr>
            </w:r>
            <w:r>
              <w:rPr>
                <w:noProof/>
                <w:webHidden/>
              </w:rPr>
              <w:fldChar w:fldCharType="separate"/>
            </w:r>
            <w:r>
              <w:rPr>
                <w:noProof/>
                <w:webHidden/>
              </w:rPr>
              <w:t>10</w:t>
            </w:r>
            <w:r>
              <w:rPr>
                <w:noProof/>
                <w:webHidden/>
              </w:rPr>
              <w:fldChar w:fldCharType="end"/>
            </w:r>
          </w:hyperlink>
        </w:p>
        <w:p w14:paraId="308BCB98" w14:textId="1EE54379"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52" w:history="1">
            <w:r w:rsidRPr="00D774F1">
              <w:rPr>
                <w:rStyle w:val="Hyperlink"/>
                <w:noProof/>
              </w:rPr>
              <w:t>How does the definition of a dependant for private health insurance align with the definition of a dependant for taxation purposes?</w:t>
            </w:r>
            <w:r>
              <w:rPr>
                <w:noProof/>
                <w:webHidden/>
              </w:rPr>
              <w:tab/>
            </w:r>
            <w:r>
              <w:rPr>
                <w:noProof/>
                <w:webHidden/>
              </w:rPr>
              <w:fldChar w:fldCharType="begin"/>
            </w:r>
            <w:r>
              <w:rPr>
                <w:noProof/>
                <w:webHidden/>
              </w:rPr>
              <w:instrText xml:space="preserve"> PAGEREF _Toc98937452 \h </w:instrText>
            </w:r>
            <w:r>
              <w:rPr>
                <w:noProof/>
                <w:webHidden/>
              </w:rPr>
            </w:r>
            <w:r>
              <w:rPr>
                <w:noProof/>
                <w:webHidden/>
              </w:rPr>
              <w:fldChar w:fldCharType="separate"/>
            </w:r>
            <w:r>
              <w:rPr>
                <w:noProof/>
                <w:webHidden/>
              </w:rPr>
              <w:t>10</w:t>
            </w:r>
            <w:r>
              <w:rPr>
                <w:noProof/>
                <w:webHidden/>
              </w:rPr>
              <w:fldChar w:fldCharType="end"/>
            </w:r>
          </w:hyperlink>
        </w:p>
        <w:p w14:paraId="7E0E4801" w14:textId="1989CD65" w:rsidR="00067BB8" w:rsidRDefault="00067BB8">
          <w:pPr>
            <w:pStyle w:val="TOC2"/>
            <w:tabs>
              <w:tab w:val="right" w:leader="dot" w:pos="9060"/>
            </w:tabs>
            <w:rPr>
              <w:rFonts w:asciiTheme="minorHAnsi" w:eastAsiaTheme="minorEastAsia" w:hAnsiTheme="minorHAnsi" w:cstheme="minorBidi"/>
              <w:noProof/>
              <w:szCs w:val="22"/>
              <w:lang w:eastAsia="en-AU"/>
            </w:rPr>
          </w:pPr>
          <w:hyperlink w:anchor="_Toc98937453" w:history="1">
            <w:r w:rsidRPr="00D774F1">
              <w:rPr>
                <w:rStyle w:val="Hyperlink"/>
                <w:noProof/>
              </w:rPr>
              <w:t>How does this measure affect:</w:t>
            </w:r>
            <w:r>
              <w:rPr>
                <w:noProof/>
                <w:webHidden/>
              </w:rPr>
              <w:tab/>
            </w:r>
            <w:r>
              <w:rPr>
                <w:noProof/>
                <w:webHidden/>
              </w:rPr>
              <w:fldChar w:fldCharType="begin"/>
            </w:r>
            <w:r>
              <w:rPr>
                <w:noProof/>
                <w:webHidden/>
              </w:rPr>
              <w:instrText xml:space="preserve"> PAGEREF _Toc98937453 \h </w:instrText>
            </w:r>
            <w:r>
              <w:rPr>
                <w:noProof/>
                <w:webHidden/>
              </w:rPr>
            </w:r>
            <w:r>
              <w:rPr>
                <w:noProof/>
                <w:webHidden/>
              </w:rPr>
              <w:fldChar w:fldCharType="separate"/>
            </w:r>
            <w:r>
              <w:rPr>
                <w:noProof/>
                <w:webHidden/>
              </w:rPr>
              <w:t>10</w:t>
            </w:r>
            <w:r>
              <w:rPr>
                <w:noProof/>
                <w:webHidden/>
              </w:rPr>
              <w:fldChar w:fldCharType="end"/>
            </w:r>
          </w:hyperlink>
        </w:p>
        <w:p w14:paraId="04ED3AA3" w14:textId="28DD420A" w:rsidR="00067BB8" w:rsidRDefault="00067BB8">
          <w:pPr>
            <w:pStyle w:val="TOC2"/>
            <w:tabs>
              <w:tab w:val="left" w:pos="660"/>
              <w:tab w:val="right" w:leader="dot" w:pos="9060"/>
            </w:tabs>
            <w:rPr>
              <w:rFonts w:asciiTheme="minorHAnsi" w:eastAsiaTheme="minorEastAsia" w:hAnsiTheme="minorHAnsi" w:cstheme="minorBidi"/>
              <w:noProof/>
              <w:szCs w:val="22"/>
              <w:lang w:eastAsia="en-AU"/>
            </w:rPr>
          </w:pPr>
          <w:hyperlink w:anchor="_Toc98937454" w:history="1">
            <w:r w:rsidRPr="00D774F1">
              <w:rPr>
                <w:rStyle w:val="Hyperlink"/>
                <w:rFonts w:ascii="Symbol" w:hAnsi="Symbol"/>
                <w:noProof/>
              </w:rPr>
              <w:t></w:t>
            </w:r>
            <w:r>
              <w:rPr>
                <w:rFonts w:asciiTheme="minorHAnsi" w:eastAsiaTheme="minorEastAsia" w:hAnsiTheme="minorHAnsi" w:cstheme="minorBidi"/>
                <w:noProof/>
                <w:szCs w:val="22"/>
                <w:lang w:eastAsia="en-AU"/>
              </w:rPr>
              <w:tab/>
            </w:r>
            <w:r w:rsidRPr="00D774F1">
              <w:rPr>
                <w:rStyle w:val="Hyperlink"/>
                <w:noProof/>
              </w:rPr>
              <w:t>the excess levels for policies?</w:t>
            </w:r>
            <w:r>
              <w:rPr>
                <w:noProof/>
                <w:webHidden/>
              </w:rPr>
              <w:tab/>
            </w:r>
            <w:r>
              <w:rPr>
                <w:noProof/>
                <w:webHidden/>
              </w:rPr>
              <w:fldChar w:fldCharType="begin"/>
            </w:r>
            <w:r>
              <w:rPr>
                <w:noProof/>
                <w:webHidden/>
              </w:rPr>
              <w:instrText xml:space="preserve"> PAGEREF _Toc98937454 \h </w:instrText>
            </w:r>
            <w:r>
              <w:rPr>
                <w:noProof/>
                <w:webHidden/>
              </w:rPr>
            </w:r>
            <w:r>
              <w:rPr>
                <w:noProof/>
                <w:webHidden/>
              </w:rPr>
              <w:fldChar w:fldCharType="separate"/>
            </w:r>
            <w:r>
              <w:rPr>
                <w:noProof/>
                <w:webHidden/>
              </w:rPr>
              <w:t>10</w:t>
            </w:r>
            <w:r>
              <w:rPr>
                <w:noProof/>
                <w:webHidden/>
              </w:rPr>
              <w:fldChar w:fldCharType="end"/>
            </w:r>
          </w:hyperlink>
        </w:p>
        <w:p w14:paraId="1BEF44D3" w14:textId="01DBA998" w:rsidR="00067BB8" w:rsidRDefault="00067BB8">
          <w:pPr>
            <w:pStyle w:val="TOC2"/>
            <w:tabs>
              <w:tab w:val="left" w:pos="660"/>
              <w:tab w:val="right" w:leader="dot" w:pos="9060"/>
            </w:tabs>
            <w:rPr>
              <w:rFonts w:asciiTheme="minorHAnsi" w:eastAsiaTheme="minorEastAsia" w:hAnsiTheme="minorHAnsi" w:cstheme="minorBidi"/>
              <w:noProof/>
              <w:szCs w:val="22"/>
              <w:lang w:eastAsia="en-AU"/>
            </w:rPr>
          </w:pPr>
          <w:hyperlink w:anchor="_Toc98937455" w:history="1">
            <w:r w:rsidRPr="00D774F1">
              <w:rPr>
                <w:rStyle w:val="Hyperlink"/>
                <w:rFonts w:ascii="Symbol" w:hAnsi="Symbol"/>
                <w:noProof/>
              </w:rPr>
              <w:t></w:t>
            </w:r>
            <w:r>
              <w:rPr>
                <w:rFonts w:asciiTheme="minorHAnsi" w:eastAsiaTheme="minorEastAsia" w:hAnsiTheme="minorHAnsi" w:cstheme="minorBidi"/>
                <w:noProof/>
                <w:szCs w:val="22"/>
                <w:lang w:eastAsia="en-AU"/>
              </w:rPr>
              <w:tab/>
            </w:r>
            <w:r w:rsidRPr="00D774F1">
              <w:rPr>
                <w:rStyle w:val="Hyperlink"/>
                <w:noProof/>
              </w:rPr>
              <w:t>the Standard Equivalent Unit (SEU) for polices?</w:t>
            </w:r>
            <w:r>
              <w:rPr>
                <w:noProof/>
                <w:webHidden/>
              </w:rPr>
              <w:tab/>
            </w:r>
            <w:r>
              <w:rPr>
                <w:noProof/>
                <w:webHidden/>
              </w:rPr>
              <w:fldChar w:fldCharType="begin"/>
            </w:r>
            <w:r>
              <w:rPr>
                <w:noProof/>
                <w:webHidden/>
              </w:rPr>
              <w:instrText xml:space="preserve"> PAGEREF _Toc98937455 \h </w:instrText>
            </w:r>
            <w:r>
              <w:rPr>
                <w:noProof/>
                <w:webHidden/>
              </w:rPr>
            </w:r>
            <w:r>
              <w:rPr>
                <w:noProof/>
                <w:webHidden/>
              </w:rPr>
              <w:fldChar w:fldCharType="separate"/>
            </w:r>
            <w:r>
              <w:rPr>
                <w:noProof/>
                <w:webHidden/>
              </w:rPr>
              <w:t>10</w:t>
            </w:r>
            <w:r>
              <w:rPr>
                <w:noProof/>
                <w:webHidden/>
              </w:rPr>
              <w:fldChar w:fldCharType="end"/>
            </w:r>
          </w:hyperlink>
        </w:p>
        <w:p w14:paraId="453022AD" w14:textId="6FA3105B" w:rsidR="00067BB8" w:rsidRDefault="00067BB8">
          <w:pPr>
            <w:pStyle w:val="TOC2"/>
            <w:tabs>
              <w:tab w:val="left" w:pos="660"/>
              <w:tab w:val="right" w:leader="dot" w:pos="9060"/>
            </w:tabs>
            <w:rPr>
              <w:rFonts w:asciiTheme="minorHAnsi" w:eastAsiaTheme="minorEastAsia" w:hAnsiTheme="minorHAnsi" w:cstheme="minorBidi"/>
              <w:noProof/>
              <w:szCs w:val="22"/>
              <w:lang w:eastAsia="en-AU"/>
            </w:rPr>
          </w:pPr>
          <w:hyperlink w:anchor="_Toc98937456" w:history="1">
            <w:r w:rsidRPr="00D774F1">
              <w:rPr>
                <w:rStyle w:val="Hyperlink"/>
                <w:rFonts w:ascii="Symbol" w:hAnsi="Symbol"/>
                <w:noProof/>
              </w:rPr>
              <w:t></w:t>
            </w:r>
            <w:r>
              <w:rPr>
                <w:rFonts w:asciiTheme="minorHAnsi" w:eastAsiaTheme="minorEastAsia" w:hAnsiTheme="minorHAnsi" w:cstheme="minorBidi"/>
                <w:noProof/>
                <w:szCs w:val="22"/>
                <w:lang w:eastAsia="en-AU"/>
              </w:rPr>
              <w:tab/>
            </w:r>
            <w:r w:rsidRPr="00D774F1">
              <w:rPr>
                <w:rStyle w:val="Hyperlink"/>
                <w:noProof/>
              </w:rPr>
              <w:t>Australian Prudential Regulation Authority (APRA) reporting requirements?</w:t>
            </w:r>
            <w:r>
              <w:rPr>
                <w:noProof/>
                <w:webHidden/>
              </w:rPr>
              <w:tab/>
            </w:r>
            <w:r>
              <w:rPr>
                <w:noProof/>
                <w:webHidden/>
              </w:rPr>
              <w:fldChar w:fldCharType="begin"/>
            </w:r>
            <w:r>
              <w:rPr>
                <w:noProof/>
                <w:webHidden/>
              </w:rPr>
              <w:instrText xml:space="preserve"> PAGEREF _Toc98937456 \h </w:instrText>
            </w:r>
            <w:r>
              <w:rPr>
                <w:noProof/>
                <w:webHidden/>
              </w:rPr>
            </w:r>
            <w:r>
              <w:rPr>
                <w:noProof/>
                <w:webHidden/>
              </w:rPr>
              <w:fldChar w:fldCharType="separate"/>
            </w:r>
            <w:r>
              <w:rPr>
                <w:noProof/>
                <w:webHidden/>
              </w:rPr>
              <w:t>10</w:t>
            </w:r>
            <w:r>
              <w:rPr>
                <w:noProof/>
                <w:webHidden/>
              </w:rPr>
              <w:fldChar w:fldCharType="end"/>
            </w:r>
          </w:hyperlink>
        </w:p>
        <w:p w14:paraId="62AF2063" w14:textId="7C3B9D26" w:rsidR="00067BB8" w:rsidRDefault="00067BB8">
          <w:pPr>
            <w:pStyle w:val="TOC2"/>
            <w:tabs>
              <w:tab w:val="left" w:pos="660"/>
              <w:tab w:val="right" w:leader="dot" w:pos="9060"/>
            </w:tabs>
            <w:rPr>
              <w:rFonts w:asciiTheme="minorHAnsi" w:eastAsiaTheme="minorEastAsia" w:hAnsiTheme="minorHAnsi" w:cstheme="minorBidi"/>
              <w:noProof/>
              <w:szCs w:val="22"/>
              <w:lang w:eastAsia="en-AU"/>
            </w:rPr>
          </w:pPr>
          <w:hyperlink w:anchor="_Toc98937457" w:history="1">
            <w:r w:rsidRPr="00D774F1">
              <w:rPr>
                <w:rStyle w:val="Hyperlink"/>
                <w:rFonts w:ascii="Symbol" w:hAnsi="Symbol"/>
                <w:noProof/>
              </w:rPr>
              <w:t></w:t>
            </w:r>
            <w:r>
              <w:rPr>
                <w:rFonts w:asciiTheme="minorHAnsi" w:eastAsiaTheme="minorEastAsia" w:hAnsiTheme="minorHAnsi" w:cstheme="minorBidi"/>
                <w:noProof/>
                <w:szCs w:val="22"/>
                <w:lang w:eastAsia="en-AU"/>
              </w:rPr>
              <w:tab/>
            </w:r>
            <w:r w:rsidRPr="00D774F1">
              <w:rPr>
                <w:rStyle w:val="Hyperlink"/>
                <w:noProof/>
              </w:rPr>
              <w:t>who can be a Private Health Insurance Beneficiary?</w:t>
            </w:r>
            <w:r>
              <w:rPr>
                <w:noProof/>
                <w:webHidden/>
              </w:rPr>
              <w:tab/>
            </w:r>
            <w:r>
              <w:rPr>
                <w:noProof/>
                <w:webHidden/>
              </w:rPr>
              <w:fldChar w:fldCharType="begin"/>
            </w:r>
            <w:r>
              <w:rPr>
                <w:noProof/>
                <w:webHidden/>
              </w:rPr>
              <w:instrText xml:space="preserve"> PAGEREF _Toc98937457 \h </w:instrText>
            </w:r>
            <w:r>
              <w:rPr>
                <w:noProof/>
                <w:webHidden/>
              </w:rPr>
            </w:r>
            <w:r>
              <w:rPr>
                <w:noProof/>
                <w:webHidden/>
              </w:rPr>
              <w:fldChar w:fldCharType="separate"/>
            </w:r>
            <w:r>
              <w:rPr>
                <w:noProof/>
                <w:webHidden/>
              </w:rPr>
              <w:t>11</w:t>
            </w:r>
            <w:r>
              <w:rPr>
                <w:noProof/>
                <w:webHidden/>
              </w:rPr>
              <w:fldChar w:fldCharType="end"/>
            </w:r>
          </w:hyperlink>
        </w:p>
        <w:p w14:paraId="737A5220" w14:textId="48FDAA9F" w:rsidR="00067BB8" w:rsidRDefault="00067BB8">
          <w:pPr>
            <w:pStyle w:val="TOC2"/>
            <w:tabs>
              <w:tab w:val="left" w:pos="660"/>
              <w:tab w:val="right" w:leader="dot" w:pos="9060"/>
            </w:tabs>
            <w:rPr>
              <w:rFonts w:asciiTheme="minorHAnsi" w:eastAsiaTheme="minorEastAsia" w:hAnsiTheme="minorHAnsi" w:cstheme="minorBidi"/>
              <w:noProof/>
              <w:szCs w:val="22"/>
              <w:lang w:eastAsia="en-AU"/>
            </w:rPr>
          </w:pPr>
          <w:hyperlink w:anchor="_Toc98937458" w:history="1">
            <w:r w:rsidRPr="00D774F1">
              <w:rPr>
                <w:rStyle w:val="Hyperlink"/>
                <w:rFonts w:ascii="Symbol" w:hAnsi="Symbol"/>
                <w:noProof/>
              </w:rPr>
              <w:t></w:t>
            </w:r>
            <w:r>
              <w:rPr>
                <w:rFonts w:asciiTheme="minorHAnsi" w:eastAsiaTheme="minorEastAsia" w:hAnsiTheme="minorHAnsi" w:cstheme="minorBidi"/>
                <w:noProof/>
                <w:szCs w:val="22"/>
                <w:lang w:eastAsia="en-AU"/>
              </w:rPr>
              <w:tab/>
            </w:r>
            <w:r w:rsidRPr="00D774F1">
              <w:rPr>
                <w:rStyle w:val="Hyperlink"/>
                <w:noProof/>
              </w:rPr>
              <w:t>transfer certificates?</w:t>
            </w:r>
            <w:r>
              <w:rPr>
                <w:noProof/>
                <w:webHidden/>
              </w:rPr>
              <w:tab/>
            </w:r>
            <w:r>
              <w:rPr>
                <w:noProof/>
                <w:webHidden/>
              </w:rPr>
              <w:fldChar w:fldCharType="begin"/>
            </w:r>
            <w:r>
              <w:rPr>
                <w:noProof/>
                <w:webHidden/>
              </w:rPr>
              <w:instrText xml:space="preserve"> PAGEREF _Toc98937458 \h </w:instrText>
            </w:r>
            <w:r>
              <w:rPr>
                <w:noProof/>
                <w:webHidden/>
              </w:rPr>
            </w:r>
            <w:r>
              <w:rPr>
                <w:noProof/>
                <w:webHidden/>
              </w:rPr>
              <w:fldChar w:fldCharType="separate"/>
            </w:r>
            <w:r>
              <w:rPr>
                <w:noProof/>
                <w:webHidden/>
              </w:rPr>
              <w:t>11</w:t>
            </w:r>
            <w:r>
              <w:rPr>
                <w:noProof/>
                <w:webHidden/>
              </w:rPr>
              <w:fldChar w:fldCharType="end"/>
            </w:r>
          </w:hyperlink>
        </w:p>
        <w:p w14:paraId="36AD7F80" w14:textId="17A35121" w:rsidR="00067BB8" w:rsidRDefault="00067BB8">
          <w:pPr>
            <w:pStyle w:val="TOC2"/>
            <w:tabs>
              <w:tab w:val="left" w:pos="660"/>
              <w:tab w:val="right" w:leader="dot" w:pos="9060"/>
            </w:tabs>
            <w:rPr>
              <w:rFonts w:asciiTheme="minorHAnsi" w:eastAsiaTheme="minorEastAsia" w:hAnsiTheme="minorHAnsi" w:cstheme="minorBidi"/>
              <w:noProof/>
              <w:szCs w:val="22"/>
              <w:lang w:eastAsia="en-AU"/>
            </w:rPr>
          </w:pPr>
          <w:hyperlink w:anchor="_Toc98937459" w:history="1">
            <w:r w:rsidRPr="00D774F1">
              <w:rPr>
                <w:rStyle w:val="Hyperlink"/>
                <w:rFonts w:ascii="Symbol" w:hAnsi="Symbol"/>
                <w:noProof/>
              </w:rPr>
              <w:t></w:t>
            </w:r>
            <w:r>
              <w:rPr>
                <w:rFonts w:asciiTheme="minorHAnsi" w:eastAsiaTheme="minorEastAsia" w:hAnsiTheme="minorHAnsi" w:cstheme="minorBidi"/>
                <w:noProof/>
                <w:szCs w:val="22"/>
                <w:lang w:eastAsia="en-AU"/>
              </w:rPr>
              <w:tab/>
            </w:r>
            <w:r w:rsidRPr="00D774F1">
              <w:rPr>
                <w:rStyle w:val="Hyperlink"/>
                <w:noProof/>
              </w:rPr>
              <w:t>the insured group for 3 or more people, at least 3 of whom are adults?</w:t>
            </w:r>
            <w:r>
              <w:rPr>
                <w:noProof/>
                <w:webHidden/>
              </w:rPr>
              <w:tab/>
            </w:r>
            <w:r>
              <w:rPr>
                <w:noProof/>
                <w:webHidden/>
              </w:rPr>
              <w:fldChar w:fldCharType="begin"/>
            </w:r>
            <w:r>
              <w:rPr>
                <w:noProof/>
                <w:webHidden/>
              </w:rPr>
              <w:instrText xml:space="preserve"> PAGEREF _Toc98937459 \h </w:instrText>
            </w:r>
            <w:r>
              <w:rPr>
                <w:noProof/>
                <w:webHidden/>
              </w:rPr>
            </w:r>
            <w:r>
              <w:rPr>
                <w:noProof/>
                <w:webHidden/>
              </w:rPr>
              <w:fldChar w:fldCharType="separate"/>
            </w:r>
            <w:r>
              <w:rPr>
                <w:noProof/>
                <w:webHidden/>
              </w:rPr>
              <w:t>11</w:t>
            </w:r>
            <w:r>
              <w:rPr>
                <w:noProof/>
                <w:webHidden/>
              </w:rPr>
              <w:fldChar w:fldCharType="end"/>
            </w:r>
          </w:hyperlink>
        </w:p>
        <w:p w14:paraId="02686533" w14:textId="39011E4D" w:rsidR="009A6B96" w:rsidRPr="009A6B96" w:rsidRDefault="009A6B96" w:rsidP="009A6B96">
          <w:r>
            <w:rPr>
              <w:b/>
              <w:bCs/>
              <w:noProof/>
            </w:rPr>
            <w:fldChar w:fldCharType="end"/>
          </w:r>
        </w:p>
      </w:sdtContent>
    </w:sdt>
    <w:p w14:paraId="4810EDDE" w14:textId="77777777" w:rsidR="008376E2" w:rsidRPr="008376E2" w:rsidRDefault="008376E2" w:rsidP="008376E2">
      <w:pPr>
        <w:pStyle w:val="Paragraphtext"/>
        <w:sectPr w:rsidR="008376E2" w:rsidRPr="008376E2" w:rsidSect="00022629">
          <w:footerReference w:type="default" r:id="rId11"/>
          <w:headerReference w:type="first" r:id="rId12"/>
          <w:pgSz w:w="11906" w:h="16838"/>
          <w:pgMar w:top="1701" w:right="1418" w:bottom="1418" w:left="1418" w:header="851" w:footer="709" w:gutter="0"/>
          <w:cols w:space="708"/>
          <w:titlePg/>
          <w:docGrid w:linePitch="360"/>
        </w:sectPr>
      </w:pPr>
    </w:p>
    <w:p w14:paraId="2651B39B" w14:textId="77777777" w:rsidR="00E00551" w:rsidRDefault="00E00551">
      <w:pPr>
        <w:spacing w:before="0" w:after="0" w:line="240" w:lineRule="auto"/>
        <w:rPr>
          <w:rFonts w:cs="Arial"/>
          <w:iCs/>
          <w:color w:val="358189"/>
          <w:kern w:val="28"/>
          <w:sz w:val="32"/>
          <w:szCs w:val="28"/>
        </w:rPr>
      </w:pPr>
      <w:r>
        <w:br w:type="page"/>
      </w:r>
    </w:p>
    <w:p w14:paraId="17A20319" w14:textId="5B6AABE7" w:rsidR="00F23D7C" w:rsidRPr="00F23D7C" w:rsidRDefault="005C1ACC" w:rsidP="00F23D7C">
      <w:pPr>
        <w:pStyle w:val="Heading2"/>
      </w:pPr>
      <w:bookmarkStart w:id="4" w:name="_Toc98937429"/>
      <w:r>
        <w:lastRenderedPageBreak/>
        <w:t>What is t</w:t>
      </w:r>
      <w:r w:rsidR="00F23D7C" w:rsidRPr="00F23D7C">
        <w:t xml:space="preserve">he purpose </w:t>
      </w:r>
      <w:r>
        <w:t>of this measure?</w:t>
      </w:r>
      <w:bookmarkEnd w:id="4"/>
    </w:p>
    <w:p w14:paraId="122B1C0D" w14:textId="49B19544" w:rsidR="007A2817" w:rsidRDefault="007A2817" w:rsidP="007A2817">
      <w:r>
        <w:t xml:space="preserve">This measure will increase the maximum allowable age of dependants for private health insurance from 24 to 31 years and remove the age limit for dependants with a disability. </w:t>
      </w:r>
    </w:p>
    <w:p w14:paraId="2D639515" w14:textId="4E14887B" w:rsidR="00EE1FBC" w:rsidRPr="00647E80" w:rsidRDefault="00E30F3A" w:rsidP="007A2817">
      <w:hyperlink r:id="rId13" w:history="1">
        <w:r w:rsidR="00EE1FBC" w:rsidRPr="0005510F">
          <w:rPr>
            <w:rStyle w:val="Hyperlink"/>
          </w:rPr>
          <w:t>Increas</w:t>
        </w:r>
        <w:r w:rsidR="005C1ACC" w:rsidRPr="0005510F">
          <w:rPr>
            <w:rStyle w:val="Hyperlink"/>
          </w:rPr>
          <w:t>ing the age of dependants</w:t>
        </w:r>
      </w:hyperlink>
      <w:r w:rsidR="005C1ACC">
        <w:t xml:space="preserve"> </w:t>
      </w:r>
      <w:r w:rsidR="00EC4C2A">
        <w:t xml:space="preserve">for private health insurance </w:t>
      </w:r>
      <w:r w:rsidR="005C1ACC">
        <w:t>was a measure from the 2020</w:t>
      </w:r>
      <w:r w:rsidR="00EC4C2A">
        <w:noBreakHyphen/>
      </w:r>
      <w:r w:rsidR="005C1ACC">
        <w:t>21 Budget.</w:t>
      </w:r>
    </w:p>
    <w:p w14:paraId="76B38B74" w14:textId="477F221F" w:rsidR="00CA4899" w:rsidRDefault="00CA4899" w:rsidP="00CA4899">
      <w:pPr>
        <w:pStyle w:val="Heading2"/>
      </w:pPr>
      <w:bookmarkStart w:id="5" w:name="_Toc98937430"/>
      <w:r>
        <w:t>Are</w:t>
      </w:r>
      <w:r w:rsidRPr="00F23D7C">
        <w:t xml:space="preserve"> insurers </w:t>
      </w:r>
      <w:r>
        <w:t>required to</w:t>
      </w:r>
      <w:r w:rsidRPr="00F23D7C">
        <w:t xml:space="preserve"> implement the</w:t>
      </w:r>
      <w:r>
        <w:t>se</w:t>
      </w:r>
      <w:r w:rsidRPr="00F23D7C">
        <w:t xml:space="preserve"> changes</w:t>
      </w:r>
      <w:r>
        <w:t>?</w:t>
      </w:r>
      <w:bookmarkEnd w:id="5"/>
    </w:p>
    <w:p w14:paraId="734CEBFB" w14:textId="2612BE56" w:rsidR="00565887" w:rsidRPr="00565887" w:rsidRDefault="00565887" w:rsidP="00565887">
      <w:pPr>
        <w:pStyle w:val="Heading2"/>
        <w:spacing w:before="0"/>
      </w:pPr>
      <w:bookmarkStart w:id="6" w:name="_Toc98937431"/>
      <w:r w:rsidRPr="00F23D7C">
        <w:t xml:space="preserve">When </w:t>
      </w:r>
      <w:r w:rsidR="00EC4C2A">
        <w:t xml:space="preserve">do </w:t>
      </w:r>
      <w:r w:rsidRPr="00F23D7C">
        <w:t>the changes start</w:t>
      </w:r>
      <w:r>
        <w:t>?</w:t>
      </w:r>
      <w:bookmarkEnd w:id="6"/>
    </w:p>
    <w:p w14:paraId="60F9E995" w14:textId="77777777" w:rsidR="00CA4899" w:rsidRDefault="00CA4899" w:rsidP="00CA4899">
      <w:r>
        <w:t xml:space="preserve">The changes are voluntary for insurers; not mandatory. </w:t>
      </w:r>
    </w:p>
    <w:p w14:paraId="6B22F808" w14:textId="1E117523" w:rsidR="00841E09" w:rsidRDefault="00565887" w:rsidP="00565887">
      <w:r>
        <w:t xml:space="preserve">Some of the </w:t>
      </w:r>
      <w:r w:rsidR="0005510F">
        <w:t>more than 30</w:t>
      </w:r>
      <w:r>
        <w:t xml:space="preserve"> private health insurers </w:t>
      </w:r>
      <w:r w:rsidR="00841E09">
        <w:t xml:space="preserve">operating </w:t>
      </w:r>
      <w:r>
        <w:t xml:space="preserve">in Australia </w:t>
      </w:r>
      <w:r w:rsidR="00841E09">
        <w:t>have indicated they</w:t>
      </w:r>
      <w:r>
        <w:t xml:space="preserve"> </w:t>
      </w:r>
      <w:r w:rsidR="00841E09">
        <w:t>inten</w:t>
      </w:r>
      <w:r w:rsidR="009A33C5">
        <w:t>d</w:t>
      </w:r>
      <w:r w:rsidR="00841E09">
        <w:t xml:space="preserve"> to offer products that </w:t>
      </w:r>
      <w:r w:rsidR="00266138">
        <w:t>incorporate</w:t>
      </w:r>
      <w:r>
        <w:t xml:space="preserve"> </w:t>
      </w:r>
      <w:r w:rsidR="00841E09">
        <w:t xml:space="preserve">some, or all, of this measure. </w:t>
      </w:r>
    </w:p>
    <w:p w14:paraId="25462E4D" w14:textId="622CFF94" w:rsidR="004E152A" w:rsidRDefault="00841E09" w:rsidP="00565887">
      <w:r>
        <w:t>These insurers h</w:t>
      </w:r>
      <w:r w:rsidR="00565887">
        <w:t xml:space="preserve">ave indicated </w:t>
      </w:r>
      <w:r>
        <w:t xml:space="preserve">products with increased </w:t>
      </w:r>
      <w:r w:rsidR="00EC4C2A">
        <w:t xml:space="preserve">age </w:t>
      </w:r>
      <w:r>
        <w:t xml:space="preserve">cover for dependants will be released </w:t>
      </w:r>
      <w:proofErr w:type="gramStart"/>
      <w:r>
        <w:t>during</w:t>
      </w:r>
      <w:r w:rsidR="00CD2B3E">
        <w:t xml:space="preserve"> the course of</w:t>
      </w:r>
      <w:proofErr w:type="gramEnd"/>
      <w:r w:rsidR="00565887">
        <w:t xml:space="preserve"> 2022.</w:t>
      </w:r>
    </w:p>
    <w:p w14:paraId="574481B5" w14:textId="7C8E2DCF" w:rsidR="00565887" w:rsidRDefault="004E152A" w:rsidP="004E152A">
      <w:pPr>
        <w:pStyle w:val="Heading2"/>
      </w:pPr>
      <w:bookmarkStart w:id="7" w:name="_Toc98937432"/>
      <w:r>
        <w:t>Are insurers required to offer cover</w:t>
      </w:r>
      <w:r w:rsidR="00BD5B61">
        <w:t>a</w:t>
      </w:r>
      <w:r>
        <w:t>ge for dependent people with a disability?</w:t>
      </w:r>
      <w:bookmarkEnd w:id="7"/>
    </w:p>
    <w:p w14:paraId="025744EE" w14:textId="20A4E522" w:rsidR="004E152A" w:rsidRPr="004E152A" w:rsidRDefault="004E152A" w:rsidP="00FC3721">
      <w:pPr>
        <w:pStyle w:val="Paragraphtext"/>
      </w:pPr>
      <w:r>
        <w:t xml:space="preserve">No, the changes </w:t>
      </w:r>
      <w:r w:rsidR="00CD2B3E">
        <w:t xml:space="preserve">do not require </w:t>
      </w:r>
      <w:r>
        <w:t>insurers to offer coverage for dependent people with a disabi</w:t>
      </w:r>
      <w:r w:rsidR="00CD2B3E">
        <w:t>lity</w:t>
      </w:r>
      <w:r>
        <w:t>.</w:t>
      </w:r>
      <w:r w:rsidR="00CD2B3E">
        <w:t xml:space="preserve"> The offer to cover dependent people with a disability is voluntary for an insurer. </w:t>
      </w:r>
      <w:r w:rsidR="003F7B38">
        <w:t>A</w:t>
      </w:r>
      <w:r w:rsidR="00CD2B3E">
        <w:t>n insurer cover</w:t>
      </w:r>
      <w:r w:rsidR="003F7B38">
        <w:t>ing</w:t>
      </w:r>
      <w:r w:rsidR="00CD2B3E">
        <w:t xml:space="preserve"> for this type of dependent it needs to abide by </w:t>
      </w:r>
      <w:r w:rsidR="003F7B38">
        <w:t>following relevant advice.</w:t>
      </w:r>
    </w:p>
    <w:p w14:paraId="11EC1EE4" w14:textId="0CBDBF34" w:rsidR="00CA4899" w:rsidRDefault="00CA4899" w:rsidP="00CA4899">
      <w:pPr>
        <w:pStyle w:val="Heading2"/>
      </w:pPr>
      <w:bookmarkStart w:id="8" w:name="_Toc98937433"/>
      <w:r>
        <w:t>What legislation supports this measure?</w:t>
      </w:r>
      <w:bookmarkEnd w:id="8"/>
    </w:p>
    <w:p w14:paraId="0D6E718F" w14:textId="630B0372" w:rsidR="00CA4899" w:rsidRPr="00CA4899" w:rsidRDefault="0018044D" w:rsidP="0018044D">
      <w:r>
        <w:t xml:space="preserve">To </w:t>
      </w:r>
      <w:r w:rsidR="00EC4C2A">
        <w:t>enable</w:t>
      </w:r>
      <w:r>
        <w:t xml:space="preserve"> this measure t</w:t>
      </w:r>
      <w:r w:rsidR="00565887">
        <w:t xml:space="preserve">he </w:t>
      </w:r>
      <w:hyperlink r:id="rId14" w:history="1">
        <w:r w:rsidRPr="008A5501">
          <w:rPr>
            <w:rStyle w:val="Hyperlink"/>
            <w:i/>
            <w:iCs/>
          </w:rPr>
          <w:t xml:space="preserve">Private Health Insurance Legislation Amendment (Age of Dependants) </w:t>
        </w:r>
        <w:r w:rsidR="008A5501" w:rsidRPr="008A5501">
          <w:rPr>
            <w:rStyle w:val="Hyperlink"/>
            <w:i/>
            <w:iCs/>
          </w:rPr>
          <w:t>Act</w:t>
        </w:r>
        <w:r w:rsidRPr="008A5501">
          <w:rPr>
            <w:rStyle w:val="Hyperlink"/>
            <w:i/>
            <w:iCs/>
          </w:rPr>
          <w:t xml:space="preserve"> 2021</w:t>
        </w:r>
      </w:hyperlink>
      <w:r>
        <w:t xml:space="preserve"> amended the </w:t>
      </w:r>
      <w:hyperlink r:id="rId15" w:history="1">
        <w:r w:rsidRPr="008A5501">
          <w:rPr>
            <w:rStyle w:val="Hyperlink"/>
            <w:i/>
            <w:iCs/>
          </w:rPr>
          <w:t>Private Health Insurance Act 2007</w:t>
        </w:r>
      </w:hyperlink>
      <w:r>
        <w:t xml:space="preserve"> and the </w:t>
      </w:r>
      <w:hyperlink r:id="rId16" w:history="1">
        <w:r w:rsidRPr="008A5501">
          <w:rPr>
            <w:rStyle w:val="Hyperlink"/>
            <w:i/>
            <w:iCs/>
          </w:rPr>
          <w:t>Private Health Insurance (Complying Product)(Age of Dependants) Amendment Rules 2021</w:t>
        </w:r>
      </w:hyperlink>
      <w:r>
        <w:t xml:space="preserve"> amended the </w:t>
      </w:r>
      <w:hyperlink r:id="rId17" w:history="1">
        <w:r w:rsidRPr="008A5501">
          <w:rPr>
            <w:rStyle w:val="Hyperlink"/>
            <w:i/>
            <w:iCs/>
          </w:rPr>
          <w:t>Private Health Insurance (Complying Product) Rules 2015</w:t>
        </w:r>
      </w:hyperlink>
      <w:r>
        <w:t>.</w:t>
      </w:r>
      <w:r>
        <w:rPr>
          <w:rStyle w:val="Hyperlink"/>
        </w:rPr>
        <w:t xml:space="preserve"> </w:t>
      </w:r>
    </w:p>
    <w:p w14:paraId="301F2132" w14:textId="358B1CA2" w:rsidR="004A2B0C" w:rsidRDefault="004A2B0C" w:rsidP="00266138">
      <w:pPr>
        <w:pStyle w:val="Heading2"/>
      </w:pPr>
      <w:bookmarkStart w:id="9" w:name="_Toc98937434"/>
      <w:r>
        <w:lastRenderedPageBreak/>
        <w:t xml:space="preserve">What are the different types of </w:t>
      </w:r>
      <w:r w:rsidR="0091540B">
        <w:t>dependants</w:t>
      </w:r>
      <w:r>
        <w:t>?</w:t>
      </w:r>
      <w:bookmarkEnd w:id="9"/>
    </w:p>
    <w:p w14:paraId="3C057F1E" w14:textId="2F896652" w:rsidR="004A2B0C" w:rsidRDefault="004A2B0C" w:rsidP="00266138">
      <w:pPr>
        <w:keepNext/>
      </w:pPr>
      <w:r>
        <w:t>There are six different types of dependent person. These are:</w:t>
      </w:r>
    </w:p>
    <w:p w14:paraId="45272F88" w14:textId="761EB653" w:rsidR="004A2B0C" w:rsidRDefault="004A2B0C" w:rsidP="00266138">
      <w:pPr>
        <w:pStyle w:val="ListParagraph"/>
        <w:keepNext/>
        <w:numPr>
          <w:ilvl w:val="0"/>
          <w:numId w:val="26"/>
        </w:numPr>
      </w:pPr>
      <w:r>
        <w:t>dependent child (0-17 years old and does not have a partner)</w:t>
      </w:r>
    </w:p>
    <w:p w14:paraId="5DA53398" w14:textId="09FE363B" w:rsidR="0091540B" w:rsidRDefault="0091540B" w:rsidP="00266138">
      <w:pPr>
        <w:pStyle w:val="ListParagraph"/>
        <w:keepNext/>
        <w:numPr>
          <w:ilvl w:val="0"/>
          <w:numId w:val="26"/>
        </w:numPr>
      </w:pPr>
      <w:r>
        <w:t xml:space="preserve">dependent student (18-31 years old, does not have a partner, is receiving a full-time education and </w:t>
      </w:r>
      <w:r w:rsidR="00EC4C2A">
        <w:t>a</w:t>
      </w:r>
      <w:r>
        <w:t>s defined in the rules of their private health insurer)</w:t>
      </w:r>
    </w:p>
    <w:p w14:paraId="759C5813" w14:textId="04836E64" w:rsidR="004A2B0C" w:rsidRDefault="004A2B0C" w:rsidP="00266138">
      <w:pPr>
        <w:pStyle w:val="ListParagraph"/>
        <w:keepNext/>
        <w:numPr>
          <w:ilvl w:val="0"/>
          <w:numId w:val="26"/>
        </w:numPr>
      </w:pPr>
      <w:r>
        <w:t>dependent non-student (18</w:t>
      </w:r>
      <w:r w:rsidR="00BC5589">
        <w:t>-</w:t>
      </w:r>
      <w:r>
        <w:t>31 years old, does not have a partner, is not receiving a full</w:t>
      </w:r>
      <w:r w:rsidR="009A33C5">
        <w:noBreakHyphen/>
      </w:r>
      <w:r>
        <w:t xml:space="preserve">time education and </w:t>
      </w:r>
      <w:r w:rsidR="00EC4C2A">
        <w:t>a</w:t>
      </w:r>
      <w:r>
        <w:t>s defined in the rules of the</w:t>
      </w:r>
      <w:r w:rsidR="0091540B">
        <w:t xml:space="preserve">ir </w:t>
      </w:r>
      <w:r>
        <w:t>private health insurer</w:t>
      </w:r>
      <w:r w:rsidR="0091540B">
        <w:t>)</w:t>
      </w:r>
    </w:p>
    <w:p w14:paraId="19258CD4" w14:textId="15590DBC" w:rsidR="004A2B0C" w:rsidRDefault="004A2B0C" w:rsidP="00266138">
      <w:pPr>
        <w:pStyle w:val="ListParagraph"/>
        <w:keepNext/>
        <w:numPr>
          <w:ilvl w:val="0"/>
          <w:numId w:val="26"/>
        </w:numPr>
      </w:pPr>
      <w:r>
        <w:t>conditional dependent non-student (a dependent non-student that has their own general treatment policy with the same insurer covering them for hospital cover)</w:t>
      </w:r>
    </w:p>
    <w:p w14:paraId="14709AB9" w14:textId="6400A153" w:rsidR="0091540B" w:rsidRDefault="0091540B" w:rsidP="00266138">
      <w:pPr>
        <w:pStyle w:val="ListParagraph"/>
        <w:keepNext/>
        <w:numPr>
          <w:ilvl w:val="0"/>
          <w:numId w:val="26"/>
        </w:numPr>
      </w:pPr>
      <w:r>
        <w:t>non-classified dependent person (18-24 years old, does not have a partner, is not a dependent student or non-student by the rules of their private health insurer)</w:t>
      </w:r>
    </w:p>
    <w:p w14:paraId="139A9C72" w14:textId="1EC777EA" w:rsidR="00745295" w:rsidRDefault="0091540B" w:rsidP="00745295">
      <w:pPr>
        <w:pStyle w:val="ListParagraph"/>
        <w:keepNext/>
        <w:numPr>
          <w:ilvl w:val="0"/>
          <w:numId w:val="26"/>
        </w:numPr>
      </w:pPr>
      <w:r>
        <w:t>dependent person with a disability (18 years old</w:t>
      </w:r>
      <w:r w:rsidR="00EC4C2A">
        <w:t xml:space="preserve"> and over</w:t>
      </w:r>
      <w:r>
        <w:t xml:space="preserve">, </w:t>
      </w:r>
      <w:r w:rsidR="00392D35">
        <w:t xml:space="preserve">may have a partner and </w:t>
      </w:r>
      <w:r>
        <w:t xml:space="preserve">is a participant in the National Disability Insurance Scheme or is a </w:t>
      </w:r>
      <w:r w:rsidR="00392D35">
        <w:t>‘</w:t>
      </w:r>
      <w:r>
        <w:t>person with a disability</w:t>
      </w:r>
      <w:r w:rsidR="00392D35">
        <w:t>’</w:t>
      </w:r>
      <w:r>
        <w:t xml:space="preserve"> as defined by the rules of their private health insurer).</w:t>
      </w:r>
    </w:p>
    <w:p w14:paraId="65500853" w14:textId="77777777" w:rsidR="009A33C5" w:rsidRDefault="009A33C5" w:rsidP="009A33C5">
      <w:pPr>
        <w:pStyle w:val="ListParagraph"/>
        <w:keepNext/>
        <w:ind w:left="360"/>
      </w:pPr>
    </w:p>
    <w:p w14:paraId="6F774116" w14:textId="10104DD8" w:rsidR="00745295" w:rsidRDefault="00745295" w:rsidP="00397911">
      <w:pPr>
        <w:pStyle w:val="ListParagraph"/>
        <w:ind w:left="0"/>
      </w:pPr>
      <w:r>
        <w:t>The complete description of allowed dependent persons</w:t>
      </w:r>
      <w:r w:rsidRPr="001967B9">
        <w:t xml:space="preserve"> </w:t>
      </w:r>
      <w:r>
        <w:t>is</w:t>
      </w:r>
      <w:r w:rsidRPr="001967B9">
        <w:t xml:space="preserve"> contained in </w:t>
      </w:r>
      <w:r>
        <w:t xml:space="preserve">Schedule 1 -Dictionary of </w:t>
      </w:r>
      <w:r w:rsidRPr="001967B9">
        <w:t xml:space="preserve">the </w:t>
      </w:r>
      <w:hyperlink r:id="rId18" w:history="1">
        <w:r>
          <w:rPr>
            <w:rStyle w:val="Hyperlink"/>
            <w:i/>
            <w:iCs/>
          </w:rPr>
          <w:t>Private Health Insurance Act 2007</w:t>
        </w:r>
      </w:hyperlink>
      <w:r w:rsidR="00397911">
        <w:t xml:space="preserve"> and</w:t>
      </w:r>
      <w:r w:rsidR="00397911" w:rsidRPr="00397911">
        <w:t xml:space="preserve"> </w:t>
      </w:r>
      <w:r w:rsidR="00397911">
        <w:t xml:space="preserve">Rule 5 of </w:t>
      </w:r>
      <w:r w:rsidR="00397911" w:rsidRPr="001967B9">
        <w:t xml:space="preserve">the </w:t>
      </w:r>
      <w:hyperlink r:id="rId19" w:history="1">
        <w:r w:rsidR="00397911" w:rsidRPr="000466CF">
          <w:rPr>
            <w:rStyle w:val="Hyperlink"/>
            <w:i/>
            <w:iCs/>
          </w:rPr>
          <w:t>Private Health Insurance (Complying Product) Rules 2015</w:t>
        </w:r>
      </w:hyperlink>
      <w:r w:rsidR="00397911" w:rsidRPr="001967B9">
        <w:t>.</w:t>
      </w:r>
    </w:p>
    <w:p w14:paraId="5059AA4A" w14:textId="77777777" w:rsidR="00F357EE" w:rsidRDefault="00F357EE" w:rsidP="00F357EE">
      <w:pPr>
        <w:pStyle w:val="Heading2"/>
      </w:pPr>
      <w:bookmarkStart w:id="10" w:name="_Toc98937435"/>
      <w:r>
        <w:t>How are dependants covered by insurers?</w:t>
      </w:r>
      <w:bookmarkEnd w:id="10"/>
    </w:p>
    <w:p w14:paraId="1E7A5F5B" w14:textId="52082D28" w:rsidR="00F357EE" w:rsidRDefault="00F357EE" w:rsidP="00F357EE">
      <w:r>
        <w:t>There are 11 insured groups</w:t>
      </w:r>
      <w:r w:rsidR="001B27F5">
        <w:t xml:space="preserve"> that</w:t>
      </w:r>
      <w:r>
        <w:t xml:space="preserve"> insurers</w:t>
      </w:r>
      <w:r w:rsidR="001B27F5">
        <w:t xml:space="preserve"> </w:t>
      </w:r>
      <w:r w:rsidR="00FF1C55">
        <w:t>may</w:t>
      </w:r>
      <w:r w:rsidR="001B27F5">
        <w:t xml:space="preserve"> use for each product</w:t>
      </w:r>
      <w:r w:rsidR="00FF1C55">
        <w:t xml:space="preserve"> they offer</w:t>
      </w:r>
      <w:r>
        <w:t>. These groups are</w:t>
      </w:r>
      <w:r w:rsidR="000466CF">
        <w:t xml:space="preserve"> commonly</w:t>
      </w:r>
      <w:r>
        <w:t xml:space="preserve"> known as:</w:t>
      </w:r>
    </w:p>
    <w:p w14:paraId="57A8F3FC" w14:textId="03C9521D" w:rsidR="00F357EE" w:rsidRDefault="00F357EE" w:rsidP="00F357EE">
      <w:pPr>
        <w:pStyle w:val="ListParagraph"/>
        <w:numPr>
          <w:ilvl w:val="0"/>
          <w:numId w:val="25"/>
        </w:numPr>
      </w:pPr>
      <w:r>
        <w:t>Singles (one person) for insured group (a)</w:t>
      </w:r>
    </w:p>
    <w:p w14:paraId="07A4E0CB" w14:textId="5D5FCB38" w:rsidR="00F357EE" w:rsidRDefault="00F357EE" w:rsidP="00F357EE">
      <w:pPr>
        <w:pStyle w:val="ListParagraph"/>
        <w:numPr>
          <w:ilvl w:val="0"/>
          <w:numId w:val="25"/>
        </w:numPr>
      </w:pPr>
      <w:r>
        <w:t>Couples (two adults) for insured group (b)</w:t>
      </w:r>
    </w:p>
    <w:p w14:paraId="5B5081D8" w14:textId="3F041563" w:rsidR="00F357EE" w:rsidRDefault="00F357EE" w:rsidP="00F357EE">
      <w:pPr>
        <w:pStyle w:val="ListParagraph"/>
        <w:numPr>
          <w:ilvl w:val="0"/>
          <w:numId w:val="25"/>
        </w:numPr>
      </w:pPr>
      <w:r>
        <w:t>Children only (two or more dependent people and no adults) for insured group (c)</w:t>
      </w:r>
    </w:p>
    <w:p w14:paraId="3A921ADA" w14:textId="35CAA476" w:rsidR="00F357EE" w:rsidRDefault="00F357EE" w:rsidP="00F357EE">
      <w:pPr>
        <w:pStyle w:val="ListParagraph"/>
        <w:numPr>
          <w:ilvl w:val="0"/>
          <w:numId w:val="25"/>
        </w:numPr>
      </w:pPr>
      <w:r>
        <w:t xml:space="preserve">Single parent family (only one adult and at least one dependent child, dependent </w:t>
      </w:r>
      <w:proofErr w:type="gramStart"/>
      <w:r>
        <w:t>student</w:t>
      </w:r>
      <w:proofErr w:type="gramEnd"/>
      <w:r>
        <w:t xml:space="preserve"> or non-classified dependent person)</w:t>
      </w:r>
      <w:r w:rsidRPr="00B217FE">
        <w:t xml:space="preserve"> </w:t>
      </w:r>
      <w:r>
        <w:t>for insured group (d)</w:t>
      </w:r>
    </w:p>
    <w:p w14:paraId="121CFFCE" w14:textId="3A141703" w:rsidR="00F357EE" w:rsidRDefault="00F357EE" w:rsidP="00F357EE">
      <w:pPr>
        <w:pStyle w:val="ListParagraph"/>
        <w:numPr>
          <w:ilvl w:val="0"/>
          <w:numId w:val="25"/>
        </w:numPr>
      </w:pPr>
      <w:r>
        <w:t>Extended single parent family (only one adult and at least one dependent non-student) for insured group (e)</w:t>
      </w:r>
    </w:p>
    <w:p w14:paraId="7D8E36CF" w14:textId="2FC3A741" w:rsidR="00F357EE" w:rsidRDefault="00F357EE" w:rsidP="00F357EE">
      <w:pPr>
        <w:pStyle w:val="ListParagraph"/>
        <w:numPr>
          <w:ilvl w:val="0"/>
          <w:numId w:val="25"/>
        </w:numPr>
      </w:pPr>
      <w:r>
        <w:t>Single parent family with a person with a disability (only one adult and at least one dependent person with a disability) for insured group (g)</w:t>
      </w:r>
    </w:p>
    <w:p w14:paraId="53D98D26" w14:textId="598663B9" w:rsidR="00F357EE" w:rsidRDefault="00F357EE" w:rsidP="00F357EE">
      <w:pPr>
        <w:pStyle w:val="ListParagraph"/>
        <w:numPr>
          <w:ilvl w:val="0"/>
          <w:numId w:val="25"/>
        </w:numPr>
      </w:pPr>
      <w:r>
        <w:t xml:space="preserve">Family (two adults and at least one dependent child, dependent </w:t>
      </w:r>
      <w:proofErr w:type="gramStart"/>
      <w:r>
        <w:t>student</w:t>
      </w:r>
      <w:proofErr w:type="gramEnd"/>
      <w:r>
        <w:t xml:space="preserve"> or non-classified dependent person)</w:t>
      </w:r>
      <w:r w:rsidRPr="00B217FE">
        <w:t xml:space="preserve"> </w:t>
      </w:r>
      <w:r>
        <w:t>for insured group (h)</w:t>
      </w:r>
    </w:p>
    <w:p w14:paraId="5C08BEA6" w14:textId="13ACA16D" w:rsidR="00F357EE" w:rsidRDefault="00F357EE" w:rsidP="00F357EE">
      <w:pPr>
        <w:pStyle w:val="ListParagraph"/>
        <w:numPr>
          <w:ilvl w:val="0"/>
          <w:numId w:val="25"/>
        </w:numPr>
      </w:pPr>
      <w:r>
        <w:t>Extended family (two adults and at least one dependent non-student) for insured group (</w:t>
      </w:r>
      <w:proofErr w:type="spellStart"/>
      <w:r>
        <w:t>i</w:t>
      </w:r>
      <w:proofErr w:type="spellEnd"/>
      <w:r>
        <w:t>)</w:t>
      </w:r>
    </w:p>
    <w:p w14:paraId="5686C9F5" w14:textId="60B997AE" w:rsidR="00F357EE" w:rsidRDefault="00F357EE" w:rsidP="00F357EE">
      <w:pPr>
        <w:pStyle w:val="ListParagraph"/>
        <w:numPr>
          <w:ilvl w:val="0"/>
          <w:numId w:val="25"/>
        </w:numPr>
      </w:pPr>
      <w:r>
        <w:t>Family with a person with a disability (only one adult and at least one dependent person with a disability) for insured group (k)</w:t>
      </w:r>
    </w:p>
    <w:p w14:paraId="0BFEAC2D" w14:textId="115C739C" w:rsidR="00F357EE" w:rsidRDefault="00F357EE" w:rsidP="00F357EE">
      <w:pPr>
        <w:pStyle w:val="ListParagraph"/>
        <w:numPr>
          <w:ilvl w:val="0"/>
          <w:numId w:val="25"/>
        </w:numPr>
      </w:pPr>
      <w:r>
        <w:t>insured groups (f) and (j)</w:t>
      </w:r>
      <w:r w:rsidR="000466CF">
        <w:t xml:space="preserve"> are rarely used and have no common name</w:t>
      </w:r>
      <w:r>
        <w:t>.</w:t>
      </w:r>
    </w:p>
    <w:p w14:paraId="322121AE" w14:textId="77777777" w:rsidR="00397911" w:rsidRDefault="00397911" w:rsidP="00397911">
      <w:pPr>
        <w:pStyle w:val="ListParagraph"/>
        <w:spacing w:before="0" w:after="0"/>
        <w:ind w:left="0"/>
      </w:pPr>
    </w:p>
    <w:p w14:paraId="44A758A7" w14:textId="30C2897C" w:rsidR="00FF1C55" w:rsidRDefault="00FF1C55" w:rsidP="00FF1C55">
      <w:pPr>
        <w:pStyle w:val="ListParagraph"/>
        <w:ind w:left="0"/>
      </w:pPr>
      <w:r>
        <w:t>It is up to insurers to decide which insured groups they cover. Most insurers cover the insured groups of singles, couples</w:t>
      </w:r>
      <w:r w:rsidR="00072985">
        <w:t>, single parent famil</w:t>
      </w:r>
      <w:r w:rsidR="00497D8F">
        <w:t>ies</w:t>
      </w:r>
      <w:r>
        <w:t xml:space="preserve"> and famil</w:t>
      </w:r>
      <w:r w:rsidR="00497D8F">
        <w:t>ies</w:t>
      </w:r>
      <w:r>
        <w:t xml:space="preserve"> for most of their products. If</w:t>
      </w:r>
      <w:r w:rsidR="00497D8F">
        <w:t> </w:t>
      </w:r>
      <w:r>
        <w:t>insurers chose to cover dependent non-students, conditional dependent non-</w:t>
      </w:r>
      <w:proofErr w:type="gramStart"/>
      <w:r>
        <w:t>student</w:t>
      </w:r>
      <w:r w:rsidR="00966F49">
        <w:t>s</w:t>
      </w:r>
      <w:proofErr w:type="gramEnd"/>
      <w:r>
        <w:t xml:space="preserve"> or dependent </w:t>
      </w:r>
      <w:r w:rsidR="00966F49">
        <w:t>people</w:t>
      </w:r>
      <w:r>
        <w:t xml:space="preserve"> with a disability</w:t>
      </w:r>
      <w:r w:rsidR="00072985">
        <w:t xml:space="preserve"> for particular products they need offer cover for the relevant insured group under that product.</w:t>
      </w:r>
    </w:p>
    <w:p w14:paraId="0AAEBF37" w14:textId="77777777" w:rsidR="00072985" w:rsidRDefault="00072985" w:rsidP="00FC3721">
      <w:pPr>
        <w:pStyle w:val="ListParagraph"/>
        <w:ind w:left="0"/>
      </w:pPr>
    </w:p>
    <w:p w14:paraId="338A4EC6" w14:textId="1EE986C4" w:rsidR="000466CF" w:rsidRDefault="000466CF" w:rsidP="00FC3721">
      <w:pPr>
        <w:pStyle w:val="ListParagraph"/>
        <w:ind w:left="0"/>
      </w:pPr>
      <w:r>
        <w:t>The complete technical description of allowed i</w:t>
      </w:r>
      <w:r w:rsidRPr="001967B9">
        <w:t xml:space="preserve">nsured groups </w:t>
      </w:r>
      <w:r>
        <w:t>is</w:t>
      </w:r>
      <w:r w:rsidRPr="001967B9">
        <w:t xml:space="preserve"> contained in </w:t>
      </w:r>
      <w:r>
        <w:t xml:space="preserve">Rule 5 </w:t>
      </w:r>
      <w:r w:rsidR="00B425F0">
        <w:t xml:space="preserve">(2) </w:t>
      </w:r>
      <w:r>
        <w:t xml:space="preserve">of </w:t>
      </w:r>
      <w:r w:rsidRPr="001967B9">
        <w:t xml:space="preserve">the </w:t>
      </w:r>
      <w:hyperlink r:id="rId20" w:history="1">
        <w:r w:rsidRPr="000466CF">
          <w:rPr>
            <w:rStyle w:val="Hyperlink"/>
            <w:i/>
            <w:iCs/>
          </w:rPr>
          <w:t>Private Health Insurance (Complying Product) Rules 2015</w:t>
        </w:r>
      </w:hyperlink>
      <w:r w:rsidRPr="001967B9">
        <w:t>.</w:t>
      </w:r>
    </w:p>
    <w:p w14:paraId="441FEA9A" w14:textId="5C870EEA" w:rsidR="00F357EE" w:rsidRDefault="00F357EE" w:rsidP="00F357EE">
      <w:pPr>
        <w:pStyle w:val="Heading2"/>
      </w:pPr>
      <w:bookmarkStart w:id="11" w:name="_Toc98937436"/>
      <w:r>
        <w:lastRenderedPageBreak/>
        <w:t>Why do the insured groups for families include more than one type of dependant?</w:t>
      </w:r>
      <w:bookmarkEnd w:id="11"/>
    </w:p>
    <w:p w14:paraId="1777EEE3" w14:textId="18C0BF84" w:rsidR="00F357EE" w:rsidRDefault="00F357EE" w:rsidP="00F357EE">
      <w:r>
        <w:t xml:space="preserve">This recognises families may contain different types of dependants at different points in time. For example, a family may consist of </w:t>
      </w:r>
      <w:r w:rsidR="009A33C5">
        <w:t>two</w:t>
      </w:r>
      <w:r>
        <w:t xml:space="preserve"> adults and </w:t>
      </w:r>
      <w:r w:rsidR="009A33C5">
        <w:t>three</w:t>
      </w:r>
      <w:r>
        <w:t xml:space="preserve"> dependent children, then it may consist of </w:t>
      </w:r>
      <w:r w:rsidR="009A33C5">
        <w:t>two</w:t>
      </w:r>
      <w:r>
        <w:t xml:space="preserve"> adults, one dependent child, one dependent student and one dependent non-student and later it may consist of one adult, one dependent person with a disability and </w:t>
      </w:r>
      <w:r w:rsidR="009A33C5">
        <w:t>two</w:t>
      </w:r>
      <w:r>
        <w:t xml:space="preserve"> dependent non-students. An insurer covering this family would first cover the family as an insured group family (h), then extended family (</w:t>
      </w:r>
      <w:proofErr w:type="spellStart"/>
      <w:r>
        <w:t>i</w:t>
      </w:r>
      <w:proofErr w:type="spellEnd"/>
      <w:r>
        <w:t xml:space="preserve">) and finally single parent family with a person with a disability (g). </w:t>
      </w:r>
    </w:p>
    <w:p w14:paraId="6F14453E" w14:textId="77777777" w:rsidR="00F357EE" w:rsidRPr="00F23D7C" w:rsidRDefault="00F357EE" w:rsidP="00F357EE">
      <w:pPr>
        <w:pStyle w:val="Heading2"/>
      </w:pPr>
      <w:bookmarkStart w:id="12" w:name="_Toc98937437"/>
      <w:r w:rsidRPr="00F23D7C">
        <w:t>Can an insurer charge different premiums for the same product if it covers different types of dependants?</w:t>
      </w:r>
      <w:bookmarkEnd w:id="12"/>
    </w:p>
    <w:p w14:paraId="77B14000" w14:textId="1E215C71" w:rsidR="00F357EE" w:rsidRDefault="00F357EE" w:rsidP="00F357EE">
      <w:r>
        <w:t>Within a product</w:t>
      </w:r>
      <w:r w:rsidR="00F64EA8">
        <w:t>,</w:t>
      </w:r>
      <w:r>
        <w:t xml:space="preserve"> premium rates </w:t>
      </w:r>
      <w:r w:rsidR="00072985">
        <w:t>can</w:t>
      </w:r>
      <w:r>
        <w:t xml:space="preserve"> only vary by the insured groups covered by the product</w:t>
      </w:r>
      <w:r w:rsidR="003F7B38">
        <w:t>,</w:t>
      </w:r>
      <w:r>
        <w:t xml:space="preserve"> </w:t>
      </w:r>
      <w:proofErr w:type="gramStart"/>
      <w:r>
        <w:t>i.e.</w:t>
      </w:r>
      <w:proofErr w:type="gramEnd"/>
      <w:r>
        <w:t xml:space="preserve"> by product subgroups</w:t>
      </w:r>
      <w:r w:rsidR="003F7B38">
        <w:t xml:space="preserve">, within each </w:t>
      </w:r>
      <w:proofErr w:type="spellStart"/>
      <w:r w:rsidR="003F7B38">
        <w:t>jurisdication</w:t>
      </w:r>
      <w:proofErr w:type="spellEnd"/>
      <w:r>
        <w:t xml:space="preserve">. </w:t>
      </w:r>
      <w:r w:rsidR="00966F49">
        <w:t>(</w:t>
      </w:r>
      <w:r w:rsidR="00072985">
        <w:t>A product subgroup is all the policies for an insured group for a particular product.</w:t>
      </w:r>
      <w:r w:rsidR="00966F49">
        <w:t>)</w:t>
      </w:r>
      <w:r w:rsidR="00072985">
        <w:t xml:space="preserve"> </w:t>
      </w:r>
      <w:r>
        <w:t xml:space="preserve">For example, for product Gold in NSW an insurer may offer product subgroups for singles, families, single parent families, extended families and extended single parent families. Each of these product subgroups can have a different premium rate. </w:t>
      </w:r>
    </w:p>
    <w:p w14:paraId="65F1302A" w14:textId="31A01D13" w:rsidR="00F357EE" w:rsidRPr="00F23D7C" w:rsidRDefault="00F357EE" w:rsidP="00F357EE">
      <w:pPr>
        <w:pStyle w:val="Heading2"/>
      </w:pPr>
      <w:bookmarkStart w:id="13" w:name="_Toc98937438"/>
      <w:r w:rsidRPr="00F23D7C">
        <w:t>Can a person with a disability be covered as a dependant under other insured groups apart from insured groups (g) and (k)</w:t>
      </w:r>
      <w:r w:rsidR="00397911">
        <w:t>?</w:t>
      </w:r>
      <w:bookmarkEnd w:id="13"/>
    </w:p>
    <w:p w14:paraId="29201F33" w14:textId="2AFA8CD7" w:rsidR="00F357EE" w:rsidRDefault="00F357EE" w:rsidP="00FC3721">
      <w:r>
        <w:t xml:space="preserve">Yes. </w:t>
      </w:r>
      <w:r w:rsidRPr="00B61754">
        <w:t>A person who meet</w:t>
      </w:r>
      <w:r w:rsidR="009A33C5">
        <w:t>s</w:t>
      </w:r>
      <w:r w:rsidRPr="00B61754">
        <w:t xml:space="preserve"> the definition of a dependent person with a disability </w:t>
      </w:r>
      <w:r>
        <w:t>may also m</w:t>
      </w:r>
      <w:r w:rsidR="009A33C5">
        <w:t>e</w:t>
      </w:r>
      <w:r>
        <w:t>et</w:t>
      </w:r>
      <w:r w:rsidRPr="00B61754">
        <w:t xml:space="preserve"> </w:t>
      </w:r>
      <w:r>
        <w:t>the</w:t>
      </w:r>
      <w:r w:rsidRPr="00B61754">
        <w:t xml:space="preserve"> definitional requirements for </w:t>
      </w:r>
      <w:r>
        <w:t>another</w:t>
      </w:r>
      <w:r w:rsidRPr="00B61754">
        <w:t xml:space="preserve"> dependant type. </w:t>
      </w:r>
      <w:r>
        <w:t xml:space="preserve">For example, if an insurer covered insured groups single parent (d) and family (h) for a product it would probably be cheaper for </w:t>
      </w:r>
      <w:r w:rsidR="009A33C5">
        <w:t xml:space="preserve">the family of </w:t>
      </w:r>
      <w:r>
        <w:t>a dependent person with a disability</w:t>
      </w:r>
      <w:r w:rsidR="009A33C5">
        <w:t xml:space="preserve"> </w:t>
      </w:r>
      <w:r>
        <w:t>to be covered by the insured group (d) or (h), if they met the definitional requirements of a dependant contained in these insured groups.</w:t>
      </w:r>
    </w:p>
    <w:p w14:paraId="60F072B5" w14:textId="3257B813" w:rsidR="00266138" w:rsidRDefault="00266138" w:rsidP="00266138">
      <w:pPr>
        <w:pStyle w:val="Heading2"/>
      </w:pPr>
      <w:bookmarkStart w:id="14" w:name="_Toc98937439"/>
      <w:r>
        <w:t>Do insurers have to cover all types of dependants?</w:t>
      </w:r>
      <w:bookmarkEnd w:id="14"/>
    </w:p>
    <w:p w14:paraId="5EFEFF7D" w14:textId="0AD8CA1A" w:rsidR="00CF605E" w:rsidRDefault="00266138" w:rsidP="00266138">
      <w:r>
        <w:t>No</w:t>
      </w:r>
      <w:r w:rsidR="00CF605E">
        <w:t xml:space="preserve">, it is up to each insurer </w:t>
      </w:r>
      <w:r w:rsidR="009A33C5">
        <w:t xml:space="preserve">as to </w:t>
      </w:r>
      <w:r w:rsidR="00CF605E">
        <w:t>the types of dependants it will cover</w:t>
      </w:r>
      <w:r w:rsidR="00BC5589">
        <w:t xml:space="preserve"> for each of its products</w:t>
      </w:r>
      <w:r w:rsidR="00CF605E">
        <w:t>.</w:t>
      </w:r>
      <w:r>
        <w:t xml:space="preserve"> </w:t>
      </w:r>
    </w:p>
    <w:p w14:paraId="194750BA" w14:textId="42A80E86" w:rsidR="00266138" w:rsidRDefault="00266138" w:rsidP="00266138">
      <w:r>
        <w:t xml:space="preserve">Most insurers cover the insured groups for singles, </w:t>
      </w:r>
      <w:r w:rsidR="00966F49">
        <w:t xml:space="preserve">couples, </w:t>
      </w:r>
      <w:proofErr w:type="gramStart"/>
      <w:r>
        <w:t>famil</w:t>
      </w:r>
      <w:r w:rsidR="00966F49">
        <w:t>ies</w:t>
      </w:r>
      <w:proofErr w:type="gramEnd"/>
      <w:r w:rsidR="00966F49">
        <w:t xml:space="preserve"> and </w:t>
      </w:r>
      <w:r>
        <w:t>single parent famil</w:t>
      </w:r>
      <w:r w:rsidR="00966F49">
        <w:t>ies</w:t>
      </w:r>
      <w:r>
        <w:t xml:space="preserve">. This means most insurers offer cover for dependent children, non-classified dependent </w:t>
      </w:r>
      <w:proofErr w:type="gramStart"/>
      <w:r>
        <w:t>people</w:t>
      </w:r>
      <w:proofErr w:type="gramEnd"/>
      <w:r w:rsidR="00966F49">
        <w:t xml:space="preserve"> and</w:t>
      </w:r>
      <w:r>
        <w:t xml:space="preserve"> dependent students </w:t>
      </w:r>
      <w:r w:rsidR="00966F49">
        <w:t>on most</w:t>
      </w:r>
      <w:r>
        <w:t xml:space="preserve"> of their products. </w:t>
      </w:r>
    </w:p>
    <w:p w14:paraId="5FF0A6DE" w14:textId="26BA7244" w:rsidR="00266138" w:rsidRDefault="00266138" w:rsidP="00266138">
      <w:r w:rsidRPr="001967B9">
        <w:t xml:space="preserve">While the increase to the age of dependants’ measure has increased the number of insured groups available to insurers it does not affect an insurer’s ability to choose which insured groups it will cover for each of its products. For example, </w:t>
      </w:r>
      <w:r>
        <w:t>in</w:t>
      </w:r>
      <w:r w:rsidRPr="001967B9">
        <w:t xml:space="preserve"> NSW an insurer may offer product Gold and product Silver. The insurer may decide to cover the insured groups (a), single</w:t>
      </w:r>
      <w:r>
        <w:t>s</w:t>
      </w:r>
      <w:r w:rsidRPr="001967B9">
        <w:t xml:space="preserve">, and (h), family, for product Gold, </w:t>
      </w:r>
      <w:proofErr w:type="gramStart"/>
      <w:r w:rsidRPr="001967B9">
        <w:t>i.e.</w:t>
      </w:r>
      <w:proofErr w:type="gramEnd"/>
      <w:r w:rsidRPr="001967B9">
        <w:t xml:space="preserve"> it has two product Gold sub</w:t>
      </w:r>
      <w:r w:rsidR="00B40B96">
        <w:t>groups</w:t>
      </w:r>
      <w:r w:rsidRPr="001967B9">
        <w:t xml:space="preserve"> in NSW. The insurer may </w:t>
      </w:r>
      <w:r>
        <w:t xml:space="preserve">also </w:t>
      </w:r>
      <w:r w:rsidRPr="001967B9">
        <w:t>decide to cover the insured groups (a), single</w:t>
      </w:r>
      <w:r>
        <w:t>s</w:t>
      </w:r>
      <w:r w:rsidRPr="001967B9">
        <w:t xml:space="preserve">, (h), family, and (d), single-parent family, for product Silver, </w:t>
      </w:r>
      <w:proofErr w:type="gramStart"/>
      <w:r w:rsidRPr="001967B9">
        <w:t>i.e.</w:t>
      </w:r>
      <w:proofErr w:type="gramEnd"/>
      <w:r w:rsidRPr="001967B9">
        <w:t xml:space="preserve"> it has three product Silver sub</w:t>
      </w:r>
      <w:r w:rsidR="00B40B96">
        <w:t>groups</w:t>
      </w:r>
      <w:r w:rsidRPr="001967B9">
        <w:t xml:space="preserve"> in NSW. </w:t>
      </w:r>
    </w:p>
    <w:p w14:paraId="2E3E6E70" w14:textId="6D598D77" w:rsidR="00266138" w:rsidRPr="001967B9" w:rsidRDefault="00266138" w:rsidP="00266138">
      <w:r>
        <w:t>Allowed i</w:t>
      </w:r>
      <w:r w:rsidRPr="001967B9">
        <w:t xml:space="preserve">nsured groups are contained </w:t>
      </w:r>
      <w:r w:rsidR="00BC5589" w:rsidRPr="001967B9">
        <w:t xml:space="preserve">in </w:t>
      </w:r>
      <w:r w:rsidR="00BC5589">
        <w:t xml:space="preserve">Rule 5 (2) of </w:t>
      </w:r>
      <w:r w:rsidR="00BC5589" w:rsidRPr="001967B9">
        <w:t>the</w:t>
      </w:r>
      <w:r w:rsidRPr="001967B9">
        <w:t xml:space="preserve"> </w:t>
      </w:r>
      <w:hyperlink r:id="rId21" w:history="1">
        <w:r w:rsidRPr="00D8161E">
          <w:rPr>
            <w:rStyle w:val="Hyperlink"/>
            <w:i/>
            <w:iCs/>
          </w:rPr>
          <w:t>Private Health Insurance (Complying Product) Rules 2015</w:t>
        </w:r>
      </w:hyperlink>
      <w:r w:rsidRPr="001967B9">
        <w:t>.</w:t>
      </w:r>
    </w:p>
    <w:p w14:paraId="2C1F85B9" w14:textId="77777777" w:rsidR="00266138" w:rsidRPr="00431FF7" w:rsidRDefault="00266138" w:rsidP="00266138">
      <w:pPr>
        <w:pStyle w:val="Heading2"/>
      </w:pPr>
      <w:bookmarkStart w:id="15" w:name="_Toc98937440"/>
      <w:r>
        <w:lastRenderedPageBreak/>
        <w:t>Can an insurer define dependant types differently for different products?</w:t>
      </w:r>
      <w:bookmarkEnd w:id="15"/>
    </w:p>
    <w:p w14:paraId="3B9DAFCE" w14:textId="78D93FA4" w:rsidR="00266138" w:rsidRDefault="00072985" w:rsidP="00266138">
      <w:r>
        <w:t xml:space="preserve">No. </w:t>
      </w:r>
      <w:r w:rsidR="00966F49">
        <w:t>An i</w:t>
      </w:r>
      <w:r w:rsidR="00266138" w:rsidRPr="001967B9">
        <w:t xml:space="preserve">nsurer </w:t>
      </w:r>
      <w:r>
        <w:t>can</w:t>
      </w:r>
      <w:r w:rsidRPr="001967B9">
        <w:t xml:space="preserve"> </w:t>
      </w:r>
      <w:r w:rsidR="00266138" w:rsidRPr="001967B9">
        <w:t xml:space="preserve">only have one definition for each type of dependant </w:t>
      </w:r>
      <w:r w:rsidR="00966F49">
        <w:t>it</w:t>
      </w:r>
      <w:r w:rsidR="00966F49" w:rsidRPr="001967B9">
        <w:t xml:space="preserve"> </w:t>
      </w:r>
      <w:r w:rsidR="00266138" w:rsidRPr="001967B9">
        <w:t>cover</w:t>
      </w:r>
      <w:r w:rsidR="00966F49">
        <w:t>s</w:t>
      </w:r>
      <w:r w:rsidR="00266138" w:rsidRPr="001967B9">
        <w:t>. The definition of dependant type will be the same for all products</w:t>
      </w:r>
      <w:r w:rsidR="000F3195">
        <w:t xml:space="preserve"> (including closed products)</w:t>
      </w:r>
      <w:r w:rsidR="00266138" w:rsidRPr="001967B9">
        <w:t xml:space="preserve"> cover</w:t>
      </w:r>
      <w:r w:rsidR="009A33C5">
        <w:t xml:space="preserve">ing </w:t>
      </w:r>
      <w:r w:rsidR="00266138" w:rsidRPr="001967B9">
        <w:t>that dependant type. For example, if an insurer increases the maximum age of a dependent non-student from 2</w:t>
      </w:r>
      <w:r w:rsidR="00DA1DCB">
        <w:t>4</w:t>
      </w:r>
      <w:r w:rsidR="00266138" w:rsidRPr="001967B9">
        <w:t xml:space="preserve"> to 31 then all products that cover dependent non-students will need to cover dependent non-students </w:t>
      </w:r>
      <w:r w:rsidR="00DA1DCB">
        <w:t>to</w:t>
      </w:r>
      <w:r w:rsidR="00DA1DCB" w:rsidRPr="001967B9">
        <w:t xml:space="preserve"> </w:t>
      </w:r>
      <w:r w:rsidR="00266138" w:rsidRPr="001967B9">
        <w:t xml:space="preserve">the age of 31. </w:t>
      </w:r>
      <w:r w:rsidR="00966F49">
        <w:t>An</w:t>
      </w:r>
      <w:r w:rsidR="00266138" w:rsidRPr="001967B9">
        <w:t xml:space="preserve"> insurer should not have one definition of dependent non-student used for one product and a different definition of dependent non-student for another product.</w:t>
      </w:r>
    </w:p>
    <w:p w14:paraId="7EE793E6" w14:textId="06FF227E" w:rsidR="00BD38E7" w:rsidRDefault="00BD38E7" w:rsidP="00BD38E7">
      <w:pPr>
        <w:pStyle w:val="Heading2"/>
      </w:pPr>
      <w:bookmarkStart w:id="16" w:name="_Toc98937441"/>
      <w:r>
        <w:t>Why is there a non-classified dependent person type</w:t>
      </w:r>
      <w:r w:rsidR="00EC4C2A">
        <w:t xml:space="preserve"> of dependant</w:t>
      </w:r>
      <w:r>
        <w:t>?</w:t>
      </w:r>
      <w:bookmarkEnd w:id="16"/>
    </w:p>
    <w:p w14:paraId="4D4B16A1" w14:textId="6530DD67" w:rsidR="00BD38E7" w:rsidRDefault="00BD38E7" w:rsidP="00BD38E7">
      <w:r w:rsidRPr="00BD38E7">
        <w:t xml:space="preserve">A non-classified dependent person is a person </w:t>
      </w:r>
      <w:r w:rsidR="00B40B96">
        <w:t xml:space="preserve">aged </w:t>
      </w:r>
      <w:r w:rsidR="00EC4C2A">
        <w:t>18</w:t>
      </w:r>
      <w:r w:rsidR="000466CF">
        <w:t xml:space="preserve"> to </w:t>
      </w:r>
      <w:r w:rsidR="00EC4C2A">
        <w:t>24 years old</w:t>
      </w:r>
      <w:r w:rsidRPr="00BD38E7">
        <w:t xml:space="preserve"> who has not been defined in the insurer’s rules as either a dependent student or dependent non-student. The non-classified dependent people </w:t>
      </w:r>
      <w:r w:rsidR="009A33C5">
        <w:t>definition</w:t>
      </w:r>
      <w:r w:rsidR="00F54277" w:rsidRPr="00BD38E7">
        <w:t xml:space="preserve"> </w:t>
      </w:r>
      <w:r w:rsidRPr="00BD38E7">
        <w:t xml:space="preserve">allows insurers to maintain the </w:t>
      </w:r>
      <w:r w:rsidRPr="00EC4C2A">
        <w:rPr>
          <w:i/>
          <w:iCs/>
        </w:rPr>
        <w:t>status quo</w:t>
      </w:r>
      <w:r w:rsidRPr="00BD38E7">
        <w:t xml:space="preserve"> in relation to the depend</w:t>
      </w:r>
      <w:r w:rsidR="00F54277">
        <w:t>a</w:t>
      </w:r>
      <w:r w:rsidRPr="00BD38E7">
        <w:t>nts they cover</w:t>
      </w:r>
      <w:r w:rsidR="00EC4C2A">
        <w:t>ed</w:t>
      </w:r>
      <w:r w:rsidRPr="00BD38E7">
        <w:t xml:space="preserve"> </w:t>
      </w:r>
      <w:r w:rsidR="00EC4C2A">
        <w:t>before</w:t>
      </w:r>
      <w:r w:rsidRPr="00BD38E7">
        <w:t xml:space="preserve"> this measure. For example, an insurer may have previously defined a dependent child as being aged 0 to 20 years, a dependent non</w:t>
      </w:r>
      <w:r w:rsidR="00B40B96">
        <w:noBreakHyphen/>
      </w:r>
      <w:r w:rsidRPr="00BD38E7">
        <w:t xml:space="preserve">student as being aged 21 to 24 </w:t>
      </w:r>
      <w:r w:rsidR="00DA1DCB">
        <w:t xml:space="preserve">years </w:t>
      </w:r>
      <w:r w:rsidRPr="00BD38E7">
        <w:t xml:space="preserve">and defined a dependent student as being aged 21 to 24 </w:t>
      </w:r>
      <w:r w:rsidR="00DA1DCB">
        <w:t>years</w:t>
      </w:r>
      <w:r w:rsidRPr="00BD38E7">
        <w:t>. With the change</w:t>
      </w:r>
      <w:r w:rsidR="009A33C5">
        <w:t>s</w:t>
      </w:r>
      <w:r w:rsidRPr="00BD38E7">
        <w:t xml:space="preserve"> to dependant types resulting from this measure the insurer would now define dependent children (0-17), non-classified dependent </w:t>
      </w:r>
      <w:r w:rsidR="00EC4C2A">
        <w:t>people</w:t>
      </w:r>
      <w:r w:rsidRPr="00BD38E7">
        <w:t xml:space="preserve"> (18-20), dependent students (21-24) and dependent non-students (21-24).</w:t>
      </w:r>
    </w:p>
    <w:p w14:paraId="46F86C10" w14:textId="1231837F" w:rsidR="00F23D7C" w:rsidRPr="00F23D7C" w:rsidRDefault="0091540B" w:rsidP="00F23D7C">
      <w:pPr>
        <w:pStyle w:val="Heading2"/>
      </w:pPr>
      <w:bookmarkStart w:id="17" w:name="_Toc98937442"/>
      <w:r>
        <w:t>How is dependency</w:t>
      </w:r>
      <w:r w:rsidR="00392D35">
        <w:t xml:space="preserve"> </w:t>
      </w:r>
      <w:r>
        <w:t>defined?</w:t>
      </w:r>
      <w:bookmarkEnd w:id="17"/>
    </w:p>
    <w:p w14:paraId="21B138A6" w14:textId="17169EEB" w:rsidR="009E4E95" w:rsidRDefault="00F23D7C" w:rsidP="00F23D7C">
      <w:r w:rsidRPr="00562320">
        <w:t xml:space="preserve">While some aspects of the </w:t>
      </w:r>
      <w:r w:rsidR="00392D35">
        <w:t xml:space="preserve">dependent people </w:t>
      </w:r>
      <w:r w:rsidRPr="00562320">
        <w:t xml:space="preserve">are </w:t>
      </w:r>
      <w:r w:rsidR="00EC4C2A">
        <w:t xml:space="preserve">defined </w:t>
      </w:r>
      <w:r w:rsidRPr="00562320">
        <w:t xml:space="preserve">in legislation, such as age ranges and partner status, insurers </w:t>
      </w:r>
      <w:r>
        <w:t xml:space="preserve">have historically </w:t>
      </w:r>
      <w:r w:rsidRPr="00562320">
        <w:t>define</w:t>
      </w:r>
      <w:r w:rsidR="00392D35">
        <w:t>d</w:t>
      </w:r>
      <w:r w:rsidRPr="00562320">
        <w:t xml:space="preserve"> the nature of the dep</w:t>
      </w:r>
      <w:r>
        <w:t xml:space="preserve">endency in their insurer rules. This has not </w:t>
      </w:r>
      <w:r w:rsidR="009A33C5">
        <w:t>changed</w:t>
      </w:r>
      <w:r w:rsidR="00CA4899">
        <w:t>.</w:t>
      </w:r>
      <w:r>
        <w:t xml:space="preserve"> Insurers can apply dependency criteria to </w:t>
      </w:r>
      <w:r w:rsidR="00392D35">
        <w:t xml:space="preserve">all types </w:t>
      </w:r>
      <w:r w:rsidR="003F7B38">
        <w:t xml:space="preserve">of </w:t>
      </w:r>
      <w:r w:rsidR="00392D35">
        <w:t xml:space="preserve">dependent </w:t>
      </w:r>
      <w:r w:rsidR="00EC4C2A">
        <w:t>people</w:t>
      </w:r>
      <w:r w:rsidR="00392D35">
        <w:t xml:space="preserve"> </w:t>
      </w:r>
      <w:r>
        <w:t xml:space="preserve">except </w:t>
      </w:r>
      <w:proofErr w:type="gramStart"/>
      <w:r>
        <w:t>where</w:t>
      </w:r>
      <w:proofErr w:type="gramEnd"/>
      <w:r>
        <w:t xml:space="preserve"> articulated in </w:t>
      </w:r>
      <w:r w:rsidR="00392D35">
        <w:t>legislation</w:t>
      </w:r>
      <w:r>
        <w:t xml:space="preserve"> (</w:t>
      </w:r>
      <w:r w:rsidR="007439BB">
        <w:t>for example,</w:t>
      </w:r>
      <w:r>
        <w:t xml:space="preserve"> </w:t>
      </w:r>
      <w:r w:rsidR="00392D35">
        <w:t>insurers cannot define</w:t>
      </w:r>
      <w:r>
        <w:t xml:space="preserve"> partner</w:t>
      </w:r>
      <w:r w:rsidR="00392D35">
        <w:t xml:space="preserve"> status</w:t>
      </w:r>
      <w:r>
        <w:t>).</w:t>
      </w:r>
    </w:p>
    <w:p w14:paraId="53E42E38" w14:textId="77777777" w:rsidR="007778EE" w:rsidRDefault="007778EE" w:rsidP="007778EE">
      <w:pPr>
        <w:pStyle w:val="Heading2"/>
      </w:pPr>
      <w:bookmarkStart w:id="18" w:name="_Toc98937443"/>
      <w:r>
        <w:t>Which dependent person age ranges can an insurer set in its rules?</w:t>
      </w:r>
      <w:bookmarkEnd w:id="18"/>
    </w:p>
    <w:p w14:paraId="3F963B51" w14:textId="7C071464" w:rsidR="007778EE" w:rsidRDefault="007778EE" w:rsidP="007778EE">
      <w:r>
        <w:t xml:space="preserve">Insurers can set the minimum and maximum ages </w:t>
      </w:r>
      <w:r w:rsidR="00EC4C2A">
        <w:t xml:space="preserve">within the allowable ranges </w:t>
      </w:r>
      <w:r>
        <w:t>for dependent students, dependent non-students, conditional dependent non-</w:t>
      </w:r>
      <w:proofErr w:type="gramStart"/>
      <w:r>
        <w:t>student</w:t>
      </w:r>
      <w:r w:rsidR="00EC4C2A">
        <w:t>s</w:t>
      </w:r>
      <w:proofErr w:type="gramEnd"/>
      <w:r>
        <w:t xml:space="preserve"> and non-classified dependent </w:t>
      </w:r>
      <w:r w:rsidR="00EC4C2A">
        <w:t>people</w:t>
      </w:r>
      <w:r>
        <w:t xml:space="preserve"> but not for dependent children or dependent people with a disability.</w:t>
      </w:r>
    </w:p>
    <w:p w14:paraId="016E5830" w14:textId="77777777" w:rsidR="007778EE" w:rsidRPr="00F23D7C" w:rsidRDefault="007778EE" w:rsidP="007778EE">
      <w:pPr>
        <w:pStyle w:val="Heading2"/>
      </w:pPr>
      <w:bookmarkStart w:id="19" w:name="_Toc98937444"/>
      <w:r w:rsidRPr="00F23D7C">
        <w:t>Are insurers compelled to increase the maximum age of dependent students and non-students to 31 years?</w:t>
      </w:r>
      <w:bookmarkEnd w:id="19"/>
    </w:p>
    <w:p w14:paraId="23E99ACB" w14:textId="6D0237F3" w:rsidR="007778EE" w:rsidRDefault="007778EE" w:rsidP="00F23D7C">
      <w:r w:rsidRPr="00670350">
        <w:t>No</w:t>
      </w:r>
      <w:r>
        <w:t xml:space="preserve">. An </w:t>
      </w:r>
      <w:r w:rsidRPr="00670350">
        <w:t>insurer can choose to implement their own age range for dependent student and non</w:t>
      </w:r>
      <w:r w:rsidR="00DF69ED">
        <w:noBreakHyphen/>
      </w:r>
      <w:r w:rsidRPr="00670350">
        <w:t xml:space="preserve">students from 18 years up to 31 years. For example, an insurer that currently has a maximum age for dependent non-students of 24 years in their insurer rules, </w:t>
      </w:r>
      <w:r w:rsidRPr="009A33C5">
        <w:rPr>
          <w:iCs/>
        </w:rPr>
        <w:t>may</w:t>
      </w:r>
      <w:r>
        <w:t xml:space="preserve"> </w:t>
      </w:r>
      <w:r w:rsidR="009A33C5">
        <w:t xml:space="preserve">choose to </w:t>
      </w:r>
      <w:r w:rsidRPr="00670350">
        <w:t>increase the maximum age to</w:t>
      </w:r>
      <w:r>
        <w:t xml:space="preserve"> </w:t>
      </w:r>
      <w:r w:rsidR="009A33C5">
        <w:t>30</w:t>
      </w:r>
      <w:r>
        <w:t xml:space="preserve"> years rather than 31 years.</w:t>
      </w:r>
    </w:p>
    <w:p w14:paraId="515282F4" w14:textId="77777777" w:rsidR="00EC4C2A" w:rsidRPr="00F23D7C" w:rsidRDefault="00EC4C2A" w:rsidP="00EC4C2A">
      <w:pPr>
        <w:pStyle w:val="Heading2"/>
      </w:pPr>
      <w:bookmarkStart w:id="20" w:name="_Toc98937445"/>
      <w:r>
        <w:lastRenderedPageBreak/>
        <w:t>How is disability defined?</w:t>
      </w:r>
      <w:bookmarkEnd w:id="20"/>
    </w:p>
    <w:p w14:paraId="7DDE398B" w14:textId="4A5D66E1" w:rsidR="00EC4C2A" w:rsidRDefault="00EC4C2A" w:rsidP="00F23D7C">
      <w:r w:rsidRPr="00764AB8">
        <w:t>The</w:t>
      </w:r>
      <w:r w:rsidR="003F7B38">
        <w:t xml:space="preserve"> standard</w:t>
      </w:r>
      <w:r w:rsidRPr="00764AB8">
        <w:t xml:space="preserve"> </w:t>
      </w:r>
      <w:r w:rsidR="003F7B38">
        <w:t>definition for</w:t>
      </w:r>
      <w:r w:rsidRPr="00764AB8">
        <w:t xml:space="preserve"> a </w:t>
      </w:r>
      <w:r>
        <w:t>‘</w:t>
      </w:r>
      <w:r w:rsidRPr="00764AB8">
        <w:t>person with a disability</w:t>
      </w:r>
      <w:r>
        <w:t>’</w:t>
      </w:r>
      <w:r w:rsidRPr="00764AB8">
        <w:t xml:space="preserve"> </w:t>
      </w:r>
      <w:r>
        <w:t xml:space="preserve">is a person who is a </w:t>
      </w:r>
      <w:r w:rsidRPr="00764AB8">
        <w:t xml:space="preserve">participant in the National Disability Insurance Scheme (NDIS). </w:t>
      </w:r>
      <w:r>
        <w:t>Additionally, i</w:t>
      </w:r>
      <w:r w:rsidRPr="00764AB8">
        <w:t xml:space="preserve">nsurers have </w:t>
      </w:r>
      <w:r w:rsidR="009A33C5">
        <w:t xml:space="preserve">the </w:t>
      </w:r>
      <w:r w:rsidRPr="00764AB8">
        <w:t xml:space="preserve">flexibility to </w:t>
      </w:r>
      <w:r>
        <w:t xml:space="preserve">be more expansive in their definition of a ‘person with disability’ in their insurer rules and can, if they chose, </w:t>
      </w:r>
      <w:r w:rsidRPr="00764AB8">
        <w:t xml:space="preserve">offer cover to people with a disability </w:t>
      </w:r>
      <w:r>
        <w:t xml:space="preserve">beyond those who are NDIS participants.  </w:t>
      </w:r>
    </w:p>
    <w:p w14:paraId="3B2C437E" w14:textId="1C016984" w:rsidR="00FF6DD0" w:rsidRDefault="00FF6DD0" w:rsidP="00FF6DD0">
      <w:pPr>
        <w:pStyle w:val="Heading2"/>
      </w:pPr>
      <w:bookmarkStart w:id="21" w:name="_Toc98937446"/>
      <w:r>
        <w:t xml:space="preserve">What happens if a person with a disability is no longer a </w:t>
      </w:r>
      <w:r w:rsidRPr="00764AB8">
        <w:t>participant in the National Disability Insurance Scheme (NDIS)</w:t>
      </w:r>
      <w:r>
        <w:t>?</w:t>
      </w:r>
      <w:bookmarkEnd w:id="21"/>
    </w:p>
    <w:p w14:paraId="046EDB20" w14:textId="28C3FC76" w:rsidR="00202B93" w:rsidRDefault="00EC4C2A" w:rsidP="00202B93">
      <w:r>
        <w:t xml:space="preserve">When an insurer offers coverage for dependent people with a </w:t>
      </w:r>
      <w:r w:rsidR="009A33C5">
        <w:t>disability,</w:t>
      </w:r>
      <w:r>
        <w:t xml:space="preserve"> they should inform the family covered of the timeframe </w:t>
      </w:r>
      <w:r w:rsidR="009A33C5">
        <w:t>in which</w:t>
      </w:r>
      <w:r w:rsidR="00266138">
        <w:t xml:space="preserve"> </w:t>
      </w:r>
      <w:r>
        <w:t xml:space="preserve">they need to inform the insurer of this event. It is recommended a </w:t>
      </w:r>
      <w:r w:rsidR="00266138">
        <w:t>six-month</w:t>
      </w:r>
      <w:r>
        <w:t xml:space="preserve"> period be adopted and the insurer incorporate</w:t>
      </w:r>
      <w:r w:rsidR="009A33C5">
        <w:t>s</w:t>
      </w:r>
      <w:r>
        <w:t xml:space="preserve"> this </w:t>
      </w:r>
      <w:r w:rsidR="009A33C5">
        <w:t xml:space="preserve">condition </w:t>
      </w:r>
      <w:r>
        <w:t xml:space="preserve">into its definition of </w:t>
      </w:r>
      <w:r w:rsidR="00DA2FE1">
        <w:t xml:space="preserve">a </w:t>
      </w:r>
      <w:r w:rsidR="00266138">
        <w:t xml:space="preserve">dependent </w:t>
      </w:r>
      <w:r w:rsidR="00DA2FE1">
        <w:t>person with a disability.</w:t>
      </w:r>
      <w:r w:rsidR="003F7B38">
        <w:t xml:space="preserve"> It </w:t>
      </w:r>
      <w:r w:rsidR="007A07DA">
        <w:t xml:space="preserve">recommended the </w:t>
      </w:r>
      <w:r w:rsidR="003F7B38">
        <w:t xml:space="preserve">insurer continue to </w:t>
      </w:r>
      <w:r w:rsidR="007A07DA">
        <w:t>cover the dependent person with a disability during the notification period.</w:t>
      </w:r>
    </w:p>
    <w:p w14:paraId="666A43ED" w14:textId="6042F99D" w:rsidR="00F23D7C" w:rsidRPr="00F23D7C" w:rsidRDefault="00F23D7C" w:rsidP="00F23D7C">
      <w:pPr>
        <w:pStyle w:val="Heading2"/>
      </w:pPr>
      <w:bookmarkStart w:id="22" w:name="_Toc98937447"/>
      <w:r w:rsidRPr="00F23D7C">
        <w:t xml:space="preserve">How </w:t>
      </w:r>
      <w:r w:rsidR="005B2C2C">
        <w:t xml:space="preserve">will </w:t>
      </w:r>
      <w:r w:rsidRPr="00F23D7C">
        <w:t>Lifetime Health Cover affect a dependent person with a disability</w:t>
      </w:r>
      <w:r w:rsidR="005B2C2C">
        <w:t>?</w:t>
      </w:r>
      <w:bookmarkEnd w:id="22"/>
    </w:p>
    <w:p w14:paraId="6322E095" w14:textId="1FD07ED4" w:rsidR="00FF6DD0" w:rsidRPr="00FF6DD0" w:rsidRDefault="00266138" w:rsidP="00FF6DD0">
      <w:r>
        <w:t>A</w:t>
      </w:r>
      <w:r w:rsidR="00FF6DD0" w:rsidRPr="00FF6DD0">
        <w:t xml:space="preserve"> dependent person with a </w:t>
      </w:r>
      <w:r w:rsidR="005B2C2C">
        <w:t>d</w:t>
      </w:r>
      <w:r w:rsidR="00FF6DD0" w:rsidRPr="00FF6DD0">
        <w:t>isability</w:t>
      </w:r>
      <w:r>
        <w:t xml:space="preserve"> is treated as an adult for the purposes of Lifetime Health Cover (LHC)</w:t>
      </w:r>
      <w:r w:rsidR="00FF6DD0" w:rsidRPr="00FF6DD0">
        <w:t xml:space="preserve">. </w:t>
      </w:r>
      <w:r>
        <w:t>If they</w:t>
      </w:r>
      <w:r w:rsidR="00FF6DD0" w:rsidRPr="00FF6DD0">
        <w:t xml:space="preserve"> </w:t>
      </w:r>
      <w:r w:rsidR="00F54277">
        <w:t>are covered by</w:t>
      </w:r>
      <w:r w:rsidR="00F54277" w:rsidRPr="00FF6DD0">
        <w:t xml:space="preserve"> </w:t>
      </w:r>
      <w:r w:rsidR="00FF6DD0" w:rsidRPr="00FF6DD0">
        <w:t>hospital cover on their </w:t>
      </w:r>
      <w:hyperlink r:id="rId22" w:anchor="baseday" w:tooltip="Lifetime Health Cover base day" w:history="1">
        <w:r w:rsidR="000818E4">
          <w:t>LHC</w:t>
        </w:r>
        <w:r w:rsidR="00FF6DD0" w:rsidRPr="00FF6DD0">
          <w:t xml:space="preserve"> base day</w:t>
        </w:r>
      </w:hyperlink>
      <w:r w:rsidR="00FF6DD0" w:rsidRPr="00FF6DD0">
        <w:t> </w:t>
      </w:r>
      <w:r w:rsidR="00621EB0">
        <w:t xml:space="preserve">they </w:t>
      </w:r>
      <w:r w:rsidR="00FF6DD0" w:rsidRPr="00FF6DD0">
        <w:t xml:space="preserve">will avoid paying </w:t>
      </w:r>
      <w:r w:rsidR="00621EB0">
        <w:t xml:space="preserve">a </w:t>
      </w:r>
      <w:r w:rsidR="00FF6DD0" w:rsidRPr="00FF6DD0">
        <w:t xml:space="preserve">LHC loading. If a dependent person with a disability joins </w:t>
      </w:r>
      <w:r w:rsidR="0056565E">
        <w:t>their family</w:t>
      </w:r>
      <w:r w:rsidR="00FF6DD0" w:rsidRPr="00FF6DD0">
        <w:t xml:space="preserve"> hospital cover for the first time after their LHC base day, </w:t>
      </w:r>
      <w:r w:rsidR="005B2C2C">
        <w:t xml:space="preserve">a </w:t>
      </w:r>
      <w:r w:rsidR="00FF6DD0" w:rsidRPr="00FF6DD0">
        <w:t xml:space="preserve">loading </w:t>
      </w:r>
      <w:r w:rsidR="00E51AF5">
        <w:t xml:space="preserve">of 2% </w:t>
      </w:r>
      <w:r w:rsidR="00FF6DD0" w:rsidRPr="00FF6DD0">
        <w:t>will apply for every year they are aged over 30, based on their age on the 1</w:t>
      </w:r>
      <w:r w:rsidR="00822311">
        <w:t> </w:t>
      </w:r>
      <w:r w:rsidR="00FF6DD0" w:rsidRPr="00FF6DD0">
        <w:t>July prior to joining.</w:t>
      </w:r>
    </w:p>
    <w:p w14:paraId="66942750" w14:textId="00BE6F18" w:rsidR="00FF6DD0" w:rsidRPr="00FF6DD0" w:rsidRDefault="00585078" w:rsidP="0056565E">
      <w:r w:rsidRPr="00585078">
        <w:rPr>
          <w:b/>
          <w:bCs/>
        </w:rPr>
        <w:t>E</w:t>
      </w:r>
      <w:r w:rsidR="00FF6DD0" w:rsidRPr="00585078">
        <w:rPr>
          <w:b/>
          <w:bCs/>
        </w:rPr>
        <w:t>xample</w:t>
      </w:r>
      <w:r w:rsidRPr="00585078">
        <w:rPr>
          <w:b/>
          <w:bCs/>
        </w:rPr>
        <w:t xml:space="preserve"> 1</w:t>
      </w:r>
      <w:r w:rsidR="00FF6DD0" w:rsidRPr="00FF6DD0">
        <w:t xml:space="preserve">: Lucy turned 31 in January 2019, so her </w:t>
      </w:r>
      <w:r w:rsidR="0056565E">
        <w:t>LHC</w:t>
      </w:r>
      <w:r w:rsidR="00FF6DD0" w:rsidRPr="00FF6DD0">
        <w:t xml:space="preserve"> base day is 1</w:t>
      </w:r>
      <w:r w:rsidR="000E61CD">
        <w:t> </w:t>
      </w:r>
      <w:r w:rsidR="00FF6DD0" w:rsidRPr="00FF6DD0">
        <w:t>July</w:t>
      </w:r>
      <w:r w:rsidR="000E61CD">
        <w:t> </w:t>
      </w:r>
      <w:r w:rsidR="00FF6DD0" w:rsidRPr="00FF6DD0">
        <w:t>2019. In November 2021 at the age of 33, Lucy joins her family</w:t>
      </w:r>
      <w:r w:rsidR="00E51AF5">
        <w:t>’s</w:t>
      </w:r>
      <w:r w:rsidR="00FF6DD0" w:rsidRPr="00FF6DD0">
        <w:t xml:space="preserve"> hospital cover as a dependent</w:t>
      </w:r>
      <w:r w:rsidR="0056565E">
        <w:t xml:space="preserve"> person</w:t>
      </w:r>
      <w:r w:rsidR="00FF6DD0" w:rsidRPr="00FF6DD0">
        <w:t xml:space="preserve"> with a disability. </w:t>
      </w:r>
      <w:r w:rsidR="0056565E">
        <w:t xml:space="preserve">As Lucy had no hospital cover on her LHC base day </w:t>
      </w:r>
      <w:r w:rsidR="00FF6DD0" w:rsidRPr="00FF6DD0">
        <w:t xml:space="preserve">Lucy’s </w:t>
      </w:r>
      <w:r w:rsidR="0056565E">
        <w:t>LHC</w:t>
      </w:r>
      <w:r w:rsidR="00FF6DD0" w:rsidRPr="00FF6DD0">
        <w:t xml:space="preserve"> loading is 6%. Lucy is the only adult on the policy that has </w:t>
      </w:r>
      <w:r w:rsidR="0056565E">
        <w:t xml:space="preserve">a LHC </w:t>
      </w:r>
      <w:r w:rsidR="00FF6DD0" w:rsidRPr="00FF6DD0">
        <w:t xml:space="preserve">loading. The </w:t>
      </w:r>
      <w:r w:rsidR="0056565E">
        <w:t xml:space="preserve">average </w:t>
      </w:r>
      <w:r w:rsidR="00FF6DD0" w:rsidRPr="00FF6DD0">
        <w:t>LHC loading on the family cover is 2%.</w:t>
      </w:r>
    </w:p>
    <w:p w14:paraId="5CB52138" w14:textId="253A7607" w:rsidR="00FF6DD0" w:rsidRPr="00FF6DD0" w:rsidRDefault="00FF6DD0" w:rsidP="00FF6DD0">
      <w:r w:rsidRPr="00FF6DD0">
        <w:t xml:space="preserve">If a </w:t>
      </w:r>
      <w:r w:rsidR="00362F38">
        <w:t>person</w:t>
      </w:r>
      <w:r w:rsidRPr="00FF6DD0">
        <w:t xml:space="preserve"> has their own single</w:t>
      </w:r>
      <w:r w:rsidR="00DA2FE1">
        <w:t>s</w:t>
      </w:r>
      <w:r w:rsidRPr="00FF6DD0">
        <w:t xml:space="preserve"> hospital policy with a loading, then transfers to a family or single parent policy as a dependent </w:t>
      </w:r>
      <w:r w:rsidR="00DA1DCB">
        <w:t xml:space="preserve">person </w:t>
      </w:r>
      <w:r w:rsidRPr="00FF6DD0">
        <w:t>with a disability, they will carry their loading with them.</w:t>
      </w:r>
    </w:p>
    <w:p w14:paraId="099163FB" w14:textId="6A1AD83D" w:rsidR="00FF6DD0" w:rsidRDefault="00585078" w:rsidP="00F23D7C">
      <w:r w:rsidRPr="00585078">
        <w:rPr>
          <w:b/>
          <w:bCs/>
        </w:rPr>
        <w:t>E</w:t>
      </w:r>
      <w:r w:rsidR="00FF6DD0" w:rsidRPr="00585078">
        <w:rPr>
          <w:b/>
          <w:bCs/>
        </w:rPr>
        <w:t>xample</w:t>
      </w:r>
      <w:r>
        <w:rPr>
          <w:b/>
          <w:bCs/>
        </w:rPr>
        <w:t xml:space="preserve"> 2</w:t>
      </w:r>
      <w:r w:rsidR="00FF6DD0" w:rsidRPr="00FF6DD0">
        <w:t>:</w:t>
      </w:r>
      <w:r w:rsidR="00B75D73">
        <w:t xml:space="preserve"> </w:t>
      </w:r>
      <w:r w:rsidR="00FF6DD0" w:rsidRPr="00FF6DD0">
        <w:t>Archie takes out a single</w:t>
      </w:r>
      <w:r w:rsidR="00DA2FE1">
        <w:t>s</w:t>
      </w:r>
      <w:r w:rsidR="00FF6DD0" w:rsidRPr="00FF6DD0">
        <w:t xml:space="preserve"> hospital cover for himself in February 2018 at the age of 32</w:t>
      </w:r>
      <w:r w:rsidR="00B75D73">
        <w:t>.</w:t>
      </w:r>
      <w:r w:rsidR="00FF6DD0" w:rsidRPr="00FF6DD0">
        <w:t xml:space="preserve"> </w:t>
      </w:r>
      <w:r w:rsidR="00B75D73">
        <w:t>H</w:t>
      </w:r>
      <w:r w:rsidR="00FF6DD0" w:rsidRPr="00FF6DD0">
        <w:t xml:space="preserve">is LHC loading is </w:t>
      </w:r>
      <w:r w:rsidR="00FF6DD0" w:rsidRPr="00FC3721">
        <w:t>4%</w:t>
      </w:r>
      <w:r w:rsidR="00FF6DD0" w:rsidRPr="00FF6DD0">
        <w:t xml:space="preserve">. In December 2021, Archie transfers to his mother’s single parent hospital cover as a dependent </w:t>
      </w:r>
      <w:r w:rsidR="00DA1DCB">
        <w:t xml:space="preserve">person </w:t>
      </w:r>
      <w:r w:rsidR="00FF6DD0" w:rsidRPr="00FF6DD0">
        <w:t xml:space="preserve">with a disability. Archie’s individual loading is 4% and his mother has a loading of 0%. The </w:t>
      </w:r>
      <w:r>
        <w:t xml:space="preserve">average </w:t>
      </w:r>
      <w:r w:rsidR="00FF6DD0" w:rsidRPr="00FF6DD0">
        <w:t xml:space="preserve">LHC loading on the single parent cover is 2%. Archie will be eligible to have his loading removed after he has held a hospital cover for </w:t>
      </w:r>
      <w:r>
        <w:t>ten</w:t>
      </w:r>
      <w:r w:rsidR="00DA1DCB">
        <w:t> </w:t>
      </w:r>
      <w:r w:rsidR="00FF6DD0" w:rsidRPr="00FF6DD0">
        <w:t>continuous years.</w:t>
      </w:r>
    </w:p>
    <w:p w14:paraId="1FD222E8" w14:textId="1BBC86D2" w:rsidR="00636AFA" w:rsidRDefault="00E33159" w:rsidP="00202B93">
      <w:pPr>
        <w:pStyle w:val="Heading2"/>
      </w:pPr>
      <w:bookmarkStart w:id="23" w:name="_Toc98937448"/>
      <w:r>
        <w:t>How many decimal places should the</w:t>
      </w:r>
      <w:r w:rsidR="00636AFA">
        <w:t xml:space="preserve"> average </w:t>
      </w:r>
      <w:r w:rsidR="00636AFA" w:rsidRPr="00F23D7C">
        <w:t>Lifetime Health Cover</w:t>
      </w:r>
      <w:r w:rsidR="00636AFA">
        <w:t xml:space="preserve"> loading for a policy </w:t>
      </w:r>
      <w:r>
        <w:t>contain</w:t>
      </w:r>
      <w:r w:rsidR="00CC7430">
        <w:t>?</w:t>
      </w:r>
      <w:bookmarkEnd w:id="23"/>
    </w:p>
    <w:p w14:paraId="3E86ED5A" w14:textId="0C441642" w:rsidR="002E03BC" w:rsidRDefault="00E33159" w:rsidP="004F194F">
      <w:r>
        <w:t xml:space="preserve">Prior to the introduction of dependent people with a disability </w:t>
      </w:r>
      <w:r w:rsidR="00CC7430">
        <w:t xml:space="preserve">average </w:t>
      </w:r>
      <w:r w:rsidR="00CC7430" w:rsidRPr="00F23D7C">
        <w:t>Lifetime Health Cover</w:t>
      </w:r>
      <w:r w:rsidR="00CC7430">
        <w:t xml:space="preserve"> (LHC) loading </w:t>
      </w:r>
      <w:r w:rsidR="002E03BC">
        <w:t xml:space="preserve">percentages </w:t>
      </w:r>
      <w:r w:rsidR="00CC7430">
        <w:t xml:space="preserve">for a policy </w:t>
      </w:r>
      <w:r w:rsidR="002E03BC">
        <w:t>were</w:t>
      </w:r>
      <w:r>
        <w:t xml:space="preserve"> </w:t>
      </w:r>
      <w:r w:rsidR="004F253F">
        <w:t xml:space="preserve">usually </w:t>
      </w:r>
      <w:r>
        <w:t xml:space="preserve">always a natural number (did not result in decimal places). </w:t>
      </w:r>
    </w:p>
    <w:p w14:paraId="2A6A5D6A" w14:textId="2F2E5CF2" w:rsidR="00CC7430" w:rsidRDefault="00397911" w:rsidP="004F194F">
      <w:r>
        <w:t>I</w:t>
      </w:r>
      <w:r w:rsidR="00CF2E3C">
        <w:t>f</w:t>
      </w:r>
      <w:r w:rsidR="002E03BC">
        <w:t> </w:t>
      </w:r>
      <w:r w:rsidR="00CF2E3C">
        <w:t>a</w:t>
      </w:r>
      <w:r w:rsidR="002E03BC">
        <w:t>n</w:t>
      </w:r>
      <w:r w:rsidR="00CF2E3C">
        <w:t xml:space="preserve"> average policy loading does not result in a natural number</w:t>
      </w:r>
      <w:r w:rsidR="006D4593">
        <w:t>,</w:t>
      </w:r>
      <w:r w:rsidR="00CF2E3C">
        <w:t xml:space="preserve"> the percentage loading </w:t>
      </w:r>
      <w:r w:rsidR="00CC7430">
        <w:t xml:space="preserve">should be calculated </w:t>
      </w:r>
      <w:r w:rsidR="004F253F">
        <w:t xml:space="preserve">and rounded to </w:t>
      </w:r>
      <w:r w:rsidR="00CC7430">
        <w:t xml:space="preserve">two decimal </w:t>
      </w:r>
      <w:r w:rsidR="00CF2E3C">
        <w:t>places</w:t>
      </w:r>
      <w:r w:rsidR="00CC7430">
        <w:t>.</w:t>
      </w:r>
    </w:p>
    <w:p w14:paraId="32D3BF19" w14:textId="0989887E" w:rsidR="00F526DE" w:rsidRPr="004F194F" w:rsidRDefault="00397911" w:rsidP="00F526DE">
      <w:pPr>
        <w:pStyle w:val="Paragraphtext"/>
        <w:rPr>
          <w:sz w:val="22"/>
          <w:szCs w:val="22"/>
        </w:rPr>
      </w:pPr>
      <w:r w:rsidRPr="00DF69ED">
        <w:rPr>
          <w:b/>
          <w:bCs/>
          <w:sz w:val="22"/>
          <w:szCs w:val="22"/>
        </w:rPr>
        <w:lastRenderedPageBreak/>
        <w:t>Example 1</w:t>
      </w:r>
      <w:r w:rsidR="00CF2E3C" w:rsidRPr="004F194F">
        <w:rPr>
          <w:sz w:val="22"/>
          <w:szCs w:val="22"/>
        </w:rPr>
        <w:t>:</w:t>
      </w:r>
      <w:r w:rsidR="00F526DE" w:rsidRPr="004F194F">
        <w:rPr>
          <w:sz w:val="22"/>
          <w:szCs w:val="22"/>
        </w:rPr>
        <w:t xml:space="preserve"> Adult 1 (A1) and Adult 2 (A2) are covered by a family hospital policy with a base rate of $1000 per year. Both A1 and A2 have a LHC loading of 10%. The LHC loading on the policy is $100 or a policy average </w:t>
      </w:r>
      <w:r w:rsidR="002E03BC" w:rsidRPr="004F194F">
        <w:rPr>
          <w:sz w:val="22"/>
          <w:szCs w:val="22"/>
        </w:rPr>
        <w:t xml:space="preserve">LHC loading percentage </w:t>
      </w:r>
      <w:r w:rsidR="00F526DE" w:rsidRPr="004F194F">
        <w:rPr>
          <w:sz w:val="22"/>
          <w:szCs w:val="22"/>
        </w:rPr>
        <w:t>of 10%.</w:t>
      </w:r>
    </w:p>
    <w:tbl>
      <w:tblPr>
        <w:tblW w:w="0" w:type="auto"/>
        <w:tblCellMar>
          <w:left w:w="0" w:type="dxa"/>
          <w:right w:w="0" w:type="dxa"/>
        </w:tblCellMar>
        <w:tblLook w:val="04A0" w:firstRow="1" w:lastRow="0" w:firstColumn="1" w:lastColumn="0" w:noHBand="0" w:noVBand="1"/>
      </w:tblPr>
      <w:tblGrid>
        <w:gridCol w:w="981"/>
        <w:gridCol w:w="2223"/>
        <w:gridCol w:w="3676"/>
        <w:gridCol w:w="2292"/>
      </w:tblGrid>
      <w:tr w:rsidR="00F526DE" w:rsidRPr="00F526DE" w14:paraId="48474323" w14:textId="77777777" w:rsidTr="00F526DE">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6240A4" w14:textId="404D99D3" w:rsidR="00F526DE" w:rsidRPr="00F526DE" w:rsidRDefault="00046AF1" w:rsidP="00F526DE">
            <w:pPr>
              <w:pStyle w:val="Paragraphtext"/>
            </w:pPr>
            <w:r>
              <w:t>Entity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56DB59" w14:textId="77777777" w:rsidR="00F526DE" w:rsidRPr="00F526DE" w:rsidRDefault="00F526DE" w:rsidP="00F526DE">
            <w:pPr>
              <w:pStyle w:val="Paragraphtext"/>
            </w:pPr>
            <w:r w:rsidRPr="00F526DE">
              <w:t>Portion of base rate</w:t>
            </w:r>
          </w:p>
        </w:tc>
        <w:tc>
          <w:tcPr>
            <w:tcW w:w="3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29C443" w14:textId="6DAC30A5" w:rsidR="00F526DE" w:rsidRPr="00F526DE" w:rsidRDefault="00F526DE" w:rsidP="00F526DE">
            <w:pPr>
              <w:pStyle w:val="Paragraphtext"/>
            </w:pPr>
            <w:r w:rsidRPr="00F526DE">
              <w:t xml:space="preserve">LHC loading </w:t>
            </w:r>
            <w:r w:rsidR="00046AF1">
              <w:t>percentage</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5B43DE" w14:textId="77777777" w:rsidR="00F526DE" w:rsidRPr="00F526DE" w:rsidRDefault="00F526DE" w:rsidP="00F526DE">
            <w:pPr>
              <w:pStyle w:val="Paragraphtext"/>
            </w:pPr>
            <w:r w:rsidRPr="00F526DE">
              <w:t>LHC loading amount</w:t>
            </w:r>
          </w:p>
        </w:tc>
      </w:tr>
      <w:tr w:rsidR="00F526DE" w:rsidRPr="00F526DE" w14:paraId="34D7554B" w14:textId="77777777" w:rsidTr="00F526D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764FD" w14:textId="77777777" w:rsidR="00F526DE" w:rsidRPr="00F526DE" w:rsidRDefault="00F526DE" w:rsidP="00F526DE">
            <w:pPr>
              <w:pStyle w:val="Paragraphtext"/>
            </w:pPr>
            <w:r w:rsidRPr="00F526DE">
              <w:t>A1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81A2CE0" w14:textId="77777777" w:rsidR="00F526DE" w:rsidRPr="00F526DE" w:rsidRDefault="00F526DE" w:rsidP="00F526DE">
            <w:pPr>
              <w:pStyle w:val="Paragraphtext"/>
            </w:pPr>
            <w:r w:rsidRPr="00F526DE">
              <w:t>$500</w:t>
            </w:r>
          </w:p>
        </w:tc>
        <w:tc>
          <w:tcPr>
            <w:tcW w:w="3756" w:type="dxa"/>
            <w:tcBorders>
              <w:top w:val="nil"/>
              <w:left w:val="nil"/>
              <w:bottom w:val="single" w:sz="8" w:space="0" w:color="auto"/>
              <w:right w:val="single" w:sz="8" w:space="0" w:color="auto"/>
            </w:tcBorders>
            <w:tcMar>
              <w:top w:w="0" w:type="dxa"/>
              <w:left w:w="108" w:type="dxa"/>
              <w:bottom w:w="0" w:type="dxa"/>
              <w:right w:w="108" w:type="dxa"/>
            </w:tcMar>
            <w:hideMark/>
          </w:tcPr>
          <w:p w14:paraId="1F388E07" w14:textId="77777777" w:rsidR="00F526DE" w:rsidRPr="00F526DE" w:rsidRDefault="00F526DE" w:rsidP="00F526DE">
            <w:pPr>
              <w:pStyle w:val="Paragraphtext"/>
            </w:pPr>
            <w:r w:rsidRPr="00F526DE">
              <w:t>10%</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7AD77BC" w14:textId="77777777" w:rsidR="00F526DE" w:rsidRPr="00F526DE" w:rsidRDefault="00F526DE" w:rsidP="00F526DE">
            <w:pPr>
              <w:pStyle w:val="Paragraphtext"/>
            </w:pPr>
            <w:r w:rsidRPr="00F526DE">
              <w:t>$50</w:t>
            </w:r>
          </w:p>
        </w:tc>
      </w:tr>
      <w:tr w:rsidR="00F526DE" w:rsidRPr="00F526DE" w14:paraId="18B7443E" w14:textId="77777777" w:rsidTr="00F526D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FEA99" w14:textId="77777777" w:rsidR="00F526DE" w:rsidRPr="00F526DE" w:rsidRDefault="00F526DE" w:rsidP="00F526DE">
            <w:pPr>
              <w:pStyle w:val="Paragraphtext"/>
            </w:pPr>
            <w:r w:rsidRPr="00F526DE">
              <w:t>A2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607CCF1" w14:textId="77777777" w:rsidR="00F526DE" w:rsidRPr="00F526DE" w:rsidRDefault="00F526DE" w:rsidP="00F526DE">
            <w:pPr>
              <w:pStyle w:val="Paragraphtext"/>
            </w:pPr>
            <w:r w:rsidRPr="00F526DE">
              <w:t>$500</w:t>
            </w:r>
          </w:p>
        </w:tc>
        <w:tc>
          <w:tcPr>
            <w:tcW w:w="3756" w:type="dxa"/>
            <w:tcBorders>
              <w:top w:val="nil"/>
              <w:left w:val="nil"/>
              <w:bottom w:val="single" w:sz="8" w:space="0" w:color="auto"/>
              <w:right w:val="single" w:sz="8" w:space="0" w:color="auto"/>
            </w:tcBorders>
            <w:tcMar>
              <w:top w:w="0" w:type="dxa"/>
              <w:left w:w="108" w:type="dxa"/>
              <w:bottom w:w="0" w:type="dxa"/>
              <w:right w:w="108" w:type="dxa"/>
            </w:tcMar>
            <w:hideMark/>
          </w:tcPr>
          <w:p w14:paraId="544E1FD4" w14:textId="77777777" w:rsidR="00F526DE" w:rsidRPr="00F526DE" w:rsidRDefault="00F526DE" w:rsidP="00F526DE">
            <w:pPr>
              <w:pStyle w:val="Paragraphtext"/>
            </w:pPr>
            <w:r w:rsidRPr="00F526DE">
              <w:t>10%</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427DF88" w14:textId="77777777" w:rsidR="00F526DE" w:rsidRPr="00F526DE" w:rsidRDefault="00F526DE" w:rsidP="00F526DE">
            <w:pPr>
              <w:pStyle w:val="Paragraphtext"/>
            </w:pPr>
            <w:r w:rsidRPr="00F526DE">
              <w:t>$50</w:t>
            </w:r>
          </w:p>
        </w:tc>
      </w:tr>
      <w:tr w:rsidR="00F526DE" w:rsidRPr="00F526DE" w14:paraId="3E7DC1D8" w14:textId="77777777" w:rsidTr="00F526D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1BE36" w14:textId="77777777" w:rsidR="00F526DE" w:rsidRPr="00F526DE" w:rsidRDefault="00F526DE" w:rsidP="00F526DE">
            <w:pPr>
              <w:pStyle w:val="Paragraphtext"/>
            </w:pPr>
            <w:r w:rsidRPr="00F526DE">
              <w:t xml:space="preserve">Policy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8AB0698" w14:textId="77777777" w:rsidR="00F526DE" w:rsidRPr="00F526DE" w:rsidRDefault="00F526DE" w:rsidP="00F526DE">
            <w:pPr>
              <w:pStyle w:val="Paragraphtext"/>
            </w:pPr>
            <w:r w:rsidRPr="00F526DE">
              <w:t>$1000</w:t>
            </w:r>
          </w:p>
        </w:tc>
        <w:tc>
          <w:tcPr>
            <w:tcW w:w="3756" w:type="dxa"/>
            <w:tcBorders>
              <w:top w:val="nil"/>
              <w:left w:val="nil"/>
              <w:bottom w:val="single" w:sz="8" w:space="0" w:color="auto"/>
              <w:right w:val="single" w:sz="8" w:space="0" w:color="auto"/>
            </w:tcBorders>
            <w:tcMar>
              <w:top w:w="0" w:type="dxa"/>
              <w:left w:w="108" w:type="dxa"/>
              <w:bottom w:w="0" w:type="dxa"/>
              <w:right w:w="108" w:type="dxa"/>
            </w:tcMar>
            <w:hideMark/>
          </w:tcPr>
          <w:p w14:paraId="4428BB0D" w14:textId="4EB82924" w:rsidR="00F526DE" w:rsidRPr="00F526DE" w:rsidRDefault="00B42382" w:rsidP="00F526DE">
            <w:pPr>
              <w:pStyle w:val="Paragraphtext"/>
            </w:pPr>
            <w:r>
              <w:t>10%</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699CC6A6" w14:textId="77777777" w:rsidR="00F526DE" w:rsidRPr="00F526DE" w:rsidRDefault="00F526DE" w:rsidP="00F526DE">
            <w:pPr>
              <w:pStyle w:val="Paragraphtext"/>
            </w:pPr>
            <w:r w:rsidRPr="00F526DE">
              <w:t>$100</w:t>
            </w:r>
          </w:p>
        </w:tc>
      </w:tr>
    </w:tbl>
    <w:p w14:paraId="77BCE1DE" w14:textId="67FE9E8F" w:rsidR="00F526DE" w:rsidRPr="004F194F" w:rsidRDefault="00F526DE" w:rsidP="00F526DE">
      <w:pPr>
        <w:pStyle w:val="Paragraphtext"/>
        <w:rPr>
          <w:sz w:val="22"/>
          <w:szCs w:val="22"/>
        </w:rPr>
      </w:pPr>
      <w:r w:rsidRPr="004F194F">
        <w:rPr>
          <w:sz w:val="22"/>
          <w:szCs w:val="22"/>
        </w:rPr>
        <w:t>If a dependent person with a disability (A3) with no LHC loading joined A1 and A2 on a family policy that covers dependent people with a disability and the base rate for that policy is $1200</w:t>
      </w:r>
      <w:r w:rsidR="00DF69ED">
        <w:rPr>
          <w:sz w:val="22"/>
          <w:szCs w:val="22"/>
        </w:rPr>
        <w:t>, t</w:t>
      </w:r>
      <w:r w:rsidRPr="004F194F">
        <w:rPr>
          <w:sz w:val="22"/>
          <w:szCs w:val="22"/>
        </w:rPr>
        <w:t>he LHC loading on the policy is $80</w:t>
      </w:r>
      <w:r w:rsidR="002E03BC" w:rsidRPr="004F194F">
        <w:rPr>
          <w:sz w:val="22"/>
          <w:szCs w:val="22"/>
        </w:rPr>
        <w:t xml:space="preserve"> or a policy average LHC loading percentage of 6.6</w:t>
      </w:r>
      <w:r w:rsidR="004F253F">
        <w:rPr>
          <w:sz w:val="22"/>
          <w:szCs w:val="22"/>
        </w:rPr>
        <w:t>7</w:t>
      </w:r>
      <w:r w:rsidR="002E03BC" w:rsidRPr="004F194F">
        <w:rPr>
          <w:sz w:val="22"/>
          <w:szCs w:val="22"/>
        </w:rPr>
        <w:t>%</w:t>
      </w:r>
      <w:r w:rsidRPr="004F194F">
        <w:rPr>
          <w:sz w:val="22"/>
          <w:szCs w:val="22"/>
        </w:rPr>
        <w:t>.</w:t>
      </w:r>
    </w:p>
    <w:tbl>
      <w:tblPr>
        <w:tblW w:w="0" w:type="auto"/>
        <w:tblCellMar>
          <w:left w:w="0" w:type="dxa"/>
          <w:right w:w="0" w:type="dxa"/>
        </w:tblCellMar>
        <w:tblLook w:val="04A0" w:firstRow="1" w:lastRow="0" w:firstColumn="1" w:lastColumn="0" w:noHBand="0" w:noVBand="1"/>
      </w:tblPr>
      <w:tblGrid>
        <w:gridCol w:w="981"/>
        <w:gridCol w:w="2223"/>
        <w:gridCol w:w="3676"/>
        <w:gridCol w:w="2292"/>
      </w:tblGrid>
      <w:tr w:rsidR="00F526DE" w:rsidRPr="00F526DE" w14:paraId="5BDE40C1" w14:textId="77777777" w:rsidTr="00F526DE">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20779" w14:textId="5182317E" w:rsidR="00F526DE" w:rsidRPr="00F526DE" w:rsidRDefault="00046AF1" w:rsidP="00F526DE">
            <w:pPr>
              <w:pStyle w:val="Paragraphtext"/>
            </w:pPr>
            <w:r>
              <w:t>Entity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557052" w14:textId="77777777" w:rsidR="00F526DE" w:rsidRPr="00F526DE" w:rsidRDefault="00F526DE" w:rsidP="00F526DE">
            <w:pPr>
              <w:pStyle w:val="Paragraphtext"/>
            </w:pPr>
            <w:r w:rsidRPr="00F526DE">
              <w:t>Portion of base rate</w:t>
            </w:r>
          </w:p>
        </w:tc>
        <w:tc>
          <w:tcPr>
            <w:tcW w:w="3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C2B895" w14:textId="1C68724B" w:rsidR="00F526DE" w:rsidRPr="00F526DE" w:rsidRDefault="00F526DE" w:rsidP="00F526DE">
            <w:pPr>
              <w:pStyle w:val="Paragraphtext"/>
            </w:pPr>
            <w:r w:rsidRPr="00F526DE">
              <w:t>LHC loading per</w:t>
            </w:r>
            <w:r w:rsidR="00046AF1">
              <w:t>centage</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2FE7D9" w14:textId="77777777" w:rsidR="00F526DE" w:rsidRPr="00F526DE" w:rsidRDefault="00F526DE" w:rsidP="00F526DE">
            <w:pPr>
              <w:pStyle w:val="Paragraphtext"/>
            </w:pPr>
            <w:r w:rsidRPr="00F526DE">
              <w:t>LHC loading amount</w:t>
            </w:r>
          </w:p>
        </w:tc>
      </w:tr>
      <w:tr w:rsidR="00F526DE" w:rsidRPr="00F526DE" w14:paraId="1C2C3328" w14:textId="77777777" w:rsidTr="00F526D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70C8B" w14:textId="77777777" w:rsidR="00F526DE" w:rsidRPr="00F526DE" w:rsidRDefault="00F526DE" w:rsidP="00F526DE">
            <w:pPr>
              <w:pStyle w:val="Paragraphtext"/>
            </w:pPr>
            <w:r w:rsidRPr="00F526DE">
              <w:t>A1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45927EF" w14:textId="77777777" w:rsidR="00F526DE" w:rsidRPr="00F526DE" w:rsidRDefault="00F526DE" w:rsidP="00F526DE">
            <w:pPr>
              <w:pStyle w:val="Paragraphtext"/>
            </w:pPr>
            <w:r w:rsidRPr="00F526DE">
              <w:t>$400</w:t>
            </w:r>
          </w:p>
        </w:tc>
        <w:tc>
          <w:tcPr>
            <w:tcW w:w="3756" w:type="dxa"/>
            <w:tcBorders>
              <w:top w:val="nil"/>
              <w:left w:val="nil"/>
              <w:bottom w:val="single" w:sz="8" w:space="0" w:color="auto"/>
              <w:right w:val="single" w:sz="8" w:space="0" w:color="auto"/>
            </w:tcBorders>
            <w:tcMar>
              <w:top w:w="0" w:type="dxa"/>
              <w:left w:w="108" w:type="dxa"/>
              <w:bottom w:w="0" w:type="dxa"/>
              <w:right w:w="108" w:type="dxa"/>
            </w:tcMar>
            <w:hideMark/>
          </w:tcPr>
          <w:p w14:paraId="0B5DC3FC" w14:textId="77777777" w:rsidR="00F526DE" w:rsidRPr="00F526DE" w:rsidRDefault="00F526DE" w:rsidP="00F526DE">
            <w:pPr>
              <w:pStyle w:val="Paragraphtext"/>
            </w:pPr>
            <w:r w:rsidRPr="00F526DE">
              <w:t>10%</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27344AF4" w14:textId="77777777" w:rsidR="00F526DE" w:rsidRPr="00F526DE" w:rsidRDefault="00F526DE" w:rsidP="00F526DE">
            <w:pPr>
              <w:pStyle w:val="Paragraphtext"/>
            </w:pPr>
            <w:r w:rsidRPr="00F526DE">
              <w:t>$40</w:t>
            </w:r>
          </w:p>
        </w:tc>
      </w:tr>
      <w:tr w:rsidR="00F526DE" w:rsidRPr="00F526DE" w14:paraId="1A1EC094" w14:textId="77777777" w:rsidTr="00F526D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34811" w14:textId="77777777" w:rsidR="00F526DE" w:rsidRPr="00F526DE" w:rsidRDefault="00F526DE" w:rsidP="00F526DE">
            <w:pPr>
              <w:pStyle w:val="Paragraphtext"/>
            </w:pPr>
            <w:r w:rsidRPr="00F526DE">
              <w:t>A2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6E09968" w14:textId="77777777" w:rsidR="00F526DE" w:rsidRPr="00F526DE" w:rsidRDefault="00F526DE" w:rsidP="00F526DE">
            <w:pPr>
              <w:pStyle w:val="Paragraphtext"/>
            </w:pPr>
            <w:r w:rsidRPr="00F526DE">
              <w:t>$400</w:t>
            </w:r>
          </w:p>
        </w:tc>
        <w:tc>
          <w:tcPr>
            <w:tcW w:w="3756" w:type="dxa"/>
            <w:tcBorders>
              <w:top w:val="nil"/>
              <w:left w:val="nil"/>
              <w:bottom w:val="single" w:sz="8" w:space="0" w:color="auto"/>
              <w:right w:val="single" w:sz="8" w:space="0" w:color="auto"/>
            </w:tcBorders>
            <w:tcMar>
              <w:top w:w="0" w:type="dxa"/>
              <w:left w:w="108" w:type="dxa"/>
              <w:bottom w:w="0" w:type="dxa"/>
              <w:right w:w="108" w:type="dxa"/>
            </w:tcMar>
            <w:hideMark/>
          </w:tcPr>
          <w:p w14:paraId="7169ED77" w14:textId="77777777" w:rsidR="00F526DE" w:rsidRPr="00F526DE" w:rsidRDefault="00F526DE" w:rsidP="00F526DE">
            <w:pPr>
              <w:pStyle w:val="Paragraphtext"/>
            </w:pPr>
            <w:r w:rsidRPr="00F526DE">
              <w:t>10%</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7C7E166" w14:textId="77777777" w:rsidR="00F526DE" w:rsidRPr="00F526DE" w:rsidRDefault="00F526DE" w:rsidP="00F526DE">
            <w:pPr>
              <w:pStyle w:val="Paragraphtext"/>
            </w:pPr>
            <w:r w:rsidRPr="00F526DE">
              <w:t>$40</w:t>
            </w:r>
          </w:p>
        </w:tc>
      </w:tr>
      <w:tr w:rsidR="00F526DE" w:rsidRPr="00F526DE" w14:paraId="540A291E" w14:textId="77777777" w:rsidTr="00F526D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E9BEC" w14:textId="77777777" w:rsidR="00F526DE" w:rsidRPr="00F526DE" w:rsidRDefault="00F526DE" w:rsidP="00F526DE">
            <w:pPr>
              <w:pStyle w:val="Paragraphtext"/>
            </w:pPr>
            <w:r w:rsidRPr="00F526DE">
              <w:t>A3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9408261" w14:textId="77777777" w:rsidR="00F526DE" w:rsidRPr="00F526DE" w:rsidRDefault="00F526DE" w:rsidP="00F526DE">
            <w:pPr>
              <w:pStyle w:val="Paragraphtext"/>
            </w:pPr>
            <w:r w:rsidRPr="00F526DE">
              <w:t>$400</w:t>
            </w:r>
          </w:p>
        </w:tc>
        <w:tc>
          <w:tcPr>
            <w:tcW w:w="3756" w:type="dxa"/>
            <w:tcBorders>
              <w:top w:val="nil"/>
              <w:left w:val="nil"/>
              <w:bottom w:val="single" w:sz="8" w:space="0" w:color="auto"/>
              <w:right w:val="single" w:sz="8" w:space="0" w:color="auto"/>
            </w:tcBorders>
            <w:tcMar>
              <w:top w:w="0" w:type="dxa"/>
              <w:left w:w="108" w:type="dxa"/>
              <w:bottom w:w="0" w:type="dxa"/>
              <w:right w:w="108" w:type="dxa"/>
            </w:tcMar>
            <w:hideMark/>
          </w:tcPr>
          <w:p w14:paraId="5AD68E51" w14:textId="77777777" w:rsidR="00F526DE" w:rsidRPr="00F526DE" w:rsidRDefault="00F526DE" w:rsidP="00F526DE">
            <w:pPr>
              <w:pStyle w:val="Paragraphtext"/>
            </w:pPr>
            <w:r w:rsidRPr="00F526DE">
              <w:t>0%</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741E9369" w14:textId="77777777" w:rsidR="00F526DE" w:rsidRPr="00F526DE" w:rsidRDefault="00F526DE" w:rsidP="00F526DE">
            <w:pPr>
              <w:pStyle w:val="Paragraphtext"/>
            </w:pPr>
            <w:r w:rsidRPr="00F526DE">
              <w:t>$0</w:t>
            </w:r>
          </w:p>
        </w:tc>
      </w:tr>
      <w:tr w:rsidR="00F526DE" w:rsidRPr="00F526DE" w14:paraId="02F42A33" w14:textId="77777777" w:rsidTr="00F526D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8350C" w14:textId="77777777" w:rsidR="00F526DE" w:rsidRPr="00F526DE" w:rsidRDefault="00F526DE" w:rsidP="00F526DE">
            <w:pPr>
              <w:pStyle w:val="Paragraphtext"/>
            </w:pPr>
            <w:r w:rsidRPr="00F526DE">
              <w:t>Policy</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577DC56" w14:textId="77777777" w:rsidR="00F526DE" w:rsidRPr="00F526DE" w:rsidRDefault="00F526DE" w:rsidP="00F526DE">
            <w:pPr>
              <w:pStyle w:val="Paragraphtext"/>
            </w:pPr>
            <w:r w:rsidRPr="00F526DE">
              <w:t>$1200</w:t>
            </w:r>
          </w:p>
        </w:tc>
        <w:tc>
          <w:tcPr>
            <w:tcW w:w="3756" w:type="dxa"/>
            <w:tcBorders>
              <w:top w:val="nil"/>
              <w:left w:val="nil"/>
              <w:bottom w:val="single" w:sz="8" w:space="0" w:color="auto"/>
              <w:right w:val="single" w:sz="8" w:space="0" w:color="auto"/>
            </w:tcBorders>
            <w:tcMar>
              <w:top w:w="0" w:type="dxa"/>
              <w:left w:w="108" w:type="dxa"/>
              <w:bottom w:w="0" w:type="dxa"/>
              <w:right w:w="108" w:type="dxa"/>
            </w:tcMar>
            <w:hideMark/>
          </w:tcPr>
          <w:p w14:paraId="324C93F4" w14:textId="64C152B8" w:rsidR="00F526DE" w:rsidRPr="00F526DE" w:rsidRDefault="00B42382" w:rsidP="00F526DE">
            <w:pPr>
              <w:pStyle w:val="Paragraphtext"/>
            </w:pPr>
            <w:r>
              <w:t>6.6</w:t>
            </w:r>
            <w:r w:rsidR="004F253F">
              <w:t>7</w:t>
            </w:r>
            <w:r>
              <w:t>%</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3ED4C0C5" w14:textId="77777777" w:rsidR="00F526DE" w:rsidRPr="00F526DE" w:rsidRDefault="00F526DE" w:rsidP="00F526DE">
            <w:pPr>
              <w:pStyle w:val="Paragraphtext"/>
            </w:pPr>
            <w:r w:rsidRPr="00F526DE">
              <w:t>$80</w:t>
            </w:r>
          </w:p>
        </w:tc>
      </w:tr>
    </w:tbl>
    <w:p w14:paraId="5ABB14DF" w14:textId="77777777" w:rsidR="00DF69ED" w:rsidRDefault="00DF69ED" w:rsidP="00F526DE">
      <w:pPr>
        <w:pStyle w:val="Paragraphtext"/>
        <w:rPr>
          <w:b/>
          <w:bCs/>
          <w:sz w:val="22"/>
          <w:szCs w:val="22"/>
        </w:rPr>
      </w:pPr>
    </w:p>
    <w:p w14:paraId="61306809" w14:textId="66D028D3" w:rsidR="00F526DE" w:rsidRPr="004F194F" w:rsidRDefault="00397911" w:rsidP="00F526DE">
      <w:pPr>
        <w:pStyle w:val="Paragraphtext"/>
        <w:rPr>
          <w:sz w:val="22"/>
          <w:szCs w:val="22"/>
        </w:rPr>
      </w:pPr>
      <w:r w:rsidRPr="00DF69ED">
        <w:rPr>
          <w:b/>
          <w:bCs/>
          <w:sz w:val="22"/>
          <w:szCs w:val="22"/>
        </w:rPr>
        <w:t>E</w:t>
      </w:r>
      <w:r w:rsidR="002E03BC" w:rsidRPr="00DF69ED">
        <w:rPr>
          <w:b/>
          <w:bCs/>
          <w:sz w:val="22"/>
          <w:szCs w:val="22"/>
        </w:rPr>
        <w:t>xample</w:t>
      </w:r>
      <w:r w:rsidRPr="00DF69ED">
        <w:rPr>
          <w:b/>
          <w:bCs/>
          <w:sz w:val="22"/>
          <w:szCs w:val="22"/>
        </w:rPr>
        <w:t xml:space="preserve"> 2</w:t>
      </w:r>
      <w:r w:rsidR="002E03BC" w:rsidRPr="004F194F">
        <w:rPr>
          <w:sz w:val="22"/>
          <w:szCs w:val="22"/>
        </w:rPr>
        <w:t xml:space="preserve">: </w:t>
      </w:r>
      <w:r w:rsidR="00F526DE" w:rsidRPr="004F194F">
        <w:rPr>
          <w:sz w:val="22"/>
          <w:szCs w:val="22"/>
        </w:rPr>
        <w:t>Adult 4 (A4) and Adult 5 (A5) are covered by a family policy with a base rate of $1000 per year. Both A4 and A5 have a LHC loading of 10%. The LHC loading on the policy is $100</w:t>
      </w:r>
      <w:r w:rsidR="0048087F" w:rsidRPr="004F194F">
        <w:rPr>
          <w:sz w:val="22"/>
          <w:szCs w:val="22"/>
        </w:rPr>
        <w:t xml:space="preserve"> or a policy average LHC loading percentage of 10%</w:t>
      </w:r>
      <w:r w:rsidR="00F526DE" w:rsidRPr="004F194F">
        <w:rPr>
          <w:sz w:val="22"/>
          <w:szCs w:val="22"/>
        </w:rPr>
        <w:t>.</w:t>
      </w:r>
    </w:p>
    <w:tbl>
      <w:tblPr>
        <w:tblW w:w="0" w:type="auto"/>
        <w:tblCellMar>
          <w:left w:w="0" w:type="dxa"/>
          <w:right w:w="0" w:type="dxa"/>
        </w:tblCellMar>
        <w:tblLook w:val="04A0" w:firstRow="1" w:lastRow="0" w:firstColumn="1" w:lastColumn="0" w:noHBand="0" w:noVBand="1"/>
      </w:tblPr>
      <w:tblGrid>
        <w:gridCol w:w="981"/>
        <w:gridCol w:w="2223"/>
        <w:gridCol w:w="3676"/>
        <w:gridCol w:w="2292"/>
      </w:tblGrid>
      <w:tr w:rsidR="00F526DE" w:rsidRPr="00F526DE" w14:paraId="66F4DE7B" w14:textId="77777777" w:rsidTr="00F526DE">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140740" w14:textId="6039036B" w:rsidR="00F526DE" w:rsidRPr="00F526DE" w:rsidRDefault="00046AF1" w:rsidP="00F526DE">
            <w:pPr>
              <w:pStyle w:val="Paragraphtext"/>
            </w:pPr>
            <w:r>
              <w:t>Entity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66DDE5" w14:textId="77777777" w:rsidR="00F526DE" w:rsidRPr="00F526DE" w:rsidRDefault="00F526DE" w:rsidP="00F526DE">
            <w:pPr>
              <w:pStyle w:val="Paragraphtext"/>
            </w:pPr>
            <w:r w:rsidRPr="00F526DE">
              <w:t>Portion of base rate</w:t>
            </w:r>
          </w:p>
        </w:tc>
        <w:tc>
          <w:tcPr>
            <w:tcW w:w="3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5B6425" w14:textId="36BC50FA" w:rsidR="00F526DE" w:rsidRPr="00F526DE" w:rsidRDefault="00F526DE" w:rsidP="00F526DE">
            <w:pPr>
              <w:pStyle w:val="Paragraphtext"/>
            </w:pPr>
            <w:r w:rsidRPr="00F526DE">
              <w:t>LHC loading per</w:t>
            </w:r>
            <w:r w:rsidR="00046AF1">
              <w:t>centage</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DC3FF" w14:textId="77777777" w:rsidR="00F526DE" w:rsidRPr="00F526DE" w:rsidRDefault="00F526DE" w:rsidP="00F526DE">
            <w:pPr>
              <w:pStyle w:val="Paragraphtext"/>
            </w:pPr>
            <w:r w:rsidRPr="00F526DE">
              <w:t>LHC loading amount</w:t>
            </w:r>
          </w:p>
        </w:tc>
      </w:tr>
      <w:tr w:rsidR="00F526DE" w:rsidRPr="00F526DE" w14:paraId="67107C2D" w14:textId="77777777" w:rsidTr="00F526D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81483" w14:textId="77777777" w:rsidR="00F526DE" w:rsidRPr="00F526DE" w:rsidRDefault="00F526DE" w:rsidP="00F526DE">
            <w:pPr>
              <w:pStyle w:val="Paragraphtext"/>
            </w:pPr>
            <w:r w:rsidRPr="00F526DE">
              <w:t>A4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007BAC8" w14:textId="77777777" w:rsidR="00F526DE" w:rsidRPr="00F526DE" w:rsidRDefault="00F526DE" w:rsidP="00F526DE">
            <w:pPr>
              <w:pStyle w:val="Paragraphtext"/>
            </w:pPr>
            <w:r w:rsidRPr="00F526DE">
              <w:t>$500</w:t>
            </w:r>
          </w:p>
        </w:tc>
        <w:tc>
          <w:tcPr>
            <w:tcW w:w="3756" w:type="dxa"/>
            <w:tcBorders>
              <w:top w:val="nil"/>
              <w:left w:val="nil"/>
              <w:bottom w:val="single" w:sz="8" w:space="0" w:color="auto"/>
              <w:right w:val="single" w:sz="8" w:space="0" w:color="auto"/>
            </w:tcBorders>
            <w:tcMar>
              <w:top w:w="0" w:type="dxa"/>
              <w:left w:w="108" w:type="dxa"/>
              <w:bottom w:w="0" w:type="dxa"/>
              <w:right w:w="108" w:type="dxa"/>
            </w:tcMar>
            <w:hideMark/>
          </w:tcPr>
          <w:p w14:paraId="239578A7" w14:textId="77777777" w:rsidR="00F526DE" w:rsidRPr="00F526DE" w:rsidRDefault="00F526DE" w:rsidP="00F526DE">
            <w:pPr>
              <w:pStyle w:val="Paragraphtext"/>
            </w:pPr>
            <w:r w:rsidRPr="00F526DE">
              <w:t>10%</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38426B05" w14:textId="77777777" w:rsidR="00F526DE" w:rsidRPr="00F526DE" w:rsidRDefault="00F526DE" w:rsidP="00F526DE">
            <w:pPr>
              <w:pStyle w:val="Paragraphtext"/>
            </w:pPr>
            <w:r w:rsidRPr="00F526DE">
              <w:t>$50</w:t>
            </w:r>
          </w:p>
        </w:tc>
      </w:tr>
      <w:tr w:rsidR="00F526DE" w:rsidRPr="00F526DE" w14:paraId="55303102" w14:textId="77777777" w:rsidTr="00F526D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8B09F" w14:textId="77777777" w:rsidR="00F526DE" w:rsidRPr="00F526DE" w:rsidRDefault="00F526DE" w:rsidP="00F526DE">
            <w:pPr>
              <w:pStyle w:val="Paragraphtext"/>
            </w:pPr>
            <w:r w:rsidRPr="00F526DE">
              <w:t>A5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71CC1A3" w14:textId="77777777" w:rsidR="00F526DE" w:rsidRPr="00F526DE" w:rsidRDefault="00F526DE" w:rsidP="00F526DE">
            <w:pPr>
              <w:pStyle w:val="Paragraphtext"/>
            </w:pPr>
            <w:r w:rsidRPr="00F526DE">
              <w:t>$500</w:t>
            </w:r>
          </w:p>
        </w:tc>
        <w:tc>
          <w:tcPr>
            <w:tcW w:w="3756" w:type="dxa"/>
            <w:tcBorders>
              <w:top w:val="nil"/>
              <w:left w:val="nil"/>
              <w:bottom w:val="single" w:sz="8" w:space="0" w:color="auto"/>
              <w:right w:val="single" w:sz="8" w:space="0" w:color="auto"/>
            </w:tcBorders>
            <w:tcMar>
              <w:top w:w="0" w:type="dxa"/>
              <w:left w:w="108" w:type="dxa"/>
              <w:bottom w:w="0" w:type="dxa"/>
              <w:right w:w="108" w:type="dxa"/>
            </w:tcMar>
            <w:hideMark/>
          </w:tcPr>
          <w:p w14:paraId="253D906A" w14:textId="77777777" w:rsidR="00F526DE" w:rsidRPr="00F526DE" w:rsidRDefault="00F526DE" w:rsidP="00F526DE">
            <w:pPr>
              <w:pStyle w:val="Paragraphtext"/>
            </w:pPr>
            <w:r w:rsidRPr="00F526DE">
              <w:t>10%</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45D9F246" w14:textId="77777777" w:rsidR="00F526DE" w:rsidRPr="00F526DE" w:rsidRDefault="00F526DE" w:rsidP="00F526DE">
            <w:pPr>
              <w:pStyle w:val="Paragraphtext"/>
            </w:pPr>
            <w:r w:rsidRPr="00F526DE">
              <w:t>$50</w:t>
            </w:r>
          </w:p>
        </w:tc>
      </w:tr>
      <w:tr w:rsidR="00F526DE" w:rsidRPr="00F526DE" w14:paraId="2E2E5756" w14:textId="77777777" w:rsidTr="00F526D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501CE" w14:textId="77777777" w:rsidR="00F526DE" w:rsidRPr="00F526DE" w:rsidRDefault="00F526DE" w:rsidP="00F526DE">
            <w:pPr>
              <w:pStyle w:val="Paragraphtext"/>
            </w:pPr>
            <w:r w:rsidRPr="00F526DE">
              <w:t xml:space="preserve">Policy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AB2FAC6" w14:textId="77777777" w:rsidR="00F526DE" w:rsidRPr="00F526DE" w:rsidRDefault="00F526DE" w:rsidP="00F526DE">
            <w:pPr>
              <w:pStyle w:val="Paragraphtext"/>
            </w:pPr>
            <w:r w:rsidRPr="00F526DE">
              <w:t>$1000</w:t>
            </w:r>
          </w:p>
        </w:tc>
        <w:tc>
          <w:tcPr>
            <w:tcW w:w="3756" w:type="dxa"/>
            <w:tcBorders>
              <w:top w:val="nil"/>
              <w:left w:val="nil"/>
              <w:bottom w:val="single" w:sz="8" w:space="0" w:color="auto"/>
              <w:right w:val="single" w:sz="8" w:space="0" w:color="auto"/>
            </w:tcBorders>
            <w:tcMar>
              <w:top w:w="0" w:type="dxa"/>
              <w:left w:w="108" w:type="dxa"/>
              <w:bottom w:w="0" w:type="dxa"/>
              <w:right w:w="108" w:type="dxa"/>
            </w:tcMar>
            <w:hideMark/>
          </w:tcPr>
          <w:p w14:paraId="6F4B6DF2" w14:textId="65FEF58C" w:rsidR="00F526DE" w:rsidRPr="00F526DE" w:rsidRDefault="00B42382" w:rsidP="00F526DE">
            <w:pPr>
              <w:pStyle w:val="Paragraphtext"/>
            </w:pPr>
            <w:r>
              <w:t>10%</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3BC5CBF5" w14:textId="77777777" w:rsidR="00F526DE" w:rsidRPr="00F526DE" w:rsidRDefault="00F526DE" w:rsidP="00F526DE">
            <w:pPr>
              <w:pStyle w:val="Paragraphtext"/>
            </w:pPr>
            <w:r w:rsidRPr="00F526DE">
              <w:t>$100</w:t>
            </w:r>
          </w:p>
        </w:tc>
      </w:tr>
    </w:tbl>
    <w:p w14:paraId="26CD1289" w14:textId="7CE45DEA" w:rsidR="00F526DE" w:rsidRPr="004F194F" w:rsidRDefault="00F526DE" w:rsidP="00F526DE">
      <w:pPr>
        <w:pStyle w:val="Paragraphtext"/>
        <w:rPr>
          <w:sz w:val="22"/>
          <w:szCs w:val="22"/>
        </w:rPr>
      </w:pPr>
      <w:r w:rsidRPr="004F194F">
        <w:rPr>
          <w:sz w:val="22"/>
          <w:szCs w:val="22"/>
        </w:rPr>
        <w:t xml:space="preserve">If a dependent person with a disability (A6) with </w:t>
      </w:r>
      <w:r w:rsidR="002E03BC" w:rsidRPr="004F194F">
        <w:rPr>
          <w:sz w:val="22"/>
          <w:szCs w:val="22"/>
        </w:rPr>
        <w:t>an</w:t>
      </w:r>
      <w:r w:rsidRPr="004F194F">
        <w:rPr>
          <w:sz w:val="22"/>
          <w:szCs w:val="22"/>
        </w:rPr>
        <w:t xml:space="preserve"> </w:t>
      </w:r>
      <w:r w:rsidR="002E03BC" w:rsidRPr="004F194F">
        <w:rPr>
          <w:sz w:val="22"/>
          <w:szCs w:val="22"/>
        </w:rPr>
        <w:t>8</w:t>
      </w:r>
      <w:r w:rsidRPr="004F194F">
        <w:rPr>
          <w:sz w:val="22"/>
          <w:szCs w:val="22"/>
        </w:rPr>
        <w:t>% loading joined A4 and A5 on a family policy that covers dependent people with a disability and the base rate for that policy is $1200</w:t>
      </w:r>
      <w:r w:rsidR="00DF69ED">
        <w:rPr>
          <w:sz w:val="22"/>
          <w:szCs w:val="22"/>
        </w:rPr>
        <w:t>, t</w:t>
      </w:r>
      <w:r w:rsidRPr="004F194F">
        <w:rPr>
          <w:sz w:val="22"/>
          <w:szCs w:val="22"/>
        </w:rPr>
        <w:t>he LHC loading on the policy is $</w:t>
      </w:r>
      <w:r w:rsidR="002E03BC" w:rsidRPr="004F194F">
        <w:rPr>
          <w:sz w:val="22"/>
          <w:szCs w:val="22"/>
        </w:rPr>
        <w:t>112 or a policy average LHC loading percentage of 9.33%</w:t>
      </w:r>
      <w:r w:rsidRPr="004F194F">
        <w:rPr>
          <w:sz w:val="22"/>
          <w:szCs w:val="22"/>
        </w:rPr>
        <w:t>.</w:t>
      </w:r>
    </w:p>
    <w:tbl>
      <w:tblPr>
        <w:tblW w:w="0" w:type="auto"/>
        <w:tblCellMar>
          <w:left w:w="0" w:type="dxa"/>
          <w:right w:w="0" w:type="dxa"/>
        </w:tblCellMar>
        <w:tblLook w:val="04A0" w:firstRow="1" w:lastRow="0" w:firstColumn="1" w:lastColumn="0" w:noHBand="0" w:noVBand="1"/>
      </w:tblPr>
      <w:tblGrid>
        <w:gridCol w:w="982"/>
        <w:gridCol w:w="2226"/>
        <w:gridCol w:w="3669"/>
        <w:gridCol w:w="2295"/>
      </w:tblGrid>
      <w:tr w:rsidR="00F526DE" w:rsidRPr="00F526DE" w14:paraId="7AEAFF0C" w14:textId="77777777" w:rsidTr="00A02875">
        <w:tc>
          <w:tcPr>
            <w:tcW w:w="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1786F1" w14:textId="62B950FC" w:rsidR="00F526DE" w:rsidRPr="00F526DE" w:rsidRDefault="00046AF1" w:rsidP="00F526DE">
            <w:pPr>
              <w:pStyle w:val="Paragraphtext"/>
            </w:pPr>
            <w:r>
              <w:t>Entity</w:t>
            </w:r>
          </w:p>
        </w:tc>
        <w:tc>
          <w:tcPr>
            <w:tcW w:w="2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A0A29F" w14:textId="77777777" w:rsidR="00F526DE" w:rsidRPr="00F526DE" w:rsidRDefault="00F526DE" w:rsidP="00F526DE">
            <w:pPr>
              <w:pStyle w:val="Paragraphtext"/>
            </w:pPr>
            <w:r w:rsidRPr="00F526DE">
              <w:t>Portion of base rate</w:t>
            </w:r>
          </w:p>
        </w:tc>
        <w:tc>
          <w:tcPr>
            <w:tcW w:w="3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8B63C8" w14:textId="43CE85D3" w:rsidR="00F526DE" w:rsidRPr="00F526DE" w:rsidRDefault="00F526DE" w:rsidP="00F526DE">
            <w:pPr>
              <w:pStyle w:val="Paragraphtext"/>
            </w:pPr>
            <w:r w:rsidRPr="00F526DE">
              <w:t>LHC loading per</w:t>
            </w:r>
            <w:r w:rsidR="00046AF1">
              <w:t>centage</w:t>
            </w:r>
          </w:p>
        </w:tc>
        <w:tc>
          <w:tcPr>
            <w:tcW w:w="22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7FEE6F" w14:textId="77777777" w:rsidR="00F526DE" w:rsidRPr="00F526DE" w:rsidRDefault="00F526DE" w:rsidP="00F526DE">
            <w:pPr>
              <w:pStyle w:val="Paragraphtext"/>
            </w:pPr>
            <w:r w:rsidRPr="00F526DE">
              <w:t>LHC loading amount</w:t>
            </w:r>
          </w:p>
        </w:tc>
      </w:tr>
      <w:tr w:rsidR="00F526DE" w:rsidRPr="00F526DE" w14:paraId="208E9234" w14:textId="77777777" w:rsidTr="00A02875">
        <w:tc>
          <w:tcPr>
            <w:tcW w:w="9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770B0" w14:textId="77777777" w:rsidR="00F526DE" w:rsidRPr="00F526DE" w:rsidRDefault="00F526DE" w:rsidP="00F526DE">
            <w:pPr>
              <w:pStyle w:val="Paragraphtext"/>
            </w:pPr>
            <w:r w:rsidRPr="00F526DE">
              <w:t>A4</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14:paraId="63BAD731" w14:textId="77777777" w:rsidR="00F526DE" w:rsidRPr="00F526DE" w:rsidRDefault="00F526DE" w:rsidP="00F526DE">
            <w:pPr>
              <w:pStyle w:val="Paragraphtext"/>
            </w:pPr>
            <w:r w:rsidRPr="00F526DE">
              <w:t>$400</w:t>
            </w:r>
          </w:p>
        </w:tc>
        <w:tc>
          <w:tcPr>
            <w:tcW w:w="3669" w:type="dxa"/>
            <w:tcBorders>
              <w:top w:val="nil"/>
              <w:left w:val="nil"/>
              <w:bottom w:val="single" w:sz="8" w:space="0" w:color="auto"/>
              <w:right w:val="single" w:sz="8" w:space="0" w:color="auto"/>
            </w:tcBorders>
            <w:tcMar>
              <w:top w:w="0" w:type="dxa"/>
              <w:left w:w="108" w:type="dxa"/>
              <w:bottom w:w="0" w:type="dxa"/>
              <w:right w:w="108" w:type="dxa"/>
            </w:tcMar>
            <w:hideMark/>
          </w:tcPr>
          <w:p w14:paraId="11DE690A" w14:textId="77777777" w:rsidR="00F526DE" w:rsidRPr="00F526DE" w:rsidRDefault="00F526DE" w:rsidP="00F526DE">
            <w:pPr>
              <w:pStyle w:val="Paragraphtext"/>
            </w:pPr>
            <w:r w:rsidRPr="00F526DE">
              <w:t>10%</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1C70703D" w14:textId="77777777" w:rsidR="00F526DE" w:rsidRPr="00F526DE" w:rsidRDefault="00F526DE" w:rsidP="00F526DE">
            <w:pPr>
              <w:pStyle w:val="Paragraphtext"/>
            </w:pPr>
            <w:r w:rsidRPr="00F526DE">
              <w:t>$40</w:t>
            </w:r>
          </w:p>
        </w:tc>
      </w:tr>
      <w:tr w:rsidR="00F526DE" w:rsidRPr="00F526DE" w14:paraId="210814B8" w14:textId="77777777" w:rsidTr="00A02875">
        <w:tc>
          <w:tcPr>
            <w:tcW w:w="9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B97A8" w14:textId="77777777" w:rsidR="00F526DE" w:rsidRPr="00F526DE" w:rsidRDefault="00F526DE" w:rsidP="00F526DE">
            <w:pPr>
              <w:pStyle w:val="Paragraphtext"/>
            </w:pPr>
            <w:r w:rsidRPr="00F526DE">
              <w:t>A5</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14:paraId="3E45B570" w14:textId="77777777" w:rsidR="00F526DE" w:rsidRPr="00F526DE" w:rsidRDefault="00F526DE" w:rsidP="00F526DE">
            <w:pPr>
              <w:pStyle w:val="Paragraphtext"/>
            </w:pPr>
            <w:r w:rsidRPr="00F526DE">
              <w:t>$400</w:t>
            </w:r>
          </w:p>
        </w:tc>
        <w:tc>
          <w:tcPr>
            <w:tcW w:w="3669" w:type="dxa"/>
            <w:tcBorders>
              <w:top w:val="nil"/>
              <w:left w:val="nil"/>
              <w:bottom w:val="single" w:sz="8" w:space="0" w:color="auto"/>
              <w:right w:val="single" w:sz="8" w:space="0" w:color="auto"/>
            </w:tcBorders>
            <w:tcMar>
              <w:top w:w="0" w:type="dxa"/>
              <w:left w:w="108" w:type="dxa"/>
              <w:bottom w:w="0" w:type="dxa"/>
              <w:right w:w="108" w:type="dxa"/>
            </w:tcMar>
            <w:hideMark/>
          </w:tcPr>
          <w:p w14:paraId="134E6660" w14:textId="77777777" w:rsidR="00F526DE" w:rsidRPr="00F526DE" w:rsidRDefault="00F526DE" w:rsidP="00F526DE">
            <w:pPr>
              <w:pStyle w:val="Paragraphtext"/>
            </w:pPr>
            <w:r w:rsidRPr="00F526DE">
              <w:t>10%</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41BA3ECD" w14:textId="77777777" w:rsidR="00F526DE" w:rsidRPr="00F526DE" w:rsidRDefault="00F526DE" w:rsidP="00F526DE">
            <w:pPr>
              <w:pStyle w:val="Paragraphtext"/>
            </w:pPr>
            <w:r w:rsidRPr="00F526DE">
              <w:t>$40</w:t>
            </w:r>
          </w:p>
        </w:tc>
      </w:tr>
      <w:tr w:rsidR="00F526DE" w:rsidRPr="00F526DE" w14:paraId="26E8ABA2" w14:textId="77777777" w:rsidTr="00A02875">
        <w:tc>
          <w:tcPr>
            <w:tcW w:w="9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F8CF1" w14:textId="77777777" w:rsidR="00F526DE" w:rsidRPr="00F526DE" w:rsidRDefault="00F526DE" w:rsidP="00F526DE">
            <w:pPr>
              <w:pStyle w:val="Paragraphtext"/>
            </w:pPr>
            <w:r w:rsidRPr="00F526DE">
              <w:t>A6</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14:paraId="459ED8EF" w14:textId="77777777" w:rsidR="00F526DE" w:rsidRPr="00F526DE" w:rsidRDefault="00F526DE" w:rsidP="00F526DE">
            <w:pPr>
              <w:pStyle w:val="Paragraphtext"/>
            </w:pPr>
            <w:r w:rsidRPr="00F526DE">
              <w:t>$400</w:t>
            </w:r>
          </w:p>
        </w:tc>
        <w:tc>
          <w:tcPr>
            <w:tcW w:w="3669" w:type="dxa"/>
            <w:tcBorders>
              <w:top w:val="nil"/>
              <w:left w:val="nil"/>
              <w:bottom w:val="single" w:sz="8" w:space="0" w:color="auto"/>
              <w:right w:val="single" w:sz="8" w:space="0" w:color="auto"/>
            </w:tcBorders>
            <w:tcMar>
              <w:top w:w="0" w:type="dxa"/>
              <w:left w:w="108" w:type="dxa"/>
              <w:bottom w:w="0" w:type="dxa"/>
              <w:right w:w="108" w:type="dxa"/>
            </w:tcMar>
            <w:hideMark/>
          </w:tcPr>
          <w:p w14:paraId="79F52B6D" w14:textId="646B24D7" w:rsidR="00F526DE" w:rsidRPr="00F526DE" w:rsidRDefault="002E03BC" w:rsidP="00F526DE">
            <w:pPr>
              <w:pStyle w:val="Paragraphtext"/>
            </w:pPr>
            <w:r>
              <w:t>8</w:t>
            </w:r>
            <w:r w:rsidR="00F526DE" w:rsidRPr="00F526DE">
              <w:t>%</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4D8FF64C" w14:textId="696F388C" w:rsidR="00F526DE" w:rsidRPr="00F526DE" w:rsidRDefault="00F526DE" w:rsidP="00F526DE">
            <w:pPr>
              <w:pStyle w:val="Paragraphtext"/>
            </w:pPr>
            <w:r w:rsidRPr="00F526DE">
              <w:t>$</w:t>
            </w:r>
            <w:r w:rsidR="002E03BC">
              <w:t>32</w:t>
            </w:r>
          </w:p>
        </w:tc>
      </w:tr>
      <w:tr w:rsidR="00F526DE" w:rsidRPr="00F526DE" w14:paraId="264EC643" w14:textId="77777777" w:rsidTr="00A02875">
        <w:tc>
          <w:tcPr>
            <w:tcW w:w="9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D4084" w14:textId="77777777" w:rsidR="00F526DE" w:rsidRPr="00F526DE" w:rsidRDefault="00F526DE" w:rsidP="00F526DE">
            <w:pPr>
              <w:pStyle w:val="Paragraphtext"/>
            </w:pPr>
            <w:r w:rsidRPr="00F526DE">
              <w:t>Policy</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14:paraId="6270D98C" w14:textId="77777777" w:rsidR="00F526DE" w:rsidRPr="00F526DE" w:rsidRDefault="00F526DE" w:rsidP="00F526DE">
            <w:pPr>
              <w:pStyle w:val="Paragraphtext"/>
            </w:pPr>
            <w:r w:rsidRPr="00F526DE">
              <w:t>$1200</w:t>
            </w:r>
          </w:p>
        </w:tc>
        <w:tc>
          <w:tcPr>
            <w:tcW w:w="3669" w:type="dxa"/>
            <w:tcBorders>
              <w:top w:val="nil"/>
              <w:left w:val="nil"/>
              <w:bottom w:val="single" w:sz="8" w:space="0" w:color="auto"/>
              <w:right w:val="single" w:sz="8" w:space="0" w:color="auto"/>
            </w:tcBorders>
            <w:tcMar>
              <w:top w:w="0" w:type="dxa"/>
              <w:left w:w="108" w:type="dxa"/>
              <w:bottom w:w="0" w:type="dxa"/>
              <w:right w:w="108" w:type="dxa"/>
            </w:tcMar>
            <w:hideMark/>
          </w:tcPr>
          <w:p w14:paraId="1E56C8A5" w14:textId="6B8A0FA8" w:rsidR="00F526DE" w:rsidRPr="00F526DE" w:rsidRDefault="00B42382" w:rsidP="00F526DE">
            <w:pPr>
              <w:pStyle w:val="Paragraphtext"/>
            </w:pPr>
            <w:r>
              <w:t>9.33%</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025C344B" w14:textId="528F4183" w:rsidR="00F526DE" w:rsidRPr="00F526DE" w:rsidRDefault="00F526DE" w:rsidP="00F526DE">
            <w:pPr>
              <w:pStyle w:val="Paragraphtext"/>
            </w:pPr>
            <w:r w:rsidRPr="00F526DE">
              <w:t>$</w:t>
            </w:r>
            <w:r w:rsidR="002E03BC">
              <w:t>112</w:t>
            </w:r>
          </w:p>
        </w:tc>
      </w:tr>
    </w:tbl>
    <w:p w14:paraId="25E7FF52" w14:textId="77777777" w:rsidR="00DF69ED" w:rsidRDefault="00DF69ED" w:rsidP="009A6B96">
      <w:pPr>
        <w:pStyle w:val="Paragraphtext"/>
        <w:rPr>
          <w:sz w:val="22"/>
          <w:szCs w:val="22"/>
        </w:rPr>
      </w:pPr>
    </w:p>
    <w:p w14:paraId="7FE4C116" w14:textId="5FF3C561" w:rsidR="00152BFE" w:rsidRPr="004F194F" w:rsidRDefault="00152BFE" w:rsidP="009A6B96">
      <w:pPr>
        <w:pStyle w:val="Paragraphtext"/>
        <w:rPr>
          <w:sz w:val="22"/>
          <w:szCs w:val="22"/>
        </w:rPr>
      </w:pPr>
      <w:r w:rsidRPr="004F194F">
        <w:rPr>
          <w:sz w:val="22"/>
          <w:szCs w:val="22"/>
        </w:rPr>
        <w:t xml:space="preserve">The </w:t>
      </w:r>
      <w:r w:rsidR="009A6B96" w:rsidRPr="004F194F">
        <w:rPr>
          <w:sz w:val="22"/>
          <w:szCs w:val="22"/>
        </w:rPr>
        <w:t xml:space="preserve">examples above are calculated in accordance with section 37-20 of the </w:t>
      </w:r>
      <w:hyperlink r:id="rId23" w:history="1">
        <w:r w:rsidR="009A6B96" w:rsidRPr="004F194F">
          <w:rPr>
            <w:rStyle w:val="Hyperlink"/>
            <w:i/>
            <w:iCs/>
            <w:sz w:val="22"/>
            <w:szCs w:val="22"/>
          </w:rPr>
          <w:t>Private Health Insurance Act 2007</w:t>
        </w:r>
      </w:hyperlink>
      <w:r w:rsidR="009A6B96" w:rsidRPr="004F194F">
        <w:rPr>
          <w:sz w:val="22"/>
          <w:szCs w:val="22"/>
        </w:rPr>
        <w:t xml:space="preserve"> dealing with joint hospital cover for LHC.</w:t>
      </w:r>
    </w:p>
    <w:p w14:paraId="17A8F9D1" w14:textId="2992CD8F" w:rsidR="00202B93" w:rsidRDefault="00FD498C" w:rsidP="00202B93">
      <w:pPr>
        <w:pStyle w:val="Heading2"/>
      </w:pPr>
      <w:bookmarkStart w:id="24" w:name="_Toc98937449"/>
      <w:r>
        <w:lastRenderedPageBreak/>
        <w:t xml:space="preserve">How are </w:t>
      </w:r>
      <w:r w:rsidR="00202B93" w:rsidRPr="00F23D7C">
        <w:t xml:space="preserve">dependent </w:t>
      </w:r>
      <w:r w:rsidR="00202B93">
        <w:t>student</w:t>
      </w:r>
      <w:r>
        <w:t>s</w:t>
      </w:r>
      <w:r w:rsidR="00202B93">
        <w:t xml:space="preserve"> </w:t>
      </w:r>
      <w:r>
        <w:t>and</w:t>
      </w:r>
      <w:r w:rsidR="00202B93">
        <w:t xml:space="preserve"> dependent non-student</w:t>
      </w:r>
      <w:r>
        <w:t>s</w:t>
      </w:r>
      <w:r w:rsidR="00202B93">
        <w:t xml:space="preserve"> </w:t>
      </w:r>
      <w:r>
        <w:t>with</w:t>
      </w:r>
      <w:r w:rsidR="00202B93">
        <w:t xml:space="preserve"> hospital cover on 1 July </w:t>
      </w:r>
      <w:r>
        <w:t xml:space="preserve">after they </w:t>
      </w:r>
      <w:r w:rsidR="00FD22CE">
        <w:t xml:space="preserve">turn </w:t>
      </w:r>
      <w:r>
        <w:t xml:space="preserve">31 treated for the purposes of </w:t>
      </w:r>
      <w:r w:rsidRPr="00F23D7C">
        <w:t>Lifetime Health Cover</w:t>
      </w:r>
      <w:r w:rsidR="00202B93">
        <w:t>?</w:t>
      </w:r>
      <w:bookmarkEnd w:id="24"/>
    </w:p>
    <w:p w14:paraId="113695F8" w14:textId="7454002C" w:rsidR="00FD498C" w:rsidRPr="004F194F" w:rsidRDefault="00FD22CE" w:rsidP="00FD498C">
      <w:pPr>
        <w:pStyle w:val="Paragraphtext"/>
        <w:rPr>
          <w:sz w:val="22"/>
          <w:szCs w:val="22"/>
        </w:rPr>
      </w:pPr>
      <w:r w:rsidRPr="004F194F">
        <w:rPr>
          <w:sz w:val="22"/>
          <w:szCs w:val="22"/>
        </w:rPr>
        <w:t xml:space="preserve">For the purposes of Lifetime Health Cover (LHC) people in this situation should be considered as having had hospital cover on their LHC base day and will have access to </w:t>
      </w:r>
      <w:r w:rsidR="00CC7430" w:rsidRPr="004F194F">
        <w:rPr>
          <w:sz w:val="22"/>
          <w:szCs w:val="22"/>
        </w:rPr>
        <w:t xml:space="preserve">permitted days without hospital cover once they cease to be a </w:t>
      </w:r>
      <w:proofErr w:type="gramStart"/>
      <w:r w:rsidR="00CC7430" w:rsidRPr="004F194F">
        <w:rPr>
          <w:sz w:val="22"/>
          <w:szCs w:val="22"/>
        </w:rPr>
        <w:t>dependant</w:t>
      </w:r>
      <w:r w:rsidR="00DF69ED">
        <w:rPr>
          <w:sz w:val="22"/>
          <w:szCs w:val="22"/>
        </w:rPr>
        <w:t>,</w:t>
      </w:r>
      <w:r w:rsidR="00CC7430" w:rsidRPr="004F194F">
        <w:rPr>
          <w:sz w:val="22"/>
          <w:szCs w:val="22"/>
        </w:rPr>
        <w:t xml:space="preserve"> </w:t>
      </w:r>
      <w:r w:rsidR="009C32EA">
        <w:rPr>
          <w:sz w:val="22"/>
          <w:szCs w:val="22"/>
        </w:rPr>
        <w:t>if</w:t>
      </w:r>
      <w:proofErr w:type="gramEnd"/>
      <w:r w:rsidR="009C32EA">
        <w:rPr>
          <w:sz w:val="22"/>
          <w:szCs w:val="22"/>
        </w:rPr>
        <w:t xml:space="preserve"> </w:t>
      </w:r>
      <w:r w:rsidR="004F194F">
        <w:rPr>
          <w:sz w:val="22"/>
          <w:szCs w:val="22"/>
        </w:rPr>
        <w:t>they</w:t>
      </w:r>
      <w:r w:rsidR="00CC7430" w:rsidRPr="004F194F">
        <w:rPr>
          <w:sz w:val="22"/>
          <w:szCs w:val="22"/>
        </w:rPr>
        <w:t xml:space="preserve"> are not covered by their own hospital cover.</w:t>
      </w:r>
    </w:p>
    <w:p w14:paraId="38E9A061" w14:textId="5FB7D5C0" w:rsidR="00FD22CE" w:rsidRDefault="007C7DF1" w:rsidP="00FD498C">
      <w:pPr>
        <w:pStyle w:val="Paragraphtext"/>
        <w:rPr>
          <w:sz w:val="22"/>
          <w:szCs w:val="22"/>
        </w:rPr>
      </w:pPr>
      <w:r w:rsidRPr="00DF69ED">
        <w:rPr>
          <w:b/>
          <w:bCs/>
          <w:sz w:val="22"/>
          <w:szCs w:val="22"/>
        </w:rPr>
        <w:t>E</w:t>
      </w:r>
      <w:r w:rsidR="00FD22CE" w:rsidRPr="00DF69ED">
        <w:rPr>
          <w:b/>
          <w:bCs/>
          <w:sz w:val="22"/>
          <w:szCs w:val="22"/>
        </w:rPr>
        <w:t>xample</w:t>
      </w:r>
      <w:r w:rsidRPr="00DF69ED">
        <w:rPr>
          <w:b/>
          <w:bCs/>
          <w:sz w:val="22"/>
          <w:szCs w:val="22"/>
        </w:rPr>
        <w:t xml:space="preserve"> 1</w:t>
      </w:r>
      <w:r w:rsidR="00FD22CE" w:rsidRPr="004F194F">
        <w:rPr>
          <w:sz w:val="22"/>
          <w:szCs w:val="22"/>
        </w:rPr>
        <w:t xml:space="preserve">: </w:t>
      </w:r>
      <w:r w:rsidR="00BF7DE5" w:rsidRPr="004F194F">
        <w:rPr>
          <w:sz w:val="22"/>
          <w:szCs w:val="22"/>
        </w:rPr>
        <w:t>Dani’s parents have hospital cover with an insurer cover</w:t>
      </w:r>
      <w:r w:rsidR="005E2E03" w:rsidRPr="004F194F">
        <w:rPr>
          <w:sz w:val="22"/>
          <w:szCs w:val="22"/>
        </w:rPr>
        <w:t>ing</w:t>
      </w:r>
      <w:r w:rsidR="00BF7DE5" w:rsidRPr="004F194F">
        <w:rPr>
          <w:sz w:val="22"/>
          <w:szCs w:val="22"/>
        </w:rPr>
        <w:t xml:space="preserve"> dependent students to the age of 31. </w:t>
      </w:r>
      <w:r w:rsidR="00FD22CE" w:rsidRPr="004F194F">
        <w:rPr>
          <w:sz w:val="22"/>
          <w:szCs w:val="22"/>
        </w:rPr>
        <w:t xml:space="preserve">Dani was a dependent student on her parents’ hospital policy </w:t>
      </w:r>
      <w:r w:rsidR="00BF7DE5" w:rsidRPr="004F194F">
        <w:rPr>
          <w:sz w:val="22"/>
          <w:szCs w:val="22"/>
        </w:rPr>
        <w:t xml:space="preserve">on 1 July when she </w:t>
      </w:r>
      <w:r w:rsidR="00CC7430" w:rsidRPr="004F194F">
        <w:rPr>
          <w:sz w:val="22"/>
          <w:szCs w:val="22"/>
        </w:rPr>
        <w:t>was</w:t>
      </w:r>
      <w:r w:rsidR="00BF7DE5" w:rsidRPr="004F194F">
        <w:rPr>
          <w:sz w:val="22"/>
          <w:szCs w:val="22"/>
        </w:rPr>
        <w:t xml:space="preserve"> 31. She cease</w:t>
      </w:r>
      <w:r w:rsidR="00DF69ED">
        <w:rPr>
          <w:sz w:val="22"/>
          <w:szCs w:val="22"/>
        </w:rPr>
        <w:t>d</w:t>
      </w:r>
      <w:r w:rsidR="00BF7DE5" w:rsidRPr="004F194F">
        <w:rPr>
          <w:sz w:val="22"/>
          <w:szCs w:val="22"/>
        </w:rPr>
        <w:t xml:space="preserve"> to be a dependent student when she turn</w:t>
      </w:r>
      <w:r w:rsidR="00CC7430" w:rsidRPr="004F194F">
        <w:rPr>
          <w:sz w:val="22"/>
          <w:szCs w:val="22"/>
        </w:rPr>
        <w:t>ed</w:t>
      </w:r>
      <w:r w:rsidR="00BF7DE5" w:rsidRPr="004F194F">
        <w:rPr>
          <w:sz w:val="22"/>
          <w:szCs w:val="22"/>
        </w:rPr>
        <w:t xml:space="preserve"> 32 and </w:t>
      </w:r>
      <w:r w:rsidR="00CC7430" w:rsidRPr="004F194F">
        <w:rPr>
          <w:sz w:val="22"/>
          <w:szCs w:val="22"/>
        </w:rPr>
        <w:t>was</w:t>
      </w:r>
      <w:r w:rsidR="00BF7DE5" w:rsidRPr="004F194F">
        <w:rPr>
          <w:sz w:val="22"/>
          <w:szCs w:val="22"/>
        </w:rPr>
        <w:t xml:space="preserve"> no longer covered under her parents’ policy. Dani purchases hospital </w:t>
      </w:r>
      <w:r w:rsidR="00DF69ED">
        <w:rPr>
          <w:sz w:val="22"/>
          <w:szCs w:val="22"/>
        </w:rPr>
        <w:t>cover</w:t>
      </w:r>
      <w:r w:rsidR="00BF7DE5" w:rsidRPr="004F194F">
        <w:rPr>
          <w:sz w:val="22"/>
          <w:szCs w:val="22"/>
        </w:rPr>
        <w:t xml:space="preserve"> two years later. </w:t>
      </w:r>
      <w:r w:rsidR="004F194F">
        <w:rPr>
          <w:sz w:val="22"/>
          <w:szCs w:val="22"/>
        </w:rPr>
        <w:t>Her</w:t>
      </w:r>
      <w:r w:rsidR="00BF7DE5" w:rsidRPr="004F194F">
        <w:rPr>
          <w:sz w:val="22"/>
          <w:szCs w:val="22"/>
        </w:rPr>
        <w:t xml:space="preserve"> insurer does not need to add a LHC loading to her premium because</w:t>
      </w:r>
      <w:r w:rsidR="00C0103E" w:rsidRPr="004F194F">
        <w:rPr>
          <w:sz w:val="22"/>
          <w:szCs w:val="22"/>
        </w:rPr>
        <w:t xml:space="preserve">: </w:t>
      </w:r>
      <w:r w:rsidR="005E2E03" w:rsidRPr="004F194F">
        <w:rPr>
          <w:sz w:val="22"/>
          <w:szCs w:val="22"/>
        </w:rPr>
        <w:t>she had hospital coverage on her LHC base day</w:t>
      </w:r>
      <w:r w:rsidR="00C0103E" w:rsidRPr="004F194F">
        <w:rPr>
          <w:sz w:val="22"/>
          <w:szCs w:val="22"/>
        </w:rPr>
        <w:t xml:space="preserve">; and has not exceeded the number of permitted days without hospital cover. </w:t>
      </w:r>
    </w:p>
    <w:p w14:paraId="1E1D8596" w14:textId="47C83999" w:rsidR="007C7DF1" w:rsidRPr="007C7DF1" w:rsidRDefault="007C7DF1" w:rsidP="007C7DF1">
      <w:pPr>
        <w:pStyle w:val="Paragraphtext"/>
        <w:rPr>
          <w:sz w:val="22"/>
          <w:szCs w:val="22"/>
        </w:rPr>
      </w:pPr>
      <w:r w:rsidRPr="00DF69ED">
        <w:rPr>
          <w:b/>
          <w:bCs/>
          <w:sz w:val="22"/>
          <w:szCs w:val="22"/>
        </w:rPr>
        <w:t>Example 2</w:t>
      </w:r>
      <w:r w:rsidRPr="007C7DF1">
        <w:rPr>
          <w:sz w:val="22"/>
          <w:szCs w:val="22"/>
        </w:rPr>
        <w:t xml:space="preserve">: Oliver’s parents have </w:t>
      </w:r>
      <w:r>
        <w:rPr>
          <w:sz w:val="22"/>
          <w:szCs w:val="22"/>
        </w:rPr>
        <w:t>general treatment (</w:t>
      </w:r>
      <w:r w:rsidRPr="007C7DF1">
        <w:rPr>
          <w:sz w:val="22"/>
          <w:szCs w:val="22"/>
        </w:rPr>
        <w:t>extras</w:t>
      </w:r>
      <w:r>
        <w:rPr>
          <w:sz w:val="22"/>
          <w:szCs w:val="22"/>
        </w:rPr>
        <w:t>)</w:t>
      </w:r>
      <w:r w:rsidRPr="007C7DF1">
        <w:rPr>
          <w:sz w:val="22"/>
          <w:szCs w:val="22"/>
        </w:rPr>
        <w:t xml:space="preserve"> cover with an insurer covering dependent students to the age of 31. Oliver was a dependent student on his parents’ extras policy on 1 July when he was 31. He cease</w:t>
      </w:r>
      <w:r w:rsidR="00DF69ED">
        <w:rPr>
          <w:sz w:val="22"/>
          <w:szCs w:val="22"/>
        </w:rPr>
        <w:t>d</w:t>
      </w:r>
      <w:r w:rsidRPr="007C7DF1">
        <w:rPr>
          <w:sz w:val="22"/>
          <w:szCs w:val="22"/>
        </w:rPr>
        <w:t xml:space="preserve"> to be a dependent student when he turned 32 and was no longer covered under his parents’ policy. Oliver purchases hospital </w:t>
      </w:r>
      <w:r w:rsidR="00DF69ED">
        <w:rPr>
          <w:sz w:val="22"/>
          <w:szCs w:val="22"/>
        </w:rPr>
        <w:t>cover</w:t>
      </w:r>
      <w:r w:rsidRPr="007C7DF1">
        <w:rPr>
          <w:sz w:val="22"/>
          <w:szCs w:val="22"/>
        </w:rPr>
        <w:t xml:space="preserve"> two years later. His insurer adds a LHC loading to his premium because he did not have hospital coverage on his LHC base day. </w:t>
      </w:r>
    </w:p>
    <w:p w14:paraId="5F72A295" w14:textId="54ADB5FC" w:rsidR="00026A6C" w:rsidRDefault="007C7DF1" w:rsidP="007C7DF1">
      <w:pPr>
        <w:pStyle w:val="Paragraphtext"/>
        <w:rPr>
          <w:sz w:val="22"/>
          <w:szCs w:val="22"/>
        </w:rPr>
      </w:pPr>
      <w:r w:rsidRPr="00DF69ED">
        <w:rPr>
          <w:b/>
          <w:bCs/>
          <w:sz w:val="22"/>
          <w:szCs w:val="22"/>
        </w:rPr>
        <w:t>Example 3</w:t>
      </w:r>
      <w:r w:rsidRPr="007C7DF1">
        <w:rPr>
          <w:sz w:val="22"/>
          <w:szCs w:val="22"/>
        </w:rPr>
        <w:t xml:space="preserve">: Ella’s parents have combined </w:t>
      </w:r>
      <w:r>
        <w:rPr>
          <w:sz w:val="22"/>
          <w:szCs w:val="22"/>
        </w:rPr>
        <w:t>(</w:t>
      </w:r>
      <w:r w:rsidRPr="007C7DF1">
        <w:rPr>
          <w:sz w:val="22"/>
          <w:szCs w:val="22"/>
        </w:rPr>
        <w:t xml:space="preserve">hospital and </w:t>
      </w:r>
      <w:r>
        <w:rPr>
          <w:sz w:val="22"/>
          <w:szCs w:val="22"/>
        </w:rPr>
        <w:t>general treatment)</w:t>
      </w:r>
      <w:r w:rsidRPr="007C7DF1">
        <w:rPr>
          <w:sz w:val="22"/>
          <w:szCs w:val="22"/>
        </w:rPr>
        <w:t xml:space="preserve"> cover with an insurer covering dependent students to the age of 31. Ella was a dependent student on her parents’ </w:t>
      </w:r>
      <w:r>
        <w:rPr>
          <w:sz w:val="22"/>
          <w:szCs w:val="22"/>
        </w:rPr>
        <w:t>combined</w:t>
      </w:r>
      <w:r w:rsidRPr="007C7DF1">
        <w:rPr>
          <w:sz w:val="22"/>
          <w:szCs w:val="22"/>
        </w:rPr>
        <w:t xml:space="preserve"> policy on 1 July when she was 31. For the two months before her 32</w:t>
      </w:r>
      <w:r w:rsidRPr="007C7DF1">
        <w:rPr>
          <w:sz w:val="22"/>
          <w:szCs w:val="22"/>
          <w:vertAlign w:val="superscript"/>
        </w:rPr>
        <w:t>nd</w:t>
      </w:r>
      <w:r>
        <w:rPr>
          <w:sz w:val="22"/>
          <w:szCs w:val="22"/>
        </w:rPr>
        <w:t xml:space="preserve"> </w:t>
      </w:r>
      <w:r w:rsidRPr="007C7DF1">
        <w:rPr>
          <w:sz w:val="22"/>
          <w:szCs w:val="22"/>
        </w:rPr>
        <w:t xml:space="preserve">birthday, her parents dropped their hospital cover </w:t>
      </w:r>
      <w:r w:rsidR="00DF69ED">
        <w:rPr>
          <w:sz w:val="22"/>
          <w:szCs w:val="22"/>
        </w:rPr>
        <w:t>but</w:t>
      </w:r>
      <w:r w:rsidRPr="007C7DF1">
        <w:rPr>
          <w:sz w:val="22"/>
          <w:szCs w:val="22"/>
        </w:rPr>
        <w:t xml:space="preserve"> retained </w:t>
      </w:r>
      <w:r>
        <w:rPr>
          <w:sz w:val="22"/>
          <w:szCs w:val="22"/>
        </w:rPr>
        <w:t>general treatment (extras) policy</w:t>
      </w:r>
      <w:r w:rsidRPr="007C7DF1">
        <w:rPr>
          <w:sz w:val="22"/>
          <w:szCs w:val="22"/>
        </w:rPr>
        <w:t>. She cease</w:t>
      </w:r>
      <w:r w:rsidR="00DF69ED">
        <w:rPr>
          <w:sz w:val="22"/>
          <w:szCs w:val="22"/>
        </w:rPr>
        <w:t>d</w:t>
      </w:r>
      <w:r w:rsidRPr="007C7DF1">
        <w:rPr>
          <w:sz w:val="22"/>
          <w:szCs w:val="22"/>
        </w:rPr>
        <w:t xml:space="preserve"> to be a dependent student when she turned 32 and was no longer covered under her parents’ policy. Ella purchases hospital </w:t>
      </w:r>
      <w:r w:rsidR="00DF69ED">
        <w:rPr>
          <w:sz w:val="22"/>
          <w:szCs w:val="22"/>
        </w:rPr>
        <w:t>cover</w:t>
      </w:r>
      <w:r w:rsidRPr="007C7DF1">
        <w:rPr>
          <w:sz w:val="22"/>
          <w:szCs w:val="22"/>
        </w:rPr>
        <w:t xml:space="preserve"> two years later. Her insurer does not need to add a LHC loading to her premium because: she had hospital coverage on her LHC base day; and has not exceeded the number of permitted days without hospital cover.</w:t>
      </w:r>
    </w:p>
    <w:p w14:paraId="6D9A82A3" w14:textId="6F4D44C1" w:rsidR="007C7DF1" w:rsidRPr="007C7DF1" w:rsidRDefault="00026A6C" w:rsidP="007C7DF1">
      <w:pPr>
        <w:pStyle w:val="Paragraphtext"/>
        <w:rPr>
          <w:sz w:val="22"/>
          <w:szCs w:val="22"/>
        </w:rPr>
      </w:pPr>
      <w:r w:rsidRPr="00DF69ED">
        <w:rPr>
          <w:b/>
          <w:bCs/>
          <w:sz w:val="22"/>
          <w:szCs w:val="22"/>
        </w:rPr>
        <w:t>Example 4</w:t>
      </w:r>
      <w:r w:rsidRPr="00026A6C">
        <w:rPr>
          <w:sz w:val="22"/>
          <w:szCs w:val="22"/>
        </w:rPr>
        <w:t xml:space="preserve">: Henry’s parents </w:t>
      </w:r>
      <w:r w:rsidRPr="007C7DF1">
        <w:rPr>
          <w:sz w:val="22"/>
          <w:szCs w:val="22"/>
        </w:rPr>
        <w:t xml:space="preserve">have </w:t>
      </w:r>
      <w:r>
        <w:rPr>
          <w:sz w:val="22"/>
          <w:szCs w:val="22"/>
        </w:rPr>
        <w:t>general treatment (</w:t>
      </w:r>
      <w:r w:rsidRPr="007C7DF1">
        <w:rPr>
          <w:sz w:val="22"/>
          <w:szCs w:val="22"/>
        </w:rPr>
        <w:t>extras</w:t>
      </w:r>
      <w:r>
        <w:rPr>
          <w:sz w:val="22"/>
          <w:szCs w:val="22"/>
        </w:rPr>
        <w:t>)</w:t>
      </w:r>
      <w:r w:rsidRPr="007C7DF1">
        <w:rPr>
          <w:sz w:val="22"/>
          <w:szCs w:val="22"/>
        </w:rPr>
        <w:t xml:space="preserve"> cover </w:t>
      </w:r>
      <w:r w:rsidRPr="00026A6C">
        <w:rPr>
          <w:sz w:val="22"/>
          <w:szCs w:val="22"/>
        </w:rPr>
        <w:t xml:space="preserve">with an insurer covering dependent students to the age of 31. Henry’s birthday falls on 1 May and he was a dependent student on his parents’ </w:t>
      </w:r>
      <w:r w:rsidR="003A6709">
        <w:rPr>
          <w:sz w:val="22"/>
          <w:szCs w:val="22"/>
        </w:rPr>
        <w:t>general treatment (</w:t>
      </w:r>
      <w:r w:rsidR="003A6709" w:rsidRPr="007C7DF1">
        <w:rPr>
          <w:sz w:val="22"/>
          <w:szCs w:val="22"/>
        </w:rPr>
        <w:t>extras</w:t>
      </w:r>
      <w:r w:rsidR="003A6709">
        <w:rPr>
          <w:sz w:val="22"/>
          <w:szCs w:val="22"/>
        </w:rPr>
        <w:t xml:space="preserve">) </w:t>
      </w:r>
      <w:r w:rsidRPr="00026A6C">
        <w:rPr>
          <w:sz w:val="22"/>
          <w:szCs w:val="22"/>
        </w:rPr>
        <w:t>policy on 1 July when he was 31. For the last two months before his 32</w:t>
      </w:r>
      <w:r w:rsidRPr="00026A6C">
        <w:rPr>
          <w:sz w:val="22"/>
          <w:szCs w:val="22"/>
          <w:vertAlign w:val="superscript"/>
        </w:rPr>
        <w:t>nd</w:t>
      </w:r>
      <w:r>
        <w:rPr>
          <w:sz w:val="22"/>
          <w:szCs w:val="22"/>
        </w:rPr>
        <w:t xml:space="preserve"> </w:t>
      </w:r>
      <w:r w:rsidRPr="00026A6C">
        <w:rPr>
          <w:sz w:val="22"/>
          <w:szCs w:val="22"/>
        </w:rPr>
        <w:t xml:space="preserve">birthday, his parents added hospital cover and retained </w:t>
      </w:r>
      <w:r>
        <w:rPr>
          <w:sz w:val="22"/>
          <w:szCs w:val="22"/>
        </w:rPr>
        <w:t>general treatment (</w:t>
      </w:r>
      <w:r w:rsidRPr="007C7DF1">
        <w:rPr>
          <w:sz w:val="22"/>
          <w:szCs w:val="22"/>
        </w:rPr>
        <w:t>extras</w:t>
      </w:r>
      <w:r>
        <w:rPr>
          <w:sz w:val="22"/>
          <w:szCs w:val="22"/>
        </w:rPr>
        <w:t>)</w:t>
      </w:r>
      <w:r w:rsidRPr="007C7DF1">
        <w:rPr>
          <w:sz w:val="22"/>
          <w:szCs w:val="22"/>
        </w:rPr>
        <w:t xml:space="preserve"> cover</w:t>
      </w:r>
      <w:r w:rsidRPr="00026A6C">
        <w:rPr>
          <w:sz w:val="22"/>
          <w:szCs w:val="22"/>
        </w:rPr>
        <w:t xml:space="preserve">. He does not yet incur a loading as he is still a </w:t>
      </w:r>
      <w:r w:rsidR="003A6709">
        <w:rPr>
          <w:sz w:val="22"/>
          <w:szCs w:val="22"/>
        </w:rPr>
        <w:t xml:space="preserve">dependent </w:t>
      </w:r>
      <w:r w:rsidRPr="00026A6C">
        <w:rPr>
          <w:sz w:val="22"/>
          <w:szCs w:val="22"/>
        </w:rPr>
        <w:t>student. He cease</w:t>
      </w:r>
      <w:r w:rsidR="00DF69ED">
        <w:rPr>
          <w:sz w:val="22"/>
          <w:szCs w:val="22"/>
        </w:rPr>
        <w:t>d</w:t>
      </w:r>
      <w:r w:rsidRPr="00026A6C">
        <w:rPr>
          <w:sz w:val="22"/>
          <w:szCs w:val="22"/>
        </w:rPr>
        <w:t xml:space="preserve"> to be a dependent student when he turned 32 and was no longer covered under his parents’ policy. Henry purchases hospital </w:t>
      </w:r>
      <w:r w:rsidR="00DF69ED">
        <w:rPr>
          <w:sz w:val="22"/>
          <w:szCs w:val="22"/>
        </w:rPr>
        <w:t>cover</w:t>
      </w:r>
      <w:r w:rsidRPr="00026A6C">
        <w:rPr>
          <w:sz w:val="22"/>
          <w:szCs w:val="22"/>
        </w:rPr>
        <w:t xml:space="preserve"> two years later. His insurer adds a LHC loading to his premium because he did not have hospital coverage on his LHC base day. </w:t>
      </w:r>
      <w:r w:rsidR="007C7DF1" w:rsidRPr="007C7DF1">
        <w:rPr>
          <w:sz w:val="22"/>
          <w:szCs w:val="22"/>
        </w:rPr>
        <w:t xml:space="preserve"> </w:t>
      </w:r>
    </w:p>
    <w:p w14:paraId="086CB3B3" w14:textId="4F0A35CE" w:rsidR="00F23D7C" w:rsidRPr="00F23D7C" w:rsidRDefault="00F23D7C" w:rsidP="00F23D7C">
      <w:pPr>
        <w:pStyle w:val="Heading2"/>
      </w:pPr>
      <w:bookmarkStart w:id="25" w:name="_Toc98937450"/>
      <w:r w:rsidRPr="00F23D7C">
        <w:t xml:space="preserve">How </w:t>
      </w:r>
      <w:r w:rsidR="005B2C2C">
        <w:t xml:space="preserve">does </w:t>
      </w:r>
      <w:r w:rsidRPr="00F23D7C">
        <w:t xml:space="preserve">this measure </w:t>
      </w:r>
      <w:r w:rsidR="00C745E3" w:rsidRPr="00F23D7C">
        <w:t>interact</w:t>
      </w:r>
      <w:r w:rsidRPr="00F23D7C">
        <w:t xml:space="preserve"> with age-based discounts</w:t>
      </w:r>
      <w:r w:rsidR="005B2C2C">
        <w:t>?</w:t>
      </w:r>
      <w:bookmarkEnd w:id="25"/>
    </w:p>
    <w:p w14:paraId="4D36A0FC" w14:textId="2EF71BB9" w:rsidR="00F23D7C" w:rsidRDefault="00F23D7C" w:rsidP="00F23D7C">
      <w:r>
        <w:t xml:space="preserve">A person </w:t>
      </w:r>
      <w:r w:rsidR="00DF69ED">
        <w:t>will</w:t>
      </w:r>
      <w:r>
        <w:t xml:space="preserve"> either have their own policy and be eligible for an age-based </w:t>
      </w:r>
      <w:proofErr w:type="gramStart"/>
      <w:r>
        <w:t>discount</w:t>
      </w:r>
      <w:r w:rsidR="00DF69ED">
        <w:t>,</w:t>
      </w:r>
      <w:r>
        <w:t xml:space="preserve"> or</w:t>
      </w:r>
      <w:proofErr w:type="gramEnd"/>
      <w:r>
        <w:t xml:space="preserve"> be covered as a dependant; but not both. When age-based discounts were introduced, it was on the basis the person eligible for the discount would not be a dependant. If a person had an age</w:t>
      </w:r>
      <w:r w:rsidRPr="006A140E">
        <w:t xml:space="preserve">-based discount </w:t>
      </w:r>
      <w:r>
        <w:t xml:space="preserve">and decides to join a </w:t>
      </w:r>
      <w:r w:rsidRPr="006A140E">
        <w:t>family</w:t>
      </w:r>
      <w:r>
        <w:t xml:space="preserve"> or </w:t>
      </w:r>
      <w:r w:rsidRPr="006A140E">
        <w:t>single parent policy</w:t>
      </w:r>
      <w:r>
        <w:t xml:space="preserve"> as a depend</w:t>
      </w:r>
      <w:r w:rsidR="006F1191">
        <w:t>a</w:t>
      </w:r>
      <w:r>
        <w:t>nt</w:t>
      </w:r>
      <w:r w:rsidRPr="006A140E">
        <w:t xml:space="preserve">, they will </w:t>
      </w:r>
      <w:r>
        <w:t xml:space="preserve">no longer </w:t>
      </w:r>
      <w:r w:rsidR="00ED7282">
        <w:t xml:space="preserve">be able to </w:t>
      </w:r>
      <w:r>
        <w:t xml:space="preserve">access </w:t>
      </w:r>
      <w:r w:rsidRPr="006A140E">
        <w:t>their age-based discount.</w:t>
      </w:r>
    </w:p>
    <w:p w14:paraId="18C6A1E3" w14:textId="05AD7C33" w:rsidR="00F23D7C" w:rsidRPr="00F23D7C" w:rsidRDefault="00F23D7C" w:rsidP="00F23D7C">
      <w:pPr>
        <w:pStyle w:val="Heading2"/>
      </w:pPr>
      <w:bookmarkStart w:id="26" w:name="_Hlk79399399"/>
      <w:bookmarkStart w:id="27" w:name="_Hlk79402124"/>
      <w:bookmarkStart w:id="28" w:name="_Toc98937451"/>
      <w:r w:rsidRPr="00F23D7C">
        <w:lastRenderedPageBreak/>
        <w:t xml:space="preserve">How </w:t>
      </w:r>
      <w:r w:rsidR="004371E4">
        <w:t xml:space="preserve">do </w:t>
      </w:r>
      <w:r w:rsidRPr="00F23D7C">
        <w:t>these changes affect Private Health Information Statements</w:t>
      </w:r>
      <w:r w:rsidR="00225FA8">
        <w:t xml:space="preserve"> and </w:t>
      </w:r>
      <w:r w:rsidR="001812DB">
        <w:t>P</w:t>
      </w:r>
      <w:r w:rsidR="00225FA8">
        <w:t>rivatehealth.gov.au</w:t>
      </w:r>
      <w:r w:rsidR="004371E4">
        <w:t>?</w:t>
      </w:r>
      <w:bookmarkEnd w:id="28"/>
    </w:p>
    <w:p w14:paraId="2DFCA11A" w14:textId="0A3C1D64" w:rsidR="00357EAE" w:rsidRDefault="001812DB" w:rsidP="00F23D7C">
      <w:r w:rsidRPr="001812DB">
        <w:t xml:space="preserve">Information on </w:t>
      </w:r>
      <w:r>
        <w:t>P</w:t>
      </w:r>
      <w:r w:rsidRPr="001812DB">
        <w:t>rivatehealth.gov.au has been updated to reflect the changes</w:t>
      </w:r>
      <w:r w:rsidR="00603C1E">
        <w:t xml:space="preserve"> from this measure</w:t>
      </w:r>
      <w:r w:rsidRPr="001812DB">
        <w:t>. Consumers will be able to search Privatehealth.gov.au for the new policies and Private Health Information Statements (PHIS) when</w:t>
      </w:r>
      <w:r w:rsidR="0082535B">
        <w:t xml:space="preserve"> insurers introduce the changes</w:t>
      </w:r>
      <w:r w:rsidRPr="001812DB">
        <w:t>.</w:t>
      </w:r>
    </w:p>
    <w:p w14:paraId="25ED87A4" w14:textId="40734827" w:rsidR="00F23D7C" w:rsidRPr="00F23D7C" w:rsidRDefault="00F23D7C" w:rsidP="00F23D7C">
      <w:pPr>
        <w:pStyle w:val="Heading2"/>
      </w:pPr>
      <w:bookmarkStart w:id="29" w:name="_Toc98937452"/>
      <w:bookmarkEnd w:id="26"/>
      <w:bookmarkEnd w:id="27"/>
      <w:r w:rsidRPr="00F23D7C">
        <w:t xml:space="preserve">How </w:t>
      </w:r>
      <w:r w:rsidR="00F6143B">
        <w:t xml:space="preserve">does </w:t>
      </w:r>
      <w:r w:rsidRPr="00F23D7C">
        <w:t>the definition of a dependant for private health insurance align with the definition of a dependant for taxation purposes</w:t>
      </w:r>
      <w:r w:rsidR="00F6143B">
        <w:t>?</w:t>
      </w:r>
      <w:bookmarkEnd w:id="29"/>
    </w:p>
    <w:p w14:paraId="7485F8B6" w14:textId="3F40452B" w:rsidR="00E00551" w:rsidRDefault="00F23D7C" w:rsidP="00E56102">
      <w:r w:rsidRPr="007D0484">
        <w:t>The definition of depend</w:t>
      </w:r>
      <w:r w:rsidR="00F6143B">
        <w:t>a</w:t>
      </w:r>
      <w:r w:rsidRPr="007D0484">
        <w:t xml:space="preserve">nt for private health insurance purposes </w:t>
      </w:r>
      <w:r w:rsidR="00B37849">
        <w:t xml:space="preserve">(dependent person) </w:t>
      </w:r>
      <w:r w:rsidRPr="007D0484">
        <w:t>is different from that used for taxation purposes</w:t>
      </w:r>
      <w:r w:rsidR="00B37849">
        <w:t xml:space="preserve"> (Medicare levy surcharge dependent child)</w:t>
      </w:r>
      <w:r w:rsidRPr="007D0484">
        <w:t>. The definition for a dependant for taxation purposes</w:t>
      </w:r>
      <w:r w:rsidR="00B37849">
        <w:t xml:space="preserve"> is used for both the</w:t>
      </w:r>
      <w:r w:rsidRPr="007D0484">
        <w:t xml:space="preserve"> Medicare Levy Surcharge and the Private Health Insurance Rebate Tiers</w:t>
      </w:r>
      <w:r w:rsidR="00F6143B">
        <w:t>.</w:t>
      </w:r>
      <w:r w:rsidRPr="007D0484">
        <w:t xml:space="preserve"> </w:t>
      </w:r>
      <w:r>
        <w:t xml:space="preserve">Taxation </w:t>
      </w:r>
      <w:r w:rsidR="00B37849">
        <w:t>information is available</w:t>
      </w:r>
      <w:r w:rsidR="00F6143B">
        <w:t xml:space="preserve"> at </w:t>
      </w:r>
      <w:hyperlink r:id="rId24" w:anchor="Dependentchildrencoveredbyapolicy" w:history="1">
        <w:r w:rsidR="00F6143B">
          <w:rPr>
            <w:rStyle w:val="Hyperlink"/>
          </w:rPr>
          <w:t>Income thresholds and rates for the private health insurance rebate | Australian Taxation Office (ato.gov.au)</w:t>
        </w:r>
      </w:hyperlink>
      <w:r w:rsidR="00B37849">
        <w:t xml:space="preserve"> and </w:t>
      </w:r>
      <w:hyperlink r:id="rId25" w:anchor="Child" w:history="1">
        <w:r w:rsidR="00B37849">
          <w:rPr>
            <w:rStyle w:val="Hyperlink"/>
          </w:rPr>
          <w:t>Family and dependants for Medicare levy surcharge purposes | Australian Taxation Office (ato.gov.au)</w:t>
        </w:r>
      </w:hyperlink>
      <w:r>
        <w:t>.</w:t>
      </w:r>
    </w:p>
    <w:p w14:paraId="703A4695" w14:textId="747107C2" w:rsidR="0065392E" w:rsidRDefault="00357EAE" w:rsidP="00F23D7C">
      <w:r>
        <w:t>The income tests</w:t>
      </w:r>
      <w:r w:rsidRPr="007D0484">
        <w:t xml:space="preserve"> </w:t>
      </w:r>
      <w:r>
        <w:t xml:space="preserve">for </w:t>
      </w:r>
      <w:r w:rsidRPr="007D0484">
        <w:t>Medicare Levy Surcharge and Private Health Insurance Rebate</w:t>
      </w:r>
      <w:r>
        <w:t xml:space="preserve"> are not affected by this measure. The </w:t>
      </w:r>
      <w:r w:rsidR="00603C1E">
        <w:t xml:space="preserve">Australian </w:t>
      </w:r>
      <w:r>
        <w:t xml:space="preserve">Taxation Office definition of dependent child is used to adjust the family income thresholds, </w:t>
      </w:r>
      <w:proofErr w:type="gramStart"/>
      <w:r>
        <w:t>i.e.</w:t>
      </w:r>
      <w:proofErr w:type="gramEnd"/>
      <w:r>
        <w:t xml:space="preserve"> t</w:t>
      </w:r>
      <w:r w:rsidRPr="0065392E">
        <w:t>he family income threshold is increased by $1,500 for each Medicare levy surcharge dependent child after the first child.</w:t>
      </w:r>
      <w:r>
        <w:t xml:space="preserve"> Neither </w:t>
      </w:r>
      <w:r w:rsidRPr="0065392E">
        <w:t>Medicare levy surcharge dependent child</w:t>
      </w:r>
      <w:r>
        <w:t>ren nor dependent person’s income are included in the calculation of the family’s income.</w:t>
      </w:r>
    </w:p>
    <w:p w14:paraId="328D9232" w14:textId="52A34644" w:rsidR="00D53EF8" w:rsidRDefault="0065392E" w:rsidP="0065392E">
      <w:pPr>
        <w:pStyle w:val="Heading2"/>
      </w:pPr>
      <w:bookmarkStart w:id="30" w:name="_Toc98937453"/>
      <w:r>
        <w:t xml:space="preserve">How does this measure </w:t>
      </w:r>
      <w:proofErr w:type="gramStart"/>
      <w:r>
        <w:t>affect</w:t>
      </w:r>
      <w:r w:rsidR="00D53EF8">
        <w:t>:</w:t>
      </w:r>
      <w:bookmarkEnd w:id="30"/>
      <w:proofErr w:type="gramEnd"/>
    </w:p>
    <w:p w14:paraId="59E66C6C" w14:textId="587751D4" w:rsidR="00D53EF8" w:rsidRDefault="00D53EF8" w:rsidP="00D53EF8">
      <w:pPr>
        <w:pStyle w:val="Heading2"/>
        <w:numPr>
          <w:ilvl w:val="0"/>
          <w:numId w:val="27"/>
        </w:numPr>
      </w:pPr>
      <w:bookmarkStart w:id="31" w:name="_Toc98937454"/>
      <w:r>
        <w:t>the excess levels for policies?</w:t>
      </w:r>
      <w:bookmarkEnd w:id="31"/>
    </w:p>
    <w:p w14:paraId="3FC9E712" w14:textId="3A6FD45A" w:rsidR="00D53EF8" w:rsidRDefault="001812DB" w:rsidP="0065392E">
      <w:pPr>
        <w:rPr>
          <w:rFonts w:eastAsiaTheme="minorHAnsi"/>
          <w:szCs w:val="22"/>
        </w:rPr>
      </w:pPr>
      <w:r w:rsidRPr="001812DB">
        <w:rPr>
          <w:rFonts w:eastAsiaTheme="minorHAnsi"/>
          <w:szCs w:val="22"/>
        </w:rPr>
        <w:t xml:space="preserve">It has no affect. </w:t>
      </w:r>
      <w:r w:rsidR="003A6709">
        <w:rPr>
          <w:rFonts w:eastAsiaTheme="minorHAnsi"/>
          <w:szCs w:val="22"/>
        </w:rPr>
        <w:t>For the purposes of the Medicare levy surcharge, t</w:t>
      </w:r>
      <w:r w:rsidR="00D53EF8">
        <w:rPr>
          <w:rFonts w:eastAsiaTheme="minorHAnsi"/>
          <w:szCs w:val="22"/>
        </w:rPr>
        <w:t>he maximum excess for policies that cover more than one person remains at $1,500.</w:t>
      </w:r>
    </w:p>
    <w:p w14:paraId="0C1E7E52" w14:textId="1B3AD735" w:rsidR="00D53EF8" w:rsidRDefault="00D53EF8" w:rsidP="00D53EF8">
      <w:pPr>
        <w:pStyle w:val="Heading2"/>
        <w:numPr>
          <w:ilvl w:val="0"/>
          <w:numId w:val="27"/>
        </w:numPr>
      </w:pPr>
      <w:bookmarkStart w:id="32" w:name="_Toc98937455"/>
      <w:r>
        <w:t>t</w:t>
      </w:r>
      <w:r w:rsidRPr="00D53EF8">
        <w:t>he Standard Equivalent Unit (SEU) for polices?</w:t>
      </w:r>
      <w:bookmarkEnd w:id="32"/>
    </w:p>
    <w:p w14:paraId="243EF76A" w14:textId="7209EBE7" w:rsidR="008F78D0" w:rsidRPr="008F78D0" w:rsidRDefault="008F78D0" w:rsidP="00221BB4">
      <w:pPr>
        <w:rPr>
          <w:rFonts w:eastAsiaTheme="minorHAnsi"/>
        </w:rPr>
      </w:pPr>
      <w:r>
        <w:rPr>
          <w:rFonts w:eastAsiaTheme="minorHAnsi"/>
        </w:rPr>
        <w:t>It has no affect.</w:t>
      </w:r>
      <w:r w:rsidRPr="008F78D0">
        <w:rPr>
          <w:rFonts w:eastAsiaTheme="minorHAnsi"/>
        </w:rPr>
        <w:t xml:space="preserve"> </w:t>
      </w:r>
      <w:r>
        <w:rPr>
          <w:rFonts w:eastAsiaTheme="minorHAnsi"/>
        </w:rPr>
        <w:t>A</w:t>
      </w:r>
      <w:r w:rsidRPr="008F78D0">
        <w:rPr>
          <w:rFonts w:eastAsiaTheme="minorHAnsi"/>
        </w:rPr>
        <w:t xml:space="preserve"> hospital policy </w:t>
      </w:r>
      <w:r>
        <w:rPr>
          <w:rFonts w:eastAsiaTheme="minorHAnsi"/>
        </w:rPr>
        <w:t>insuring:</w:t>
      </w:r>
      <w:r w:rsidRPr="008F78D0">
        <w:rPr>
          <w:rFonts w:eastAsiaTheme="minorHAnsi"/>
        </w:rPr>
        <w:t xml:space="preserve"> only one person</w:t>
      </w:r>
      <w:r>
        <w:rPr>
          <w:rFonts w:eastAsiaTheme="minorHAnsi"/>
        </w:rPr>
        <w:t>;</w:t>
      </w:r>
      <w:r w:rsidRPr="008F78D0">
        <w:rPr>
          <w:rFonts w:eastAsiaTheme="minorHAnsi"/>
        </w:rPr>
        <w:t xml:space="preserve"> </w:t>
      </w:r>
      <w:r w:rsidR="00603C1E">
        <w:rPr>
          <w:rFonts w:eastAsiaTheme="minorHAnsi"/>
        </w:rPr>
        <w:t>two</w:t>
      </w:r>
      <w:r w:rsidRPr="008F78D0">
        <w:rPr>
          <w:rFonts w:eastAsiaTheme="minorHAnsi"/>
        </w:rPr>
        <w:t xml:space="preserve"> or more people, none of whom is an adult;</w:t>
      </w:r>
      <w:r>
        <w:rPr>
          <w:rFonts w:eastAsiaTheme="minorHAnsi"/>
        </w:rPr>
        <w:t xml:space="preserve"> or </w:t>
      </w:r>
      <w:r w:rsidR="00603C1E">
        <w:rPr>
          <w:rFonts w:eastAsiaTheme="minorHAnsi"/>
        </w:rPr>
        <w:t>two</w:t>
      </w:r>
      <w:r w:rsidRPr="008F78D0">
        <w:rPr>
          <w:rFonts w:eastAsiaTheme="minorHAnsi"/>
        </w:rPr>
        <w:t xml:space="preserve"> or more people, only one of whom is an adult</w:t>
      </w:r>
      <w:r>
        <w:rPr>
          <w:rFonts w:eastAsiaTheme="minorHAnsi"/>
        </w:rPr>
        <w:t xml:space="preserve"> is one SEU. All other policies are two SEU.</w:t>
      </w:r>
      <w:r w:rsidRPr="008F78D0">
        <w:rPr>
          <w:szCs w:val="22"/>
        </w:rPr>
        <w:t xml:space="preserve"> </w:t>
      </w:r>
      <w:r w:rsidRPr="008F78D0">
        <w:rPr>
          <w:rFonts w:eastAsiaTheme="minorHAnsi"/>
        </w:rPr>
        <w:t xml:space="preserve">Information about single equivalent units can be found in rule 4 at </w:t>
      </w:r>
      <w:hyperlink r:id="rId26" w:anchor="_Toc472327260" w:history="1">
        <w:r w:rsidRPr="008F78D0">
          <w:rPr>
            <w:rStyle w:val="Hyperlink"/>
            <w:rFonts w:eastAsiaTheme="minorHAnsi"/>
          </w:rPr>
          <w:t>Private Health Insurance (Risk Equalisation Policy) Rules 2015 (legislation.gov.au)</w:t>
        </w:r>
      </w:hyperlink>
      <w:r w:rsidRPr="008F78D0">
        <w:rPr>
          <w:rFonts w:eastAsiaTheme="minorHAnsi"/>
        </w:rPr>
        <w:t>.</w:t>
      </w:r>
      <w:r>
        <w:rPr>
          <w:rFonts w:eastAsiaTheme="minorHAnsi"/>
        </w:rPr>
        <w:t xml:space="preserve"> </w:t>
      </w:r>
    </w:p>
    <w:p w14:paraId="5BC5579F" w14:textId="24C6738E" w:rsidR="00D53EF8" w:rsidRDefault="008F78D0" w:rsidP="008140D6">
      <w:pPr>
        <w:pStyle w:val="Heading2"/>
        <w:numPr>
          <w:ilvl w:val="0"/>
          <w:numId w:val="27"/>
        </w:numPr>
      </w:pPr>
      <w:bookmarkStart w:id="33" w:name="_Toc98937456"/>
      <w:r w:rsidRPr="008F78D0">
        <w:t>Australian Prudential Regulation Authority (APRA)</w:t>
      </w:r>
      <w:r>
        <w:t xml:space="preserve"> reporting requirements?</w:t>
      </w:r>
      <w:bookmarkEnd w:id="33"/>
    </w:p>
    <w:p w14:paraId="6F58E29F" w14:textId="2903B0CF" w:rsidR="008F78D0" w:rsidRDefault="008F78D0" w:rsidP="008F78D0">
      <w:r w:rsidRPr="008F78D0">
        <w:t>These are matters for APRA, however preliminary discussions</w:t>
      </w:r>
      <w:r w:rsidR="00615990">
        <w:t xml:space="preserve"> with APRA</w:t>
      </w:r>
      <w:r w:rsidRPr="008F78D0">
        <w:t xml:space="preserve"> indicated the new insured groups </w:t>
      </w:r>
      <w:r w:rsidR="00615990">
        <w:t>are unlikely to</w:t>
      </w:r>
      <w:r w:rsidRPr="008F78D0">
        <w:t xml:space="preserve"> require amendments to </w:t>
      </w:r>
      <w:r w:rsidR="00615990">
        <w:t xml:space="preserve">the </w:t>
      </w:r>
      <w:r w:rsidR="008140D6">
        <w:t>APRA data collection</w:t>
      </w:r>
      <w:r w:rsidRPr="008F78D0">
        <w:t>.</w:t>
      </w:r>
    </w:p>
    <w:p w14:paraId="0DA2AC33" w14:textId="42B8BEFA" w:rsidR="004371E4" w:rsidRDefault="007B3D1D" w:rsidP="00357EAE">
      <w:pPr>
        <w:pStyle w:val="Heading2"/>
        <w:numPr>
          <w:ilvl w:val="0"/>
          <w:numId w:val="27"/>
        </w:numPr>
      </w:pPr>
      <w:bookmarkStart w:id="34" w:name="_Toc98937457"/>
      <w:r>
        <w:lastRenderedPageBreak/>
        <w:t xml:space="preserve">who can be </w:t>
      </w:r>
      <w:r w:rsidR="004371E4">
        <w:t xml:space="preserve">a Private Health Insurance </w:t>
      </w:r>
      <w:r w:rsidR="00357EAE">
        <w:t>Beneficiary?</w:t>
      </w:r>
      <w:bookmarkEnd w:id="34"/>
    </w:p>
    <w:p w14:paraId="1DBB2070" w14:textId="3C685376" w:rsidR="007B3D1D" w:rsidRDefault="007B3D1D" w:rsidP="007B3D1D">
      <w:pPr>
        <w:pStyle w:val="Paragraphtext"/>
      </w:pPr>
      <w:r>
        <w:t>It has no impact. No depend</w:t>
      </w:r>
      <w:r w:rsidR="002103B6">
        <w:t>e</w:t>
      </w:r>
      <w:r>
        <w:t xml:space="preserve">nt </w:t>
      </w:r>
      <w:r w:rsidR="002103B6">
        <w:t xml:space="preserve">person </w:t>
      </w:r>
      <w:r w:rsidR="00621EB0">
        <w:t>was</w:t>
      </w:r>
      <w:r w:rsidR="00603C1E">
        <w:t>,</w:t>
      </w:r>
      <w:r w:rsidR="00621EB0">
        <w:t xml:space="preserve"> or</w:t>
      </w:r>
      <w:r w:rsidR="002103B6">
        <w:t xml:space="preserve"> </w:t>
      </w:r>
      <w:r w:rsidR="000818E4">
        <w:t>can</w:t>
      </w:r>
      <w:r w:rsidR="002103B6">
        <w:t xml:space="preserve"> </w:t>
      </w:r>
      <w:r w:rsidR="000818E4">
        <w:t xml:space="preserve">now </w:t>
      </w:r>
      <w:r w:rsidR="002103B6">
        <w:t>be</w:t>
      </w:r>
      <w:r w:rsidR="00603C1E">
        <w:t>,</w:t>
      </w:r>
      <w:r>
        <w:t xml:space="preserve"> a </w:t>
      </w:r>
      <w:r w:rsidRPr="007B3D1D">
        <w:t>Private Health Insurance Beneficiary</w:t>
      </w:r>
      <w:r>
        <w:t>.</w:t>
      </w:r>
    </w:p>
    <w:p w14:paraId="6312D8DD" w14:textId="55C54FF0" w:rsidR="00BB1E2D" w:rsidRPr="00BB1E2D" w:rsidRDefault="002103B6" w:rsidP="00BB1E2D">
      <w:pPr>
        <w:pStyle w:val="Heading2"/>
        <w:numPr>
          <w:ilvl w:val="0"/>
          <w:numId w:val="27"/>
        </w:numPr>
      </w:pPr>
      <w:bookmarkStart w:id="35" w:name="_Toc98937458"/>
      <w:r>
        <w:t>transfer certificates?</w:t>
      </w:r>
      <w:bookmarkEnd w:id="35"/>
    </w:p>
    <w:p w14:paraId="025EB8D1" w14:textId="13FF8AD7" w:rsidR="002103B6" w:rsidRPr="00094309" w:rsidRDefault="001812DB" w:rsidP="001812DB">
      <w:r>
        <w:t xml:space="preserve">The rule for </w:t>
      </w:r>
      <w:r w:rsidR="00DA37A3">
        <w:t>the</w:t>
      </w:r>
      <w:r>
        <w:t xml:space="preserve"> Saving Provision Entitlement</w:t>
      </w:r>
      <w:r w:rsidR="00DA37A3">
        <w:t xml:space="preserve"> (SPE)</w:t>
      </w:r>
      <w:r>
        <w:t xml:space="preserve"> for the transfer certificate will be amended </w:t>
      </w:r>
      <w:r w:rsidR="00BB1E2D">
        <w:t>so t</w:t>
      </w:r>
      <w:r>
        <w:t xml:space="preserve">he SPE </w:t>
      </w:r>
      <w:r w:rsidR="00BB1E2D">
        <w:t>will</w:t>
      </w:r>
      <w:r>
        <w:t xml:space="preserve"> only apply to a </w:t>
      </w:r>
      <w:r w:rsidR="000F3195">
        <w:t xml:space="preserve">Private Health Insurance Incentive Beneficiary (PHIIB) </w:t>
      </w:r>
      <w:proofErr w:type="gramStart"/>
      <w:r>
        <w:t>i.e.</w:t>
      </w:r>
      <w:proofErr w:type="gramEnd"/>
      <w:r>
        <w:t xml:space="preserve"> an SPE entitlement will be granted to the remaining </w:t>
      </w:r>
      <w:r w:rsidR="000F3195">
        <w:t xml:space="preserve">PHIIB </w:t>
      </w:r>
      <w:r>
        <w:t>on the cessation of the entitling PHIIB.</w:t>
      </w:r>
    </w:p>
    <w:p w14:paraId="480DF749" w14:textId="3014D352" w:rsidR="002103B6" w:rsidRDefault="00BB1E2D" w:rsidP="00FC3721">
      <w:pPr>
        <w:pStyle w:val="Heading2"/>
        <w:numPr>
          <w:ilvl w:val="0"/>
          <w:numId w:val="27"/>
        </w:numPr>
      </w:pPr>
      <w:bookmarkStart w:id="36" w:name="_Toc98937459"/>
      <w:r>
        <w:t xml:space="preserve">the insured group for </w:t>
      </w:r>
      <w:r w:rsidRPr="00BB1E2D">
        <w:t>3 or more people, at least 3 of whom are adults</w:t>
      </w:r>
      <w:r>
        <w:t>?</w:t>
      </w:r>
      <w:bookmarkEnd w:id="36"/>
    </w:p>
    <w:p w14:paraId="1C9B41AE" w14:textId="467D23B0" w:rsidR="001D5ADA" w:rsidRDefault="001D5ADA" w:rsidP="007B3D1D">
      <w:pPr>
        <w:pStyle w:val="Paragraphtext"/>
      </w:pPr>
      <w:r>
        <w:t>This insured group no longer exists</w:t>
      </w:r>
      <w:r w:rsidR="00603C1E">
        <w:t>. T</w:t>
      </w:r>
      <w:r>
        <w:t>he introduction of the insured groups for dependent people with a disability ma</w:t>
      </w:r>
      <w:r w:rsidR="007A07DA">
        <w:t>k</w:t>
      </w:r>
      <w:r>
        <w:t>e</w:t>
      </w:r>
      <w:r w:rsidR="007A07DA">
        <w:t>s</w:t>
      </w:r>
      <w:r>
        <w:t xml:space="preserve"> it redundant.</w:t>
      </w:r>
    </w:p>
    <w:p w14:paraId="6FE39F9B" w14:textId="7C81615D" w:rsidR="00BB1E2D" w:rsidRPr="00BB1E2D" w:rsidRDefault="001D5ADA" w:rsidP="007B3D1D">
      <w:pPr>
        <w:pStyle w:val="Paragraphtext"/>
      </w:pPr>
      <w:r>
        <w:t xml:space="preserve">This insured group is defined in the previous version of the </w:t>
      </w:r>
      <w:hyperlink r:id="rId27" w:history="1">
        <w:r w:rsidRPr="00B278D2">
          <w:rPr>
            <w:rStyle w:val="Hyperlink"/>
            <w:i/>
            <w:iCs/>
          </w:rPr>
          <w:t>Private Health Insurance (Complying Product) Rules 2015</w:t>
        </w:r>
      </w:hyperlink>
      <w:r w:rsidR="00BB1E2D">
        <w:t>.</w:t>
      </w:r>
    </w:p>
    <w:sectPr w:rsidR="00BB1E2D" w:rsidRPr="00BB1E2D" w:rsidSect="00F23D7C">
      <w:type w:val="continuous"/>
      <w:pgSz w:w="11906" w:h="16838"/>
      <w:pgMar w:top="1134" w:right="1274" w:bottom="1440" w:left="1440"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A577B" w14:textId="77777777" w:rsidR="00E30F3A" w:rsidRDefault="00E30F3A" w:rsidP="006B56BB">
      <w:r>
        <w:separator/>
      </w:r>
    </w:p>
    <w:p w14:paraId="03AAF67C" w14:textId="77777777" w:rsidR="00E30F3A" w:rsidRDefault="00E30F3A"/>
  </w:endnote>
  <w:endnote w:type="continuationSeparator" w:id="0">
    <w:p w14:paraId="3B8BC56C" w14:textId="77777777" w:rsidR="00E30F3A" w:rsidRDefault="00E30F3A" w:rsidP="006B56BB">
      <w:r>
        <w:continuationSeparator/>
      </w:r>
    </w:p>
    <w:p w14:paraId="7C21A084" w14:textId="77777777" w:rsidR="00E30F3A" w:rsidRDefault="00E30F3A"/>
  </w:endnote>
  <w:endnote w:type="continuationNotice" w:id="1">
    <w:p w14:paraId="79CB1F63" w14:textId="77777777" w:rsidR="00E30F3A" w:rsidRDefault="00E30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33939" w14:textId="784E234E" w:rsidR="00D0516C" w:rsidRPr="003D033A" w:rsidRDefault="00D0516C" w:rsidP="003D033A">
    <w:pPr>
      <w:pStyle w:val="Footer"/>
      <w:tabs>
        <w:tab w:val="clear" w:pos="4513"/>
      </w:tabs>
      <w:jc w:val="right"/>
      <w:rPr>
        <w:szCs w:val="20"/>
      </w:rPr>
    </w:pPr>
    <w:r w:rsidRPr="00F23D7C">
      <w:t xml:space="preserve">Private Health Insurance </w:t>
    </w:r>
    <w:r>
      <w:t xml:space="preserve">– increasing the </w:t>
    </w:r>
    <w:r w:rsidRPr="00F23D7C">
      <w:t>age of dependants</w:t>
    </w:r>
    <w:r>
      <w:t xml:space="preserve"> </w:t>
    </w:r>
    <w:r w:rsidRPr="00F23D7C">
      <w:t>– questions and answers</w:t>
    </w:r>
    <w:sdt>
      <w:sdtPr>
        <w:rPr>
          <w:szCs w:val="20"/>
        </w:rPr>
        <w:id w:val="601842316"/>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noProof/>
            <w:szCs w:val="20"/>
          </w:rPr>
          <w:t>3</w:t>
        </w:r>
        <w:r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E57CD" w14:textId="77777777" w:rsidR="00E30F3A" w:rsidRDefault="00E30F3A" w:rsidP="006B56BB">
      <w:r>
        <w:separator/>
      </w:r>
    </w:p>
    <w:p w14:paraId="47FB4417" w14:textId="77777777" w:rsidR="00E30F3A" w:rsidRDefault="00E30F3A"/>
  </w:footnote>
  <w:footnote w:type="continuationSeparator" w:id="0">
    <w:p w14:paraId="1CCCEF73" w14:textId="77777777" w:rsidR="00E30F3A" w:rsidRDefault="00E30F3A" w:rsidP="006B56BB">
      <w:r>
        <w:continuationSeparator/>
      </w:r>
    </w:p>
    <w:p w14:paraId="7D0ADBCD" w14:textId="77777777" w:rsidR="00E30F3A" w:rsidRDefault="00E30F3A"/>
  </w:footnote>
  <w:footnote w:type="continuationNotice" w:id="1">
    <w:p w14:paraId="0BFB1BB4" w14:textId="77777777" w:rsidR="00E30F3A" w:rsidRDefault="00E30F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AC36B" w14:textId="77777777" w:rsidR="00D0516C" w:rsidRDefault="00D0516C">
    <w:pPr>
      <w:pStyle w:val="Header"/>
    </w:pPr>
    <w:r>
      <w:rPr>
        <w:noProof/>
        <w:lang w:eastAsia="en-AU"/>
      </w:rPr>
      <w:drawing>
        <wp:inline distT="0" distB="0" distL="0" distR="0" wp14:anchorId="1C4E1CAB" wp14:editId="7BAE83F0">
          <wp:extent cx="5865806" cy="959485"/>
          <wp:effectExtent l="0" t="0" r="1905" b="0"/>
          <wp:docPr id="5" name="Picture 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8844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F8985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2AF6944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52A8F7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60041F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A26695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4A30D6"/>
    <w:multiLevelType w:val="hybridMultilevel"/>
    <w:tmpl w:val="99F86F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669700C"/>
    <w:multiLevelType w:val="hybridMultilevel"/>
    <w:tmpl w:val="E7CE4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EF1001"/>
    <w:multiLevelType w:val="hybridMultilevel"/>
    <w:tmpl w:val="BD62FC5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7FF5126"/>
    <w:multiLevelType w:val="hybridMultilevel"/>
    <w:tmpl w:val="BA60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521C32"/>
    <w:multiLevelType w:val="hybridMultilevel"/>
    <w:tmpl w:val="A58C7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3F2478"/>
    <w:multiLevelType w:val="hybridMultilevel"/>
    <w:tmpl w:val="AB02FE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BFF6879"/>
    <w:multiLevelType w:val="hybridMultilevel"/>
    <w:tmpl w:val="5664A4B6"/>
    <w:lvl w:ilvl="0" w:tplc="70B0A2A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2D1995"/>
    <w:multiLevelType w:val="hybridMultilevel"/>
    <w:tmpl w:val="1A56A9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3"/>
  </w:num>
  <w:num w:numId="4">
    <w:abstractNumId w:val="8"/>
  </w:num>
  <w:num w:numId="5">
    <w:abstractNumId w:val="8"/>
    <w:lvlOverride w:ilvl="0">
      <w:startOverride w:val="1"/>
    </w:lvlOverride>
  </w:num>
  <w:num w:numId="6">
    <w:abstractNumId w:val="9"/>
  </w:num>
  <w:num w:numId="7">
    <w:abstractNumId w:val="14"/>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5"/>
  </w:num>
  <w:num w:numId="17">
    <w:abstractNumId w:val="10"/>
  </w:num>
  <w:num w:numId="18">
    <w:abstractNumId w:val="12"/>
  </w:num>
  <w:num w:numId="19">
    <w:abstractNumId w:val="13"/>
  </w:num>
  <w:num w:numId="20">
    <w:abstractNumId w:val="16"/>
  </w:num>
  <w:num w:numId="21">
    <w:abstractNumId w:val="20"/>
  </w:num>
  <w:num w:numId="22">
    <w:abstractNumId w:val="17"/>
  </w:num>
  <w:num w:numId="23">
    <w:abstractNumId w:val="19"/>
  </w:num>
  <w:num w:numId="24">
    <w:abstractNumId w:val="22"/>
  </w:num>
  <w:num w:numId="25">
    <w:abstractNumId w:val="15"/>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7C"/>
    <w:rsid w:val="00003743"/>
    <w:rsid w:val="000047B4"/>
    <w:rsid w:val="00005712"/>
    <w:rsid w:val="00007FD8"/>
    <w:rsid w:val="000117F8"/>
    <w:rsid w:val="0001460F"/>
    <w:rsid w:val="00022629"/>
    <w:rsid w:val="00026139"/>
    <w:rsid w:val="00026A6C"/>
    <w:rsid w:val="00027601"/>
    <w:rsid w:val="00033321"/>
    <w:rsid w:val="000338E5"/>
    <w:rsid w:val="00033ECC"/>
    <w:rsid w:val="0003422F"/>
    <w:rsid w:val="00040F5B"/>
    <w:rsid w:val="000436DC"/>
    <w:rsid w:val="000466CF"/>
    <w:rsid w:val="00046AF1"/>
    <w:rsid w:val="00046FF0"/>
    <w:rsid w:val="00050176"/>
    <w:rsid w:val="00050342"/>
    <w:rsid w:val="0005510F"/>
    <w:rsid w:val="00067456"/>
    <w:rsid w:val="00067BB8"/>
    <w:rsid w:val="00071506"/>
    <w:rsid w:val="0007154F"/>
    <w:rsid w:val="00072985"/>
    <w:rsid w:val="000818E4"/>
    <w:rsid w:val="00081AB1"/>
    <w:rsid w:val="00090316"/>
    <w:rsid w:val="00093981"/>
    <w:rsid w:val="00094309"/>
    <w:rsid w:val="000B067A"/>
    <w:rsid w:val="000B1540"/>
    <w:rsid w:val="000B1E53"/>
    <w:rsid w:val="000B33FD"/>
    <w:rsid w:val="000B4ABA"/>
    <w:rsid w:val="000C4B16"/>
    <w:rsid w:val="000C50C3"/>
    <w:rsid w:val="000C5E14"/>
    <w:rsid w:val="000D21F6"/>
    <w:rsid w:val="000D4500"/>
    <w:rsid w:val="000D7AEA"/>
    <w:rsid w:val="000E2C66"/>
    <w:rsid w:val="000E61CD"/>
    <w:rsid w:val="000F123C"/>
    <w:rsid w:val="000F2FED"/>
    <w:rsid w:val="000F3195"/>
    <w:rsid w:val="000F5E99"/>
    <w:rsid w:val="0010616D"/>
    <w:rsid w:val="00110478"/>
    <w:rsid w:val="0011711B"/>
    <w:rsid w:val="00117F8A"/>
    <w:rsid w:val="001216FC"/>
    <w:rsid w:val="00121B9B"/>
    <w:rsid w:val="00122ADC"/>
    <w:rsid w:val="00130F59"/>
    <w:rsid w:val="00133EC0"/>
    <w:rsid w:val="00141CE5"/>
    <w:rsid w:val="00142AC0"/>
    <w:rsid w:val="00144908"/>
    <w:rsid w:val="00152BFE"/>
    <w:rsid w:val="001571C7"/>
    <w:rsid w:val="00161094"/>
    <w:rsid w:val="0017665C"/>
    <w:rsid w:val="00177AD2"/>
    <w:rsid w:val="0018044D"/>
    <w:rsid w:val="001812DB"/>
    <w:rsid w:val="001815A8"/>
    <w:rsid w:val="001840FA"/>
    <w:rsid w:val="00190079"/>
    <w:rsid w:val="0019622E"/>
    <w:rsid w:val="001966A7"/>
    <w:rsid w:val="001967B9"/>
    <w:rsid w:val="001A4627"/>
    <w:rsid w:val="001A4979"/>
    <w:rsid w:val="001B15D3"/>
    <w:rsid w:val="001B27F5"/>
    <w:rsid w:val="001B3443"/>
    <w:rsid w:val="001C0326"/>
    <w:rsid w:val="001C192F"/>
    <w:rsid w:val="001C215F"/>
    <w:rsid w:val="001C3C42"/>
    <w:rsid w:val="001C5400"/>
    <w:rsid w:val="001D5ADA"/>
    <w:rsid w:val="001D7869"/>
    <w:rsid w:val="002026CD"/>
    <w:rsid w:val="00202B93"/>
    <w:rsid w:val="002033FC"/>
    <w:rsid w:val="002044BB"/>
    <w:rsid w:val="002103B6"/>
    <w:rsid w:val="00210B09"/>
    <w:rsid w:val="00210C9E"/>
    <w:rsid w:val="00211840"/>
    <w:rsid w:val="00220E5F"/>
    <w:rsid w:val="002212B5"/>
    <w:rsid w:val="00221BB4"/>
    <w:rsid w:val="00225FA8"/>
    <w:rsid w:val="00226668"/>
    <w:rsid w:val="00233809"/>
    <w:rsid w:val="00240046"/>
    <w:rsid w:val="0024797F"/>
    <w:rsid w:val="0025119E"/>
    <w:rsid w:val="00251269"/>
    <w:rsid w:val="002535C0"/>
    <w:rsid w:val="002579FE"/>
    <w:rsid w:val="0026311C"/>
    <w:rsid w:val="00266138"/>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249B"/>
    <w:rsid w:val="002C38C4"/>
    <w:rsid w:val="002E03BC"/>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57EAE"/>
    <w:rsid w:val="00360E4E"/>
    <w:rsid w:val="00362F38"/>
    <w:rsid w:val="00370AAA"/>
    <w:rsid w:val="00375F77"/>
    <w:rsid w:val="00381BBE"/>
    <w:rsid w:val="00382903"/>
    <w:rsid w:val="003846FF"/>
    <w:rsid w:val="003857D4"/>
    <w:rsid w:val="00385AD4"/>
    <w:rsid w:val="00387924"/>
    <w:rsid w:val="00392D35"/>
    <w:rsid w:val="0039384D"/>
    <w:rsid w:val="00395C23"/>
    <w:rsid w:val="00397911"/>
    <w:rsid w:val="003A2E4F"/>
    <w:rsid w:val="003A4438"/>
    <w:rsid w:val="003A5013"/>
    <w:rsid w:val="003A5078"/>
    <w:rsid w:val="003A62DD"/>
    <w:rsid w:val="003A6709"/>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3F6A52"/>
    <w:rsid w:val="003F7B38"/>
    <w:rsid w:val="00400F00"/>
    <w:rsid w:val="00404F8B"/>
    <w:rsid w:val="00405256"/>
    <w:rsid w:val="00410031"/>
    <w:rsid w:val="00415C81"/>
    <w:rsid w:val="00422371"/>
    <w:rsid w:val="00431FF7"/>
    <w:rsid w:val="00432378"/>
    <w:rsid w:val="004334FE"/>
    <w:rsid w:val="004371E4"/>
    <w:rsid w:val="00440D65"/>
    <w:rsid w:val="004435E6"/>
    <w:rsid w:val="00447E31"/>
    <w:rsid w:val="00453923"/>
    <w:rsid w:val="00454B9B"/>
    <w:rsid w:val="00457858"/>
    <w:rsid w:val="00460B0B"/>
    <w:rsid w:val="00461023"/>
    <w:rsid w:val="00462FAC"/>
    <w:rsid w:val="00464631"/>
    <w:rsid w:val="00464B79"/>
    <w:rsid w:val="00467BBF"/>
    <w:rsid w:val="0048087F"/>
    <w:rsid w:val="0048593C"/>
    <w:rsid w:val="004867E2"/>
    <w:rsid w:val="004929A9"/>
    <w:rsid w:val="00497D8F"/>
    <w:rsid w:val="004A2B0C"/>
    <w:rsid w:val="004A78D9"/>
    <w:rsid w:val="004C6BCF"/>
    <w:rsid w:val="004D58BF"/>
    <w:rsid w:val="004E152A"/>
    <w:rsid w:val="004E4335"/>
    <w:rsid w:val="004F13EE"/>
    <w:rsid w:val="004F194F"/>
    <w:rsid w:val="004F2022"/>
    <w:rsid w:val="004F253F"/>
    <w:rsid w:val="004F3AE4"/>
    <w:rsid w:val="004F7C05"/>
    <w:rsid w:val="00501C94"/>
    <w:rsid w:val="00506432"/>
    <w:rsid w:val="0052051D"/>
    <w:rsid w:val="00532EB7"/>
    <w:rsid w:val="00535702"/>
    <w:rsid w:val="00545EE6"/>
    <w:rsid w:val="005550E7"/>
    <w:rsid w:val="005564FB"/>
    <w:rsid w:val="005572C7"/>
    <w:rsid w:val="005650ED"/>
    <w:rsid w:val="0056565E"/>
    <w:rsid w:val="00565887"/>
    <w:rsid w:val="00575754"/>
    <w:rsid w:val="00581FBA"/>
    <w:rsid w:val="00585078"/>
    <w:rsid w:val="00591E20"/>
    <w:rsid w:val="00595408"/>
    <w:rsid w:val="00595E84"/>
    <w:rsid w:val="005A0C59"/>
    <w:rsid w:val="005A48EB"/>
    <w:rsid w:val="005A6CFB"/>
    <w:rsid w:val="005B2C2C"/>
    <w:rsid w:val="005C1ACC"/>
    <w:rsid w:val="005C5AEB"/>
    <w:rsid w:val="005D7B88"/>
    <w:rsid w:val="005E0A3F"/>
    <w:rsid w:val="005E2E03"/>
    <w:rsid w:val="005E6883"/>
    <w:rsid w:val="005E772F"/>
    <w:rsid w:val="005F4ECA"/>
    <w:rsid w:val="00601AFE"/>
    <w:rsid w:val="00603C1E"/>
    <w:rsid w:val="006041BE"/>
    <w:rsid w:val="006043C7"/>
    <w:rsid w:val="00615990"/>
    <w:rsid w:val="00621EB0"/>
    <w:rsid w:val="00624B52"/>
    <w:rsid w:val="00630794"/>
    <w:rsid w:val="00631DF4"/>
    <w:rsid w:val="00634175"/>
    <w:rsid w:val="00636AFA"/>
    <w:rsid w:val="006408AC"/>
    <w:rsid w:val="006511B6"/>
    <w:rsid w:val="0065392E"/>
    <w:rsid w:val="00657FF8"/>
    <w:rsid w:val="00664049"/>
    <w:rsid w:val="00670D99"/>
    <w:rsid w:val="00670E2B"/>
    <w:rsid w:val="006734BB"/>
    <w:rsid w:val="0067697A"/>
    <w:rsid w:val="006821EB"/>
    <w:rsid w:val="006B2286"/>
    <w:rsid w:val="006B5376"/>
    <w:rsid w:val="006B56BB"/>
    <w:rsid w:val="006C77A8"/>
    <w:rsid w:val="006D4098"/>
    <w:rsid w:val="006D4593"/>
    <w:rsid w:val="006D7681"/>
    <w:rsid w:val="006D7B2E"/>
    <w:rsid w:val="006E02EA"/>
    <w:rsid w:val="006E0968"/>
    <w:rsid w:val="006E2AF6"/>
    <w:rsid w:val="006F1191"/>
    <w:rsid w:val="00701275"/>
    <w:rsid w:val="0070492B"/>
    <w:rsid w:val="00707F56"/>
    <w:rsid w:val="00713558"/>
    <w:rsid w:val="00720D08"/>
    <w:rsid w:val="007263B9"/>
    <w:rsid w:val="007334F8"/>
    <w:rsid w:val="007339CD"/>
    <w:rsid w:val="007359D8"/>
    <w:rsid w:val="007362D4"/>
    <w:rsid w:val="007439BB"/>
    <w:rsid w:val="00745295"/>
    <w:rsid w:val="0076672A"/>
    <w:rsid w:val="00775E45"/>
    <w:rsid w:val="00776E74"/>
    <w:rsid w:val="007778EE"/>
    <w:rsid w:val="00785169"/>
    <w:rsid w:val="007954AB"/>
    <w:rsid w:val="007A07DA"/>
    <w:rsid w:val="007A14C5"/>
    <w:rsid w:val="007A2817"/>
    <w:rsid w:val="007A362C"/>
    <w:rsid w:val="007A4A10"/>
    <w:rsid w:val="007B1760"/>
    <w:rsid w:val="007B2181"/>
    <w:rsid w:val="007B3D1D"/>
    <w:rsid w:val="007C1FDC"/>
    <w:rsid w:val="007C6D9C"/>
    <w:rsid w:val="007C7DDB"/>
    <w:rsid w:val="007C7DF1"/>
    <w:rsid w:val="007D2CC7"/>
    <w:rsid w:val="007D5220"/>
    <w:rsid w:val="007D673D"/>
    <w:rsid w:val="007E4D09"/>
    <w:rsid w:val="007E4F9A"/>
    <w:rsid w:val="007F2220"/>
    <w:rsid w:val="007F3EBA"/>
    <w:rsid w:val="007F4B3E"/>
    <w:rsid w:val="007F675A"/>
    <w:rsid w:val="008015FD"/>
    <w:rsid w:val="00810A8B"/>
    <w:rsid w:val="008127AF"/>
    <w:rsid w:val="00812B46"/>
    <w:rsid w:val="008140D6"/>
    <w:rsid w:val="00815700"/>
    <w:rsid w:val="00822311"/>
    <w:rsid w:val="0082535B"/>
    <w:rsid w:val="008264EB"/>
    <w:rsid w:val="00826B8F"/>
    <w:rsid w:val="00831E8A"/>
    <w:rsid w:val="00835C76"/>
    <w:rsid w:val="008376E2"/>
    <w:rsid w:val="00841E09"/>
    <w:rsid w:val="00843049"/>
    <w:rsid w:val="0085209B"/>
    <w:rsid w:val="0085235D"/>
    <w:rsid w:val="00856B66"/>
    <w:rsid w:val="008601AC"/>
    <w:rsid w:val="00861A5F"/>
    <w:rsid w:val="008644AD"/>
    <w:rsid w:val="00865735"/>
    <w:rsid w:val="00865DDB"/>
    <w:rsid w:val="00867538"/>
    <w:rsid w:val="00873D90"/>
    <w:rsid w:val="00873FC8"/>
    <w:rsid w:val="008802A9"/>
    <w:rsid w:val="00884C63"/>
    <w:rsid w:val="00885908"/>
    <w:rsid w:val="008864B7"/>
    <w:rsid w:val="0089677E"/>
    <w:rsid w:val="008A3356"/>
    <w:rsid w:val="008A5501"/>
    <w:rsid w:val="008A7438"/>
    <w:rsid w:val="008B1334"/>
    <w:rsid w:val="008B25C7"/>
    <w:rsid w:val="008B3762"/>
    <w:rsid w:val="008C0278"/>
    <w:rsid w:val="008C24E9"/>
    <w:rsid w:val="008C5D4A"/>
    <w:rsid w:val="008D0533"/>
    <w:rsid w:val="008D42CB"/>
    <w:rsid w:val="008D48C9"/>
    <w:rsid w:val="008D6381"/>
    <w:rsid w:val="008E0C77"/>
    <w:rsid w:val="008E625F"/>
    <w:rsid w:val="008F264D"/>
    <w:rsid w:val="008F78D0"/>
    <w:rsid w:val="009040E9"/>
    <w:rsid w:val="009074E1"/>
    <w:rsid w:val="009112F7"/>
    <w:rsid w:val="009122AF"/>
    <w:rsid w:val="00912D54"/>
    <w:rsid w:val="0091389F"/>
    <w:rsid w:val="00913A3C"/>
    <w:rsid w:val="0091540B"/>
    <w:rsid w:val="009208F7"/>
    <w:rsid w:val="00921649"/>
    <w:rsid w:val="00922517"/>
    <w:rsid w:val="00922722"/>
    <w:rsid w:val="009261E6"/>
    <w:rsid w:val="009264BB"/>
    <w:rsid w:val="009268E1"/>
    <w:rsid w:val="0093108E"/>
    <w:rsid w:val="009344DE"/>
    <w:rsid w:val="00945E7F"/>
    <w:rsid w:val="009557C1"/>
    <w:rsid w:val="00960D6E"/>
    <w:rsid w:val="00966F49"/>
    <w:rsid w:val="00970F26"/>
    <w:rsid w:val="00974B59"/>
    <w:rsid w:val="00976CCD"/>
    <w:rsid w:val="0098340B"/>
    <w:rsid w:val="00986830"/>
    <w:rsid w:val="009924C3"/>
    <w:rsid w:val="00993102"/>
    <w:rsid w:val="009A33C5"/>
    <w:rsid w:val="009A6B96"/>
    <w:rsid w:val="009B1570"/>
    <w:rsid w:val="009C32EA"/>
    <w:rsid w:val="009C6F10"/>
    <w:rsid w:val="009D148F"/>
    <w:rsid w:val="009D3D70"/>
    <w:rsid w:val="009E4E95"/>
    <w:rsid w:val="009E6F7E"/>
    <w:rsid w:val="009E7A57"/>
    <w:rsid w:val="009F4803"/>
    <w:rsid w:val="009F4F6A"/>
    <w:rsid w:val="00A02875"/>
    <w:rsid w:val="00A079D7"/>
    <w:rsid w:val="00A13EB5"/>
    <w:rsid w:val="00A16E36"/>
    <w:rsid w:val="00A24961"/>
    <w:rsid w:val="00A24B10"/>
    <w:rsid w:val="00A277EF"/>
    <w:rsid w:val="00A30E9B"/>
    <w:rsid w:val="00A4512D"/>
    <w:rsid w:val="00A50244"/>
    <w:rsid w:val="00A5630C"/>
    <w:rsid w:val="00A627D7"/>
    <w:rsid w:val="00A656C7"/>
    <w:rsid w:val="00A705AF"/>
    <w:rsid w:val="00A72454"/>
    <w:rsid w:val="00A74380"/>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737"/>
    <w:rsid w:val="00AE1D7D"/>
    <w:rsid w:val="00AE2A8B"/>
    <w:rsid w:val="00AE3F64"/>
    <w:rsid w:val="00AF7386"/>
    <w:rsid w:val="00AF7934"/>
    <w:rsid w:val="00B00B81"/>
    <w:rsid w:val="00B04580"/>
    <w:rsid w:val="00B04B09"/>
    <w:rsid w:val="00B16974"/>
    <w:rsid w:val="00B16A51"/>
    <w:rsid w:val="00B217FE"/>
    <w:rsid w:val="00B32222"/>
    <w:rsid w:val="00B3618D"/>
    <w:rsid w:val="00B36233"/>
    <w:rsid w:val="00B37849"/>
    <w:rsid w:val="00B40B96"/>
    <w:rsid w:val="00B42382"/>
    <w:rsid w:val="00B425F0"/>
    <w:rsid w:val="00B42851"/>
    <w:rsid w:val="00B43A0C"/>
    <w:rsid w:val="00B45AC7"/>
    <w:rsid w:val="00B5372F"/>
    <w:rsid w:val="00B61129"/>
    <w:rsid w:val="00B61754"/>
    <w:rsid w:val="00B67E7F"/>
    <w:rsid w:val="00B75D73"/>
    <w:rsid w:val="00B839B2"/>
    <w:rsid w:val="00B94252"/>
    <w:rsid w:val="00B9715A"/>
    <w:rsid w:val="00BA14BE"/>
    <w:rsid w:val="00BA2732"/>
    <w:rsid w:val="00BA293D"/>
    <w:rsid w:val="00BA49BC"/>
    <w:rsid w:val="00BA56B7"/>
    <w:rsid w:val="00BA5C41"/>
    <w:rsid w:val="00BA7A1E"/>
    <w:rsid w:val="00BB1E2D"/>
    <w:rsid w:val="00BB2F6C"/>
    <w:rsid w:val="00BB3875"/>
    <w:rsid w:val="00BB5860"/>
    <w:rsid w:val="00BB6AAD"/>
    <w:rsid w:val="00BC4A19"/>
    <w:rsid w:val="00BC4E6D"/>
    <w:rsid w:val="00BC5589"/>
    <w:rsid w:val="00BD0617"/>
    <w:rsid w:val="00BD0996"/>
    <w:rsid w:val="00BD2E9B"/>
    <w:rsid w:val="00BD38E7"/>
    <w:rsid w:val="00BD5B61"/>
    <w:rsid w:val="00BD7FB2"/>
    <w:rsid w:val="00BF0240"/>
    <w:rsid w:val="00BF7DE5"/>
    <w:rsid w:val="00C00930"/>
    <w:rsid w:val="00C0103E"/>
    <w:rsid w:val="00C060AD"/>
    <w:rsid w:val="00C113BF"/>
    <w:rsid w:val="00C12371"/>
    <w:rsid w:val="00C17057"/>
    <w:rsid w:val="00C2176E"/>
    <w:rsid w:val="00C23430"/>
    <w:rsid w:val="00C27D67"/>
    <w:rsid w:val="00C4631F"/>
    <w:rsid w:val="00C47CDE"/>
    <w:rsid w:val="00C50E16"/>
    <w:rsid w:val="00C55258"/>
    <w:rsid w:val="00C745E3"/>
    <w:rsid w:val="00C82EEB"/>
    <w:rsid w:val="00C971DC"/>
    <w:rsid w:val="00C978D5"/>
    <w:rsid w:val="00CA16B7"/>
    <w:rsid w:val="00CA3B1C"/>
    <w:rsid w:val="00CA4899"/>
    <w:rsid w:val="00CA62AE"/>
    <w:rsid w:val="00CB2DF3"/>
    <w:rsid w:val="00CB5B1A"/>
    <w:rsid w:val="00CC220B"/>
    <w:rsid w:val="00CC5C43"/>
    <w:rsid w:val="00CC7430"/>
    <w:rsid w:val="00CD02AE"/>
    <w:rsid w:val="00CD2A4F"/>
    <w:rsid w:val="00CD2B3E"/>
    <w:rsid w:val="00CE03CA"/>
    <w:rsid w:val="00CE22F1"/>
    <w:rsid w:val="00CE50F2"/>
    <w:rsid w:val="00CE6502"/>
    <w:rsid w:val="00CF2E3C"/>
    <w:rsid w:val="00CF605E"/>
    <w:rsid w:val="00CF7D3C"/>
    <w:rsid w:val="00D01F09"/>
    <w:rsid w:val="00D0516C"/>
    <w:rsid w:val="00D147EB"/>
    <w:rsid w:val="00D21CBD"/>
    <w:rsid w:val="00D34667"/>
    <w:rsid w:val="00D401E1"/>
    <w:rsid w:val="00D408B4"/>
    <w:rsid w:val="00D524C8"/>
    <w:rsid w:val="00D53EF8"/>
    <w:rsid w:val="00D70E24"/>
    <w:rsid w:val="00D72B61"/>
    <w:rsid w:val="00D74B70"/>
    <w:rsid w:val="00D8161E"/>
    <w:rsid w:val="00D9085D"/>
    <w:rsid w:val="00DA1DCB"/>
    <w:rsid w:val="00DA2FE1"/>
    <w:rsid w:val="00DA37A3"/>
    <w:rsid w:val="00DA3D1D"/>
    <w:rsid w:val="00DB6286"/>
    <w:rsid w:val="00DB645F"/>
    <w:rsid w:val="00DB76E9"/>
    <w:rsid w:val="00DC0A67"/>
    <w:rsid w:val="00DC1D5E"/>
    <w:rsid w:val="00DC5220"/>
    <w:rsid w:val="00DD2061"/>
    <w:rsid w:val="00DD7DAB"/>
    <w:rsid w:val="00DE3355"/>
    <w:rsid w:val="00DE3839"/>
    <w:rsid w:val="00DF0C60"/>
    <w:rsid w:val="00DF486F"/>
    <w:rsid w:val="00DF5B5B"/>
    <w:rsid w:val="00DF69ED"/>
    <w:rsid w:val="00DF7619"/>
    <w:rsid w:val="00E00551"/>
    <w:rsid w:val="00E042D8"/>
    <w:rsid w:val="00E07EE7"/>
    <w:rsid w:val="00E1103B"/>
    <w:rsid w:val="00E17B44"/>
    <w:rsid w:val="00E20F27"/>
    <w:rsid w:val="00E22443"/>
    <w:rsid w:val="00E27FEA"/>
    <w:rsid w:val="00E30F3A"/>
    <w:rsid w:val="00E33159"/>
    <w:rsid w:val="00E4086F"/>
    <w:rsid w:val="00E43B3C"/>
    <w:rsid w:val="00E50188"/>
    <w:rsid w:val="00E50BB3"/>
    <w:rsid w:val="00E515CB"/>
    <w:rsid w:val="00E51AF5"/>
    <w:rsid w:val="00E52260"/>
    <w:rsid w:val="00E53D5D"/>
    <w:rsid w:val="00E56102"/>
    <w:rsid w:val="00E639B6"/>
    <w:rsid w:val="00E6434B"/>
    <w:rsid w:val="00E6463D"/>
    <w:rsid w:val="00E72E9B"/>
    <w:rsid w:val="00E850C3"/>
    <w:rsid w:val="00E87DF2"/>
    <w:rsid w:val="00E9462E"/>
    <w:rsid w:val="00EA470E"/>
    <w:rsid w:val="00EA47A7"/>
    <w:rsid w:val="00EA57EB"/>
    <w:rsid w:val="00EB3226"/>
    <w:rsid w:val="00EC213A"/>
    <w:rsid w:val="00EC4C2A"/>
    <w:rsid w:val="00EC7744"/>
    <w:rsid w:val="00ED0DAD"/>
    <w:rsid w:val="00ED0F46"/>
    <w:rsid w:val="00ED2373"/>
    <w:rsid w:val="00ED7282"/>
    <w:rsid w:val="00EE1FBC"/>
    <w:rsid w:val="00EE3E8A"/>
    <w:rsid w:val="00EF58B8"/>
    <w:rsid w:val="00EF6ECA"/>
    <w:rsid w:val="00F024E1"/>
    <w:rsid w:val="00F04D70"/>
    <w:rsid w:val="00F06C10"/>
    <w:rsid w:val="00F1096F"/>
    <w:rsid w:val="00F12589"/>
    <w:rsid w:val="00F12595"/>
    <w:rsid w:val="00F134D9"/>
    <w:rsid w:val="00F1403D"/>
    <w:rsid w:val="00F1463F"/>
    <w:rsid w:val="00F21302"/>
    <w:rsid w:val="00F23D7C"/>
    <w:rsid w:val="00F321DE"/>
    <w:rsid w:val="00F33777"/>
    <w:rsid w:val="00F357EE"/>
    <w:rsid w:val="00F40648"/>
    <w:rsid w:val="00F47DA2"/>
    <w:rsid w:val="00F519FC"/>
    <w:rsid w:val="00F526DE"/>
    <w:rsid w:val="00F54277"/>
    <w:rsid w:val="00F6143B"/>
    <w:rsid w:val="00F6239D"/>
    <w:rsid w:val="00F64EA8"/>
    <w:rsid w:val="00F715D2"/>
    <w:rsid w:val="00F7274F"/>
    <w:rsid w:val="00F74E84"/>
    <w:rsid w:val="00F76FA8"/>
    <w:rsid w:val="00F85284"/>
    <w:rsid w:val="00F93F08"/>
    <w:rsid w:val="00F94CED"/>
    <w:rsid w:val="00FA02BB"/>
    <w:rsid w:val="00FA1B7E"/>
    <w:rsid w:val="00FA2CEE"/>
    <w:rsid w:val="00FA318C"/>
    <w:rsid w:val="00FA72F2"/>
    <w:rsid w:val="00FB48E7"/>
    <w:rsid w:val="00FB6F92"/>
    <w:rsid w:val="00FC026E"/>
    <w:rsid w:val="00FC3721"/>
    <w:rsid w:val="00FC5124"/>
    <w:rsid w:val="00FD22CE"/>
    <w:rsid w:val="00FD4731"/>
    <w:rsid w:val="00FD498C"/>
    <w:rsid w:val="00FD6768"/>
    <w:rsid w:val="00FE3496"/>
    <w:rsid w:val="00FF0AB0"/>
    <w:rsid w:val="00FF1C55"/>
    <w:rsid w:val="00FF28AC"/>
    <w:rsid w:val="00FF6DD0"/>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D113E"/>
  <w15:docId w15:val="{BDE5ED99-B68F-4A70-B0B7-E4F4A73B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6CF"/>
    <w:pPr>
      <w:spacing w:before="120" w:after="120" w:line="276" w:lineRule="auto"/>
    </w:pPr>
    <w:rPr>
      <w:rFonts w:ascii="Arial" w:hAnsi="Arial"/>
      <w:sz w:val="22"/>
      <w:szCs w:val="24"/>
      <w:lang w:eastAsia="en-US"/>
    </w:rPr>
  </w:style>
  <w:style w:type="paragraph" w:styleId="Heading1">
    <w:name w:val="heading 1"/>
    <w:basedOn w:val="Normal"/>
    <w:next w:val="Normal"/>
    <w:qFormat/>
    <w:rsid w:val="00F23D7C"/>
    <w:pPr>
      <w:keepNext/>
      <w:spacing w:before="240" w:after="60"/>
      <w:outlineLvl w:val="0"/>
    </w:pPr>
    <w:rPr>
      <w:rFonts w:cs="Arial"/>
      <w:bCs/>
      <w:color w:val="3F4A75"/>
      <w:kern w:val="28"/>
      <w:sz w:val="36"/>
      <w:szCs w:val="36"/>
    </w:rPr>
  </w:style>
  <w:style w:type="paragraph" w:styleId="Heading2">
    <w:name w:val="heading 2"/>
    <w:basedOn w:val="Heading1"/>
    <w:next w:val="Paragraphtext"/>
    <w:link w:val="Heading2Char"/>
    <w:uiPriority w:val="9"/>
    <w:qFormat/>
    <w:rsid w:val="008376E2"/>
    <w:pPr>
      <w:outlineLvl w:val="1"/>
    </w:pPr>
    <w:rPr>
      <w:bCs w:val="0"/>
      <w:iCs/>
      <w:color w:val="358189"/>
      <w:sz w:val="32"/>
      <w:szCs w:val="28"/>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ListParagraph"/>
    <w:qFormat/>
    <w:rsid w:val="00F23D7C"/>
    <w:pPr>
      <w:numPr>
        <w:numId w:val="24"/>
      </w:numPr>
    </w:p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2Char">
    <w:name w:val="Heading 2 Char"/>
    <w:basedOn w:val="DefaultParagraphFont"/>
    <w:link w:val="Heading2"/>
    <w:uiPriority w:val="9"/>
    <w:rsid w:val="00F23D7C"/>
    <w:rPr>
      <w:rFonts w:ascii="Arial" w:hAnsi="Arial" w:cs="Arial"/>
      <w:iCs/>
      <w:color w:val="358189"/>
      <w:kern w:val="28"/>
      <w:sz w:val="32"/>
      <w:szCs w:val="28"/>
      <w:lang w:eastAsia="en-US"/>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F23D7C"/>
    <w:rPr>
      <w:rFonts w:ascii="Arial" w:hAnsi="Arial"/>
      <w:sz w:val="22"/>
      <w:szCs w:val="24"/>
      <w:lang w:eastAsia="en-US"/>
    </w:rPr>
  </w:style>
  <w:style w:type="character" w:styleId="FollowedHyperlink">
    <w:name w:val="FollowedHyperlink"/>
    <w:basedOn w:val="DefaultParagraphFont"/>
    <w:semiHidden/>
    <w:unhideWhenUsed/>
    <w:rsid w:val="00BF0240"/>
    <w:rPr>
      <w:color w:val="800080" w:themeColor="followedHyperlink"/>
      <w:u w:val="single"/>
    </w:rPr>
  </w:style>
  <w:style w:type="character" w:styleId="UnresolvedMention">
    <w:name w:val="Unresolved Mention"/>
    <w:basedOn w:val="DefaultParagraphFont"/>
    <w:uiPriority w:val="99"/>
    <w:semiHidden/>
    <w:unhideWhenUsed/>
    <w:rsid w:val="00FF6DD0"/>
    <w:rPr>
      <w:color w:val="605E5C"/>
      <w:shd w:val="clear" w:color="auto" w:fill="E1DFDD"/>
    </w:rPr>
  </w:style>
  <w:style w:type="paragraph" w:styleId="BalloonText">
    <w:name w:val="Balloon Text"/>
    <w:basedOn w:val="Normal"/>
    <w:link w:val="BalloonTextChar"/>
    <w:semiHidden/>
    <w:unhideWhenUsed/>
    <w:rsid w:val="007A28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A2817"/>
    <w:rPr>
      <w:rFonts w:ascii="Segoe UI" w:hAnsi="Segoe UI" w:cs="Segoe UI"/>
      <w:sz w:val="18"/>
      <w:szCs w:val="18"/>
      <w:lang w:eastAsia="en-US"/>
    </w:rPr>
  </w:style>
  <w:style w:type="character" w:styleId="CommentReference">
    <w:name w:val="annotation reference"/>
    <w:basedOn w:val="DefaultParagraphFont"/>
    <w:semiHidden/>
    <w:unhideWhenUsed/>
    <w:rsid w:val="00D21CBD"/>
    <w:rPr>
      <w:sz w:val="16"/>
      <w:szCs w:val="16"/>
    </w:rPr>
  </w:style>
  <w:style w:type="paragraph" w:styleId="CommentText">
    <w:name w:val="annotation text"/>
    <w:basedOn w:val="Normal"/>
    <w:link w:val="CommentTextChar"/>
    <w:uiPriority w:val="99"/>
    <w:semiHidden/>
    <w:unhideWhenUsed/>
    <w:rsid w:val="00D21CBD"/>
    <w:pPr>
      <w:spacing w:line="240" w:lineRule="auto"/>
    </w:pPr>
    <w:rPr>
      <w:sz w:val="20"/>
      <w:szCs w:val="20"/>
    </w:rPr>
  </w:style>
  <w:style w:type="character" w:customStyle="1" w:styleId="CommentTextChar">
    <w:name w:val="Comment Text Char"/>
    <w:basedOn w:val="DefaultParagraphFont"/>
    <w:link w:val="CommentText"/>
    <w:uiPriority w:val="99"/>
    <w:semiHidden/>
    <w:rsid w:val="00D21CBD"/>
    <w:rPr>
      <w:rFonts w:ascii="Arial" w:hAnsi="Arial"/>
      <w:lang w:eastAsia="en-US"/>
    </w:rPr>
  </w:style>
  <w:style w:type="paragraph" w:styleId="CommentSubject">
    <w:name w:val="annotation subject"/>
    <w:basedOn w:val="CommentText"/>
    <w:next w:val="CommentText"/>
    <w:link w:val="CommentSubjectChar"/>
    <w:semiHidden/>
    <w:unhideWhenUsed/>
    <w:rsid w:val="00D21CBD"/>
    <w:rPr>
      <w:b/>
      <w:bCs/>
    </w:rPr>
  </w:style>
  <w:style w:type="character" w:customStyle="1" w:styleId="CommentSubjectChar">
    <w:name w:val="Comment Subject Char"/>
    <w:basedOn w:val="CommentTextChar"/>
    <w:link w:val="CommentSubject"/>
    <w:semiHidden/>
    <w:rsid w:val="00D21CBD"/>
    <w:rPr>
      <w:rFonts w:ascii="Arial" w:hAnsi="Arial"/>
      <w:b/>
      <w:bCs/>
      <w:lang w:eastAsia="en-US"/>
    </w:rPr>
  </w:style>
  <w:style w:type="paragraph" w:styleId="TOCHeading">
    <w:name w:val="TOC Heading"/>
    <w:basedOn w:val="Heading1"/>
    <w:next w:val="Normal"/>
    <w:uiPriority w:val="39"/>
    <w:unhideWhenUsed/>
    <w:qFormat/>
    <w:rsid w:val="009A6B96"/>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9A6B96"/>
    <w:pPr>
      <w:spacing w:after="100"/>
    </w:pPr>
  </w:style>
  <w:style w:type="paragraph" w:styleId="TOC2">
    <w:name w:val="toc 2"/>
    <w:basedOn w:val="Normal"/>
    <w:next w:val="Normal"/>
    <w:autoRedefine/>
    <w:uiPriority w:val="39"/>
    <w:unhideWhenUsed/>
    <w:rsid w:val="009A6B9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43053">
      <w:bodyDiv w:val="1"/>
      <w:marLeft w:val="0"/>
      <w:marRight w:val="0"/>
      <w:marTop w:val="0"/>
      <w:marBottom w:val="0"/>
      <w:divBdr>
        <w:top w:val="none" w:sz="0" w:space="0" w:color="auto"/>
        <w:left w:val="none" w:sz="0" w:space="0" w:color="auto"/>
        <w:bottom w:val="none" w:sz="0" w:space="0" w:color="auto"/>
        <w:right w:val="none" w:sz="0" w:space="0" w:color="auto"/>
      </w:divBdr>
    </w:div>
    <w:div w:id="18934286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24327768">
      <w:bodyDiv w:val="1"/>
      <w:marLeft w:val="0"/>
      <w:marRight w:val="0"/>
      <w:marTop w:val="0"/>
      <w:marBottom w:val="0"/>
      <w:divBdr>
        <w:top w:val="none" w:sz="0" w:space="0" w:color="auto"/>
        <w:left w:val="none" w:sz="0" w:space="0" w:color="auto"/>
        <w:bottom w:val="none" w:sz="0" w:space="0" w:color="auto"/>
        <w:right w:val="none" w:sz="0" w:space="0" w:color="auto"/>
      </w:divBdr>
    </w:div>
    <w:div w:id="1055011980">
      <w:bodyDiv w:val="1"/>
      <w:marLeft w:val="0"/>
      <w:marRight w:val="0"/>
      <w:marTop w:val="0"/>
      <w:marBottom w:val="0"/>
      <w:divBdr>
        <w:top w:val="none" w:sz="0" w:space="0" w:color="auto"/>
        <w:left w:val="none" w:sz="0" w:space="0" w:color="auto"/>
        <w:bottom w:val="none" w:sz="0" w:space="0" w:color="auto"/>
        <w:right w:val="none" w:sz="0" w:space="0" w:color="auto"/>
      </w:divBdr>
      <w:divsChild>
        <w:div w:id="1095442454">
          <w:marLeft w:val="0"/>
          <w:marRight w:val="0"/>
          <w:marTop w:val="0"/>
          <w:marBottom w:val="0"/>
          <w:divBdr>
            <w:top w:val="none" w:sz="0" w:space="0" w:color="auto"/>
            <w:left w:val="single" w:sz="6" w:space="0" w:color="AAAAAA"/>
            <w:bottom w:val="none" w:sz="0" w:space="0" w:color="auto"/>
            <w:right w:val="none" w:sz="0" w:space="0" w:color="auto"/>
          </w:divBdr>
        </w:div>
        <w:div w:id="1992099565">
          <w:marLeft w:val="0"/>
          <w:marRight w:val="0"/>
          <w:marTop w:val="0"/>
          <w:marBottom w:val="0"/>
          <w:divBdr>
            <w:top w:val="none" w:sz="0" w:space="0" w:color="auto"/>
            <w:left w:val="single" w:sz="6" w:space="0" w:color="AAAAAA"/>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0202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budget-2020-21-private-health-insurance-increasing-the-age-of-dependants" TargetMode="External"/><Relationship Id="rId18" Type="http://schemas.openxmlformats.org/officeDocument/2006/relationships/hyperlink" Target="https://www.legislation.gov.au/Details/C2021C00291" TargetMode="External"/><Relationship Id="rId26" Type="http://schemas.openxmlformats.org/officeDocument/2006/relationships/hyperlink" Target="https://www.legislation.gov.au/Details/F2016C00820/Html/Text" TargetMode="External"/><Relationship Id="rId3" Type="http://schemas.openxmlformats.org/officeDocument/2006/relationships/customXml" Target="../customXml/item3.xml"/><Relationship Id="rId21" Type="http://schemas.openxmlformats.org/officeDocument/2006/relationships/hyperlink" Target="https://www.legislation.gov.au/Details/F2021L01137"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au/Details/F2021C01134" TargetMode="External"/><Relationship Id="rId25" Type="http://schemas.openxmlformats.org/officeDocument/2006/relationships/hyperlink" Target="https://www.ato.gov.au/Individuals/Medicare-and-private-health-insurance/Medicare-levy-surcharge/Family-and-dependants-for-Medicare-levy-surcharge-purposes/?anchor=Child" TargetMode="External"/><Relationship Id="rId2" Type="http://schemas.openxmlformats.org/officeDocument/2006/relationships/customXml" Target="../customXml/item2.xml"/><Relationship Id="rId16" Type="http://schemas.openxmlformats.org/officeDocument/2006/relationships/hyperlink" Target="https://www.legislation.gov.au/Details/F2021L01137" TargetMode="External"/><Relationship Id="rId20" Type="http://schemas.openxmlformats.org/officeDocument/2006/relationships/hyperlink" Target="https://www.legislation.gov.au/Details/F2021L0113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ato.gov.au/Individuals/Medicare-and-private-health-insurance/Private-health-insurance-rebate/Income-thresholds-and-rates-for-the-private-health-insurance-rebate/?anchor=Dependentchildrencoveredbyapolicy" TargetMode="External"/><Relationship Id="rId5" Type="http://schemas.openxmlformats.org/officeDocument/2006/relationships/numbering" Target="numbering.xml"/><Relationship Id="rId15" Type="http://schemas.openxmlformats.org/officeDocument/2006/relationships/hyperlink" Target="https://www.legislation.gov.au/Details/C2021C00291" TargetMode="External"/><Relationship Id="rId23" Type="http://schemas.openxmlformats.org/officeDocument/2006/relationships/hyperlink" Target="https://www.legislation.gov.au/Details/C2021C0029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au/Details/F2021L011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21A00060" TargetMode="External"/><Relationship Id="rId22" Type="http://schemas.openxmlformats.org/officeDocument/2006/relationships/hyperlink" Target="https://www.privatehealth.gov.au/health_insurance/surcharges_incentives/lifetime_health_cover.htm" TargetMode="External"/><Relationship Id="rId27" Type="http://schemas.openxmlformats.org/officeDocument/2006/relationships/hyperlink" Target="https://www.legislation.gov.au/Details/F2021C007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728BC9FDEC34D91B6BF82A29A2C69" ma:contentTypeVersion="5" ma:contentTypeDescription="Create a new document." ma:contentTypeScope="" ma:versionID="3d542621ba2eb6598b6b227daa4b245a">
  <xsd:schema xmlns:xsd="http://www.w3.org/2001/XMLSchema" xmlns:xs="http://www.w3.org/2001/XMLSchema" xmlns:p="http://schemas.microsoft.com/office/2006/metadata/properties" xmlns:ns3="ab87710f-4167-4f7a-a94e-09eac0b046a8" xmlns:ns4="3bcb744d-2d55-4549-8b51-17cf30720349" targetNamespace="http://schemas.microsoft.com/office/2006/metadata/properties" ma:root="true" ma:fieldsID="1b810403cd5afde507fdca629b7b567b" ns3:_="" ns4:_="">
    <xsd:import namespace="ab87710f-4167-4f7a-a94e-09eac0b046a8"/>
    <xsd:import namespace="3bcb744d-2d55-4549-8b51-17cf307203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7710f-4167-4f7a-a94e-09eac0b046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b744d-2d55-4549-8b51-17cf307203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5BB72-0127-4FC1-BC15-BE5003670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7710f-4167-4f7a-a94e-09eac0b046a8"/>
    <ds:schemaRef ds:uri="3bcb744d-2d55-4549-8b51-17cf30720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11</Pages>
  <Words>4058</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Private Health Insurance - increasing the age of dependants– questions and answers</vt:lpstr>
    </vt:vector>
  </TitlesOfParts>
  <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 increasing the age of dependants– questions and answers</dc:title>
  <dc:subject>Private health insurance</dc:subject>
  <dc:creator>Australian Government Department of Health</dc:creator>
  <cp:keywords/>
  <cp:lastModifiedBy>HALLADAY, Peter</cp:lastModifiedBy>
  <cp:revision>21</cp:revision>
  <cp:lastPrinted>2022-03-15T22:45:00Z</cp:lastPrinted>
  <dcterms:created xsi:type="dcterms:W3CDTF">2022-02-28T04:46:00Z</dcterms:created>
  <dcterms:modified xsi:type="dcterms:W3CDTF">2022-03-23T03:19:00Z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0x010100B20728BC9FDEC34D91B6BF82A29A2C69</vt:lpwstr>
  </property>
</Properties>
</file>