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524C1" w14:textId="77777777" w:rsidR="005A32A3" w:rsidRDefault="00B01A8F">
      <w:pPr>
        <w:suppressAutoHyphens w:val="0"/>
        <w:autoSpaceDE/>
        <w:autoSpaceDN/>
        <w:adjustRightInd/>
        <w:spacing w:before="0" w:after="0" w:line="240" w:lineRule="auto"/>
        <w:jc w:val="left"/>
        <w:textAlignment w:val="auto"/>
        <w:rPr>
          <w:lang w:val="en-AU"/>
        </w:rPr>
      </w:pPr>
      <w:r>
        <w:rPr>
          <w:noProof/>
          <w:lang w:val="en-AU"/>
        </w:rPr>
        <w:drawing>
          <wp:inline distT="0" distB="0" distL="0" distR="0" wp14:anchorId="03F420A8" wp14:editId="3BAF8DBD">
            <wp:extent cx="5515897" cy="4904136"/>
            <wp:effectExtent l="0" t="0" r="0" b="0"/>
            <wp:docPr id="6" name="Picture 6" descr="Image of a winding line running between graphics showing buildings, figures playing sport, figures completing a large puzzle, a figure on a bicycle, a punnet of apples, a laptop and mobile device, and a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a winding line running between graphics showing buildings, figures playing sport, figures completing a large puzzle, a figure on a bicycle, a punnet of apples, a laptop and mobile device, and a hospital."/>
                    <pic:cNvPicPr/>
                  </pic:nvPicPr>
                  <pic:blipFill rotWithShape="1">
                    <a:blip r:embed="rId11">
                      <a:extLst>
                        <a:ext uri="{28A0092B-C50C-407E-A947-70E740481C1C}">
                          <a14:useLocalDpi xmlns:a14="http://schemas.microsoft.com/office/drawing/2010/main" val="0"/>
                        </a:ext>
                      </a:extLst>
                    </a:blip>
                    <a:srcRect l="8295" t="4979" r="7805" b="42308"/>
                    <a:stretch/>
                  </pic:blipFill>
                  <pic:spPr bwMode="auto">
                    <a:xfrm>
                      <a:off x="0" y="0"/>
                      <a:ext cx="5520091" cy="4907865"/>
                    </a:xfrm>
                    <a:prstGeom prst="rect">
                      <a:avLst/>
                    </a:prstGeom>
                    <a:ln>
                      <a:noFill/>
                    </a:ln>
                    <a:extLst>
                      <a:ext uri="{53640926-AAD7-44D8-BBD7-CCE9431645EC}">
                        <a14:shadowObscured xmlns:a14="http://schemas.microsoft.com/office/drawing/2010/main"/>
                      </a:ext>
                    </a:extLst>
                  </pic:spPr>
                </pic:pic>
              </a:graphicData>
            </a:graphic>
          </wp:inline>
        </w:drawing>
      </w:r>
    </w:p>
    <w:p w14:paraId="3427304A" w14:textId="77777777" w:rsidR="005A32A3" w:rsidRPr="00E93A73" w:rsidRDefault="005A32A3" w:rsidP="00D861A0">
      <w:pPr>
        <w:pStyle w:val="Title"/>
        <w:spacing w:before="0" w:after="240"/>
        <w:ind w:right="4909"/>
        <w:rPr>
          <w:sz w:val="72"/>
          <w:szCs w:val="72"/>
        </w:rPr>
      </w:pPr>
      <w:r w:rsidRPr="00E93A73">
        <w:rPr>
          <w:sz w:val="72"/>
          <w:szCs w:val="72"/>
        </w:rPr>
        <w:t>National Obesity Strategy</w:t>
      </w:r>
    </w:p>
    <w:p w14:paraId="0D016D92" w14:textId="77777777" w:rsidR="00ED13D2" w:rsidRDefault="005A32A3">
      <w:pPr>
        <w:suppressAutoHyphens w:val="0"/>
        <w:autoSpaceDE/>
        <w:autoSpaceDN/>
        <w:adjustRightInd/>
        <w:spacing w:before="0" w:after="0" w:line="240" w:lineRule="auto"/>
        <w:jc w:val="left"/>
        <w:textAlignment w:val="auto"/>
        <w:rPr>
          <w:sz w:val="48"/>
          <w:szCs w:val="48"/>
          <w:lang w:val="en-AU"/>
        </w:rPr>
      </w:pPr>
      <w:r w:rsidRPr="00ED13D2">
        <w:rPr>
          <w:sz w:val="48"/>
          <w:szCs w:val="48"/>
          <w:lang w:val="en-AU"/>
        </w:rPr>
        <w:t>2022</w:t>
      </w:r>
      <w:r w:rsidR="00953F43" w:rsidRPr="00ED13D2">
        <w:rPr>
          <w:sz w:val="48"/>
          <w:szCs w:val="48"/>
        </w:rPr>
        <w:t>–</w:t>
      </w:r>
      <w:r w:rsidRPr="00ED13D2">
        <w:rPr>
          <w:sz w:val="48"/>
          <w:szCs w:val="48"/>
          <w:lang w:val="en-AU"/>
        </w:rPr>
        <w:t>2032</w:t>
      </w:r>
    </w:p>
    <w:p w14:paraId="3FD117C5" w14:textId="2520C74A" w:rsidR="00AB3CEA" w:rsidRPr="00AB3CEA" w:rsidRDefault="00922095" w:rsidP="00D861A0">
      <w:pPr>
        <w:pStyle w:val="Title"/>
        <w:spacing w:after="240"/>
      </w:pPr>
      <w:proofErr w:type="gramStart"/>
      <w:r>
        <w:t>At a Glance</w:t>
      </w:r>
      <w:proofErr w:type="gramEnd"/>
    </w:p>
    <w:p w14:paraId="0FF22A69" w14:textId="2C877C17" w:rsidR="00AB3CEA" w:rsidRPr="00AB3CEA" w:rsidRDefault="00AB3CEA" w:rsidP="00D861A0">
      <w:pPr>
        <w:spacing w:before="480"/>
        <w:rPr>
          <w:lang w:val="en-GB"/>
        </w:rPr>
      </w:pPr>
      <w:r w:rsidRPr="00AB3CEA">
        <w:rPr>
          <w:lang w:val="en-GB"/>
        </w:rPr>
        <w:t xml:space="preserve">This is a summary of Australia’s </w:t>
      </w:r>
      <w:hyperlink r:id="rId12" w:history="1">
        <w:r w:rsidRPr="00AB3CEA">
          <w:rPr>
            <w:rStyle w:val="Hyperlink"/>
            <w:b/>
            <w:bCs/>
            <w:lang w:val="en-GB"/>
          </w:rPr>
          <w:t>National Obesity Strategy</w:t>
        </w:r>
      </w:hyperlink>
      <w:r w:rsidRPr="00AB3CEA">
        <w:rPr>
          <w:lang w:val="en-GB"/>
        </w:rPr>
        <w:t>.</w:t>
      </w:r>
    </w:p>
    <w:p w14:paraId="5851AF85" w14:textId="77777777" w:rsidR="00AB3CEA" w:rsidRPr="00AB3CEA" w:rsidRDefault="00AB3CEA" w:rsidP="00AB3CEA">
      <w:pPr>
        <w:rPr>
          <w:lang w:val="en-GB"/>
        </w:rPr>
      </w:pPr>
      <w:r w:rsidRPr="00AB3CEA">
        <w:rPr>
          <w:lang w:val="en-GB"/>
        </w:rPr>
        <w:t xml:space="preserve">For the next 10 years, the Strategy will guide all governments and our many partners as we work together to prevent, </w:t>
      </w:r>
      <w:proofErr w:type="gramStart"/>
      <w:r w:rsidRPr="00AB3CEA">
        <w:rPr>
          <w:lang w:val="en-GB"/>
        </w:rPr>
        <w:t>reduce</w:t>
      </w:r>
      <w:proofErr w:type="gramEnd"/>
      <w:r w:rsidRPr="00AB3CEA">
        <w:rPr>
          <w:lang w:val="en-GB"/>
        </w:rPr>
        <w:t xml:space="preserve"> and treat overweight and obesity in Australian society.</w:t>
      </w:r>
    </w:p>
    <w:p w14:paraId="4A1B3476" w14:textId="75AA178A" w:rsidR="00AB3CEA" w:rsidRPr="00E93A73" w:rsidRDefault="00AB3CEA" w:rsidP="00AB3CEA">
      <w:r w:rsidRPr="00AB3CEA">
        <w:rPr>
          <w:lang w:val="en-GB"/>
        </w:rPr>
        <w:t xml:space="preserve">To develop the Strategy, we considered the views of more than 2,750 Australians and organisations, as well as the latest evidence and current recommendations. </w:t>
      </w:r>
    </w:p>
    <w:p w14:paraId="5389A8F2" w14:textId="11374A83" w:rsidR="00E93A73" w:rsidRPr="00AB3CEA" w:rsidRDefault="00E93A73" w:rsidP="00AB3CEA">
      <w:pPr>
        <w:rPr>
          <w:lang w:val="en-GB"/>
        </w:rPr>
        <w:sectPr w:rsidR="00E93A73" w:rsidRPr="00AB3CEA" w:rsidSect="00AB3CEA">
          <w:pgSz w:w="11905" w:h="17337"/>
          <w:pgMar w:top="868" w:right="900" w:bottom="470" w:left="900" w:header="720" w:footer="720" w:gutter="0"/>
          <w:cols w:space="720"/>
          <w:noEndnote/>
        </w:sectPr>
      </w:pPr>
      <w:r>
        <w:rPr>
          <w:noProof/>
          <w:lang w:val="en-AU"/>
        </w:rPr>
        <w:drawing>
          <wp:inline distT="0" distB="0" distL="0" distR="0" wp14:anchorId="11323678" wp14:editId="269F008E">
            <wp:extent cx="472252" cy="485422"/>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453" cy="501047"/>
                    </a:xfrm>
                    <a:prstGeom prst="rect">
                      <a:avLst/>
                    </a:prstGeom>
                  </pic:spPr>
                </pic:pic>
              </a:graphicData>
            </a:graphic>
          </wp:inline>
        </w:drawing>
      </w:r>
      <w:r w:rsidRPr="00D67167">
        <w:rPr>
          <w:b/>
          <w:bCs/>
          <w:lang w:val="en-AU"/>
        </w:rPr>
        <w:t>Health Ministers’ Meeting</w:t>
      </w:r>
    </w:p>
    <w:p w14:paraId="0DD7CA5D" w14:textId="77777777" w:rsidR="001C7750" w:rsidRPr="001C7750" w:rsidRDefault="001C7750" w:rsidP="00455245">
      <w:pPr>
        <w:spacing w:before="7440"/>
        <w:rPr>
          <w:lang w:val="en-GB"/>
        </w:rPr>
      </w:pPr>
      <w:r w:rsidRPr="001C7750">
        <w:rPr>
          <w:lang w:val="en-GB"/>
        </w:rPr>
        <w:lastRenderedPageBreak/>
        <w:t xml:space="preserve">The National Obesity Strategy 2022-2032 was prepared under the auspices of the Health Ministers Meeting. </w:t>
      </w:r>
    </w:p>
    <w:p w14:paraId="2A7B12D3" w14:textId="77777777" w:rsidR="001C7750" w:rsidRPr="001C7750" w:rsidRDefault="001C7750" w:rsidP="001C7750">
      <w:pPr>
        <w:rPr>
          <w:lang w:val="en-GB"/>
        </w:rPr>
      </w:pPr>
      <w:r w:rsidRPr="001C7750">
        <w:rPr>
          <w:lang w:val="en-GB"/>
        </w:rPr>
        <w:t xml:space="preserve">© Commonwealth of Australia as represented by the Health Ministers Meeting 2022 </w:t>
      </w:r>
    </w:p>
    <w:p w14:paraId="4E8DF59A" w14:textId="77777777" w:rsidR="001C7750" w:rsidRDefault="001C7750" w:rsidP="001C7750">
      <w:pPr>
        <w:rPr>
          <w:lang w:val="en-GB"/>
        </w:rPr>
      </w:pPr>
      <w:r w:rsidRPr="001C7750">
        <w:rPr>
          <w:lang w:val="en-GB"/>
        </w:rPr>
        <w:t xml:space="preserve">Creative Commons Licence </w:t>
      </w:r>
    </w:p>
    <w:p w14:paraId="746812EB" w14:textId="277BC871" w:rsidR="001C7750" w:rsidRPr="001C7750" w:rsidRDefault="002B28D3" w:rsidP="001C7750">
      <w:pPr>
        <w:rPr>
          <w:lang w:val="en-GB"/>
        </w:rPr>
      </w:pPr>
      <w:r>
        <w:rPr>
          <w:noProof/>
          <w:lang w:val="en-GB"/>
        </w:rPr>
        <w:drawing>
          <wp:inline distT="0" distB="0" distL="0" distR="0" wp14:anchorId="52C558D6" wp14:editId="4D75FEF7">
            <wp:extent cx="1143000" cy="4572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143000" cy="457200"/>
                    </a:xfrm>
                    <a:prstGeom prst="rect">
                      <a:avLst/>
                    </a:prstGeom>
                  </pic:spPr>
                </pic:pic>
              </a:graphicData>
            </a:graphic>
          </wp:inline>
        </w:drawing>
      </w:r>
    </w:p>
    <w:p w14:paraId="371403B1" w14:textId="77777777" w:rsidR="001C7750" w:rsidRPr="001C7750" w:rsidRDefault="001C7750" w:rsidP="001C7750">
      <w:pPr>
        <w:rPr>
          <w:lang w:val="en-GB"/>
        </w:rPr>
      </w:pPr>
      <w:r w:rsidRPr="001C7750">
        <w:rPr>
          <w:lang w:val="en-GB"/>
        </w:rPr>
        <w:t xml:space="preserve">This publication is licensed under the Creative Commons Attribution 4.0 International Public License available from https://creativecommons.org/licenses/by/4.0/legalcode (“Licence”). You must read and understand the Licence before using any material from this publication. </w:t>
      </w:r>
    </w:p>
    <w:p w14:paraId="15DE629D" w14:textId="43E28542" w:rsidR="001C7750" w:rsidRPr="001C7750" w:rsidRDefault="001C7750" w:rsidP="001C7750">
      <w:pPr>
        <w:rPr>
          <w:lang w:val="en-GB"/>
        </w:rPr>
      </w:pPr>
      <w:r w:rsidRPr="001C7750">
        <w:rPr>
          <w:lang w:val="en-GB"/>
        </w:rPr>
        <w:t>The Strategy may be downloaded from th</w:t>
      </w:r>
      <w:r w:rsidR="000B7CB1">
        <w:rPr>
          <w:lang w:val="en-GB"/>
        </w:rPr>
        <w:t>is</w:t>
      </w:r>
      <w:r w:rsidRPr="001C7750">
        <w:rPr>
          <w:lang w:val="en-GB"/>
        </w:rPr>
        <w:t xml:space="preserve"> </w:t>
      </w:r>
      <w:hyperlink r:id="rId15" w:history="1">
        <w:r w:rsidRPr="000B7CB1">
          <w:rPr>
            <w:rStyle w:val="Hyperlink"/>
            <w:lang w:val="en-GB"/>
          </w:rPr>
          <w:t>website.</w:t>
        </w:r>
      </w:hyperlink>
      <w:r w:rsidRPr="001C7750">
        <w:rPr>
          <w:lang w:val="en-GB"/>
        </w:rPr>
        <w:t xml:space="preserve"> </w:t>
      </w:r>
    </w:p>
    <w:p w14:paraId="0F79D530" w14:textId="77777777" w:rsidR="001C7750" w:rsidRPr="001C7750" w:rsidRDefault="001C7750" w:rsidP="001C7750">
      <w:pPr>
        <w:rPr>
          <w:lang w:val="en-GB"/>
        </w:rPr>
      </w:pPr>
      <w:r w:rsidRPr="001C7750">
        <w:rPr>
          <w:lang w:val="en-GB"/>
        </w:rPr>
        <w:t xml:space="preserve">Enquiries about the Strategy should be directed to obesity@health.gov.au </w:t>
      </w:r>
    </w:p>
    <w:p w14:paraId="4FF45619" w14:textId="77777777" w:rsidR="001C7750" w:rsidRPr="001C7750" w:rsidRDefault="001C7750" w:rsidP="001C7750">
      <w:pPr>
        <w:rPr>
          <w:lang w:val="en-GB"/>
        </w:rPr>
      </w:pPr>
      <w:r w:rsidRPr="001C7750">
        <w:rPr>
          <w:lang w:val="en-GB"/>
        </w:rPr>
        <w:t xml:space="preserve">Suggested citation: </w:t>
      </w:r>
    </w:p>
    <w:p w14:paraId="2A484172" w14:textId="60828714" w:rsidR="00A80717" w:rsidRDefault="001C7750" w:rsidP="00455245">
      <w:pPr>
        <w:rPr>
          <w:lang w:val="en-AU"/>
        </w:rPr>
      </w:pPr>
      <w:r w:rsidRPr="001C7750">
        <w:rPr>
          <w:lang w:val="en-GB"/>
        </w:rPr>
        <w:t>Commonwealth of Australia 2022. The National Obesity Strategy 2022-2032</w:t>
      </w:r>
      <w:r w:rsidR="00ED6D93">
        <w:rPr>
          <w:lang w:val="en-GB"/>
        </w:rPr>
        <w:t xml:space="preserve">: </w:t>
      </w:r>
      <w:proofErr w:type="gramStart"/>
      <w:r w:rsidR="00ED6D93">
        <w:rPr>
          <w:lang w:val="en-GB"/>
        </w:rPr>
        <w:t>At a Glance</w:t>
      </w:r>
      <w:proofErr w:type="gramEnd"/>
      <w:r w:rsidRPr="001C7750">
        <w:rPr>
          <w:lang w:val="en-GB"/>
        </w:rPr>
        <w:t>. Health Ministers Meeting</w:t>
      </w:r>
      <w:r w:rsidR="00B616D6" w:rsidRPr="00D400BC">
        <w:rPr>
          <w:lang w:val="en-AU"/>
        </w:rPr>
        <w:br w:type="page"/>
      </w:r>
      <w:bookmarkStart w:id="0" w:name="_Toc97198317"/>
      <w:r w:rsidR="00E568B8" w:rsidRPr="00455245">
        <w:rPr>
          <w:rStyle w:val="Heading1Char"/>
        </w:rPr>
        <w:lastRenderedPageBreak/>
        <w:t>Why we need action</w:t>
      </w:r>
      <w:bookmarkEnd w:id="0"/>
    </w:p>
    <w:p w14:paraId="758F9AEF" w14:textId="3F40B492" w:rsidR="00E568B8" w:rsidRDefault="00E568B8" w:rsidP="00E568B8">
      <w:pPr>
        <w:pStyle w:val="Heading2"/>
        <w:rPr>
          <w:lang w:val="en-GB"/>
        </w:rPr>
      </w:pPr>
      <w:bookmarkStart w:id="1" w:name="_Toc97198318"/>
      <w:r w:rsidRPr="00E568B8">
        <w:rPr>
          <w:lang w:val="en-GB"/>
        </w:rPr>
        <w:t>Obesity impacts individuals and communities</w:t>
      </w:r>
      <w:bookmarkEnd w:id="1"/>
    </w:p>
    <w:p w14:paraId="4A002B42" w14:textId="77777777" w:rsidR="00E568B8" w:rsidRPr="00E568B8" w:rsidRDefault="00E568B8" w:rsidP="00E568B8">
      <w:pPr>
        <w:rPr>
          <w:lang w:val="en-GB"/>
        </w:rPr>
      </w:pPr>
      <w:r w:rsidRPr="00E568B8">
        <w:rPr>
          <w:lang w:val="en-GB"/>
        </w:rPr>
        <w:t xml:space="preserve">Overweight and obesity can have major impacts on a person’s life. While it can lead to preventable chronic diseases like heart disease, type 2 </w:t>
      </w:r>
      <w:proofErr w:type="gramStart"/>
      <w:r w:rsidRPr="00E568B8">
        <w:rPr>
          <w:lang w:val="en-GB"/>
        </w:rPr>
        <w:t>diabetes</w:t>
      </w:r>
      <w:proofErr w:type="gramEnd"/>
      <w:r w:rsidRPr="00E568B8">
        <w:rPr>
          <w:lang w:val="en-GB"/>
        </w:rPr>
        <w:t xml:space="preserve"> and some forms of cancer, it can also impact mental health, as well as social and economic opportunities. </w:t>
      </w:r>
    </w:p>
    <w:p w14:paraId="03887133" w14:textId="77777777" w:rsidR="00E568B8" w:rsidRDefault="00E568B8" w:rsidP="00E568B8">
      <w:pPr>
        <w:rPr>
          <w:lang w:val="en-GB"/>
        </w:rPr>
      </w:pPr>
      <w:r w:rsidRPr="00E568B8">
        <w:rPr>
          <w:lang w:val="en-GB"/>
        </w:rPr>
        <w:t xml:space="preserve">Overweight and obesity affects many Australians, starting in the early years and increasing with age. The biggest increases in excess weight gain are from childhood to early adulthood. </w:t>
      </w:r>
    </w:p>
    <w:p w14:paraId="4CCB0FC2" w14:textId="7F876857" w:rsidR="00E05C66" w:rsidRPr="00E568B8" w:rsidRDefault="00E05C66" w:rsidP="00E568B8">
      <w:pPr>
        <w:rPr>
          <w:lang w:val="en-GB"/>
        </w:rPr>
      </w:pPr>
      <w:r>
        <w:rPr>
          <w:noProof/>
          <w:lang w:val="en-GB"/>
        </w:rPr>
        <w:drawing>
          <wp:inline distT="0" distB="0" distL="0" distR="0" wp14:anchorId="08BAD196" wp14:editId="7862E34E">
            <wp:extent cx="4076700" cy="2311400"/>
            <wp:effectExtent l="0" t="0" r="0" b="0"/>
            <wp:docPr id="20" name="Picture 20" descr="Infographic: Overweight and obesity affects Australians. 1 in 4 young children 2 to 4 years old. 1 in 4 children 5 to 17 years old. 1 in 2 young people 18 to 24 years old. 4 in 5 older people 65 to 74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nfographic: Overweight and obesity affects Australians. 1 in 4 young children 2 to 4 years old. 1 in 4 children 5 to 17 years old. 1 in 2 young people 18 to 24 years old. 4 in 5 older people 65 to 74 years old."/>
                    <pic:cNvPicPr/>
                  </pic:nvPicPr>
                  <pic:blipFill>
                    <a:blip r:embed="rId16">
                      <a:extLst>
                        <a:ext uri="{28A0092B-C50C-407E-A947-70E740481C1C}">
                          <a14:useLocalDpi xmlns:a14="http://schemas.microsoft.com/office/drawing/2010/main" val="0"/>
                        </a:ext>
                      </a:extLst>
                    </a:blip>
                    <a:stretch>
                      <a:fillRect/>
                    </a:stretch>
                  </pic:blipFill>
                  <pic:spPr>
                    <a:xfrm>
                      <a:off x="0" y="0"/>
                      <a:ext cx="4076700" cy="2311400"/>
                    </a:xfrm>
                    <a:prstGeom prst="rect">
                      <a:avLst/>
                    </a:prstGeom>
                  </pic:spPr>
                </pic:pic>
              </a:graphicData>
            </a:graphic>
          </wp:inline>
        </w:drawing>
      </w:r>
    </w:p>
    <w:p w14:paraId="246B6C6C" w14:textId="77777777" w:rsidR="00E568B8" w:rsidRPr="00E568B8" w:rsidRDefault="00E568B8" w:rsidP="00E568B8">
      <w:pPr>
        <w:rPr>
          <w:lang w:val="en-GB"/>
        </w:rPr>
      </w:pPr>
      <w:r w:rsidRPr="00E568B8">
        <w:rPr>
          <w:lang w:val="en-GB"/>
        </w:rPr>
        <w:t xml:space="preserve">Many Australians consume more energy than they need through unhealthy diets that are high in sugar, saturated and/or trans fats and alcohol. We know that our social circumstances and physical environments have the biggest impact on our individual behaviours, however, people are more likely to choose healthy options when they are enabled and empowered to do so. </w:t>
      </w:r>
    </w:p>
    <w:p w14:paraId="482B3C3B" w14:textId="77777777" w:rsidR="00E568B8" w:rsidRPr="00E568B8" w:rsidRDefault="00E568B8" w:rsidP="00E568B8">
      <w:pPr>
        <w:rPr>
          <w:lang w:val="en-GB"/>
        </w:rPr>
      </w:pPr>
      <w:r w:rsidRPr="00E568B8">
        <w:rPr>
          <w:lang w:val="en-GB"/>
        </w:rPr>
        <w:t xml:space="preserve">The Strategy is for all Australians, however some population groups such as, people living with obesity, Aboriginal and Torres Strait Islander people, people from culturally and linguistically diverse backgrounds, people living with mental illness, people living in regional and remote areas and LGBTIQA+ communities are at higher risk of overweight and obesity and may need more support. </w:t>
      </w:r>
    </w:p>
    <w:p w14:paraId="3DB28AD6" w14:textId="77777777" w:rsidR="00E568B8" w:rsidRPr="00E568B8" w:rsidRDefault="00E568B8" w:rsidP="00E568B8">
      <w:pPr>
        <w:rPr>
          <w:lang w:val="en-GB"/>
        </w:rPr>
      </w:pPr>
      <w:r w:rsidRPr="00E568B8">
        <w:rPr>
          <w:lang w:val="en-GB"/>
        </w:rPr>
        <w:t xml:space="preserve">Overweight and obesity have significant financial impacts. In 2018, obesity cost the Australian community $11.8 billion and if nothing is done, may cost an estimated $87.7 billion by 2032. </w:t>
      </w:r>
    </w:p>
    <w:p w14:paraId="07E53009" w14:textId="619226C4" w:rsidR="00E41248" w:rsidRDefault="00E568B8" w:rsidP="00E568B8">
      <w:pPr>
        <w:rPr>
          <w:lang w:val="en-GB"/>
        </w:rPr>
      </w:pPr>
      <w:r w:rsidRPr="00E568B8">
        <w:rPr>
          <w:lang w:val="en-GB"/>
        </w:rPr>
        <w:t>There are clear social and health reasons for investing more in obesity prevention so that fewer people’s health and wellbeing is negatively impacted by overweight and obesity. While the Strategy has a strong focus on prevention, it also includes strategies to improve support and health services, including creating equitable access to a full range of treatment options for people already living with obesity.</w:t>
      </w:r>
      <w:r w:rsidR="00E41248">
        <w:rPr>
          <w:lang w:val="en-GB"/>
        </w:rPr>
        <w:br w:type="page"/>
      </w:r>
    </w:p>
    <w:p w14:paraId="3EE61128" w14:textId="3A6DDA88" w:rsidR="00E568B8" w:rsidRDefault="00067419" w:rsidP="00067419">
      <w:pPr>
        <w:pStyle w:val="Heading2"/>
      </w:pPr>
      <w:bookmarkStart w:id="2" w:name="_Toc97198319"/>
      <w:r>
        <w:lastRenderedPageBreak/>
        <w:t>Some environments promote obesity</w:t>
      </w:r>
      <w:bookmarkEnd w:id="2"/>
    </w:p>
    <w:p w14:paraId="78833A59" w14:textId="77777777" w:rsidR="00067419" w:rsidRPr="00067419" w:rsidRDefault="00067419" w:rsidP="00067419">
      <w:pPr>
        <w:rPr>
          <w:lang w:val="en-GB"/>
        </w:rPr>
      </w:pPr>
      <w:r w:rsidRPr="00067419">
        <w:rPr>
          <w:lang w:val="en-GB"/>
        </w:rPr>
        <w:t xml:space="preserve">Some Australians are at higher risk of obesity because of where they live, work, play and age. Our modern way of life means less physical activity is required because the way cities and towns are built encourages the use of cars, and technological changes such as computers and smartphones have led to work and leisure becoming more sedentary. A person’s food choices are influenced by their environment as well as the pervasive marketing and wide availability of unhealthy food and drinks. </w:t>
      </w:r>
    </w:p>
    <w:p w14:paraId="4C241153" w14:textId="77777777" w:rsidR="0007688F" w:rsidRDefault="00067419" w:rsidP="00067419">
      <w:pPr>
        <w:rPr>
          <w:lang w:val="en-GB"/>
        </w:rPr>
      </w:pPr>
      <w:r w:rsidRPr="00067419">
        <w:rPr>
          <w:lang w:val="en-GB"/>
        </w:rPr>
        <w:t>Given the many influences on obesity, a collective responsibility is needed – everyone has a role to play in tackling obesity in Australia.</w:t>
      </w:r>
    </w:p>
    <w:p w14:paraId="51400E8D" w14:textId="34F8E98A" w:rsidR="00067419" w:rsidRDefault="0007688F" w:rsidP="00067419">
      <w:pPr>
        <w:rPr>
          <w:lang w:val="en-GB"/>
        </w:rPr>
      </w:pPr>
      <w:r w:rsidRPr="0007688F">
        <w:rPr>
          <w:noProof/>
        </w:rPr>
        <w:t xml:space="preserve"> </w:t>
      </w:r>
      <w:r>
        <w:rPr>
          <w:noProof/>
        </w:rPr>
        <w:drawing>
          <wp:inline distT="0" distB="0" distL="0" distR="0" wp14:anchorId="25F7EE8B" wp14:editId="20AEF19C">
            <wp:extent cx="3174673" cy="707922"/>
            <wp:effectExtent l="0" t="0" r="0" b="0"/>
            <wp:docPr id="22" name="Picture 22" descr="Unhealthy food &amp; drinks make up 35% of daily energy intake for adults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nhealthy food &amp; drinks make up 35% of daily energy intake for adults and children"/>
                    <pic:cNvPicPr/>
                  </pic:nvPicPr>
                  <pic:blipFill rotWithShape="1">
                    <a:blip r:embed="rId17">
                      <a:extLst>
                        <a:ext uri="{28A0092B-C50C-407E-A947-70E740481C1C}">
                          <a14:useLocalDpi xmlns:a14="http://schemas.microsoft.com/office/drawing/2010/main" val="0"/>
                        </a:ext>
                      </a:extLst>
                    </a:blip>
                    <a:srcRect t="49234" b="25076"/>
                    <a:stretch/>
                  </pic:blipFill>
                  <pic:spPr bwMode="auto">
                    <a:xfrm>
                      <a:off x="0" y="0"/>
                      <a:ext cx="3175000" cy="707995"/>
                    </a:xfrm>
                    <a:prstGeom prst="rect">
                      <a:avLst/>
                    </a:prstGeom>
                    <a:ln>
                      <a:noFill/>
                    </a:ln>
                    <a:extLst>
                      <a:ext uri="{53640926-AAD7-44D8-BBD7-CCE9431645EC}">
                        <a14:shadowObscured xmlns:a14="http://schemas.microsoft.com/office/drawing/2010/main"/>
                      </a:ext>
                    </a:extLst>
                  </pic:spPr>
                </pic:pic>
              </a:graphicData>
            </a:graphic>
          </wp:inline>
        </w:drawing>
      </w:r>
    </w:p>
    <w:p w14:paraId="3F05AC6D" w14:textId="41A6A5C0" w:rsidR="003A6D18" w:rsidRDefault="0007688F" w:rsidP="00067419">
      <w:r>
        <w:rPr>
          <w:noProof/>
        </w:rPr>
        <w:drawing>
          <wp:inline distT="0" distB="0" distL="0" distR="0" wp14:anchorId="5E252075" wp14:editId="39FC2680">
            <wp:extent cx="3174514" cy="693174"/>
            <wp:effectExtent l="0" t="0" r="0" b="0"/>
            <wp:docPr id="21" name="Picture 21" descr="5% of Australians eat the recommended daily intake of fruits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5% of Australians eat the recommended daily intake of fruits and vegetables"/>
                    <pic:cNvPicPr/>
                  </pic:nvPicPr>
                  <pic:blipFill rotWithShape="1">
                    <a:blip r:embed="rId17">
                      <a:extLst>
                        <a:ext uri="{28A0092B-C50C-407E-A947-70E740481C1C}">
                          <a14:useLocalDpi xmlns:a14="http://schemas.microsoft.com/office/drawing/2010/main" val="0"/>
                        </a:ext>
                      </a:extLst>
                    </a:blip>
                    <a:srcRect t="27293" b="47551"/>
                    <a:stretch/>
                  </pic:blipFill>
                  <pic:spPr bwMode="auto">
                    <a:xfrm>
                      <a:off x="0" y="0"/>
                      <a:ext cx="3175000" cy="693280"/>
                    </a:xfrm>
                    <a:prstGeom prst="rect">
                      <a:avLst/>
                    </a:prstGeom>
                    <a:ln>
                      <a:noFill/>
                    </a:ln>
                    <a:extLst>
                      <a:ext uri="{53640926-AAD7-44D8-BBD7-CCE9431645EC}">
                        <a14:shadowObscured xmlns:a14="http://schemas.microsoft.com/office/drawing/2010/main"/>
                      </a:ext>
                    </a:extLst>
                  </pic:spPr>
                </pic:pic>
              </a:graphicData>
            </a:graphic>
          </wp:inline>
        </w:drawing>
      </w:r>
      <w:r w:rsidR="003A6D18">
        <w:br w:type="page"/>
      </w:r>
    </w:p>
    <w:p w14:paraId="313187AC" w14:textId="6BA9330B" w:rsidR="00067419" w:rsidRDefault="00476E7F" w:rsidP="003A6D18">
      <w:pPr>
        <w:pStyle w:val="Heading1"/>
      </w:pPr>
      <w:bookmarkStart w:id="3" w:name="_Toc97198320"/>
      <w:r>
        <w:lastRenderedPageBreak/>
        <w:t>What guides us</w:t>
      </w:r>
      <w:bookmarkEnd w:id="3"/>
    </w:p>
    <w:p w14:paraId="17A27C48" w14:textId="37D045DB" w:rsidR="00476E7F" w:rsidRDefault="00476E7F" w:rsidP="00476E7F">
      <w:pPr>
        <w:pStyle w:val="Heading2"/>
      </w:pPr>
      <w:bookmarkStart w:id="4" w:name="_Toc97198321"/>
      <w:r>
        <w:t>Our priorities</w:t>
      </w:r>
      <w:bookmarkEnd w:id="4"/>
    </w:p>
    <w:p w14:paraId="4BA12160" w14:textId="77777777" w:rsidR="00476E7F" w:rsidRPr="00476E7F" w:rsidRDefault="00476E7F" w:rsidP="00476E7F">
      <w:pPr>
        <w:pStyle w:val="Heading3"/>
      </w:pPr>
      <w:bookmarkStart w:id="5" w:name="_Toc97198322"/>
      <w:r w:rsidRPr="00476E7F">
        <w:t>Creating equity</w:t>
      </w:r>
      <w:bookmarkEnd w:id="5"/>
      <w:r w:rsidRPr="00476E7F">
        <w:t xml:space="preserve"> </w:t>
      </w:r>
    </w:p>
    <w:p w14:paraId="51BA902B" w14:textId="7F8A3BCF" w:rsidR="00476E7F" w:rsidRDefault="00476E7F" w:rsidP="00476E7F">
      <w:pPr>
        <w:rPr>
          <w:lang w:val="en-GB"/>
        </w:rPr>
      </w:pPr>
      <w:r w:rsidRPr="00476E7F">
        <w:rPr>
          <w:lang w:val="en-GB"/>
        </w:rPr>
        <w:t xml:space="preserve">Many people are unfairly affected by overweight and obesity, often </w:t>
      </w:r>
      <w:proofErr w:type="gramStart"/>
      <w:r w:rsidRPr="00476E7F">
        <w:rPr>
          <w:lang w:val="en-GB"/>
        </w:rPr>
        <w:t>as a result of</w:t>
      </w:r>
      <w:proofErr w:type="gramEnd"/>
      <w:r w:rsidRPr="00476E7F">
        <w:rPr>
          <w:lang w:val="en-GB"/>
        </w:rPr>
        <w:t xml:space="preserve"> circumstances or conditions beyond their control. Our strategies will be delivered equitably so they support self-determination, empowerment, and cultural safety, especially among Aboriginal and Torres Strait Islander people.</w:t>
      </w:r>
    </w:p>
    <w:p w14:paraId="073CA27F" w14:textId="2AC235EF" w:rsidR="00476E7F" w:rsidRPr="00476E7F" w:rsidRDefault="00994699" w:rsidP="00994699">
      <w:pPr>
        <w:pStyle w:val="Heading3"/>
      </w:pPr>
      <w:bookmarkStart w:id="6" w:name="_Toc97198323"/>
      <w:r w:rsidRPr="00994699">
        <w:t>Tackling weight stigma and discrimination</w:t>
      </w:r>
      <w:bookmarkEnd w:id="6"/>
    </w:p>
    <w:p w14:paraId="48B0C014" w14:textId="77777777" w:rsidR="00FC7331" w:rsidRPr="00FC7331" w:rsidRDefault="00FC7331" w:rsidP="00FC7331">
      <w:r w:rsidRPr="00FC7331">
        <w:t xml:space="preserve">Many people are unfairly affected by overweight and obesity, often </w:t>
      </w:r>
      <w:proofErr w:type="gramStart"/>
      <w:r w:rsidRPr="00FC7331">
        <w:t>as a result of</w:t>
      </w:r>
      <w:proofErr w:type="gramEnd"/>
      <w:r w:rsidRPr="00FC7331">
        <w:t xml:space="preserve"> circumstances or conditions beyond their control. As a society we must have respectful and positive discussions about weight. The Strategy makes reducing weight stigma everyone’s responsibility.</w:t>
      </w:r>
    </w:p>
    <w:p w14:paraId="5DEEA11B" w14:textId="77777777" w:rsidR="002F1F49" w:rsidRPr="002F1F49" w:rsidRDefault="002F1F49" w:rsidP="002F1F49">
      <w:pPr>
        <w:pStyle w:val="Heading3"/>
      </w:pPr>
      <w:bookmarkStart w:id="7" w:name="_Toc97198324"/>
      <w:r w:rsidRPr="002F1F49">
        <w:t>Addressing wider determinants of health and sustainability</w:t>
      </w:r>
      <w:bookmarkEnd w:id="7"/>
    </w:p>
    <w:p w14:paraId="26A769C5" w14:textId="77777777" w:rsidR="002F1F49" w:rsidRDefault="002F1F49" w:rsidP="002F1F49">
      <w:r w:rsidRPr="002F1F49">
        <w:t xml:space="preserve">The health of Australians is affected by many factors outside the health system, such as food supply, transport systems and urban design. Because obesity is a complex issue, collaboration across all sectors will result in more successful and sustainable individual and system-based outcomes. </w:t>
      </w:r>
    </w:p>
    <w:p w14:paraId="245993DC" w14:textId="77777777" w:rsidR="002F1F49" w:rsidRPr="002F1F49" w:rsidRDefault="002F1F49" w:rsidP="002F1F49">
      <w:pPr>
        <w:pStyle w:val="Heading3"/>
      </w:pPr>
      <w:bookmarkStart w:id="8" w:name="_Toc97198325"/>
      <w:r w:rsidRPr="002F1F49">
        <w:t>Empowering personal responsibility to enable healthy living</w:t>
      </w:r>
      <w:bookmarkEnd w:id="8"/>
    </w:p>
    <w:p w14:paraId="1B8A1AF1" w14:textId="6038EEAD" w:rsidR="002F1F49" w:rsidRDefault="002F1F49" w:rsidP="002F1F49">
      <w:r w:rsidRPr="002F1F49">
        <w:t>Choosing healthy options is not always easy. The Strategy acknowledges that each person has responsibility for their health and lifestyle choices, but that they also need to be enabled and supported to make the best possible decisions about their health.</w:t>
      </w:r>
      <w:r>
        <w:br w:type="page"/>
      </w:r>
    </w:p>
    <w:p w14:paraId="03294B60" w14:textId="2D21D87C" w:rsidR="002F1F49" w:rsidRPr="002F1F49" w:rsidRDefault="002F1F49" w:rsidP="002F1F49">
      <w:pPr>
        <w:pStyle w:val="Heading1"/>
      </w:pPr>
      <w:bookmarkStart w:id="9" w:name="_Toc97198326"/>
      <w:r>
        <w:lastRenderedPageBreak/>
        <w:t>Making it happen</w:t>
      </w:r>
      <w:bookmarkEnd w:id="9"/>
    </w:p>
    <w:p w14:paraId="2A029A9C" w14:textId="77777777" w:rsidR="00052196" w:rsidRPr="00052196" w:rsidRDefault="00052196" w:rsidP="00052196">
      <w:r w:rsidRPr="00052196">
        <w:t xml:space="preserve">The Strategy’s </w:t>
      </w:r>
      <w:r w:rsidRPr="00052196">
        <w:rPr>
          <w:b/>
          <w:bCs/>
        </w:rPr>
        <w:t>framework for action</w:t>
      </w:r>
      <w:r w:rsidRPr="00052196">
        <w:t xml:space="preserve"> creates a pathway towards healthy living and achieving healthy weight for all Australians.</w:t>
      </w:r>
    </w:p>
    <w:p w14:paraId="40F22445" w14:textId="77777777" w:rsidR="00052196" w:rsidRPr="00052196" w:rsidRDefault="00052196" w:rsidP="00052196">
      <w:r w:rsidRPr="00052196">
        <w:t xml:space="preserve">The four </w:t>
      </w:r>
      <w:r w:rsidRPr="00052196">
        <w:rPr>
          <w:b/>
          <w:bCs/>
        </w:rPr>
        <w:t>principles</w:t>
      </w:r>
      <w:r w:rsidRPr="00052196">
        <w:t xml:space="preserve"> will guide implementation at all levels of action and are reflected in the Strategy’s three </w:t>
      </w:r>
      <w:r w:rsidRPr="00052196">
        <w:rPr>
          <w:b/>
          <w:bCs/>
        </w:rPr>
        <w:t>ambitions</w:t>
      </w:r>
      <w:r w:rsidRPr="00052196">
        <w:t xml:space="preserve">. The ambitions will be achieved through evidence-informed strategies over the next 10 years. Three </w:t>
      </w:r>
      <w:r w:rsidRPr="00052196">
        <w:rPr>
          <w:b/>
          <w:bCs/>
        </w:rPr>
        <w:t>enablers</w:t>
      </w:r>
      <w:r w:rsidRPr="00052196">
        <w:t xml:space="preserve"> provide the foundations for successful action. </w:t>
      </w:r>
    </w:p>
    <w:p w14:paraId="24663D7D" w14:textId="77777777" w:rsidR="00052196" w:rsidRPr="00052196" w:rsidRDefault="00052196" w:rsidP="00052196">
      <w:r w:rsidRPr="00052196">
        <w:t>Implementation will be led by the Australian, and all state and territory governments.  Existing partnerships and new opportunities can be leveraged, and activities delivered in cooperation with stakeholders and the community.</w:t>
      </w:r>
    </w:p>
    <w:p w14:paraId="0151B6C3" w14:textId="77777777" w:rsidR="00052196" w:rsidRPr="00052196" w:rsidRDefault="00052196" w:rsidP="00052196">
      <w:r w:rsidRPr="00052196">
        <w:t xml:space="preserve">The Strategy references the </w:t>
      </w:r>
      <w:r w:rsidRPr="00052196">
        <w:rPr>
          <w:i/>
          <w:iCs/>
        </w:rPr>
        <w:t>National Preventive Health Strategy</w:t>
      </w:r>
      <w:r w:rsidRPr="00052196">
        <w:t xml:space="preserve"> and Australia’s commitment to the World Health Organization’s Global Non-Communicable Diseases targets to monitor overweight and obesity in Australia.  Evaluating implementation of the Strategy will involve national collaboration to measure change over time, share lessons, and celebrate successes.</w:t>
      </w:r>
    </w:p>
    <w:p w14:paraId="2CEA067D" w14:textId="77777777" w:rsidR="00C70D4F" w:rsidRDefault="00C70D4F" w:rsidP="002F1F49">
      <w:pPr>
        <w:sectPr w:rsidR="00C70D4F" w:rsidSect="00455245">
          <w:footerReference w:type="even" r:id="rId18"/>
          <w:footerReference w:type="default" r:id="rId19"/>
          <w:endnotePr>
            <w:numFmt w:val="decimal"/>
          </w:endnotePr>
          <w:pgSz w:w="11900" w:h="16840"/>
          <w:pgMar w:top="1440" w:right="1105" w:bottom="1732" w:left="1014" w:header="708" w:footer="834" w:gutter="0"/>
          <w:cols w:space="708"/>
          <w:docGrid w:linePitch="360"/>
        </w:sectPr>
      </w:pPr>
    </w:p>
    <w:p w14:paraId="462EECC8" w14:textId="77777777" w:rsidR="00FF4A2E" w:rsidRPr="00FF4A2E" w:rsidRDefault="00FF4A2E" w:rsidP="00121F97">
      <w:pPr>
        <w:pStyle w:val="Heading1"/>
        <w:spacing w:after="120"/>
        <w:rPr>
          <w:lang w:val="en-AU"/>
        </w:rPr>
      </w:pPr>
      <w:r w:rsidRPr="00FF4A2E">
        <w:rPr>
          <w:lang w:val="en-AU"/>
        </w:rPr>
        <w:lastRenderedPageBreak/>
        <w:t>Strategy framework logic</w:t>
      </w:r>
      <w:r w:rsidRPr="00FF4A2E">
        <w:rPr>
          <w:vertAlign w:val="superscript"/>
          <w:lang w:val="en-AU"/>
        </w:rPr>
        <w:footnoteReference w:id="2"/>
      </w:r>
      <w:r w:rsidRPr="00FF4A2E">
        <w:rPr>
          <w:vertAlign w:val="superscript"/>
          <w:lang w:val="en-AU"/>
        </w:rPr>
        <w:t>,</w:t>
      </w:r>
      <w:r w:rsidRPr="00FF4A2E">
        <w:rPr>
          <w:vertAlign w:val="superscript"/>
          <w:lang w:val="en-AU"/>
        </w:rPr>
        <w:footnoteReference w:id="3"/>
      </w:r>
    </w:p>
    <w:p w14:paraId="755024EF" w14:textId="623AC656" w:rsidR="0007688F" w:rsidRPr="00067419" w:rsidRDefault="00C342A9" w:rsidP="00121F97">
      <w:pPr>
        <w:spacing w:before="0" w:after="0"/>
        <w:ind w:left="-709"/>
      </w:pPr>
      <w:r w:rsidRPr="00892C98">
        <w:rPr>
          <w:noProof/>
          <w:lang w:val="en-AU"/>
        </w:rPr>
        <w:drawing>
          <wp:inline distT="0" distB="0" distL="0" distR="0" wp14:anchorId="03D7BB0C" wp14:editId="1C62C625">
            <wp:extent cx="9324109" cy="5043486"/>
            <wp:effectExtent l="0" t="0" r="0" b="0"/>
            <wp:docPr id="12" name="Picture 12" descr="Aim: Fewer people’s health and wellbeing is impacted by overweight or obesity.&#10;• Reduce deaths, hospitalisations, and burden of disease due to overweight and obesity&#10;• Reduce individual, health and national economic costs due to overweight and obesity&#10;Ambitions&#10;Creating supportive, sustainable and health environments&#10;All Australians live, learn, work, play and age in supportive, sustainable and healthy environments&#10;Empowering people to stay healthy&#10;All Australians are empowered and skilled to stay as healthy as they can be&#10;Access to early intervention and care&#10;All Australians have access to early intervention and supportive health care&#10;Enablers&#10;Lead the way&#10;Use evidence and data more effectively&#10;Invest for delivery&#10;Objectives &amp; targets&#10;People increase their consumption of healthy food and drinks and decrease their consumption of discretionary foods&#10;• Adults and children (&gt;9 years) maintain or increase their fruit consumption to an average of 2 serves a day by 2030&#10;• Adults and children (&gt;9 years) increase their vegetable consumption to an average of 5 serves a day by 2030&#10;• Reduce the proportion of children and adults’ total energy intake from discretionary foods from &gt;30% to &lt;20% by 2030&#10;• Increase the proportion of adults and children who are not exceeding the recommended intake of free sugars by 2030&#10;• At least 50% of babies are exclusively breastfed until around 6 months of age by 2025&#10;People increase their physical activity and reduce their sedentary behaviour&#10;• Reduce the prevalence of physical inactivity amongst children, adolescents and adults by at least 15% by 2030&#10;• Reduce the prevalence of Australians (&gt;15 years) undertaking no physical activity by at least 15% by 2030&#10;Goals &amp; targets&#10;More people maintain a healthy weight&#10;• Halt the rise and reverse the trend in the prevalence of obesity in adults by 2030&#10;• Reduce overweight and obesity in children and adolescents aged 2 to 17 years by at least 5% by 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im: Fewer people’s health and wellbeing is impacted by overweight or obesity.&#10;• Reduce deaths, hospitalisations, and burden of disease due to overweight and obesity&#10;• Reduce individual, health and national economic costs due to overweight and obesity&#10;Ambitions&#10;Creating supportive, sustainable and health environments&#10;All Australians live, learn, work, play and age in supportive, sustainable and healthy environments&#10;Empowering people to stay healthy&#10;All Australians are empowered and skilled to stay as healthy as they can be&#10;Access to early intervention and care&#10;All Australians have access to early intervention and supportive health care&#10;Enablers&#10;Lead the way&#10;Use evidence and data more effectively&#10;Invest for delivery&#10;Objectives &amp; targets&#10;People increase their consumption of healthy food and drinks and decrease their consumption of discretionary foods&#10;• Adults and children (&gt;9 years) maintain or increase their fruit consumption to an average of 2 serves a day by 2030&#10;• Adults and children (&gt;9 years) increase their vegetable consumption to an average of 5 serves a day by 2030&#10;• Reduce the proportion of children and adults’ total energy intake from discretionary foods from &gt;30% to &lt;20% by 2030&#10;• Increase the proportion of adults and children who are not exceeding the recommended intake of free sugars by 2030&#10;• At least 50% of babies are exclusively breastfed until around 6 months of age by 2025&#10;People increase their physical activity and reduce their sedentary behaviour&#10;• Reduce the prevalence of physical inactivity amongst children, adolescents and adults by at least 15% by 2030&#10;• Reduce the prevalence of Australians (&gt;15 years) undertaking no physical activity by at least 15% by 2030&#10;Goals &amp; targets&#10;More people maintain a healthy weight&#10;• Halt the rise and reverse the trend in the prevalence of obesity in adults by 2030&#10;• Reduce overweight and obesity in children and adolescents aged 2 to 17 years by at least 5% by 2030&#10;"/>
                    <pic:cNvPicPr/>
                  </pic:nvPicPr>
                  <pic:blipFill rotWithShape="1">
                    <a:blip r:embed="rId20" cstate="print">
                      <a:extLst>
                        <a:ext uri="{28A0092B-C50C-407E-A947-70E740481C1C}">
                          <a14:useLocalDpi xmlns:a14="http://schemas.microsoft.com/office/drawing/2010/main" val="0"/>
                        </a:ext>
                      </a:extLst>
                    </a:blip>
                    <a:srcRect t="8081" b="6286"/>
                    <a:stretch/>
                  </pic:blipFill>
                  <pic:spPr bwMode="auto">
                    <a:xfrm>
                      <a:off x="0" y="0"/>
                      <a:ext cx="9324109" cy="5043486"/>
                    </a:xfrm>
                    <a:prstGeom prst="rect">
                      <a:avLst/>
                    </a:prstGeom>
                    <a:ln>
                      <a:noFill/>
                    </a:ln>
                    <a:extLst>
                      <a:ext uri="{53640926-AAD7-44D8-BBD7-CCE9431645EC}">
                        <a14:shadowObscured xmlns:a14="http://schemas.microsoft.com/office/drawing/2010/main"/>
                      </a:ext>
                    </a:extLst>
                  </pic:spPr>
                </pic:pic>
              </a:graphicData>
            </a:graphic>
          </wp:inline>
        </w:drawing>
      </w:r>
    </w:p>
    <w:sectPr w:rsidR="0007688F" w:rsidRPr="00067419" w:rsidSect="007E0208">
      <w:endnotePr>
        <w:numFmt w:val="decimal"/>
      </w:endnotePr>
      <w:pgSz w:w="16840" w:h="11900" w:orient="landscape"/>
      <w:pgMar w:top="699" w:right="1440" w:bottom="1014" w:left="1440" w:header="708"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F226A" w14:textId="77777777" w:rsidR="00C64EC5" w:rsidRPr="00C74054" w:rsidRDefault="00C64EC5" w:rsidP="00884856">
      <w:pPr>
        <w:rPr>
          <w:lang w:val="en-AU"/>
        </w:rPr>
      </w:pPr>
    </w:p>
  </w:endnote>
  <w:endnote w:type="continuationSeparator" w:id="0">
    <w:p w14:paraId="4C0B5CD6" w14:textId="77777777" w:rsidR="00C64EC5" w:rsidRDefault="00C64EC5" w:rsidP="00884856">
      <w:r>
        <w:continuationSeparator/>
      </w:r>
    </w:p>
  </w:endnote>
  <w:endnote w:type="continuationNotice" w:id="1">
    <w:p w14:paraId="64415D5D" w14:textId="77777777" w:rsidR="004C0D97" w:rsidRDefault="004C0D9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tiv Grotesk Light">
    <w:charset w:val="00"/>
    <w:family w:val="swiss"/>
    <w:pitch w:val="variable"/>
    <w:sig w:usb0="E100AAFF" w:usb1="D000FFFB" w:usb2="00000028" w:usb3="00000000" w:csb0="000101FF" w:csb1="00000000"/>
  </w:font>
  <w:font w:name="TZRPAA+AktivGrotesk-Bold">
    <w:altName w:val="Calibri"/>
    <w:charset w:val="00"/>
    <w:family w:val="swiss"/>
    <w:pitch w:val="default"/>
    <w:sig w:usb0="00000003" w:usb1="00000000" w:usb2="00000000" w:usb3="00000000" w:csb0="00000001" w:csb1="00000000"/>
  </w:font>
  <w:font w:name="FONT AWESOME 6 FREE SOLID">
    <w:altName w:val="Calibri"/>
    <w:panose1 w:val="00000000000000000000"/>
    <w:charset w:val="00"/>
    <w:family w:val="auto"/>
    <w:notTrueType/>
    <w:pitch w:val="variable"/>
    <w:sig w:usb0="80000003" w:usb1="10000000" w:usb2="00000000" w:usb3="00000000" w:csb0="00000001" w:csb1="00000000"/>
  </w:font>
  <w:font w:name="TZRPAA+AktivGrotesk-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60476806"/>
      <w:docPartObj>
        <w:docPartGallery w:val="Page Numbers (Bottom of Page)"/>
        <w:docPartUnique/>
      </w:docPartObj>
    </w:sdtPr>
    <w:sdtEndPr>
      <w:rPr>
        <w:rStyle w:val="PageNumber"/>
      </w:rPr>
    </w:sdtEndPr>
    <w:sdtContent>
      <w:p w14:paraId="71C29482" w14:textId="2895E5FE" w:rsidR="0052227A" w:rsidRDefault="0052227A" w:rsidP="007B1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C58F3F" w14:textId="77777777" w:rsidR="00ED13D2" w:rsidRDefault="00ED13D2" w:rsidP="0052227A">
    <w:pPr>
      <w:pStyle w:val="Footer"/>
      <w:ind w:right="360"/>
    </w:pPr>
  </w:p>
  <w:p w14:paraId="1BDECC72" w14:textId="77777777" w:rsidR="00D953EB" w:rsidRDefault="00D953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52167901"/>
      <w:docPartObj>
        <w:docPartGallery w:val="Page Numbers (Bottom of Page)"/>
        <w:docPartUnique/>
      </w:docPartObj>
    </w:sdtPr>
    <w:sdtEndPr>
      <w:rPr>
        <w:rStyle w:val="PageNumber"/>
      </w:rPr>
    </w:sdtEndPr>
    <w:sdtContent>
      <w:p w14:paraId="72870DAD" w14:textId="72241E44" w:rsidR="0052227A" w:rsidRDefault="0052227A" w:rsidP="007B1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1422CF8" w14:textId="5CE4AE32" w:rsidR="00D953EB" w:rsidRPr="00455245" w:rsidRDefault="00ED13D2" w:rsidP="00455245">
    <w:pPr>
      <w:pStyle w:val="Footer"/>
      <w:ind w:right="360"/>
      <w:rPr>
        <w:lang w:val="en-AU"/>
      </w:rPr>
    </w:pPr>
    <w:r>
      <w:rPr>
        <w:lang w:val="en-AU"/>
      </w:rPr>
      <w:t>National Obesity Strategy 2022</w:t>
    </w:r>
    <w:r w:rsidRPr="00ED13D2">
      <w:t>–</w:t>
    </w:r>
    <w:r>
      <w:rPr>
        <w:lang w:val="en-AU"/>
      </w:rPr>
      <w:t>2032</w:t>
    </w:r>
    <w:r w:rsidR="00ED6D93">
      <w:rPr>
        <w:lang w:val="en-AU"/>
      </w:rPr>
      <w:t xml:space="preserve">: </w:t>
    </w:r>
    <w:proofErr w:type="gramStart"/>
    <w:r w:rsidR="00ED6D93">
      <w:rPr>
        <w:lang w:val="en-AU"/>
      </w:rPr>
      <w:t>At a Glance</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FC755" w14:textId="77777777" w:rsidR="00C64EC5" w:rsidRDefault="00C64EC5" w:rsidP="00884856">
      <w:r>
        <w:separator/>
      </w:r>
    </w:p>
  </w:footnote>
  <w:footnote w:type="continuationSeparator" w:id="0">
    <w:p w14:paraId="374B60A1" w14:textId="77777777" w:rsidR="00C64EC5" w:rsidRDefault="00C64EC5" w:rsidP="00884856">
      <w:r>
        <w:continuationSeparator/>
      </w:r>
    </w:p>
  </w:footnote>
  <w:footnote w:type="continuationNotice" w:id="1">
    <w:p w14:paraId="215440FD" w14:textId="77777777" w:rsidR="004C0D97" w:rsidRDefault="004C0D97">
      <w:pPr>
        <w:spacing w:before="0" w:after="0" w:line="240" w:lineRule="auto"/>
      </w:pPr>
    </w:p>
  </w:footnote>
  <w:footnote w:id="2">
    <w:p w14:paraId="113E9A56" w14:textId="77777777" w:rsidR="00FF4A2E" w:rsidRPr="00EF0CD2" w:rsidRDefault="00FF4A2E" w:rsidP="00FF4A2E">
      <w:pPr>
        <w:pStyle w:val="FootnoteText"/>
        <w:rPr>
          <w:lang w:val="en-AU"/>
        </w:rPr>
      </w:pPr>
      <w:r>
        <w:rPr>
          <w:rStyle w:val="FootnoteReference"/>
        </w:rPr>
        <w:footnoteRef/>
      </w:r>
      <w:r>
        <w:t xml:space="preserve"> </w:t>
      </w:r>
      <w:r>
        <w:rPr>
          <w:rStyle w:val="A15"/>
        </w:rPr>
        <w:t>Refer to the AIHW ‘A framework for monitoring overweight and obesity in Australia’ and the National Preventive Health Strategy for relevant indicators</w:t>
      </w:r>
    </w:p>
  </w:footnote>
  <w:footnote w:id="3">
    <w:p w14:paraId="29B39B60" w14:textId="77777777" w:rsidR="00FF4A2E" w:rsidRPr="006F4983" w:rsidRDefault="00FF4A2E" w:rsidP="00FF4A2E">
      <w:pPr>
        <w:pStyle w:val="FootnoteText"/>
        <w:rPr>
          <w:lang w:val="en-AU"/>
        </w:rPr>
      </w:pPr>
      <w:r>
        <w:rPr>
          <w:rStyle w:val="FootnoteReference"/>
        </w:rPr>
        <w:footnoteRef/>
      </w:r>
      <w:r>
        <w:t xml:space="preserve"> </w:t>
      </w:r>
      <w:r w:rsidRPr="004558B6">
        <w:rPr>
          <w:sz w:val="16"/>
          <w:szCs w:val="16"/>
          <w:lang w:val="en-GB"/>
        </w:rPr>
        <w:t>A set of nationally agreed indicators, including definitions and measures of the wider determinants of overweight and obesity, will be established and monitored as part of the NPHS implementation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E54E9"/>
    <w:multiLevelType w:val="hybridMultilevel"/>
    <w:tmpl w:val="8C6EF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142C3"/>
    <w:multiLevelType w:val="hybridMultilevel"/>
    <w:tmpl w:val="09A6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E0DE1"/>
    <w:multiLevelType w:val="hybridMultilevel"/>
    <w:tmpl w:val="6A743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85506"/>
    <w:multiLevelType w:val="hybridMultilevel"/>
    <w:tmpl w:val="FDCE7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53206"/>
    <w:multiLevelType w:val="hybridMultilevel"/>
    <w:tmpl w:val="7C52D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086C84"/>
    <w:multiLevelType w:val="hybridMultilevel"/>
    <w:tmpl w:val="BB260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296F21"/>
    <w:multiLevelType w:val="hybridMultilevel"/>
    <w:tmpl w:val="1B945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6E1B11"/>
    <w:multiLevelType w:val="hybridMultilevel"/>
    <w:tmpl w:val="07640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4204C"/>
    <w:multiLevelType w:val="hybridMultilevel"/>
    <w:tmpl w:val="584EF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6D0248"/>
    <w:multiLevelType w:val="hybridMultilevel"/>
    <w:tmpl w:val="57BC3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B93202"/>
    <w:multiLevelType w:val="hybridMultilevel"/>
    <w:tmpl w:val="532A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0639A9"/>
    <w:multiLevelType w:val="hybridMultilevel"/>
    <w:tmpl w:val="79D0C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5B7531"/>
    <w:multiLevelType w:val="hybridMultilevel"/>
    <w:tmpl w:val="73227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8A178C"/>
    <w:multiLevelType w:val="hybridMultilevel"/>
    <w:tmpl w:val="0BD08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C772A2"/>
    <w:multiLevelType w:val="hybridMultilevel"/>
    <w:tmpl w:val="F0E41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2C6E7D"/>
    <w:multiLevelType w:val="hybridMultilevel"/>
    <w:tmpl w:val="126AB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8D76B8"/>
    <w:multiLevelType w:val="hybridMultilevel"/>
    <w:tmpl w:val="A7C6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E170B5"/>
    <w:multiLevelType w:val="hybridMultilevel"/>
    <w:tmpl w:val="3D60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D84410"/>
    <w:multiLevelType w:val="hybridMultilevel"/>
    <w:tmpl w:val="AB265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A16849"/>
    <w:multiLevelType w:val="hybridMultilevel"/>
    <w:tmpl w:val="F724A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7A7BBC"/>
    <w:multiLevelType w:val="hybridMultilevel"/>
    <w:tmpl w:val="642A1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053FF0"/>
    <w:multiLevelType w:val="hybridMultilevel"/>
    <w:tmpl w:val="585C2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867D5C"/>
    <w:multiLevelType w:val="hybridMultilevel"/>
    <w:tmpl w:val="256E4D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C0652F"/>
    <w:multiLevelType w:val="hybridMultilevel"/>
    <w:tmpl w:val="01CE8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C367E"/>
    <w:multiLevelType w:val="hybridMultilevel"/>
    <w:tmpl w:val="CB38A5A2"/>
    <w:lvl w:ilvl="0" w:tplc="A844D034">
      <w:start w:val="1"/>
      <w:numFmt w:val="bullet"/>
      <w:pStyle w:val="ListParagraph"/>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5" w15:restartNumberingAfterBreak="0">
    <w:nsid w:val="27C559F5"/>
    <w:multiLevelType w:val="hybridMultilevel"/>
    <w:tmpl w:val="9634E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374491"/>
    <w:multiLevelType w:val="hybridMultilevel"/>
    <w:tmpl w:val="3F1C7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211EE1"/>
    <w:multiLevelType w:val="hybridMultilevel"/>
    <w:tmpl w:val="BC047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892FA3"/>
    <w:multiLevelType w:val="hybridMultilevel"/>
    <w:tmpl w:val="78828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956389"/>
    <w:multiLevelType w:val="hybridMultilevel"/>
    <w:tmpl w:val="924047B0"/>
    <w:lvl w:ilvl="0" w:tplc="0809000F">
      <w:start w:val="1"/>
      <w:numFmt w:val="decimal"/>
      <w:lvlText w:val="%1."/>
      <w:lvlJc w:val="left"/>
      <w:pPr>
        <w:ind w:left="947" w:hanging="360"/>
      </w:pPr>
      <w:rPr>
        <w:rFont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0" w15:restartNumberingAfterBreak="0">
    <w:nsid w:val="2DE67D30"/>
    <w:multiLevelType w:val="hybridMultilevel"/>
    <w:tmpl w:val="BE123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294BA0"/>
    <w:multiLevelType w:val="hybridMultilevel"/>
    <w:tmpl w:val="EFD09C6A"/>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36DC635B"/>
    <w:multiLevelType w:val="hybridMultilevel"/>
    <w:tmpl w:val="C206F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312D72"/>
    <w:multiLevelType w:val="hybridMultilevel"/>
    <w:tmpl w:val="498E5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3442FC"/>
    <w:multiLevelType w:val="hybridMultilevel"/>
    <w:tmpl w:val="E2DE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6C7BF0"/>
    <w:multiLevelType w:val="hybridMultilevel"/>
    <w:tmpl w:val="13225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B83336"/>
    <w:multiLevelType w:val="hybridMultilevel"/>
    <w:tmpl w:val="968CE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7559A8"/>
    <w:multiLevelType w:val="hybridMultilevel"/>
    <w:tmpl w:val="BC8484E8"/>
    <w:lvl w:ilvl="0" w:tplc="0809000F">
      <w:start w:val="1"/>
      <w:numFmt w:val="decimal"/>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38" w15:restartNumberingAfterBreak="0">
    <w:nsid w:val="49C959B9"/>
    <w:multiLevelType w:val="hybridMultilevel"/>
    <w:tmpl w:val="A768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180972"/>
    <w:multiLevelType w:val="hybridMultilevel"/>
    <w:tmpl w:val="2E500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D045155"/>
    <w:multiLevelType w:val="hybridMultilevel"/>
    <w:tmpl w:val="BEE61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694554"/>
    <w:multiLevelType w:val="hybridMultilevel"/>
    <w:tmpl w:val="D560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E642AA"/>
    <w:multiLevelType w:val="hybridMultilevel"/>
    <w:tmpl w:val="530C8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4167A3"/>
    <w:multiLevelType w:val="hybridMultilevel"/>
    <w:tmpl w:val="6CDEE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3E601E"/>
    <w:multiLevelType w:val="hybridMultilevel"/>
    <w:tmpl w:val="307A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856B46"/>
    <w:multiLevelType w:val="hybridMultilevel"/>
    <w:tmpl w:val="5CDE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F20ED4"/>
    <w:multiLevelType w:val="hybridMultilevel"/>
    <w:tmpl w:val="3960A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C241C99"/>
    <w:multiLevelType w:val="hybridMultilevel"/>
    <w:tmpl w:val="9B360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664C19"/>
    <w:multiLevelType w:val="hybridMultilevel"/>
    <w:tmpl w:val="31B66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F9E0393"/>
    <w:multiLevelType w:val="hybridMultilevel"/>
    <w:tmpl w:val="12EE7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1CA5F54"/>
    <w:multiLevelType w:val="hybridMultilevel"/>
    <w:tmpl w:val="C1CA1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CC094B"/>
    <w:multiLevelType w:val="hybridMultilevel"/>
    <w:tmpl w:val="720EE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E736ED"/>
    <w:multiLevelType w:val="hybridMultilevel"/>
    <w:tmpl w:val="CC1CE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DD72F7"/>
    <w:multiLevelType w:val="hybridMultilevel"/>
    <w:tmpl w:val="9E0E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51636C1"/>
    <w:multiLevelType w:val="hybridMultilevel"/>
    <w:tmpl w:val="7392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6313893"/>
    <w:multiLevelType w:val="hybridMultilevel"/>
    <w:tmpl w:val="17A8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B7C32B3"/>
    <w:multiLevelType w:val="hybridMultilevel"/>
    <w:tmpl w:val="79008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FBF35BE"/>
    <w:multiLevelType w:val="hybridMultilevel"/>
    <w:tmpl w:val="F31CF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20A37B5"/>
    <w:multiLevelType w:val="hybridMultilevel"/>
    <w:tmpl w:val="CA86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47E6955"/>
    <w:multiLevelType w:val="hybridMultilevel"/>
    <w:tmpl w:val="72D4A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5370D2B"/>
    <w:multiLevelType w:val="hybridMultilevel"/>
    <w:tmpl w:val="A5F06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5B31DCF"/>
    <w:multiLevelType w:val="hybridMultilevel"/>
    <w:tmpl w:val="9AE85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77346FA"/>
    <w:multiLevelType w:val="hybridMultilevel"/>
    <w:tmpl w:val="30A22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4371BB"/>
    <w:multiLevelType w:val="hybridMultilevel"/>
    <w:tmpl w:val="A57E5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F76C4B"/>
    <w:multiLevelType w:val="hybridMultilevel"/>
    <w:tmpl w:val="8C96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56"/>
  </w:num>
  <w:num w:numId="4">
    <w:abstractNumId w:val="35"/>
  </w:num>
  <w:num w:numId="5">
    <w:abstractNumId w:val="23"/>
  </w:num>
  <w:num w:numId="6">
    <w:abstractNumId w:val="63"/>
  </w:num>
  <w:num w:numId="7">
    <w:abstractNumId w:val="3"/>
  </w:num>
  <w:num w:numId="8">
    <w:abstractNumId w:val="61"/>
  </w:num>
  <w:num w:numId="9">
    <w:abstractNumId w:val="40"/>
  </w:num>
  <w:num w:numId="10">
    <w:abstractNumId w:val="14"/>
  </w:num>
  <w:num w:numId="11">
    <w:abstractNumId w:val="58"/>
  </w:num>
  <w:num w:numId="12">
    <w:abstractNumId w:val="34"/>
  </w:num>
  <w:num w:numId="13">
    <w:abstractNumId w:val="25"/>
  </w:num>
  <w:num w:numId="14">
    <w:abstractNumId w:val="7"/>
  </w:num>
  <w:num w:numId="15">
    <w:abstractNumId w:val="47"/>
  </w:num>
  <w:num w:numId="16">
    <w:abstractNumId w:val="49"/>
  </w:num>
  <w:num w:numId="17">
    <w:abstractNumId w:val="8"/>
  </w:num>
  <w:num w:numId="18">
    <w:abstractNumId w:val="18"/>
  </w:num>
  <w:num w:numId="19">
    <w:abstractNumId w:val="54"/>
  </w:num>
  <w:num w:numId="20">
    <w:abstractNumId w:val="10"/>
  </w:num>
  <w:num w:numId="21">
    <w:abstractNumId w:val="28"/>
  </w:num>
  <w:num w:numId="22">
    <w:abstractNumId w:val="52"/>
  </w:num>
  <w:num w:numId="23">
    <w:abstractNumId w:val="15"/>
  </w:num>
  <w:num w:numId="24">
    <w:abstractNumId w:val="43"/>
  </w:num>
  <w:num w:numId="25">
    <w:abstractNumId w:val="0"/>
  </w:num>
  <w:num w:numId="26">
    <w:abstractNumId w:val="1"/>
  </w:num>
  <w:num w:numId="27">
    <w:abstractNumId w:val="13"/>
  </w:num>
  <w:num w:numId="28">
    <w:abstractNumId w:val="17"/>
  </w:num>
  <w:num w:numId="29">
    <w:abstractNumId w:val="19"/>
  </w:num>
  <w:num w:numId="30">
    <w:abstractNumId w:val="57"/>
  </w:num>
  <w:num w:numId="31">
    <w:abstractNumId w:val="38"/>
  </w:num>
  <w:num w:numId="32">
    <w:abstractNumId w:val="6"/>
  </w:num>
  <w:num w:numId="33">
    <w:abstractNumId w:val="45"/>
  </w:num>
  <w:num w:numId="34">
    <w:abstractNumId w:val="20"/>
  </w:num>
  <w:num w:numId="35">
    <w:abstractNumId w:val="31"/>
  </w:num>
  <w:num w:numId="36">
    <w:abstractNumId w:val="39"/>
  </w:num>
  <w:num w:numId="37">
    <w:abstractNumId w:val="51"/>
  </w:num>
  <w:num w:numId="38">
    <w:abstractNumId w:val="11"/>
  </w:num>
  <w:num w:numId="39">
    <w:abstractNumId w:val="27"/>
  </w:num>
  <w:num w:numId="40">
    <w:abstractNumId w:val="55"/>
  </w:num>
  <w:num w:numId="41">
    <w:abstractNumId w:val="30"/>
  </w:num>
  <w:num w:numId="42">
    <w:abstractNumId w:val="46"/>
  </w:num>
  <w:num w:numId="43">
    <w:abstractNumId w:val="2"/>
  </w:num>
  <w:num w:numId="44">
    <w:abstractNumId w:val="42"/>
  </w:num>
  <w:num w:numId="45">
    <w:abstractNumId w:val="16"/>
  </w:num>
  <w:num w:numId="46">
    <w:abstractNumId w:val="62"/>
  </w:num>
  <w:num w:numId="47">
    <w:abstractNumId w:val="26"/>
  </w:num>
  <w:num w:numId="48">
    <w:abstractNumId w:val="64"/>
  </w:num>
  <w:num w:numId="49">
    <w:abstractNumId w:val="60"/>
  </w:num>
  <w:num w:numId="50">
    <w:abstractNumId w:val="22"/>
  </w:num>
  <w:num w:numId="51">
    <w:abstractNumId w:val="9"/>
  </w:num>
  <w:num w:numId="52">
    <w:abstractNumId w:val="53"/>
  </w:num>
  <w:num w:numId="53">
    <w:abstractNumId w:val="33"/>
  </w:num>
  <w:num w:numId="54">
    <w:abstractNumId w:val="44"/>
  </w:num>
  <w:num w:numId="55">
    <w:abstractNumId w:val="5"/>
  </w:num>
  <w:num w:numId="56">
    <w:abstractNumId w:val="41"/>
  </w:num>
  <w:num w:numId="57">
    <w:abstractNumId w:val="21"/>
  </w:num>
  <w:num w:numId="58">
    <w:abstractNumId w:val="36"/>
  </w:num>
  <w:num w:numId="59">
    <w:abstractNumId w:val="48"/>
  </w:num>
  <w:num w:numId="60">
    <w:abstractNumId w:val="59"/>
  </w:num>
  <w:num w:numId="61">
    <w:abstractNumId w:val="4"/>
  </w:num>
  <w:num w:numId="62">
    <w:abstractNumId w:val="32"/>
  </w:num>
  <w:num w:numId="63">
    <w:abstractNumId w:val="50"/>
  </w:num>
  <w:num w:numId="64">
    <w:abstractNumId w:val="37"/>
  </w:num>
  <w:num w:numId="65">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6D6"/>
    <w:rsid w:val="000019D6"/>
    <w:rsid w:val="00002D2C"/>
    <w:rsid w:val="000039FE"/>
    <w:rsid w:val="00011205"/>
    <w:rsid w:val="00012772"/>
    <w:rsid w:val="00013C36"/>
    <w:rsid w:val="00020475"/>
    <w:rsid w:val="00021154"/>
    <w:rsid w:val="0002249F"/>
    <w:rsid w:val="0002252F"/>
    <w:rsid w:val="000234CE"/>
    <w:rsid w:val="00026C28"/>
    <w:rsid w:val="0003018D"/>
    <w:rsid w:val="000309DB"/>
    <w:rsid w:val="00031205"/>
    <w:rsid w:val="00041065"/>
    <w:rsid w:val="00042C23"/>
    <w:rsid w:val="000444AE"/>
    <w:rsid w:val="00045071"/>
    <w:rsid w:val="0004785D"/>
    <w:rsid w:val="00052196"/>
    <w:rsid w:val="00053038"/>
    <w:rsid w:val="00054E07"/>
    <w:rsid w:val="000567D3"/>
    <w:rsid w:val="00061736"/>
    <w:rsid w:val="0006439F"/>
    <w:rsid w:val="00064E31"/>
    <w:rsid w:val="00067419"/>
    <w:rsid w:val="00072921"/>
    <w:rsid w:val="0007428C"/>
    <w:rsid w:val="0007688F"/>
    <w:rsid w:val="00077BE4"/>
    <w:rsid w:val="00082245"/>
    <w:rsid w:val="0008617F"/>
    <w:rsid w:val="000876F2"/>
    <w:rsid w:val="00087F74"/>
    <w:rsid w:val="0009365F"/>
    <w:rsid w:val="000969D5"/>
    <w:rsid w:val="000B25D1"/>
    <w:rsid w:val="000B7CB1"/>
    <w:rsid w:val="000C3228"/>
    <w:rsid w:val="000C5E0F"/>
    <w:rsid w:val="000C7088"/>
    <w:rsid w:val="000D2C59"/>
    <w:rsid w:val="000D59A4"/>
    <w:rsid w:val="000D7D70"/>
    <w:rsid w:val="000E097C"/>
    <w:rsid w:val="000E4588"/>
    <w:rsid w:val="000F2D93"/>
    <w:rsid w:val="000F3014"/>
    <w:rsid w:val="000F394F"/>
    <w:rsid w:val="001005FA"/>
    <w:rsid w:val="00103198"/>
    <w:rsid w:val="0010532F"/>
    <w:rsid w:val="0011200B"/>
    <w:rsid w:val="00113B65"/>
    <w:rsid w:val="0011432D"/>
    <w:rsid w:val="001177CF"/>
    <w:rsid w:val="00121F97"/>
    <w:rsid w:val="00123A72"/>
    <w:rsid w:val="00127912"/>
    <w:rsid w:val="001279CF"/>
    <w:rsid w:val="00142289"/>
    <w:rsid w:val="00150BA9"/>
    <w:rsid w:val="00155151"/>
    <w:rsid w:val="0015575C"/>
    <w:rsid w:val="00161C17"/>
    <w:rsid w:val="00167E6F"/>
    <w:rsid w:val="00170419"/>
    <w:rsid w:val="00181BC6"/>
    <w:rsid w:val="001846E5"/>
    <w:rsid w:val="00185598"/>
    <w:rsid w:val="00187A04"/>
    <w:rsid w:val="00187DC9"/>
    <w:rsid w:val="00190DDE"/>
    <w:rsid w:val="00190EE8"/>
    <w:rsid w:val="0019522F"/>
    <w:rsid w:val="0019543B"/>
    <w:rsid w:val="001A0B7E"/>
    <w:rsid w:val="001A3F57"/>
    <w:rsid w:val="001A5361"/>
    <w:rsid w:val="001B1A0F"/>
    <w:rsid w:val="001B6DA2"/>
    <w:rsid w:val="001C2E15"/>
    <w:rsid w:val="001C30FB"/>
    <w:rsid w:val="001C388B"/>
    <w:rsid w:val="001C3BF2"/>
    <w:rsid w:val="001C6023"/>
    <w:rsid w:val="001C7750"/>
    <w:rsid w:val="001D356C"/>
    <w:rsid w:val="001D3FB0"/>
    <w:rsid w:val="001D59A4"/>
    <w:rsid w:val="001E10C3"/>
    <w:rsid w:val="001F62EA"/>
    <w:rsid w:val="00203D43"/>
    <w:rsid w:val="00206617"/>
    <w:rsid w:val="0020662E"/>
    <w:rsid w:val="00207DFB"/>
    <w:rsid w:val="00211534"/>
    <w:rsid w:val="00213A4C"/>
    <w:rsid w:val="00224262"/>
    <w:rsid w:val="0022617B"/>
    <w:rsid w:val="00226B3B"/>
    <w:rsid w:val="0023460B"/>
    <w:rsid w:val="00235200"/>
    <w:rsid w:val="00241263"/>
    <w:rsid w:val="002441E4"/>
    <w:rsid w:val="00251BB2"/>
    <w:rsid w:val="002523FA"/>
    <w:rsid w:val="00253A95"/>
    <w:rsid w:val="002642CC"/>
    <w:rsid w:val="0028180B"/>
    <w:rsid w:val="00286406"/>
    <w:rsid w:val="0029116D"/>
    <w:rsid w:val="0029288E"/>
    <w:rsid w:val="002A040C"/>
    <w:rsid w:val="002A3CDA"/>
    <w:rsid w:val="002A71EE"/>
    <w:rsid w:val="002B28D3"/>
    <w:rsid w:val="002B4070"/>
    <w:rsid w:val="002B5A11"/>
    <w:rsid w:val="002B77B7"/>
    <w:rsid w:val="002C1B89"/>
    <w:rsid w:val="002C61A2"/>
    <w:rsid w:val="002D0DE1"/>
    <w:rsid w:val="002D238A"/>
    <w:rsid w:val="002D487B"/>
    <w:rsid w:val="002D6402"/>
    <w:rsid w:val="002D7E42"/>
    <w:rsid w:val="002E08E7"/>
    <w:rsid w:val="002F06BD"/>
    <w:rsid w:val="002F09DE"/>
    <w:rsid w:val="002F1F49"/>
    <w:rsid w:val="002F37CB"/>
    <w:rsid w:val="002F3958"/>
    <w:rsid w:val="003105BD"/>
    <w:rsid w:val="00311688"/>
    <w:rsid w:val="00312C3E"/>
    <w:rsid w:val="003219EA"/>
    <w:rsid w:val="00325773"/>
    <w:rsid w:val="00326220"/>
    <w:rsid w:val="00330DAE"/>
    <w:rsid w:val="003329E7"/>
    <w:rsid w:val="00333B1E"/>
    <w:rsid w:val="00350A2F"/>
    <w:rsid w:val="00360F35"/>
    <w:rsid w:val="00365EA0"/>
    <w:rsid w:val="003706FD"/>
    <w:rsid w:val="00372026"/>
    <w:rsid w:val="00372BE6"/>
    <w:rsid w:val="0037335F"/>
    <w:rsid w:val="0037366D"/>
    <w:rsid w:val="0037435B"/>
    <w:rsid w:val="00385F9E"/>
    <w:rsid w:val="003910E9"/>
    <w:rsid w:val="00392D12"/>
    <w:rsid w:val="00396C98"/>
    <w:rsid w:val="003A3D65"/>
    <w:rsid w:val="003A618F"/>
    <w:rsid w:val="003A6D18"/>
    <w:rsid w:val="003B070C"/>
    <w:rsid w:val="003B429A"/>
    <w:rsid w:val="003B6FE5"/>
    <w:rsid w:val="003C2F65"/>
    <w:rsid w:val="003C6C0B"/>
    <w:rsid w:val="003C6D2E"/>
    <w:rsid w:val="003F2212"/>
    <w:rsid w:val="003F32FE"/>
    <w:rsid w:val="003F7929"/>
    <w:rsid w:val="004063E0"/>
    <w:rsid w:val="0041205C"/>
    <w:rsid w:val="00412E04"/>
    <w:rsid w:val="00414D81"/>
    <w:rsid w:val="004233CA"/>
    <w:rsid w:val="00425298"/>
    <w:rsid w:val="00427CC7"/>
    <w:rsid w:val="00433D74"/>
    <w:rsid w:val="00436B9D"/>
    <w:rsid w:val="004371EA"/>
    <w:rsid w:val="00441C69"/>
    <w:rsid w:val="00446DED"/>
    <w:rsid w:val="00455245"/>
    <w:rsid w:val="0045568D"/>
    <w:rsid w:val="004558B6"/>
    <w:rsid w:val="00455AD9"/>
    <w:rsid w:val="00455D00"/>
    <w:rsid w:val="004571AA"/>
    <w:rsid w:val="00461B56"/>
    <w:rsid w:val="00466446"/>
    <w:rsid w:val="00467676"/>
    <w:rsid w:val="00470022"/>
    <w:rsid w:val="00476B6D"/>
    <w:rsid w:val="00476E7F"/>
    <w:rsid w:val="00491364"/>
    <w:rsid w:val="00496CF3"/>
    <w:rsid w:val="00497C56"/>
    <w:rsid w:val="004A0FB9"/>
    <w:rsid w:val="004A128D"/>
    <w:rsid w:val="004A23B0"/>
    <w:rsid w:val="004B4C40"/>
    <w:rsid w:val="004B6EAE"/>
    <w:rsid w:val="004C0D97"/>
    <w:rsid w:val="004D5CC9"/>
    <w:rsid w:val="004D7D21"/>
    <w:rsid w:val="004E05DF"/>
    <w:rsid w:val="004E252D"/>
    <w:rsid w:val="004E3582"/>
    <w:rsid w:val="004E53B6"/>
    <w:rsid w:val="004E6626"/>
    <w:rsid w:val="004F164F"/>
    <w:rsid w:val="004F3282"/>
    <w:rsid w:val="004F3F4F"/>
    <w:rsid w:val="004F6B36"/>
    <w:rsid w:val="004F737F"/>
    <w:rsid w:val="00510D02"/>
    <w:rsid w:val="00517EB6"/>
    <w:rsid w:val="0052227A"/>
    <w:rsid w:val="00522F68"/>
    <w:rsid w:val="00527087"/>
    <w:rsid w:val="00531169"/>
    <w:rsid w:val="005324F6"/>
    <w:rsid w:val="00536046"/>
    <w:rsid w:val="00536202"/>
    <w:rsid w:val="00552E37"/>
    <w:rsid w:val="00553062"/>
    <w:rsid w:val="00560C71"/>
    <w:rsid w:val="00572A67"/>
    <w:rsid w:val="00572F95"/>
    <w:rsid w:val="0057571B"/>
    <w:rsid w:val="0058170A"/>
    <w:rsid w:val="0058214C"/>
    <w:rsid w:val="0058281C"/>
    <w:rsid w:val="005863AD"/>
    <w:rsid w:val="00586969"/>
    <w:rsid w:val="0058726E"/>
    <w:rsid w:val="00594179"/>
    <w:rsid w:val="00595A84"/>
    <w:rsid w:val="005A250A"/>
    <w:rsid w:val="005A32A3"/>
    <w:rsid w:val="005A46B1"/>
    <w:rsid w:val="005A7D45"/>
    <w:rsid w:val="005B056A"/>
    <w:rsid w:val="005B0679"/>
    <w:rsid w:val="005B53D9"/>
    <w:rsid w:val="005B6B19"/>
    <w:rsid w:val="005C0EBF"/>
    <w:rsid w:val="005C2F20"/>
    <w:rsid w:val="005C4096"/>
    <w:rsid w:val="005C63F8"/>
    <w:rsid w:val="005C663F"/>
    <w:rsid w:val="005C6782"/>
    <w:rsid w:val="005D0442"/>
    <w:rsid w:val="005D066A"/>
    <w:rsid w:val="005D1AE6"/>
    <w:rsid w:val="005D3478"/>
    <w:rsid w:val="005D3945"/>
    <w:rsid w:val="005E4131"/>
    <w:rsid w:val="005F0340"/>
    <w:rsid w:val="005F0F34"/>
    <w:rsid w:val="005F61E1"/>
    <w:rsid w:val="005F66A3"/>
    <w:rsid w:val="005F7602"/>
    <w:rsid w:val="006019E4"/>
    <w:rsid w:val="0061436E"/>
    <w:rsid w:val="0061537E"/>
    <w:rsid w:val="00620B55"/>
    <w:rsid w:val="00621075"/>
    <w:rsid w:val="006247CA"/>
    <w:rsid w:val="0062549F"/>
    <w:rsid w:val="00634CC5"/>
    <w:rsid w:val="00636E1F"/>
    <w:rsid w:val="0064383E"/>
    <w:rsid w:val="00643A38"/>
    <w:rsid w:val="00655DD7"/>
    <w:rsid w:val="00670DF9"/>
    <w:rsid w:val="00671672"/>
    <w:rsid w:val="0068189E"/>
    <w:rsid w:val="0068309E"/>
    <w:rsid w:val="0069555F"/>
    <w:rsid w:val="006958A4"/>
    <w:rsid w:val="006A0300"/>
    <w:rsid w:val="006A0FB6"/>
    <w:rsid w:val="006A1C59"/>
    <w:rsid w:val="006A3BFC"/>
    <w:rsid w:val="006A6735"/>
    <w:rsid w:val="006B41DD"/>
    <w:rsid w:val="006B5382"/>
    <w:rsid w:val="006C0E97"/>
    <w:rsid w:val="006C35AD"/>
    <w:rsid w:val="006C69BA"/>
    <w:rsid w:val="006D24AF"/>
    <w:rsid w:val="006D3BEE"/>
    <w:rsid w:val="006D4161"/>
    <w:rsid w:val="006D5974"/>
    <w:rsid w:val="006E1F0C"/>
    <w:rsid w:val="006E6306"/>
    <w:rsid w:val="006F08F8"/>
    <w:rsid w:val="006F4983"/>
    <w:rsid w:val="006F4F68"/>
    <w:rsid w:val="00701054"/>
    <w:rsid w:val="007033B3"/>
    <w:rsid w:val="00706006"/>
    <w:rsid w:val="00706B9B"/>
    <w:rsid w:val="00713E7F"/>
    <w:rsid w:val="00716059"/>
    <w:rsid w:val="007243F2"/>
    <w:rsid w:val="007255A1"/>
    <w:rsid w:val="00727ACA"/>
    <w:rsid w:val="00732278"/>
    <w:rsid w:val="00733649"/>
    <w:rsid w:val="00735F61"/>
    <w:rsid w:val="00744D1E"/>
    <w:rsid w:val="00750A6B"/>
    <w:rsid w:val="00757D8E"/>
    <w:rsid w:val="00761557"/>
    <w:rsid w:val="00764E57"/>
    <w:rsid w:val="00773777"/>
    <w:rsid w:val="00775E47"/>
    <w:rsid w:val="007827A6"/>
    <w:rsid w:val="00783A5C"/>
    <w:rsid w:val="00784C81"/>
    <w:rsid w:val="007857DD"/>
    <w:rsid w:val="00785D88"/>
    <w:rsid w:val="007923A8"/>
    <w:rsid w:val="00794B29"/>
    <w:rsid w:val="00794BB3"/>
    <w:rsid w:val="00795C73"/>
    <w:rsid w:val="00795C97"/>
    <w:rsid w:val="00797A28"/>
    <w:rsid w:val="007A25B3"/>
    <w:rsid w:val="007A2BDD"/>
    <w:rsid w:val="007A65AC"/>
    <w:rsid w:val="007A72BA"/>
    <w:rsid w:val="007A7DEB"/>
    <w:rsid w:val="007B7982"/>
    <w:rsid w:val="007C472E"/>
    <w:rsid w:val="007D0D3E"/>
    <w:rsid w:val="007D4958"/>
    <w:rsid w:val="007D4986"/>
    <w:rsid w:val="007D796E"/>
    <w:rsid w:val="007E0208"/>
    <w:rsid w:val="007E0575"/>
    <w:rsid w:val="007E2204"/>
    <w:rsid w:val="007E40B3"/>
    <w:rsid w:val="007E69ED"/>
    <w:rsid w:val="007F1DC8"/>
    <w:rsid w:val="007F3FCB"/>
    <w:rsid w:val="007F4212"/>
    <w:rsid w:val="00800C8D"/>
    <w:rsid w:val="00802B61"/>
    <w:rsid w:val="008051B2"/>
    <w:rsid w:val="00806CB8"/>
    <w:rsid w:val="00814BBC"/>
    <w:rsid w:val="008154FB"/>
    <w:rsid w:val="0081686F"/>
    <w:rsid w:val="00817731"/>
    <w:rsid w:val="00817AA8"/>
    <w:rsid w:val="00817DD7"/>
    <w:rsid w:val="00823C7A"/>
    <w:rsid w:val="00827980"/>
    <w:rsid w:val="0083495F"/>
    <w:rsid w:val="00836A77"/>
    <w:rsid w:val="00840808"/>
    <w:rsid w:val="00840F18"/>
    <w:rsid w:val="00850A45"/>
    <w:rsid w:val="008519FA"/>
    <w:rsid w:val="00852DDD"/>
    <w:rsid w:val="0085708F"/>
    <w:rsid w:val="008631D5"/>
    <w:rsid w:val="00863B2A"/>
    <w:rsid w:val="00873E82"/>
    <w:rsid w:val="008752C9"/>
    <w:rsid w:val="00884856"/>
    <w:rsid w:val="00887217"/>
    <w:rsid w:val="00892C98"/>
    <w:rsid w:val="00893539"/>
    <w:rsid w:val="008946AE"/>
    <w:rsid w:val="00896C9C"/>
    <w:rsid w:val="008B61D2"/>
    <w:rsid w:val="008C202A"/>
    <w:rsid w:val="008C7913"/>
    <w:rsid w:val="008D0DB5"/>
    <w:rsid w:val="008D22B5"/>
    <w:rsid w:val="008D32B5"/>
    <w:rsid w:val="008E619A"/>
    <w:rsid w:val="008F12B1"/>
    <w:rsid w:val="008F334B"/>
    <w:rsid w:val="008F5CAA"/>
    <w:rsid w:val="008F5E30"/>
    <w:rsid w:val="0090678B"/>
    <w:rsid w:val="0091235B"/>
    <w:rsid w:val="0091412C"/>
    <w:rsid w:val="009155CC"/>
    <w:rsid w:val="00917390"/>
    <w:rsid w:val="00917805"/>
    <w:rsid w:val="00922095"/>
    <w:rsid w:val="00922BED"/>
    <w:rsid w:val="00930848"/>
    <w:rsid w:val="00932016"/>
    <w:rsid w:val="009336A7"/>
    <w:rsid w:val="00935E21"/>
    <w:rsid w:val="00942968"/>
    <w:rsid w:val="00942BA1"/>
    <w:rsid w:val="00944105"/>
    <w:rsid w:val="00952B68"/>
    <w:rsid w:val="00953F43"/>
    <w:rsid w:val="00954BE3"/>
    <w:rsid w:val="00960099"/>
    <w:rsid w:val="00960EDF"/>
    <w:rsid w:val="0096156F"/>
    <w:rsid w:val="00964104"/>
    <w:rsid w:val="00964DEC"/>
    <w:rsid w:val="009726FA"/>
    <w:rsid w:val="00975EF7"/>
    <w:rsid w:val="00977A27"/>
    <w:rsid w:val="0098244B"/>
    <w:rsid w:val="00986441"/>
    <w:rsid w:val="00986CB6"/>
    <w:rsid w:val="00991713"/>
    <w:rsid w:val="00992AF8"/>
    <w:rsid w:val="00994124"/>
    <w:rsid w:val="00994699"/>
    <w:rsid w:val="009A146D"/>
    <w:rsid w:val="009A616A"/>
    <w:rsid w:val="009A724C"/>
    <w:rsid w:val="009B1DD0"/>
    <w:rsid w:val="009B4907"/>
    <w:rsid w:val="009C333B"/>
    <w:rsid w:val="009C5C1A"/>
    <w:rsid w:val="009D026C"/>
    <w:rsid w:val="009D2121"/>
    <w:rsid w:val="009D5079"/>
    <w:rsid w:val="009E0185"/>
    <w:rsid w:val="009E0CED"/>
    <w:rsid w:val="009E485C"/>
    <w:rsid w:val="009E52A0"/>
    <w:rsid w:val="009E6955"/>
    <w:rsid w:val="009E6EC4"/>
    <w:rsid w:val="009F0E5C"/>
    <w:rsid w:val="009F1DC4"/>
    <w:rsid w:val="00A004C3"/>
    <w:rsid w:val="00A0287C"/>
    <w:rsid w:val="00A04376"/>
    <w:rsid w:val="00A07732"/>
    <w:rsid w:val="00A203AF"/>
    <w:rsid w:val="00A20BB5"/>
    <w:rsid w:val="00A25873"/>
    <w:rsid w:val="00A27BB8"/>
    <w:rsid w:val="00A30DC9"/>
    <w:rsid w:val="00A3324C"/>
    <w:rsid w:val="00A35A2F"/>
    <w:rsid w:val="00A36DB4"/>
    <w:rsid w:val="00A37215"/>
    <w:rsid w:val="00A408BE"/>
    <w:rsid w:val="00A45EB6"/>
    <w:rsid w:val="00A50D12"/>
    <w:rsid w:val="00A52069"/>
    <w:rsid w:val="00A52E23"/>
    <w:rsid w:val="00A53EDF"/>
    <w:rsid w:val="00A53FEE"/>
    <w:rsid w:val="00A54F45"/>
    <w:rsid w:val="00A7068F"/>
    <w:rsid w:val="00A70DE7"/>
    <w:rsid w:val="00A76137"/>
    <w:rsid w:val="00A80717"/>
    <w:rsid w:val="00A82BE1"/>
    <w:rsid w:val="00A87B4C"/>
    <w:rsid w:val="00A91B7B"/>
    <w:rsid w:val="00A94F1E"/>
    <w:rsid w:val="00A95510"/>
    <w:rsid w:val="00AA345E"/>
    <w:rsid w:val="00AA4196"/>
    <w:rsid w:val="00AB0C8E"/>
    <w:rsid w:val="00AB2525"/>
    <w:rsid w:val="00AB3CEA"/>
    <w:rsid w:val="00AC5089"/>
    <w:rsid w:val="00AC7400"/>
    <w:rsid w:val="00AD168B"/>
    <w:rsid w:val="00AD2A5B"/>
    <w:rsid w:val="00AD6BA1"/>
    <w:rsid w:val="00AE4AD7"/>
    <w:rsid w:val="00AE4FDB"/>
    <w:rsid w:val="00AE5C46"/>
    <w:rsid w:val="00AE6D6A"/>
    <w:rsid w:val="00AE795B"/>
    <w:rsid w:val="00AE7C5F"/>
    <w:rsid w:val="00AF09B9"/>
    <w:rsid w:val="00B01A8F"/>
    <w:rsid w:val="00B03ECB"/>
    <w:rsid w:val="00B0553B"/>
    <w:rsid w:val="00B06B61"/>
    <w:rsid w:val="00B13321"/>
    <w:rsid w:val="00B153F4"/>
    <w:rsid w:val="00B162E6"/>
    <w:rsid w:val="00B1767B"/>
    <w:rsid w:val="00B22AB0"/>
    <w:rsid w:val="00B235C8"/>
    <w:rsid w:val="00B24D44"/>
    <w:rsid w:val="00B24DB9"/>
    <w:rsid w:val="00B3155F"/>
    <w:rsid w:val="00B33390"/>
    <w:rsid w:val="00B3614B"/>
    <w:rsid w:val="00B421F3"/>
    <w:rsid w:val="00B44276"/>
    <w:rsid w:val="00B46188"/>
    <w:rsid w:val="00B47CC8"/>
    <w:rsid w:val="00B50901"/>
    <w:rsid w:val="00B54A56"/>
    <w:rsid w:val="00B55BBC"/>
    <w:rsid w:val="00B57FC6"/>
    <w:rsid w:val="00B616D6"/>
    <w:rsid w:val="00B64D74"/>
    <w:rsid w:val="00B6584A"/>
    <w:rsid w:val="00B707A0"/>
    <w:rsid w:val="00B721CC"/>
    <w:rsid w:val="00B80843"/>
    <w:rsid w:val="00B82668"/>
    <w:rsid w:val="00B856C9"/>
    <w:rsid w:val="00B86650"/>
    <w:rsid w:val="00B92F5C"/>
    <w:rsid w:val="00B95D51"/>
    <w:rsid w:val="00BA57D6"/>
    <w:rsid w:val="00BA70CA"/>
    <w:rsid w:val="00BB3F8C"/>
    <w:rsid w:val="00BC2099"/>
    <w:rsid w:val="00BC28F6"/>
    <w:rsid w:val="00BC6300"/>
    <w:rsid w:val="00BC682D"/>
    <w:rsid w:val="00BC7F60"/>
    <w:rsid w:val="00BD50B4"/>
    <w:rsid w:val="00BD725D"/>
    <w:rsid w:val="00BD784B"/>
    <w:rsid w:val="00BE67B4"/>
    <w:rsid w:val="00BE7030"/>
    <w:rsid w:val="00BF1D16"/>
    <w:rsid w:val="00BF66C2"/>
    <w:rsid w:val="00C00970"/>
    <w:rsid w:val="00C10003"/>
    <w:rsid w:val="00C101DF"/>
    <w:rsid w:val="00C14D52"/>
    <w:rsid w:val="00C329C4"/>
    <w:rsid w:val="00C342A9"/>
    <w:rsid w:val="00C44B9B"/>
    <w:rsid w:val="00C4783F"/>
    <w:rsid w:val="00C5120E"/>
    <w:rsid w:val="00C51228"/>
    <w:rsid w:val="00C52619"/>
    <w:rsid w:val="00C5363B"/>
    <w:rsid w:val="00C54A56"/>
    <w:rsid w:val="00C56BED"/>
    <w:rsid w:val="00C64EC5"/>
    <w:rsid w:val="00C6715F"/>
    <w:rsid w:val="00C70D4F"/>
    <w:rsid w:val="00C71F28"/>
    <w:rsid w:val="00C728B5"/>
    <w:rsid w:val="00C72C34"/>
    <w:rsid w:val="00C74054"/>
    <w:rsid w:val="00C759F6"/>
    <w:rsid w:val="00C75C92"/>
    <w:rsid w:val="00C80AC7"/>
    <w:rsid w:val="00C83174"/>
    <w:rsid w:val="00C84D13"/>
    <w:rsid w:val="00C855C2"/>
    <w:rsid w:val="00C860A7"/>
    <w:rsid w:val="00C86473"/>
    <w:rsid w:val="00C86CB4"/>
    <w:rsid w:val="00C8757F"/>
    <w:rsid w:val="00C90776"/>
    <w:rsid w:val="00C91746"/>
    <w:rsid w:val="00CA3876"/>
    <w:rsid w:val="00CA45F8"/>
    <w:rsid w:val="00CB3CED"/>
    <w:rsid w:val="00CB43EF"/>
    <w:rsid w:val="00CB4DBA"/>
    <w:rsid w:val="00CB5ED6"/>
    <w:rsid w:val="00CC52E5"/>
    <w:rsid w:val="00CC5492"/>
    <w:rsid w:val="00CC740C"/>
    <w:rsid w:val="00CD06AB"/>
    <w:rsid w:val="00CE56C1"/>
    <w:rsid w:val="00CE62F8"/>
    <w:rsid w:val="00CE6994"/>
    <w:rsid w:val="00CF0053"/>
    <w:rsid w:val="00CF3AAF"/>
    <w:rsid w:val="00D019DB"/>
    <w:rsid w:val="00D02F97"/>
    <w:rsid w:val="00D05188"/>
    <w:rsid w:val="00D07B36"/>
    <w:rsid w:val="00D100E8"/>
    <w:rsid w:val="00D17EB9"/>
    <w:rsid w:val="00D2190F"/>
    <w:rsid w:val="00D24146"/>
    <w:rsid w:val="00D24B6F"/>
    <w:rsid w:val="00D25B1C"/>
    <w:rsid w:val="00D3556E"/>
    <w:rsid w:val="00D37CF7"/>
    <w:rsid w:val="00D400BC"/>
    <w:rsid w:val="00D4434B"/>
    <w:rsid w:val="00D4543B"/>
    <w:rsid w:val="00D471CA"/>
    <w:rsid w:val="00D471F1"/>
    <w:rsid w:val="00D51A72"/>
    <w:rsid w:val="00D5326C"/>
    <w:rsid w:val="00D533D8"/>
    <w:rsid w:val="00D54DBD"/>
    <w:rsid w:val="00D56098"/>
    <w:rsid w:val="00D61626"/>
    <w:rsid w:val="00D64881"/>
    <w:rsid w:val="00D65360"/>
    <w:rsid w:val="00D6672F"/>
    <w:rsid w:val="00D6691A"/>
    <w:rsid w:val="00D725FD"/>
    <w:rsid w:val="00D75470"/>
    <w:rsid w:val="00D76BF5"/>
    <w:rsid w:val="00D811F4"/>
    <w:rsid w:val="00D81A45"/>
    <w:rsid w:val="00D8349A"/>
    <w:rsid w:val="00D861A0"/>
    <w:rsid w:val="00D86492"/>
    <w:rsid w:val="00D86EA5"/>
    <w:rsid w:val="00D871D2"/>
    <w:rsid w:val="00D953EB"/>
    <w:rsid w:val="00DA0C3B"/>
    <w:rsid w:val="00DA42F3"/>
    <w:rsid w:val="00DA49C4"/>
    <w:rsid w:val="00DA63A1"/>
    <w:rsid w:val="00DB0A75"/>
    <w:rsid w:val="00DB1E6E"/>
    <w:rsid w:val="00DB3498"/>
    <w:rsid w:val="00DC097D"/>
    <w:rsid w:val="00DC0C73"/>
    <w:rsid w:val="00DC61E9"/>
    <w:rsid w:val="00DD2240"/>
    <w:rsid w:val="00DD5B61"/>
    <w:rsid w:val="00DD5C70"/>
    <w:rsid w:val="00DD6C2A"/>
    <w:rsid w:val="00DD6F7C"/>
    <w:rsid w:val="00DE038F"/>
    <w:rsid w:val="00DE512E"/>
    <w:rsid w:val="00DE5B65"/>
    <w:rsid w:val="00DE6EFA"/>
    <w:rsid w:val="00DE76F4"/>
    <w:rsid w:val="00DF74D9"/>
    <w:rsid w:val="00E01582"/>
    <w:rsid w:val="00E05375"/>
    <w:rsid w:val="00E05C66"/>
    <w:rsid w:val="00E11A44"/>
    <w:rsid w:val="00E13E31"/>
    <w:rsid w:val="00E15C8A"/>
    <w:rsid w:val="00E16669"/>
    <w:rsid w:val="00E1730D"/>
    <w:rsid w:val="00E17680"/>
    <w:rsid w:val="00E214F6"/>
    <w:rsid w:val="00E2155B"/>
    <w:rsid w:val="00E26234"/>
    <w:rsid w:val="00E27D28"/>
    <w:rsid w:val="00E32998"/>
    <w:rsid w:val="00E35960"/>
    <w:rsid w:val="00E37572"/>
    <w:rsid w:val="00E41248"/>
    <w:rsid w:val="00E53399"/>
    <w:rsid w:val="00E568B8"/>
    <w:rsid w:val="00E61982"/>
    <w:rsid w:val="00E631F9"/>
    <w:rsid w:val="00E637CB"/>
    <w:rsid w:val="00E66A3D"/>
    <w:rsid w:val="00E66BBF"/>
    <w:rsid w:val="00E71408"/>
    <w:rsid w:val="00E74948"/>
    <w:rsid w:val="00E75588"/>
    <w:rsid w:val="00E82C4D"/>
    <w:rsid w:val="00E8365F"/>
    <w:rsid w:val="00E84BB7"/>
    <w:rsid w:val="00E86669"/>
    <w:rsid w:val="00E93A73"/>
    <w:rsid w:val="00E9682B"/>
    <w:rsid w:val="00EA0E81"/>
    <w:rsid w:val="00EA3DAB"/>
    <w:rsid w:val="00EB6606"/>
    <w:rsid w:val="00EC30D2"/>
    <w:rsid w:val="00EC3EE3"/>
    <w:rsid w:val="00ED012E"/>
    <w:rsid w:val="00ED13D2"/>
    <w:rsid w:val="00ED16CC"/>
    <w:rsid w:val="00ED5E5E"/>
    <w:rsid w:val="00ED60A5"/>
    <w:rsid w:val="00ED6D93"/>
    <w:rsid w:val="00EE2185"/>
    <w:rsid w:val="00EE4276"/>
    <w:rsid w:val="00EE713A"/>
    <w:rsid w:val="00EF0CD2"/>
    <w:rsid w:val="00EF4FC2"/>
    <w:rsid w:val="00F00D15"/>
    <w:rsid w:val="00F01C1E"/>
    <w:rsid w:val="00F10453"/>
    <w:rsid w:val="00F127F2"/>
    <w:rsid w:val="00F159FB"/>
    <w:rsid w:val="00F1739E"/>
    <w:rsid w:val="00F246E0"/>
    <w:rsid w:val="00F26BA9"/>
    <w:rsid w:val="00F3300B"/>
    <w:rsid w:val="00F34D23"/>
    <w:rsid w:val="00F35590"/>
    <w:rsid w:val="00F3764D"/>
    <w:rsid w:val="00F37B87"/>
    <w:rsid w:val="00F415FB"/>
    <w:rsid w:val="00F47E08"/>
    <w:rsid w:val="00F5439D"/>
    <w:rsid w:val="00F57A98"/>
    <w:rsid w:val="00F60391"/>
    <w:rsid w:val="00F623D6"/>
    <w:rsid w:val="00F67BBC"/>
    <w:rsid w:val="00F755A1"/>
    <w:rsid w:val="00F75798"/>
    <w:rsid w:val="00F766A9"/>
    <w:rsid w:val="00F77A59"/>
    <w:rsid w:val="00F849C9"/>
    <w:rsid w:val="00F853CD"/>
    <w:rsid w:val="00F90999"/>
    <w:rsid w:val="00F916EA"/>
    <w:rsid w:val="00F92182"/>
    <w:rsid w:val="00F9645F"/>
    <w:rsid w:val="00F966AA"/>
    <w:rsid w:val="00FA10A2"/>
    <w:rsid w:val="00FA3194"/>
    <w:rsid w:val="00FB55C2"/>
    <w:rsid w:val="00FB58C8"/>
    <w:rsid w:val="00FB5CF8"/>
    <w:rsid w:val="00FC2009"/>
    <w:rsid w:val="00FC3657"/>
    <w:rsid w:val="00FC5AF3"/>
    <w:rsid w:val="00FC7331"/>
    <w:rsid w:val="00FC77E0"/>
    <w:rsid w:val="00FD2902"/>
    <w:rsid w:val="00FD2E45"/>
    <w:rsid w:val="00FD42DA"/>
    <w:rsid w:val="00FD5CD9"/>
    <w:rsid w:val="00FE58AE"/>
    <w:rsid w:val="00FE7824"/>
    <w:rsid w:val="00FF0DDA"/>
    <w:rsid w:val="00FF1490"/>
    <w:rsid w:val="00FF3540"/>
    <w:rsid w:val="00FF479C"/>
    <w:rsid w:val="00FF4A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FDBC5"/>
  <w15:chartTrackingRefBased/>
  <w15:docId w15:val="{6ED03684-F35C-1742-9516-D7444A54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856"/>
    <w:pPr>
      <w:suppressAutoHyphens/>
      <w:autoSpaceDE w:val="0"/>
      <w:autoSpaceDN w:val="0"/>
      <w:adjustRightInd w:val="0"/>
      <w:spacing w:before="240" w:after="200" w:line="276" w:lineRule="auto"/>
      <w:jc w:val="both"/>
      <w:textAlignment w:val="center"/>
    </w:pPr>
    <w:rPr>
      <w:rFonts w:ascii="Arial" w:hAnsi="Arial" w:cs="Arial"/>
      <w:color w:val="000000"/>
      <w:sz w:val="22"/>
      <w:szCs w:val="22"/>
      <w:lang w:val="en-US"/>
    </w:rPr>
  </w:style>
  <w:style w:type="paragraph" w:styleId="Heading1">
    <w:name w:val="heading 1"/>
    <w:basedOn w:val="Normal"/>
    <w:next w:val="Normal"/>
    <w:link w:val="Heading1Char"/>
    <w:uiPriority w:val="9"/>
    <w:qFormat/>
    <w:rsid w:val="00B0553B"/>
    <w:pPr>
      <w:keepNext/>
      <w:keepLines/>
      <w:spacing w:after="360"/>
      <w:outlineLvl w:val="0"/>
    </w:pPr>
    <w:rPr>
      <w:rFonts w:eastAsiaTheme="majorEastAsia"/>
      <w:color w:val="000000" w:themeColor="text1"/>
      <w:sz w:val="56"/>
      <w:szCs w:val="56"/>
    </w:rPr>
  </w:style>
  <w:style w:type="paragraph" w:styleId="Heading2">
    <w:name w:val="heading 2"/>
    <w:basedOn w:val="Heading1"/>
    <w:next w:val="Normal"/>
    <w:link w:val="Heading2Char"/>
    <w:uiPriority w:val="9"/>
    <w:unhideWhenUsed/>
    <w:qFormat/>
    <w:rsid w:val="00884856"/>
    <w:pPr>
      <w:spacing w:before="480"/>
      <w:jc w:val="left"/>
      <w:outlineLvl w:val="1"/>
    </w:pPr>
    <w:rPr>
      <w:b/>
      <w:bCs/>
      <w:sz w:val="40"/>
      <w:szCs w:val="40"/>
    </w:rPr>
  </w:style>
  <w:style w:type="paragraph" w:styleId="Heading3">
    <w:name w:val="heading 3"/>
    <w:basedOn w:val="Heading2"/>
    <w:next w:val="Normal"/>
    <w:link w:val="Heading3Char"/>
    <w:uiPriority w:val="9"/>
    <w:unhideWhenUsed/>
    <w:qFormat/>
    <w:rsid w:val="00FB58C8"/>
    <w:pPr>
      <w:spacing w:after="240"/>
      <w:outlineLvl w:val="2"/>
    </w:pPr>
    <w:rPr>
      <w:color w:val="404040" w:themeColor="text1" w:themeTint="BF"/>
      <w:sz w:val="28"/>
      <w:szCs w:val="28"/>
      <w:lang w:val="en-AU"/>
    </w:rPr>
  </w:style>
  <w:style w:type="paragraph" w:styleId="Heading4">
    <w:name w:val="heading 4"/>
    <w:basedOn w:val="Normal"/>
    <w:next w:val="Normal"/>
    <w:link w:val="Heading4Char"/>
    <w:autoRedefine/>
    <w:uiPriority w:val="9"/>
    <w:unhideWhenUsed/>
    <w:qFormat/>
    <w:rsid w:val="00C86473"/>
    <w:pPr>
      <w:keepNext/>
      <w:keepLines/>
      <w:spacing w:before="40" w:after="0"/>
      <w:outlineLvl w:val="3"/>
    </w:pPr>
    <w:rPr>
      <w:rFonts w:eastAsiaTheme="majorEastAsia"/>
      <w:b/>
      <w:color w:val="auto"/>
      <w:sz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53B"/>
    <w:rPr>
      <w:rFonts w:ascii="Arial" w:eastAsiaTheme="majorEastAsia" w:hAnsi="Arial" w:cs="Arial"/>
      <w:color w:val="000000" w:themeColor="text1"/>
      <w:sz w:val="56"/>
      <w:szCs w:val="56"/>
      <w:lang w:val="en-US"/>
    </w:rPr>
  </w:style>
  <w:style w:type="paragraph" w:customStyle="1" w:styleId="pbodytemplate">
    <w:name w:val="p_body* (template)"/>
    <w:basedOn w:val="Normal"/>
    <w:uiPriority w:val="99"/>
    <w:rsid w:val="00B616D6"/>
    <w:pPr>
      <w:spacing w:after="0" w:line="300" w:lineRule="atLeast"/>
    </w:pPr>
  </w:style>
  <w:style w:type="paragraph" w:customStyle="1" w:styleId="pbody-bulletedtemplate">
    <w:name w:val="p_body-bulleted (template)"/>
    <w:basedOn w:val="pbodytemplate"/>
    <w:uiPriority w:val="99"/>
    <w:rsid w:val="00B616D6"/>
    <w:pPr>
      <w:spacing w:before="113" w:after="170"/>
      <w:ind w:left="567" w:hanging="340"/>
      <w:jc w:val="left"/>
    </w:pPr>
  </w:style>
  <w:style w:type="character" w:customStyle="1" w:styleId="Bold">
    <w:name w:val="Bold"/>
    <w:uiPriority w:val="99"/>
    <w:rsid w:val="00B616D6"/>
    <w:rPr>
      <w:b/>
      <w:bCs/>
    </w:rPr>
  </w:style>
  <w:style w:type="paragraph" w:customStyle="1" w:styleId="pfeaturetexttemplate">
    <w:name w:val="p_feature text (template)"/>
    <w:basedOn w:val="pbodytemplate"/>
    <w:uiPriority w:val="99"/>
    <w:rsid w:val="00B616D6"/>
    <w:pPr>
      <w:spacing w:before="227" w:line="360" w:lineRule="atLeast"/>
      <w:jc w:val="left"/>
    </w:pPr>
    <w:rPr>
      <w:rFonts w:ascii="Aktiv Grotesk Light" w:hAnsi="Aktiv Grotesk Light" w:cs="Aktiv Grotesk Light"/>
      <w:sz w:val="26"/>
      <w:szCs w:val="26"/>
    </w:rPr>
  </w:style>
  <w:style w:type="paragraph" w:styleId="Quote">
    <w:name w:val="Quote"/>
    <w:basedOn w:val="pfeaturetexttemplate"/>
    <w:next w:val="Normal"/>
    <w:link w:val="QuoteChar"/>
    <w:uiPriority w:val="29"/>
    <w:qFormat/>
    <w:rsid w:val="003B429A"/>
    <w:pPr>
      <w:pBdr>
        <w:top w:val="single" w:sz="12" w:space="1" w:color="F2F2F2" w:themeColor="background1" w:themeShade="F2"/>
        <w:left w:val="single" w:sz="12" w:space="4" w:color="F2F2F2" w:themeColor="background1" w:themeShade="F2"/>
        <w:bottom w:val="single" w:sz="12" w:space="1" w:color="F2F2F2" w:themeColor="background1" w:themeShade="F2"/>
        <w:right w:val="single" w:sz="12" w:space="4" w:color="F2F2F2" w:themeColor="background1" w:themeShade="F2"/>
      </w:pBdr>
      <w:shd w:val="clear" w:color="auto" w:fill="F2F2F2" w:themeFill="background1" w:themeFillShade="F2"/>
      <w:spacing w:before="240" w:after="240"/>
    </w:pPr>
    <w:rPr>
      <w:rFonts w:ascii="Arial" w:hAnsi="Arial" w:cs="Arial"/>
      <w:i/>
      <w:iCs/>
      <w:color w:val="000038"/>
      <w:bdr w:val="single" w:sz="12" w:space="0" w:color="F2F2F2" w:themeColor="background1" w:themeShade="F2"/>
      <w:lang w:val="en-AU"/>
    </w:rPr>
  </w:style>
  <w:style w:type="character" w:customStyle="1" w:styleId="QuoteChar">
    <w:name w:val="Quote Char"/>
    <w:basedOn w:val="DefaultParagraphFont"/>
    <w:link w:val="Quote"/>
    <w:uiPriority w:val="29"/>
    <w:rsid w:val="003B429A"/>
    <w:rPr>
      <w:rFonts w:ascii="Arial" w:hAnsi="Arial" w:cs="Arial"/>
      <w:i/>
      <w:iCs/>
      <w:color w:val="000038"/>
      <w:sz w:val="26"/>
      <w:szCs w:val="26"/>
      <w:bdr w:val="single" w:sz="12" w:space="0" w:color="F2F2F2" w:themeColor="background1" w:themeShade="F2"/>
      <w:shd w:val="clear" w:color="auto" w:fill="F2F2F2" w:themeFill="background1" w:themeFillShade="F2"/>
    </w:rPr>
  </w:style>
  <w:style w:type="character" w:customStyle="1" w:styleId="Heading2Char">
    <w:name w:val="Heading 2 Char"/>
    <w:basedOn w:val="DefaultParagraphFont"/>
    <w:link w:val="Heading2"/>
    <w:uiPriority w:val="9"/>
    <w:rsid w:val="00884856"/>
    <w:rPr>
      <w:rFonts w:ascii="Arial" w:eastAsiaTheme="majorEastAsia" w:hAnsi="Arial" w:cs="Arial"/>
      <w:b/>
      <w:bCs/>
      <w:color w:val="000000" w:themeColor="text1"/>
      <w:sz w:val="40"/>
      <w:szCs w:val="40"/>
      <w:lang w:val="en-US"/>
    </w:rPr>
  </w:style>
  <w:style w:type="paragraph" w:styleId="ListParagraph">
    <w:name w:val="List Paragraph"/>
    <w:basedOn w:val="pbody-bulletedtemplate"/>
    <w:uiPriority w:val="34"/>
    <w:qFormat/>
    <w:rsid w:val="00884856"/>
    <w:pPr>
      <w:numPr>
        <w:numId w:val="1"/>
      </w:numPr>
    </w:pPr>
  </w:style>
  <w:style w:type="character" w:customStyle="1" w:styleId="Heading3Char">
    <w:name w:val="Heading 3 Char"/>
    <w:basedOn w:val="DefaultParagraphFont"/>
    <w:link w:val="Heading3"/>
    <w:uiPriority w:val="9"/>
    <w:rsid w:val="00FB58C8"/>
    <w:rPr>
      <w:rFonts w:ascii="Arial" w:eastAsiaTheme="majorEastAsia" w:hAnsi="Arial" w:cs="Arial"/>
      <w:b/>
      <w:bCs/>
      <w:color w:val="404040" w:themeColor="text1" w:themeTint="BF"/>
      <w:sz w:val="28"/>
      <w:szCs w:val="28"/>
    </w:rPr>
  </w:style>
  <w:style w:type="character" w:customStyle="1" w:styleId="Heading4Char">
    <w:name w:val="Heading 4 Char"/>
    <w:basedOn w:val="DefaultParagraphFont"/>
    <w:link w:val="Heading4"/>
    <w:uiPriority w:val="9"/>
    <w:rsid w:val="00C86473"/>
    <w:rPr>
      <w:rFonts w:ascii="Arial" w:eastAsiaTheme="majorEastAsia" w:hAnsi="Arial" w:cs="Arial"/>
      <w:b/>
      <w:szCs w:val="22"/>
    </w:rPr>
  </w:style>
  <w:style w:type="paragraph" w:customStyle="1" w:styleId="Default">
    <w:name w:val="Default"/>
    <w:rsid w:val="007D796E"/>
    <w:pPr>
      <w:autoSpaceDE w:val="0"/>
      <w:autoSpaceDN w:val="0"/>
      <w:adjustRightInd w:val="0"/>
    </w:pPr>
    <w:rPr>
      <w:rFonts w:ascii="Arial" w:hAnsi="Arial" w:cs="Arial"/>
      <w:color w:val="000000"/>
      <w:lang w:val="en-GB"/>
    </w:rPr>
  </w:style>
  <w:style w:type="paragraph" w:customStyle="1" w:styleId="Pa1">
    <w:name w:val="Pa1"/>
    <w:basedOn w:val="Default"/>
    <w:next w:val="Default"/>
    <w:uiPriority w:val="99"/>
    <w:rsid w:val="007D796E"/>
    <w:pPr>
      <w:spacing w:line="221" w:lineRule="atLeast"/>
    </w:pPr>
    <w:rPr>
      <w:color w:val="auto"/>
    </w:rPr>
  </w:style>
  <w:style w:type="character" w:customStyle="1" w:styleId="A7">
    <w:name w:val="A7"/>
    <w:uiPriority w:val="99"/>
    <w:rsid w:val="0085708F"/>
    <w:rPr>
      <w:b/>
      <w:bCs/>
      <w:color w:val="000000"/>
      <w:sz w:val="22"/>
      <w:szCs w:val="22"/>
    </w:rPr>
  </w:style>
  <w:style w:type="character" w:customStyle="1" w:styleId="A3">
    <w:name w:val="A3"/>
    <w:uiPriority w:val="99"/>
    <w:rsid w:val="00D533D8"/>
    <w:rPr>
      <w:color w:val="000000"/>
      <w:sz w:val="12"/>
      <w:szCs w:val="12"/>
    </w:rPr>
  </w:style>
  <w:style w:type="paragraph" w:customStyle="1" w:styleId="Pa8">
    <w:name w:val="Pa8"/>
    <w:basedOn w:val="Default"/>
    <w:next w:val="Default"/>
    <w:uiPriority w:val="99"/>
    <w:rsid w:val="00D533D8"/>
    <w:pPr>
      <w:spacing w:line="381" w:lineRule="atLeast"/>
    </w:pPr>
    <w:rPr>
      <w:color w:val="auto"/>
    </w:rPr>
  </w:style>
  <w:style w:type="paragraph" w:customStyle="1" w:styleId="Pa40">
    <w:name w:val="Pa40"/>
    <w:basedOn w:val="Default"/>
    <w:next w:val="Default"/>
    <w:uiPriority w:val="99"/>
    <w:rsid w:val="00991713"/>
    <w:pPr>
      <w:spacing w:line="261" w:lineRule="atLeast"/>
    </w:pPr>
    <w:rPr>
      <w:rFonts w:ascii="TZRPAA+AktivGrotesk-Bold" w:hAnsi="TZRPAA+AktivGrotesk-Bold" w:cstheme="minorBidi"/>
      <w:color w:val="auto"/>
    </w:rPr>
  </w:style>
  <w:style w:type="paragraph" w:customStyle="1" w:styleId="Pa14">
    <w:name w:val="Pa14"/>
    <w:basedOn w:val="Default"/>
    <w:next w:val="Default"/>
    <w:uiPriority w:val="99"/>
    <w:rsid w:val="00991713"/>
    <w:pPr>
      <w:spacing w:line="241" w:lineRule="atLeast"/>
    </w:pPr>
    <w:rPr>
      <w:rFonts w:ascii="TZRPAA+AktivGrotesk-Bold" w:hAnsi="TZRPAA+AktivGrotesk-Bold" w:cstheme="minorBidi"/>
      <w:color w:val="auto"/>
    </w:rPr>
  </w:style>
  <w:style w:type="character" w:customStyle="1" w:styleId="A0">
    <w:name w:val="A0"/>
    <w:uiPriority w:val="99"/>
    <w:rsid w:val="00991713"/>
    <w:rPr>
      <w:rFonts w:ascii="FONT AWESOME 6 FREE SOLID" w:hAnsi="FONT AWESOME 6 FREE SOLID" w:cs="FONT AWESOME 6 FREE SOLID"/>
      <w:b/>
      <w:bCs/>
      <w:color w:val="000000"/>
    </w:rPr>
  </w:style>
  <w:style w:type="paragraph" w:customStyle="1" w:styleId="Pa39">
    <w:name w:val="Pa39"/>
    <w:basedOn w:val="Default"/>
    <w:next w:val="Default"/>
    <w:uiPriority w:val="99"/>
    <w:rsid w:val="00F3764D"/>
    <w:pPr>
      <w:spacing w:line="261" w:lineRule="atLeast"/>
    </w:pPr>
    <w:rPr>
      <w:rFonts w:ascii="TZRPAA+AktivGrotesk-Bold" w:hAnsi="TZRPAA+AktivGrotesk-Bold" w:cstheme="minorBidi"/>
      <w:color w:val="auto"/>
    </w:rPr>
  </w:style>
  <w:style w:type="paragraph" w:customStyle="1" w:styleId="Pa48">
    <w:name w:val="Pa48"/>
    <w:basedOn w:val="Default"/>
    <w:next w:val="Default"/>
    <w:uiPriority w:val="99"/>
    <w:rsid w:val="00CE62F8"/>
    <w:pPr>
      <w:spacing w:line="241" w:lineRule="atLeast"/>
    </w:pPr>
    <w:rPr>
      <w:rFonts w:ascii="TZRPAA+AktivGrotesk-Bold" w:hAnsi="TZRPAA+AktivGrotesk-Bold" w:cstheme="minorBidi"/>
      <w:color w:val="auto"/>
    </w:rPr>
  </w:style>
  <w:style w:type="paragraph" w:customStyle="1" w:styleId="Pa7">
    <w:name w:val="Pa7"/>
    <w:basedOn w:val="Default"/>
    <w:next w:val="Default"/>
    <w:uiPriority w:val="99"/>
    <w:rsid w:val="00536202"/>
    <w:pPr>
      <w:spacing w:line="261" w:lineRule="atLeast"/>
    </w:pPr>
    <w:rPr>
      <w:rFonts w:ascii="TZRPAA+AktivGrotesk-Medium" w:hAnsi="TZRPAA+AktivGrotesk-Medium" w:cstheme="minorBidi"/>
      <w:color w:val="auto"/>
    </w:rPr>
  </w:style>
  <w:style w:type="character" w:customStyle="1" w:styleId="A5">
    <w:name w:val="A5"/>
    <w:uiPriority w:val="99"/>
    <w:rsid w:val="00002D2C"/>
    <w:rPr>
      <w:rFonts w:ascii="Arial" w:hAnsi="Arial" w:cs="Arial"/>
      <w:color w:val="000000"/>
      <w:sz w:val="10"/>
      <w:szCs w:val="10"/>
    </w:rPr>
  </w:style>
  <w:style w:type="character" w:customStyle="1" w:styleId="A6">
    <w:name w:val="A6"/>
    <w:uiPriority w:val="99"/>
    <w:rsid w:val="00002D2C"/>
    <w:rPr>
      <w:rFonts w:ascii="Arial" w:hAnsi="Arial" w:cs="Arial"/>
      <w:color w:val="000000"/>
      <w:sz w:val="18"/>
      <w:szCs w:val="18"/>
    </w:rPr>
  </w:style>
  <w:style w:type="paragraph" w:customStyle="1" w:styleId="Pa51">
    <w:name w:val="Pa51"/>
    <w:basedOn w:val="Default"/>
    <w:next w:val="Default"/>
    <w:uiPriority w:val="99"/>
    <w:rsid w:val="00002D2C"/>
    <w:pPr>
      <w:spacing w:line="241" w:lineRule="atLeast"/>
    </w:pPr>
    <w:rPr>
      <w:rFonts w:ascii="TZRPAA+AktivGrotesk-Bold" w:hAnsi="TZRPAA+AktivGrotesk-Bold" w:cstheme="minorBidi"/>
      <w:color w:val="auto"/>
    </w:rPr>
  </w:style>
  <w:style w:type="paragraph" w:styleId="FootnoteText">
    <w:name w:val="footnote text"/>
    <w:basedOn w:val="Normal"/>
    <w:link w:val="FootnoteTextChar"/>
    <w:uiPriority w:val="99"/>
    <w:semiHidden/>
    <w:unhideWhenUsed/>
    <w:rsid w:val="0058726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8726E"/>
    <w:rPr>
      <w:rFonts w:ascii="Arial" w:hAnsi="Arial" w:cs="Arial"/>
      <w:color w:val="000000"/>
      <w:sz w:val="20"/>
      <w:szCs w:val="20"/>
      <w:lang w:val="en-US"/>
    </w:rPr>
  </w:style>
  <w:style w:type="character" w:styleId="FootnoteReference">
    <w:name w:val="footnote reference"/>
    <w:basedOn w:val="DefaultParagraphFont"/>
    <w:uiPriority w:val="99"/>
    <w:semiHidden/>
    <w:unhideWhenUsed/>
    <w:rsid w:val="0058726E"/>
    <w:rPr>
      <w:vertAlign w:val="superscript"/>
    </w:rPr>
  </w:style>
  <w:style w:type="paragraph" w:customStyle="1" w:styleId="Pa52">
    <w:name w:val="Pa52"/>
    <w:basedOn w:val="Default"/>
    <w:next w:val="Default"/>
    <w:uiPriority w:val="99"/>
    <w:rsid w:val="0068189E"/>
    <w:pPr>
      <w:spacing w:line="241" w:lineRule="atLeast"/>
    </w:pPr>
    <w:rPr>
      <w:rFonts w:ascii="TZRPAA+AktivGrotesk-Bold" w:hAnsi="TZRPAA+AktivGrotesk-Bold" w:cstheme="minorBidi"/>
      <w:color w:val="auto"/>
    </w:rPr>
  </w:style>
  <w:style w:type="paragraph" w:customStyle="1" w:styleId="Pa53">
    <w:name w:val="Pa53"/>
    <w:basedOn w:val="Default"/>
    <w:next w:val="Default"/>
    <w:uiPriority w:val="99"/>
    <w:rsid w:val="0068189E"/>
    <w:pPr>
      <w:spacing w:line="241" w:lineRule="atLeast"/>
    </w:pPr>
    <w:rPr>
      <w:rFonts w:ascii="TZRPAA+AktivGrotesk-Bold" w:hAnsi="TZRPAA+AktivGrotesk-Bold" w:cstheme="minorBidi"/>
      <w:color w:val="auto"/>
    </w:rPr>
  </w:style>
  <w:style w:type="character" w:customStyle="1" w:styleId="A12">
    <w:name w:val="A12"/>
    <w:uiPriority w:val="99"/>
    <w:rsid w:val="00D2190F"/>
    <w:rPr>
      <w:color w:val="000000"/>
      <w:sz w:val="22"/>
      <w:szCs w:val="22"/>
      <w:u w:val="single"/>
    </w:rPr>
  </w:style>
  <w:style w:type="character" w:customStyle="1" w:styleId="A17">
    <w:name w:val="A17"/>
    <w:uiPriority w:val="99"/>
    <w:rsid w:val="006958A4"/>
    <w:rPr>
      <w:color w:val="000000"/>
      <w:sz w:val="21"/>
      <w:szCs w:val="21"/>
    </w:rPr>
  </w:style>
  <w:style w:type="character" w:customStyle="1" w:styleId="A18">
    <w:name w:val="A18"/>
    <w:uiPriority w:val="99"/>
    <w:rsid w:val="006958A4"/>
    <w:rPr>
      <w:color w:val="000000"/>
      <w:sz w:val="12"/>
      <w:szCs w:val="12"/>
    </w:rPr>
  </w:style>
  <w:style w:type="paragraph" w:customStyle="1" w:styleId="Pa64">
    <w:name w:val="Pa64"/>
    <w:basedOn w:val="Default"/>
    <w:next w:val="Default"/>
    <w:uiPriority w:val="99"/>
    <w:rsid w:val="00EE2185"/>
    <w:pPr>
      <w:spacing w:line="241" w:lineRule="atLeast"/>
    </w:pPr>
    <w:rPr>
      <w:color w:val="auto"/>
    </w:rPr>
  </w:style>
  <w:style w:type="character" w:customStyle="1" w:styleId="A20">
    <w:name w:val="A20"/>
    <w:uiPriority w:val="99"/>
    <w:rsid w:val="00A004C3"/>
    <w:rPr>
      <w:rFonts w:ascii="Arial" w:hAnsi="Arial" w:cs="Arial"/>
      <w:color w:val="000000"/>
      <w:sz w:val="20"/>
      <w:szCs w:val="20"/>
    </w:rPr>
  </w:style>
  <w:style w:type="paragraph" w:customStyle="1" w:styleId="Pa37">
    <w:name w:val="Pa37"/>
    <w:basedOn w:val="Default"/>
    <w:next w:val="Default"/>
    <w:uiPriority w:val="99"/>
    <w:rsid w:val="00917390"/>
    <w:pPr>
      <w:spacing w:line="221" w:lineRule="atLeast"/>
    </w:pPr>
    <w:rPr>
      <w:rFonts w:ascii="TZRPAA+AktivGrotesk-Bold" w:hAnsi="TZRPAA+AktivGrotesk-Bold" w:cstheme="minorBidi"/>
      <w:color w:val="auto"/>
    </w:rPr>
  </w:style>
  <w:style w:type="character" w:customStyle="1" w:styleId="A15">
    <w:name w:val="A15"/>
    <w:uiPriority w:val="99"/>
    <w:rsid w:val="00EF0CD2"/>
    <w:rPr>
      <w:color w:val="000000"/>
      <w:sz w:val="16"/>
      <w:szCs w:val="16"/>
    </w:rPr>
  </w:style>
  <w:style w:type="paragraph" w:styleId="Caption">
    <w:name w:val="caption"/>
    <w:basedOn w:val="Normal"/>
    <w:next w:val="Normal"/>
    <w:uiPriority w:val="35"/>
    <w:unhideWhenUsed/>
    <w:qFormat/>
    <w:rsid w:val="00A53EDF"/>
    <w:pPr>
      <w:spacing w:before="0" w:line="240" w:lineRule="auto"/>
    </w:pPr>
    <w:rPr>
      <w:i/>
      <w:iCs/>
      <w:color w:val="44546A" w:themeColor="text2"/>
      <w:sz w:val="18"/>
      <w:szCs w:val="18"/>
    </w:rPr>
  </w:style>
  <w:style w:type="character" w:styleId="Hyperlink">
    <w:name w:val="Hyperlink"/>
    <w:basedOn w:val="DefaultParagraphFont"/>
    <w:uiPriority w:val="99"/>
    <w:unhideWhenUsed/>
    <w:rsid w:val="00F47E08"/>
    <w:rPr>
      <w:color w:val="0563C1" w:themeColor="hyperlink"/>
      <w:u w:val="single"/>
    </w:rPr>
  </w:style>
  <w:style w:type="character" w:styleId="UnresolvedMention">
    <w:name w:val="Unresolved Mention"/>
    <w:basedOn w:val="DefaultParagraphFont"/>
    <w:uiPriority w:val="99"/>
    <w:semiHidden/>
    <w:unhideWhenUsed/>
    <w:rsid w:val="00F47E08"/>
    <w:rPr>
      <w:color w:val="605E5C"/>
      <w:shd w:val="clear" w:color="auto" w:fill="E1DFDD"/>
    </w:rPr>
  </w:style>
  <w:style w:type="paragraph" w:styleId="TOCHeading">
    <w:name w:val="TOC Heading"/>
    <w:basedOn w:val="Heading1"/>
    <w:next w:val="Normal"/>
    <w:uiPriority w:val="39"/>
    <w:unhideWhenUsed/>
    <w:qFormat/>
    <w:rsid w:val="00922BED"/>
    <w:pPr>
      <w:suppressAutoHyphens w:val="0"/>
      <w:autoSpaceDE/>
      <w:autoSpaceDN/>
      <w:adjustRightInd/>
      <w:spacing w:before="480" w:after="0"/>
      <w:jc w:val="left"/>
      <w:textAlignment w:val="auto"/>
      <w:outlineLvl w:val="9"/>
    </w:pPr>
    <w:rPr>
      <w:rFonts w:asciiTheme="majorHAnsi" w:hAnsiTheme="majorHAnsi" w:cstheme="majorBidi"/>
      <w:b/>
      <w:bCs/>
      <w:color w:val="2F5496" w:themeColor="accent1" w:themeShade="BF"/>
      <w:sz w:val="28"/>
      <w:szCs w:val="28"/>
    </w:rPr>
  </w:style>
  <w:style w:type="paragraph" w:styleId="TOC2">
    <w:name w:val="toc 2"/>
    <w:basedOn w:val="Normal"/>
    <w:next w:val="Normal"/>
    <w:autoRedefine/>
    <w:uiPriority w:val="39"/>
    <w:unhideWhenUsed/>
    <w:rsid w:val="002C1B89"/>
    <w:pPr>
      <w:tabs>
        <w:tab w:val="right" w:leader="dot" w:pos="9010"/>
      </w:tabs>
      <w:spacing w:before="120" w:after="0"/>
      <w:ind w:left="220"/>
      <w:jc w:val="left"/>
    </w:pPr>
    <w:rPr>
      <w:noProof/>
      <w:lang w:val="en-AU"/>
    </w:rPr>
  </w:style>
  <w:style w:type="paragraph" w:styleId="TOC1">
    <w:name w:val="toc 1"/>
    <w:basedOn w:val="Normal"/>
    <w:next w:val="Normal"/>
    <w:autoRedefine/>
    <w:uiPriority w:val="39"/>
    <w:unhideWhenUsed/>
    <w:rsid w:val="00922BED"/>
    <w:pPr>
      <w:spacing w:before="120" w:after="0"/>
      <w:jc w:val="left"/>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922BED"/>
    <w:pPr>
      <w:spacing w:before="0" w:after="0"/>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22BED"/>
    <w:pPr>
      <w:spacing w:before="0" w:after="0"/>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22BED"/>
    <w:pPr>
      <w:spacing w:before="0" w:after="0"/>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22BED"/>
    <w:pPr>
      <w:spacing w:before="0" w:after="0"/>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22BED"/>
    <w:pPr>
      <w:spacing w:before="0" w:after="0"/>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22BED"/>
    <w:pPr>
      <w:spacing w:before="0" w:after="0"/>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22BED"/>
    <w:pPr>
      <w:spacing w:before="0" w:after="0"/>
      <w:ind w:left="1760"/>
      <w:jc w:val="left"/>
    </w:pPr>
    <w:rPr>
      <w:rFonts w:asciiTheme="minorHAnsi" w:hAnsiTheme="minorHAnsi" w:cstheme="minorHAnsi"/>
      <w:sz w:val="20"/>
      <w:szCs w:val="20"/>
    </w:rPr>
  </w:style>
  <w:style w:type="paragraph" w:customStyle="1" w:styleId="Pa2">
    <w:name w:val="Pa2"/>
    <w:basedOn w:val="Default"/>
    <w:next w:val="Default"/>
    <w:uiPriority w:val="99"/>
    <w:rsid w:val="00C51228"/>
    <w:pPr>
      <w:spacing w:line="621" w:lineRule="atLeast"/>
    </w:pPr>
    <w:rPr>
      <w:rFonts w:ascii="Aktiv Grotesk Light" w:hAnsi="Aktiv Grotesk Light" w:cs="Times New Roman"/>
      <w:color w:val="auto"/>
    </w:rPr>
  </w:style>
  <w:style w:type="paragraph" w:customStyle="1" w:styleId="Pa69">
    <w:name w:val="Pa69"/>
    <w:basedOn w:val="Default"/>
    <w:next w:val="Default"/>
    <w:uiPriority w:val="99"/>
    <w:rsid w:val="00C51228"/>
    <w:pPr>
      <w:spacing w:line="181" w:lineRule="atLeast"/>
    </w:pPr>
    <w:rPr>
      <w:rFonts w:ascii="Aktiv Grotesk Light" w:hAnsi="Aktiv Grotesk Light" w:cs="Times New Roman"/>
      <w:color w:val="auto"/>
    </w:rPr>
  </w:style>
  <w:style w:type="character" w:styleId="FollowedHyperlink">
    <w:name w:val="FollowedHyperlink"/>
    <w:basedOn w:val="DefaultParagraphFont"/>
    <w:uiPriority w:val="99"/>
    <w:semiHidden/>
    <w:unhideWhenUsed/>
    <w:rsid w:val="003B429A"/>
    <w:rPr>
      <w:color w:val="954F72" w:themeColor="followedHyperlink"/>
      <w:u w:val="single"/>
    </w:rPr>
  </w:style>
  <w:style w:type="paragraph" w:styleId="EndnoteText">
    <w:name w:val="endnote text"/>
    <w:basedOn w:val="Normal"/>
    <w:link w:val="EndnoteTextChar"/>
    <w:uiPriority w:val="99"/>
    <w:unhideWhenUsed/>
    <w:rsid w:val="004E252D"/>
    <w:pPr>
      <w:spacing w:before="0" w:after="0" w:line="240" w:lineRule="auto"/>
    </w:pPr>
    <w:rPr>
      <w:sz w:val="20"/>
      <w:szCs w:val="20"/>
    </w:rPr>
  </w:style>
  <w:style w:type="character" w:customStyle="1" w:styleId="EndnoteTextChar">
    <w:name w:val="Endnote Text Char"/>
    <w:basedOn w:val="DefaultParagraphFont"/>
    <w:link w:val="EndnoteText"/>
    <w:uiPriority w:val="99"/>
    <w:rsid w:val="004E252D"/>
    <w:rPr>
      <w:rFonts w:ascii="Arial" w:hAnsi="Arial" w:cs="Arial"/>
      <w:color w:val="000000"/>
      <w:sz w:val="20"/>
      <w:szCs w:val="20"/>
      <w:lang w:val="en-US"/>
    </w:rPr>
  </w:style>
  <w:style w:type="character" w:styleId="EndnoteReference">
    <w:name w:val="endnote reference"/>
    <w:basedOn w:val="DefaultParagraphFont"/>
    <w:uiPriority w:val="99"/>
    <w:unhideWhenUsed/>
    <w:rsid w:val="004E252D"/>
    <w:rPr>
      <w:vertAlign w:val="superscript"/>
    </w:rPr>
  </w:style>
  <w:style w:type="paragraph" w:styleId="TableofFigures">
    <w:name w:val="table of figures"/>
    <w:basedOn w:val="Normal"/>
    <w:next w:val="Normal"/>
    <w:uiPriority w:val="99"/>
    <w:unhideWhenUsed/>
    <w:rsid w:val="002A3CDA"/>
    <w:pPr>
      <w:spacing w:after="0"/>
    </w:pPr>
  </w:style>
  <w:style w:type="paragraph" w:styleId="E-mailSignature">
    <w:name w:val="E-mail Signature"/>
    <w:basedOn w:val="Normal"/>
    <w:link w:val="E-mailSignatureChar"/>
    <w:uiPriority w:val="99"/>
    <w:unhideWhenUsed/>
    <w:rsid w:val="00C8757F"/>
    <w:pPr>
      <w:spacing w:before="0" w:after="0" w:line="240" w:lineRule="auto"/>
    </w:pPr>
  </w:style>
  <w:style w:type="character" w:customStyle="1" w:styleId="E-mailSignatureChar">
    <w:name w:val="E-mail Signature Char"/>
    <w:basedOn w:val="DefaultParagraphFont"/>
    <w:link w:val="E-mailSignature"/>
    <w:uiPriority w:val="99"/>
    <w:rsid w:val="00C8757F"/>
    <w:rPr>
      <w:rFonts w:ascii="Arial" w:hAnsi="Arial" w:cs="Arial"/>
      <w:color w:val="000000"/>
      <w:sz w:val="22"/>
      <w:szCs w:val="22"/>
      <w:lang w:val="en-US"/>
    </w:rPr>
  </w:style>
  <w:style w:type="paragraph" w:styleId="Footer">
    <w:name w:val="footer"/>
    <w:basedOn w:val="Normal"/>
    <w:link w:val="FooterChar"/>
    <w:uiPriority w:val="99"/>
    <w:unhideWhenUsed/>
    <w:rsid w:val="00CB43E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43EF"/>
    <w:rPr>
      <w:rFonts w:ascii="Arial" w:hAnsi="Arial" w:cs="Arial"/>
      <w:color w:val="000000"/>
      <w:sz w:val="22"/>
      <w:szCs w:val="22"/>
      <w:lang w:val="en-US"/>
    </w:rPr>
  </w:style>
  <w:style w:type="paragraph" w:styleId="Header">
    <w:name w:val="header"/>
    <w:basedOn w:val="Normal"/>
    <w:link w:val="HeaderChar"/>
    <w:uiPriority w:val="99"/>
    <w:unhideWhenUsed/>
    <w:rsid w:val="004C0D9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C0D97"/>
    <w:rPr>
      <w:rFonts w:ascii="Arial" w:hAnsi="Arial" w:cs="Arial"/>
      <w:color w:val="000000"/>
      <w:sz w:val="22"/>
      <w:szCs w:val="22"/>
      <w:lang w:val="en-US"/>
    </w:rPr>
  </w:style>
  <w:style w:type="paragraph" w:styleId="Title">
    <w:name w:val="Title"/>
    <w:basedOn w:val="Normal"/>
    <w:next w:val="Normal"/>
    <w:link w:val="TitleChar"/>
    <w:uiPriority w:val="10"/>
    <w:qFormat/>
    <w:rsid w:val="00ED13D2"/>
    <w:pPr>
      <w:suppressAutoHyphens w:val="0"/>
      <w:autoSpaceDE/>
      <w:autoSpaceDN/>
      <w:adjustRightInd/>
      <w:spacing w:before="360" w:after="0" w:line="240" w:lineRule="auto"/>
      <w:jc w:val="left"/>
      <w:textAlignment w:val="auto"/>
    </w:pPr>
    <w:rPr>
      <w:b/>
      <w:bCs/>
      <w:sz w:val="56"/>
      <w:szCs w:val="56"/>
      <w:lang w:val="en-AU"/>
    </w:rPr>
  </w:style>
  <w:style w:type="character" w:customStyle="1" w:styleId="TitleChar">
    <w:name w:val="Title Char"/>
    <w:basedOn w:val="DefaultParagraphFont"/>
    <w:link w:val="Title"/>
    <w:uiPriority w:val="10"/>
    <w:rsid w:val="00ED13D2"/>
    <w:rPr>
      <w:rFonts w:ascii="Arial" w:hAnsi="Arial" w:cs="Arial"/>
      <w:b/>
      <w:bCs/>
      <w:color w:val="000000"/>
      <w:sz w:val="56"/>
      <w:szCs w:val="56"/>
    </w:rPr>
  </w:style>
  <w:style w:type="character" w:styleId="PageNumber">
    <w:name w:val="page number"/>
    <w:basedOn w:val="DefaultParagraphFont"/>
    <w:uiPriority w:val="99"/>
    <w:semiHidden/>
    <w:unhideWhenUsed/>
    <w:rsid w:val="0052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health.gov.au/committees-and-groups/health-ministers-meeting-hmm"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health.gov.au/committees-and-groups/health-ministers-meeting-hm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16" ma:contentTypeDescription="Create a new document." ma:contentTypeScope="" ma:versionID="479c1f15be3c022ae0ebd63c0e26326d">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310a9467fdba5ea1b2e010c56be57629"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a8b65e-c01f-462e-a6b0-029fc9e4be2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ac25f2-818c-49fb-92d7-d9d8071eff53}" ma:internalName="TaxCatchAll" ma:showField="CatchAllData" ma:web="b87a0ca5-9692-42a6-8f4b-86b507af2e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87a0ca5-9692-42a6-8f4b-86b507af2eb0" xsi:nil="true"/>
    <lcf76f155ced4ddcb4097134ff3c332f xmlns="942b0962-67b0-40b8-8bda-eb1e533633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6A66C4-1AC0-2F49-9623-082B98F3EF53}">
  <ds:schemaRefs>
    <ds:schemaRef ds:uri="http://schemas.openxmlformats.org/officeDocument/2006/bibliography"/>
  </ds:schemaRefs>
</ds:datastoreItem>
</file>

<file path=customXml/itemProps2.xml><?xml version="1.0" encoding="utf-8"?>
<ds:datastoreItem xmlns:ds="http://schemas.openxmlformats.org/officeDocument/2006/customXml" ds:itemID="{3D0C38A2-40A1-4095-8C05-2CF32F969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198C34-3BB9-4FA2-87C1-702C30B0027F}">
  <ds:schemaRefs>
    <ds:schemaRef ds:uri="http://schemas.microsoft.com/sharepoint/v3/contenttype/forms"/>
  </ds:schemaRefs>
</ds:datastoreItem>
</file>

<file path=customXml/itemProps4.xml><?xml version="1.0" encoding="utf-8"?>
<ds:datastoreItem xmlns:ds="http://schemas.openxmlformats.org/officeDocument/2006/customXml" ds:itemID="{D8FFF562-501F-4DC2-9D08-7F982C8DB0FF}">
  <ds:schemaRefs>
    <ds:schemaRef ds:uri="b87a0ca5-9692-42a6-8f4b-86b507af2eb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942b0962-67b0-40b8-8bda-eb1e5336332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943</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6312</CharactersWithSpaces>
  <SharedDoc>false</SharedDoc>
  <HLinks>
    <vt:vector size="294" baseType="variant">
      <vt:variant>
        <vt:i4>6357066</vt:i4>
      </vt:variant>
      <vt:variant>
        <vt:i4>297</vt:i4>
      </vt:variant>
      <vt:variant>
        <vt:i4>0</vt:i4>
      </vt:variant>
      <vt:variant>
        <vt:i4>5</vt:i4>
      </vt:variant>
      <vt:variant>
        <vt:lpwstr/>
      </vt:variant>
      <vt:variant>
        <vt:lpwstr>_Appendix_3:_Strategy</vt:lpwstr>
      </vt:variant>
      <vt:variant>
        <vt:i4>8192090</vt:i4>
      </vt:variant>
      <vt:variant>
        <vt:i4>294</vt:i4>
      </vt:variant>
      <vt:variant>
        <vt:i4>0</vt:i4>
      </vt:variant>
      <vt:variant>
        <vt:i4>5</vt:i4>
      </vt:variant>
      <vt:variant>
        <vt:lpwstr/>
      </vt:variant>
      <vt:variant>
        <vt:lpwstr>_Appendix_2:_Related</vt:lpwstr>
      </vt:variant>
      <vt:variant>
        <vt:i4>2490383</vt:i4>
      </vt:variant>
      <vt:variant>
        <vt:i4>282</vt:i4>
      </vt:variant>
      <vt:variant>
        <vt:i4>0</vt:i4>
      </vt:variant>
      <vt:variant>
        <vt:i4>5</vt:i4>
      </vt:variant>
      <vt:variant>
        <vt:lpwstr/>
      </vt:variant>
      <vt:variant>
        <vt:lpwstr>_A_balanced_portfolio</vt:lpwstr>
      </vt:variant>
      <vt:variant>
        <vt:i4>6357066</vt:i4>
      </vt:variant>
      <vt:variant>
        <vt:i4>279</vt:i4>
      </vt:variant>
      <vt:variant>
        <vt:i4>0</vt:i4>
      </vt:variant>
      <vt:variant>
        <vt:i4>5</vt:i4>
      </vt:variant>
      <vt:variant>
        <vt:lpwstr/>
      </vt:variant>
      <vt:variant>
        <vt:lpwstr>_Appendix_3:_Strategy</vt:lpwstr>
      </vt:variant>
      <vt:variant>
        <vt:i4>262192</vt:i4>
      </vt:variant>
      <vt:variant>
        <vt:i4>276</vt:i4>
      </vt:variant>
      <vt:variant>
        <vt:i4>0</vt:i4>
      </vt:variant>
      <vt:variant>
        <vt:i4>5</vt:i4>
      </vt:variant>
      <vt:variant>
        <vt:lpwstr/>
      </vt:variant>
      <vt:variant>
        <vt:lpwstr>_Appendix_1:_Alignment</vt:lpwstr>
      </vt:variant>
      <vt:variant>
        <vt:i4>8192090</vt:i4>
      </vt:variant>
      <vt:variant>
        <vt:i4>270</vt:i4>
      </vt:variant>
      <vt:variant>
        <vt:i4>0</vt:i4>
      </vt:variant>
      <vt:variant>
        <vt:i4>5</vt:i4>
      </vt:variant>
      <vt:variant>
        <vt:lpwstr/>
      </vt:variant>
      <vt:variant>
        <vt:lpwstr>_Appendix_2:_Related</vt:lpwstr>
      </vt:variant>
      <vt:variant>
        <vt:i4>5439575</vt:i4>
      </vt:variant>
      <vt:variant>
        <vt:i4>261</vt:i4>
      </vt:variant>
      <vt:variant>
        <vt:i4>0</vt:i4>
      </vt:variant>
      <vt:variant>
        <vt:i4>5</vt:i4>
      </vt:variant>
      <vt:variant>
        <vt:lpwstr>https://consultations.health.gov.au/population-health-and-sport-division/national-obesity-strategy/results/nos-summaryconsultationreport.pdf</vt:lpwstr>
      </vt:variant>
      <vt:variant>
        <vt:lpwstr/>
      </vt:variant>
      <vt:variant>
        <vt:i4>393338</vt:i4>
      </vt:variant>
      <vt:variant>
        <vt:i4>258</vt:i4>
      </vt:variant>
      <vt:variant>
        <vt:i4>0</vt:i4>
      </vt:variant>
      <vt:variant>
        <vt:i4>5</vt:i4>
      </vt:variant>
      <vt:variant>
        <vt:lpwstr>https://consultations.health.gov.au/population-health-and-sport-division/national-obesity-strategy/results/nos_consultationreport.pdf</vt:lpwstr>
      </vt:variant>
      <vt:variant>
        <vt:lpwstr/>
      </vt:variant>
      <vt:variant>
        <vt:i4>1048639</vt:i4>
      </vt:variant>
      <vt:variant>
        <vt:i4>239</vt:i4>
      </vt:variant>
      <vt:variant>
        <vt:i4>0</vt:i4>
      </vt:variant>
      <vt:variant>
        <vt:i4>5</vt:i4>
      </vt:variant>
      <vt:variant>
        <vt:lpwstr/>
      </vt:variant>
      <vt:variant>
        <vt:lpwstr>_Toc97132053</vt:lpwstr>
      </vt:variant>
      <vt:variant>
        <vt:i4>1114175</vt:i4>
      </vt:variant>
      <vt:variant>
        <vt:i4>233</vt:i4>
      </vt:variant>
      <vt:variant>
        <vt:i4>0</vt:i4>
      </vt:variant>
      <vt:variant>
        <vt:i4>5</vt:i4>
      </vt:variant>
      <vt:variant>
        <vt:lpwstr/>
      </vt:variant>
      <vt:variant>
        <vt:lpwstr>_Toc97132052</vt:lpwstr>
      </vt:variant>
      <vt:variant>
        <vt:i4>1179711</vt:i4>
      </vt:variant>
      <vt:variant>
        <vt:i4>227</vt:i4>
      </vt:variant>
      <vt:variant>
        <vt:i4>0</vt:i4>
      </vt:variant>
      <vt:variant>
        <vt:i4>5</vt:i4>
      </vt:variant>
      <vt:variant>
        <vt:lpwstr/>
      </vt:variant>
      <vt:variant>
        <vt:lpwstr>_Toc97132051</vt:lpwstr>
      </vt:variant>
      <vt:variant>
        <vt:i4>1245247</vt:i4>
      </vt:variant>
      <vt:variant>
        <vt:i4>221</vt:i4>
      </vt:variant>
      <vt:variant>
        <vt:i4>0</vt:i4>
      </vt:variant>
      <vt:variant>
        <vt:i4>5</vt:i4>
      </vt:variant>
      <vt:variant>
        <vt:lpwstr/>
      </vt:variant>
      <vt:variant>
        <vt:lpwstr>_Toc97132050</vt:lpwstr>
      </vt:variant>
      <vt:variant>
        <vt:i4>1703998</vt:i4>
      </vt:variant>
      <vt:variant>
        <vt:i4>215</vt:i4>
      </vt:variant>
      <vt:variant>
        <vt:i4>0</vt:i4>
      </vt:variant>
      <vt:variant>
        <vt:i4>5</vt:i4>
      </vt:variant>
      <vt:variant>
        <vt:lpwstr/>
      </vt:variant>
      <vt:variant>
        <vt:lpwstr>_Toc97132049</vt:lpwstr>
      </vt:variant>
      <vt:variant>
        <vt:i4>1769534</vt:i4>
      </vt:variant>
      <vt:variant>
        <vt:i4>209</vt:i4>
      </vt:variant>
      <vt:variant>
        <vt:i4>0</vt:i4>
      </vt:variant>
      <vt:variant>
        <vt:i4>5</vt:i4>
      </vt:variant>
      <vt:variant>
        <vt:lpwstr/>
      </vt:variant>
      <vt:variant>
        <vt:lpwstr>_Toc97132048</vt:lpwstr>
      </vt:variant>
      <vt:variant>
        <vt:i4>1310782</vt:i4>
      </vt:variant>
      <vt:variant>
        <vt:i4>203</vt:i4>
      </vt:variant>
      <vt:variant>
        <vt:i4>0</vt:i4>
      </vt:variant>
      <vt:variant>
        <vt:i4>5</vt:i4>
      </vt:variant>
      <vt:variant>
        <vt:lpwstr/>
      </vt:variant>
      <vt:variant>
        <vt:lpwstr>_Toc97132047</vt:lpwstr>
      </vt:variant>
      <vt:variant>
        <vt:i4>1376318</vt:i4>
      </vt:variant>
      <vt:variant>
        <vt:i4>197</vt:i4>
      </vt:variant>
      <vt:variant>
        <vt:i4>0</vt:i4>
      </vt:variant>
      <vt:variant>
        <vt:i4>5</vt:i4>
      </vt:variant>
      <vt:variant>
        <vt:lpwstr/>
      </vt:variant>
      <vt:variant>
        <vt:lpwstr>_Toc97132046</vt:lpwstr>
      </vt:variant>
      <vt:variant>
        <vt:i4>1441854</vt:i4>
      </vt:variant>
      <vt:variant>
        <vt:i4>191</vt:i4>
      </vt:variant>
      <vt:variant>
        <vt:i4>0</vt:i4>
      </vt:variant>
      <vt:variant>
        <vt:i4>5</vt:i4>
      </vt:variant>
      <vt:variant>
        <vt:lpwstr/>
      </vt:variant>
      <vt:variant>
        <vt:lpwstr>_Toc97132045</vt:lpwstr>
      </vt:variant>
      <vt:variant>
        <vt:i4>1507390</vt:i4>
      </vt:variant>
      <vt:variant>
        <vt:i4>185</vt:i4>
      </vt:variant>
      <vt:variant>
        <vt:i4>0</vt:i4>
      </vt:variant>
      <vt:variant>
        <vt:i4>5</vt:i4>
      </vt:variant>
      <vt:variant>
        <vt:lpwstr/>
      </vt:variant>
      <vt:variant>
        <vt:lpwstr>_Toc97132044</vt:lpwstr>
      </vt:variant>
      <vt:variant>
        <vt:i4>1769533</vt:i4>
      </vt:variant>
      <vt:variant>
        <vt:i4>176</vt:i4>
      </vt:variant>
      <vt:variant>
        <vt:i4>0</vt:i4>
      </vt:variant>
      <vt:variant>
        <vt:i4>5</vt:i4>
      </vt:variant>
      <vt:variant>
        <vt:lpwstr/>
      </vt:variant>
      <vt:variant>
        <vt:lpwstr>_Toc97132179</vt:lpwstr>
      </vt:variant>
      <vt:variant>
        <vt:i4>1703997</vt:i4>
      </vt:variant>
      <vt:variant>
        <vt:i4>170</vt:i4>
      </vt:variant>
      <vt:variant>
        <vt:i4>0</vt:i4>
      </vt:variant>
      <vt:variant>
        <vt:i4>5</vt:i4>
      </vt:variant>
      <vt:variant>
        <vt:lpwstr/>
      </vt:variant>
      <vt:variant>
        <vt:lpwstr>_Toc97132178</vt:lpwstr>
      </vt:variant>
      <vt:variant>
        <vt:i4>1310781</vt:i4>
      </vt:variant>
      <vt:variant>
        <vt:i4>164</vt:i4>
      </vt:variant>
      <vt:variant>
        <vt:i4>0</vt:i4>
      </vt:variant>
      <vt:variant>
        <vt:i4>5</vt:i4>
      </vt:variant>
      <vt:variant>
        <vt:lpwstr/>
      </vt:variant>
      <vt:variant>
        <vt:lpwstr>_Toc97132176</vt:lpwstr>
      </vt:variant>
      <vt:variant>
        <vt:i4>1507389</vt:i4>
      </vt:variant>
      <vt:variant>
        <vt:i4>158</vt:i4>
      </vt:variant>
      <vt:variant>
        <vt:i4>0</vt:i4>
      </vt:variant>
      <vt:variant>
        <vt:i4>5</vt:i4>
      </vt:variant>
      <vt:variant>
        <vt:lpwstr/>
      </vt:variant>
      <vt:variant>
        <vt:lpwstr>_Toc97132175</vt:lpwstr>
      </vt:variant>
      <vt:variant>
        <vt:i4>1441853</vt:i4>
      </vt:variant>
      <vt:variant>
        <vt:i4>152</vt:i4>
      </vt:variant>
      <vt:variant>
        <vt:i4>0</vt:i4>
      </vt:variant>
      <vt:variant>
        <vt:i4>5</vt:i4>
      </vt:variant>
      <vt:variant>
        <vt:lpwstr/>
      </vt:variant>
      <vt:variant>
        <vt:lpwstr>_Toc97132174</vt:lpwstr>
      </vt:variant>
      <vt:variant>
        <vt:i4>1114173</vt:i4>
      </vt:variant>
      <vt:variant>
        <vt:i4>146</vt:i4>
      </vt:variant>
      <vt:variant>
        <vt:i4>0</vt:i4>
      </vt:variant>
      <vt:variant>
        <vt:i4>5</vt:i4>
      </vt:variant>
      <vt:variant>
        <vt:lpwstr/>
      </vt:variant>
      <vt:variant>
        <vt:lpwstr>_Toc97132173</vt:lpwstr>
      </vt:variant>
      <vt:variant>
        <vt:i4>1048637</vt:i4>
      </vt:variant>
      <vt:variant>
        <vt:i4>140</vt:i4>
      </vt:variant>
      <vt:variant>
        <vt:i4>0</vt:i4>
      </vt:variant>
      <vt:variant>
        <vt:i4>5</vt:i4>
      </vt:variant>
      <vt:variant>
        <vt:lpwstr/>
      </vt:variant>
      <vt:variant>
        <vt:lpwstr>_Toc97132172</vt:lpwstr>
      </vt:variant>
      <vt:variant>
        <vt:i4>1245245</vt:i4>
      </vt:variant>
      <vt:variant>
        <vt:i4>134</vt:i4>
      </vt:variant>
      <vt:variant>
        <vt:i4>0</vt:i4>
      </vt:variant>
      <vt:variant>
        <vt:i4>5</vt:i4>
      </vt:variant>
      <vt:variant>
        <vt:lpwstr/>
      </vt:variant>
      <vt:variant>
        <vt:lpwstr>_Toc97132171</vt:lpwstr>
      </vt:variant>
      <vt:variant>
        <vt:i4>1769532</vt:i4>
      </vt:variant>
      <vt:variant>
        <vt:i4>128</vt:i4>
      </vt:variant>
      <vt:variant>
        <vt:i4>0</vt:i4>
      </vt:variant>
      <vt:variant>
        <vt:i4>5</vt:i4>
      </vt:variant>
      <vt:variant>
        <vt:lpwstr/>
      </vt:variant>
      <vt:variant>
        <vt:lpwstr>_Toc97132169</vt:lpwstr>
      </vt:variant>
      <vt:variant>
        <vt:i4>1703996</vt:i4>
      </vt:variant>
      <vt:variant>
        <vt:i4>122</vt:i4>
      </vt:variant>
      <vt:variant>
        <vt:i4>0</vt:i4>
      </vt:variant>
      <vt:variant>
        <vt:i4>5</vt:i4>
      </vt:variant>
      <vt:variant>
        <vt:lpwstr/>
      </vt:variant>
      <vt:variant>
        <vt:lpwstr>_Toc97132168</vt:lpwstr>
      </vt:variant>
      <vt:variant>
        <vt:i4>1376316</vt:i4>
      </vt:variant>
      <vt:variant>
        <vt:i4>116</vt:i4>
      </vt:variant>
      <vt:variant>
        <vt:i4>0</vt:i4>
      </vt:variant>
      <vt:variant>
        <vt:i4>5</vt:i4>
      </vt:variant>
      <vt:variant>
        <vt:lpwstr/>
      </vt:variant>
      <vt:variant>
        <vt:lpwstr>_Toc97132167</vt:lpwstr>
      </vt:variant>
      <vt:variant>
        <vt:i4>1310780</vt:i4>
      </vt:variant>
      <vt:variant>
        <vt:i4>110</vt:i4>
      </vt:variant>
      <vt:variant>
        <vt:i4>0</vt:i4>
      </vt:variant>
      <vt:variant>
        <vt:i4>5</vt:i4>
      </vt:variant>
      <vt:variant>
        <vt:lpwstr/>
      </vt:variant>
      <vt:variant>
        <vt:lpwstr>_Toc97132166</vt:lpwstr>
      </vt:variant>
      <vt:variant>
        <vt:i4>1507388</vt:i4>
      </vt:variant>
      <vt:variant>
        <vt:i4>104</vt:i4>
      </vt:variant>
      <vt:variant>
        <vt:i4>0</vt:i4>
      </vt:variant>
      <vt:variant>
        <vt:i4>5</vt:i4>
      </vt:variant>
      <vt:variant>
        <vt:lpwstr/>
      </vt:variant>
      <vt:variant>
        <vt:lpwstr>_Toc97132165</vt:lpwstr>
      </vt:variant>
      <vt:variant>
        <vt:i4>1441852</vt:i4>
      </vt:variant>
      <vt:variant>
        <vt:i4>98</vt:i4>
      </vt:variant>
      <vt:variant>
        <vt:i4>0</vt:i4>
      </vt:variant>
      <vt:variant>
        <vt:i4>5</vt:i4>
      </vt:variant>
      <vt:variant>
        <vt:lpwstr/>
      </vt:variant>
      <vt:variant>
        <vt:lpwstr>_Toc97132164</vt:lpwstr>
      </vt:variant>
      <vt:variant>
        <vt:i4>1114172</vt:i4>
      </vt:variant>
      <vt:variant>
        <vt:i4>92</vt:i4>
      </vt:variant>
      <vt:variant>
        <vt:i4>0</vt:i4>
      </vt:variant>
      <vt:variant>
        <vt:i4>5</vt:i4>
      </vt:variant>
      <vt:variant>
        <vt:lpwstr/>
      </vt:variant>
      <vt:variant>
        <vt:lpwstr>_Toc97132163</vt:lpwstr>
      </vt:variant>
      <vt:variant>
        <vt:i4>1048636</vt:i4>
      </vt:variant>
      <vt:variant>
        <vt:i4>86</vt:i4>
      </vt:variant>
      <vt:variant>
        <vt:i4>0</vt:i4>
      </vt:variant>
      <vt:variant>
        <vt:i4>5</vt:i4>
      </vt:variant>
      <vt:variant>
        <vt:lpwstr/>
      </vt:variant>
      <vt:variant>
        <vt:lpwstr>_Toc97132162</vt:lpwstr>
      </vt:variant>
      <vt:variant>
        <vt:i4>1245244</vt:i4>
      </vt:variant>
      <vt:variant>
        <vt:i4>80</vt:i4>
      </vt:variant>
      <vt:variant>
        <vt:i4>0</vt:i4>
      </vt:variant>
      <vt:variant>
        <vt:i4>5</vt:i4>
      </vt:variant>
      <vt:variant>
        <vt:lpwstr/>
      </vt:variant>
      <vt:variant>
        <vt:lpwstr>_Toc97132161</vt:lpwstr>
      </vt:variant>
      <vt:variant>
        <vt:i4>1179708</vt:i4>
      </vt:variant>
      <vt:variant>
        <vt:i4>74</vt:i4>
      </vt:variant>
      <vt:variant>
        <vt:i4>0</vt:i4>
      </vt:variant>
      <vt:variant>
        <vt:i4>5</vt:i4>
      </vt:variant>
      <vt:variant>
        <vt:lpwstr/>
      </vt:variant>
      <vt:variant>
        <vt:lpwstr>_Toc97132160</vt:lpwstr>
      </vt:variant>
      <vt:variant>
        <vt:i4>1769535</vt:i4>
      </vt:variant>
      <vt:variant>
        <vt:i4>68</vt:i4>
      </vt:variant>
      <vt:variant>
        <vt:i4>0</vt:i4>
      </vt:variant>
      <vt:variant>
        <vt:i4>5</vt:i4>
      </vt:variant>
      <vt:variant>
        <vt:lpwstr/>
      </vt:variant>
      <vt:variant>
        <vt:lpwstr>_Toc97132159</vt:lpwstr>
      </vt:variant>
      <vt:variant>
        <vt:i4>1703999</vt:i4>
      </vt:variant>
      <vt:variant>
        <vt:i4>62</vt:i4>
      </vt:variant>
      <vt:variant>
        <vt:i4>0</vt:i4>
      </vt:variant>
      <vt:variant>
        <vt:i4>5</vt:i4>
      </vt:variant>
      <vt:variant>
        <vt:lpwstr/>
      </vt:variant>
      <vt:variant>
        <vt:lpwstr>_Toc97132158</vt:lpwstr>
      </vt:variant>
      <vt:variant>
        <vt:i4>1441855</vt:i4>
      </vt:variant>
      <vt:variant>
        <vt:i4>56</vt:i4>
      </vt:variant>
      <vt:variant>
        <vt:i4>0</vt:i4>
      </vt:variant>
      <vt:variant>
        <vt:i4>5</vt:i4>
      </vt:variant>
      <vt:variant>
        <vt:lpwstr/>
      </vt:variant>
      <vt:variant>
        <vt:lpwstr>_Toc97132154</vt:lpwstr>
      </vt:variant>
      <vt:variant>
        <vt:i4>1376318</vt:i4>
      </vt:variant>
      <vt:variant>
        <vt:i4>50</vt:i4>
      </vt:variant>
      <vt:variant>
        <vt:i4>0</vt:i4>
      </vt:variant>
      <vt:variant>
        <vt:i4>5</vt:i4>
      </vt:variant>
      <vt:variant>
        <vt:lpwstr/>
      </vt:variant>
      <vt:variant>
        <vt:lpwstr>_Toc97132147</vt:lpwstr>
      </vt:variant>
      <vt:variant>
        <vt:i4>1048638</vt:i4>
      </vt:variant>
      <vt:variant>
        <vt:i4>44</vt:i4>
      </vt:variant>
      <vt:variant>
        <vt:i4>0</vt:i4>
      </vt:variant>
      <vt:variant>
        <vt:i4>5</vt:i4>
      </vt:variant>
      <vt:variant>
        <vt:lpwstr/>
      </vt:variant>
      <vt:variant>
        <vt:lpwstr>_Toc97132142</vt:lpwstr>
      </vt:variant>
      <vt:variant>
        <vt:i4>1507385</vt:i4>
      </vt:variant>
      <vt:variant>
        <vt:i4>38</vt:i4>
      </vt:variant>
      <vt:variant>
        <vt:i4>0</vt:i4>
      </vt:variant>
      <vt:variant>
        <vt:i4>5</vt:i4>
      </vt:variant>
      <vt:variant>
        <vt:lpwstr/>
      </vt:variant>
      <vt:variant>
        <vt:lpwstr>_Toc97132135</vt:lpwstr>
      </vt:variant>
      <vt:variant>
        <vt:i4>1441849</vt:i4>
      </vt:variant>
      <vt:variant>
        <vt:i4>32</vt:i4>
      </vt:variant>
      <vt:variant>
        <vt:i4>0</vt:i4>
      </vt:variant>
      <vt:variant>
        <vt:i4>5</vt:i4>
      </vt:variant>
      <vt:variant>
        <vt:lpwstr/>
      </vt:variant>
      <vt:variant>
        <vt:lpwstr>_Toc97132134</vt:lpwstr>
      </vt:variant>
      <vt:variant>
        <vt:i4>1114169</vt:i4>
      </vt:variant>
      <vt:variant>
        <vt:i4>26</vt:i4>
      </vt:variant>
      <vt:variant>
        <vt:i4>0</vt:i4>
      </vt:variant>
      <vt:variant>
        <vt:i4>5</vt:i4>
      </vt:variant>
      <vt:variant>
        <vt:lpwstr/>
      </vt:variant>
      <vt:variant>
        <vt:lpwstr>_Toc97132133</vt:lpwstr>
      </vt:variant>
      <vt:variant>
        <vt:i4>1703992</vt:i4>
      </vt:variant>
      <vt:variant>
        <vt:i4>20</vt:i4>
      </vt:variant>
      <vt:variant>
        <vt:i4>0</vt:i4>
      </vt:variant>
      <vt:variant>
        <vt:i4>5</vt:i4>
      </vt:variant>
      <vt:variant>
        <vt:lpwstr/>
      </vt:variant>
      <vt:variant>
        <vt:lpwstr>_Toc97132128</vt:lpwstr>
      </vt:variant>
      <vt:variant>
        <vt:i4>1048632</vt:i4>
      </vt:variant>
      <vt:variant>
        <vt:i4>14</vt:i4>
      </vt:variant>
      <vt:variant>
        <vt:i4>0</vt:i4>
      </vt:variant>
      <vt:variant>
        <vt:i4>5</vt:i4>
      </vt:variant>
      <vt:variant>
        <vt:lpwstr/>
      </vt:variant>
      <vt:variant>
        <vt:lpwstr>_Toc97132122</vt:lpwstr>
      </vt:variant>
      <vt:variant>
        <vt:i4>1179704</vt:i4>
      </vt:variant>
      <vt:variant>
        <vt:i4>8</vt:i4>
      </vt:variant>
      <vt:variant>
        <vt:i4>0</vt:i4>
      </vt:variant>
      <vt:variant>
        <vt:i4>5</vt:i4>
      </vt:variant>
      <vt:variant>
        <vt:lpwstr/>
      </vt:variant>
      <vt:variant>
        <vt:lpwstr>_Toc97132120</vt:lpwstr>
      </vt:variant>
      <vt:variant>
        <vt:i4>1769531</vt:i4>
      </vt:variant>
      <vt:variant>
        <vt:i4>5</vt:i4>
      </vt:variant>
      <vt:variant>
        <vt:i4>0</vt:i4>
      </vt:variant>
      <vt:variant>
        <vt:i4>5</vt:i4>
      </vt:variant>
      <vt:variant>
        <vt:lpwstr/>
      </vt:variant>
      <vt:variant>
        <vt:lpwstr>_Toc97132119</vt:lpwstr>
      </vt:variant>
      <vt:variant>
        <vt:i4>1638415</vt:i4>
      </vt:variant>
      <vt:variant>
        <vt:i4>0</vt:i4>
      </vt:variant>
      <vt:variant>
        <vt:i4>0</vt:i4>
      </vt:variant>
      <vt:variant>
        <vt:i4>5</vt:i4>
      </vt:variant>
      <vt:variant>
        <vt:lpwstr>https://health.gov.au/committees-and-groups/health-ministers-meeting-hmm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Obesity Strategy 2022–2032 – At a glance – Summary with a logic framework</dc:title>
  <dc:subject/>
  <dc:creator>Australian Government Department of Health</dc:creator>
  <cp:keywords>Overweight and obesity</cp:keywords>
  <dc:description/>
  <cp:lastModifiedBy>JACOB, Reuben</cp:lastModifiedBy>
  <cp:revision>5</cp:revision>
  <cp:lastPrinted>2022-03-02T11:24:00Z</cp:lastPrinted>
  <dcterms:created xsi:type="dcterms:W3CDTF">2022-03-03T01:17:00Z</dcterms:created>
  <dcterms:modified xsi:type="dcterms:W3CDTF">2022-03-04T01:14:00Z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0x0101007D4D5C3B0EA0474E84C80AEC9CD4A232</vt:lpwstr>
  </property>
  <property fmtid="{D5CDD505-2E9C-101B-9397-08002B2CF9AE}" pid="3" name="MediaServiceImageTags">
    <vt:lpwstr/>
  </property>
</Properties>
</file>