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03, 2022 Summary Notes for Selected Diseases</w:t>
      </w:r>
      <w:r>
        <w:rPr>
          <w:spacing w:val="-52"/>
          <w:u w:val="none"/>
        </w:rPr>
        <w:t> </w:t>
      </w:r>
      <w:bookmarkStart w:name="31 January 2022 to 13 February 2022" w:id="1"/>
      <w:bookmarkEnd w:id="1"/>
      <w:r>
        <w:rPr>
          <w:u w:val="single"/>
        </w:rPr>
        <w:t>31</w:t>
      </w:r>
      <w:r>
        <w:rPr>
          <w:u w:val="single"/>
        </w:rPr>
        <w:t> January</w:t>
      </w:r>
      <w:r>
        <w:rPr>
          <w:spacing w:val="-3"/>
          <w:u w:val="single"/>
        </w:rPr>
        <w:t> </w:t>
      </w:r>
      <w:r>
        <w:rPr>
          <w:u w:val="single"/>
        </w:rPr>
        <w:t>2022</w:t>
      </w:r>
      <w:r>
        <w:rPr>
          <w:spacing w:val="1"/>
          <w:u w:val="single"/>
        </w:rPr>
        <w:t> </w:t>
      </w:r>
      <w:r>
        <w:rPr>
          <w:u w:val="single"/>
        </w:rPr>
        <w:t>to 13</w:t>
      </w:r>
      <w:r>
        <w:rPr>
          <w:spacing w:val="1"/>
          <w:u w:val="single"/>
        </w:rPr>
        <w:t> </w:t>
      </w:r>
      <w:r>
        <w:rPr>
          <w:u w:val="single"/>
        </w:rPr>
        <w:t>February</w:t>
      </w:r>
      <w:r>
        <w:rPr>
          <w:spacing w:val="-1"/>
          <w:u w:val="single"/>
        </w:rPr>
        <w:t> </w:t>
      </w:r>
      <w:r>
        <w:rPr>
          <w:u w:val="single"/>
        </w:rPr>
        <w:t>2022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right="129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r>
        <w:rPr/>
        <w:t>Department’s website </w:t>
      </w:r>
      <w:hyperlink r:id="rId5">
        <w:r>
          <w:rPr>
            <w:color w:val="0000FF"/>
            <w:u w:val="single" w:color="0000FF"/>
          </w:rPr>
          <w:t>https://www1.health.gov.au/internet/main/publishing.nsf/Content/ohp-</w:t>
        </w:r>
      </w:hyperlink>
      <w:r>
        <w:rPr>
          <w:color w:val="0000FF"/>
          <w:spacing w:val="1"/>
        </w:rPr>
        <w:t> </w:t>
      </w:r>
      <w:hyperlink r:id="rId5">
        <w:r>
          <w:rPr>
            <w:color w:val="0000FF"/>
            <w:u w:val="single" w:color="0000FF"/>
          </w:rPr>
          <w:t>infectious-syphilisoutbreak.htm</w:t>
        </w:r>
      </w:hyperlink>
    </w:p>
    <w:p>
      <w:pPr>
        <w:pStyle w:val="BodyText"/>
        <w:spacing w:before="10"/>
        <w:ind w:left="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2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ind w:right="184"/>
        <w:rPr>
          <w:rFonts w:ascii="Times New Roman"/>
        </w:rPr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  <w:r>
        <w:rPr>
          <w:spacing w:val="-1"/>
        </w:rPr>
        <w:t> </w:t>
      </w:r>
      <w:hyperlink r:id="rId6">
        <w:r>
          <w:rPr>
            <w:rFonts w:ascii="Times New Roman"/>
            <w:color w:val="0000FF"/>
            <w:u w:val="single" w:color="0000FF"/>
          </w:rPr>
          <w:t>-</w:t>
        </w:r>
        <w:r>
          <w:rPr>
            <w:rFonts w:ascii="Times New Roman"/>
            <w:color w:val="0000FF"/>
            <w:spacing w:val="-1"/>
            <w:u w:val="single" w:color="0000FF"/>
          </w:rPr>
          <w:t> </w:t>
        </w:r>
        <w:r>
          <w:rPr>
            <w:rFonts w:ascii="Times New Roman"/>
            <w:color w:val="0000FF"/>
            <w:u w:val="single" w:color="0000FF"/>
          </w:rPr>
          <w:t>cdnareport-fn02-22.htm</w:t>
        </w:r>
      </w:hyperlink>
    </w:p>
    <w:p>
      <w:pPr>
        <w:pStyle w:val="BodyText"/>
        <w:spacing w:before="10"/>
        <w:ind w:left="0"/>
        <w:rPr>
          <w:rFonts w:ascii="Times New Roman"/>
          <w:sz w:val="20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hyperlink r:id="rId7">
        <w:r>
          <w:rPr>
            <w:i/>
            <w:color w:val="0000FF"/>
            <w:u w:val="single" w:color="0000FF"/>
          </w:rPr>
          <w:t>National strategic approach for responding to rising rates of syphilis in Australia</w:t>
        </w:r>
      </w:hyperlink>
      <w:r>
        <w:rPr>
          <w:i/>
          <w:color w:val="0000FF"/>
        </w:rPr>
        <w:t> </w:t>
      </w:r>
      <w:r>
        <w:rPr>
          <w:i/>
        </w:rPr>
        <w:t>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  <w:ind w:left="0"/>
      </w:pPr>
    </w:p>
    <w:p>
      <w:pPr>
        <w:pStyle w:val="BodyText"/>
        <w:ind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72"/>
      </w:pPr>
      <w:r>
        <w:rPr/>
        <w:t>For further information on national activities related to syphilis refer to the Department’s website</w:t>
      </w:r>
      <w:r>
        <w:rPr>
          <w:spacing w:val="-52"/>
        </w:rPr>
        <w:t> </w:t>
      </w:r>
      <w:hyperlink r:id="rId7">
        <w:r>
          <w:rPr>
            <w:color w:val="0000FF"/>
            <w:u w:val="single" w:color="0000FF"/>
          </w:rPr>
          <w:t>https://www1.health.gov.au/internet/main/publishing.nsf/Content/ohp-syphilis.htm</w:t>
        </w:r>
      </w:hyperlink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8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(16/11/2021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13/02/2022).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13/02/2022.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(14/01/2021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13/02/2022).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13/02/2022.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sectPr>
      <w:pgSz w:w="11910" w:h="16840"/>
      <w:pgMar w:top="78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notes://WCMPRD01/CA257BF200293B65/EDA5078260872F0FCA257BA90009C7AE/6FAA944C98782F00CA2587E40081B9EC" TargetMode="External"/><Relationship Id="rId7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</dc:creator>
  <dc:subject>Communicable diseases</dc:subject>
  <dc:title>National Notifiable Diseases Surveillance System (NNDSS) fortnightly reports – 31 January to 13 February 2022</dc:title>
  <dcterms:created xsi:type="dcterms:W3CDTF">2022-03-01T19:13:30Z</dcterms:created>
  <dcterms:modified xsi:type="dcterms:W3CDTF">2022-03-01T19:13:30Z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2022-03-01T00:00:00Z</vt:filetime>
  </property>
</Properties>
</file>