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FEA2E" w14:textId="70195D21" w:rsidR="0084021B" w:rsidRPr="00E50632" w:rsidRDefault="0084021B" w:rsidP="00B65945">
      <w:pPr>
        <w:pStyle w:val="Title"/>
      </w:pPr>
      <w:bookmarkStart w:id="0" w:name="_Toc522882474"/>
      <w:bookmarkStart w:id="1" w:name="_Toc522882599"/>
      <w:r w:rsidRPr="00E50632">
        <w:t xml:space="preserve">National </w:t>
      </w:r>
      <w:r w:rsidR="001D60CE" w:rsidRPr="00E50632">
        <w:t>Microbial</w:t>
      </w:r>
      <w:bookmarkEnd w:id="0"/>
      <w:bookmarkEnd w:id="1"/>
      <w:r w:rsidR="00E50632" w:rsidRPr="00E50632">
        <w:t xml:space="preserve"> </w:t>
      </w:r>
      <w:bookmarkStart w:id="2" w:name="_Toc522882475"/>
      <w:bookmarkStart w:id="3" w:name="_Toc522882600"/>
      <w:r w:rsidR="001D60CE" w:rsidRPr="00E50632">
        <w:t>Genomics Framework</w:t>
      </w:r>
      <w:bookmarkEnd w:id="2"/>
      <w:bookmarkEnd w:id="3"/>
      <w:r w:rsidR="00E50632" w:rsidRPr="00E50632">
        <w:t xml:space="preserve"> </w:t>
      </w:r>
      <w:bookmarkStart w:id="4" w:name="_Toc522882476"/>
      <w:bookmarkStart w:id="5" w:name="_Toc522882601"/>
      <w:r w:rsidR="00E50632" w:rsidRPr="00E50632">
        <w:br/>
      </w:r>
      <w:r w:rsidR="001D60CE" w:rsidRPr="00E50632">
        <w:t>201</w:t>
      </w:r>
      <w:r w:rsidR="00B225B4" w:rsidRPr="00E50632">
        <w:t>9</w:t>
      </w:r>
      <w:r w:rsidR="008F5914" w:rsidRPr="00E50632">
        <w:t>–</w:t>
      </w:r>
      <w:r w:rsidRPr="00E50632">
        <w:t>202</w:t>
      </w:r>
      <w:r w:rsidR="00B225B4" w:rsidRPr="00E50632">
        <w:t>2</w:t>
      </w:r>
      <w:bookmarkEnd w:id="4"/>
      <w:bookmarkEnd w:id="5"/>
    </w:p>
    <w:p w14:paraId="70A5DB55" w14:textId="77777777" w:rsidR="00916C67" w:rsidRDefault="008C46F8" w:rsidP="00E50632">
      <w:pPr>
        <w:spacing w:before="800"/>
        <w:jc w:val="center"/>
        <w:rPr>
          <w:rFonts w:ascii="Cambria" w:hAnsi="Cambria"/>
          <w:b/>
          <w:sz w:val="32"/>
          <w:szCs w:val="32"/>
          <w:lang w:val="en-AU"/>
        </w:rPr>
      </w:pPr>
      <w:r>
        <w:rPr>
          <w:rFonts w:ascii="Cambria" w:hAnsi="Cambria"/>
          <w:b/>
          <w:sz w:val="32"/>
          <w:szCs w:val="32"/>
          <w:lang w:val="en-AU"/>
        </w:rPr>
        <w:t xml:space="preserve">Endorsed by </w:t>
      </w:r>
    </w:p>
    <w:p w14:paraId="65A78EC2" w14:textId="0ABC30B9" w:rsidR="00CB69AC" w:rsidRPr="00ED4544" w:rsidRDefault="008C46F8" w:rsidP="005D7F68">
      <w:pPr>
        <w:jc w:val="center"/>
        <w:rPr>
          <w:rFonts w:ascii="Cambria" w:hAnsi="Cambria"/>
          <w:b/>
          <w:sz w:val="32"/>
          <w:szCs w:val="32"/>
          <w:lang w:val="en-AU"/>
        </w:rPr>
      </w:pPr>
      <w:r>
        <w:rPr>
          <w:rFonts w:ascii="Cambria" w:hAnsi="Cambria"/>
          <w:b/>
          <w:sz w:val="32"/>
          <w:szCs w:val="32"/>
          <w:lang w:val="en-AU"/>
        </w:rPr>
        <w:t>A</w:t>
      </w:r>
      <w:r w:rsidR="00916C67">
        <w:rPr>
          <w:rFonts w:ascii="Cambria" w:hAnsi="Cambria"/>
          <w:b/>
          <w:sz w:val="32"/>
          <w:szCs w:val="32"/>
          <w:lang w:val="en-AU"/>
        </w:rPr>
        <w:t xml:space="preserve">ustralian </w:t>
      </w:r>
      <w:r>
        <w:rPr>
          <w:rFonts w:ascii="Cambria" w:hAnsi="Cambria"/>
          <w:b/>
          <w:sz w:val="32"/>
          <w:szCs w:val="32"/>
          <w:lang w:val="en-AU"/>
        </w:rPr>
        <w:t>H</w:t>
      </w:r>
      <w:r w:rsidR="00916C67">
        <w:rPr>
          <w:rFonts w:ascii="Cambria" w:hAnsi="Cambria"/>
          <w:b/>
          <w:sz w:val="32"/>
          <w:szCs w:val="32"/>
          <w:lang w:val="en-AU"/>
        </w:rPr>
        <w:t xml:space="preserve">ealth </w:t>
      </w:r>
      <w:r>
        <w:rPr>
          <w:rFonts w:ascii="Cambria" w:hAnsi="Cambria"/>
          <w:b/>
          <w:sz w:val="32"/>
          <w:szCs w:val="32"/>
          <w:lang w:val="en-AU"/>
        </w:rPr>
        <w:t>P</w:t>
      </w:r>
      <w:r w:rsidR="00916C67">
        <w:rPr>
          <w:rFonts w:ascii="Cambria" w:hAnsi="Cambria"/>
          <w:b/>
          <w:sz w:val="32"/>
          <w:szCs w:val="32"/>
          <w:lang w:val="en-AU"/>
        </w:rPr>
        <w:t xml:space="preserve">rotection </w:t>
      </w:r>
      <w:r>
        <w:rPr>
          <w:rFonts w:ascii="Cambria" w:hAnsi="Cambria"/>
          <w:b/>
          <w:sz w:val="32"/>
          <w:szCs w:val="32"/>
          <w:lang w:val="en-AU"/>
        </w:rPr>
        <w:t>P</w:t>
      </w:r>
      <w:r w:rsidR="00916C67">
        <w:rPr>
          <w:rFonts w:ascii="Cambria" w:hAnsi="Cambria"/>
          <w:b/>
          <w:sz w:val="32"/>
          <w:szCs w:val="32"/>
          <w:lang w:val="en-AU"/>
        </w:rPr>
        <w:t xml:space="preserve">rincipal </w:t>
      </w:r>
      <w:r>
        <w:rPr>
          <w:rFonts w:ascii="Cambria" w:hAnsi="Cambria"/>
          <w:b/>
          <w:sz w:val="32"/>
          <w:szCs w:val="32"/>
          <w:lang w:val="en-AU"/>
        </w:rPr>
        <w:t>C</w:t>
      </w:r>
      <w:r w:rsidR="00916C67">
        <w:rPr>
          <w:rFonts w:ascii="Cambria" w:hAnsi="Cambria"/>
          <w:b/>
          <w:sz w:val="32"/>
          <w:szCs w:val="32"/>
          <w:lang w:val="en-AU"/>
        </w:rPr>
        <w:t>ommittee</w:t>
      </w:r>
    </w:p>
    <w:p w14:paraId="681C85D6" w14:textId="2295654B" w:rsidR="00CB69AC" w:rsidRPr="0039410C" w:rsidRDefault="008C46F8" w:rsidP="0039410C">
      <w:pPr>
        <w:jc w:val="center"/>
        <w:rPr>
          <w:rFonts w:asciiTheme="majorHAnsi" w:hAnsiTheme="majorHAnsi"/>
          <w:sz w:val="32"/>
          <w:szCs w:val="32"/>
        </w:rPr>
      </w:pPr>
      <w:r w:rsidRPr="0039410C">
        <w:rPr>
          <w:rFonts w:asciiTheme="majorHAnsi" w:hAnsiTheme="majorHAnsi"/>
          <w:sz w:val="32"/>
          <w:szCs w:val="32"/>
        </w:rPr>
        <w:t>23 April 2019</w:t>
      </w:r>
    </w:p>
    <w:p w14:paraId="27E9649C" w14:textId="77777777" w:rsidR="008E699E" w:rsidRPr="00282179" w:rsidRDefault="0084021B" w:rsidP="00BC290C">
      <w:pPr>
        <w:pStyle w:val="Heading1"/>
      </w:pPr>
      <w:r w:rsidRPr="00ED4544">
        <w:br w:type="page"/>
      </w:r>
      <w:r w:rsidR="008E699E" w:rsidRPr="00282179">
        <w:lastRenderedPageBreak/>
        <w:t>Foreword</w:t>
      </w:r>
    </w:p>
    <w:p w14:paraId="3FC585D2" w14:textId="56A3D7FF" w:rsidR="008E699E" w:rsidRDefault="008E699E" w:rsidP="008E699E">
      <w:r>
        <w:t>The National Microbial Genomics Framework</w:t>
      </w:r>
      <w:r w:rsidR="00916C67">
        <w:t xml:space="preserve"> 2019-2022</w:t>
      </w:r>
      <w:r>
        <w:t>, endorsed by the Australia</w:t>
      </w:r>
      <w:r w:rsidR="0011230B">
        <w:t>n</w:t>
      </w:r>
      <w:r>
        <w:t xml:space="preserve"> Health Protection Principal Committee, presents a collaborative commitment to integrat</w:t>
      </w:r>
      <w:r w:rsidR="0085226B">
        <w:t>ing</w:t>
      </w:r>
      <w:r>
        <w:t xml:space="preserve"> microbial genomics into the Australian laboratory and public health systems.</w:t>
      </w:r>
    </w:p>
    <w:p w14:paraId="17AB9844" w14:textId="5862FF3A" w:rsidR="008E699E" w:rsidRDefault="008E699E" w:rsidP="008E699E">
      <w:r>
        <w:t xml:space="preserve">Our vision </w:t>
      </w:r>
      <w:r w:rsidRPr="00D133AF">
        <w:t xml:space="preserve">is to protect the health of all Australians from communicable disease and biological agent threats by harnessing microbial genomics, genomic </w:t>
      </w:r>
      <w:proofErr w:type="gramStart"/>
      <w:r w:rsidRPr="00D133AF">
        <w:t>knowledge</w:t>
      </w:r>
      <w:proofErr w:type="gramEnd"/>
      <w:r w:rsidRPr="00D133AF">
        <w:t xml:space="preserve"> and advanced sequencing technology in a consistent, efficient and effective way in order to improve public health surveillance and response.</w:t>
      </w:r>
    </w:p>
    <w:p w14:paraId="2CFD2D6A" w14:textId="3166F510" w:rsidR="008E699E" w:rsidRPr="0085226B" w:rsidRDefault="008E699E" w:rsidP="008E699E">
      <w:r>
        <w:t xml:space="preserve">Communicable disease control remains a significant public health priority in Australia and internationally. The challenges facing Australia are diverse and </w:t>
      </w:r>
      <w:r w:rsidRPr="00110146">
        <w:t xml:space="preserve">include </w:t>
      </w:r>
      <w:r w:rsidRPr="0085226B">
        <w:t>foodborne diseases</w:t>
      </w:r>
      <w:r>
        <w:t xml:space="preserve">, emerging antimicrobial resistant organisms and vector-borne diseases. We are now seeing opportunities </w:t>
      </w:r>
      <w:r w:rsidR="00916C67">
        <w:t xml:space="preserve">for microbial genomics to </w:t>
      </w:r>
      <w:r>
        <w:t>contribute to the rapid identification of clusters of disease transmission, detection of emerging pathogens</w:t>
      </w:r>
      <w:r w:rsidR="00223F2A">
        <w:t>,</w:t>
      </w:r>
      <w:r>
        <w:t xml:space="preserve"> and high</w:t>
      </w:r>
      <w:r w:rsidR="0085226B">
        <w:t>-</w:t>
      </w:r>
      <w:r>
        <w:t>resolution typing data for communicable diseases surveillance and bio</w:t>
      </w:r>
      <w:r w:rsidR="006765E1">
        <w:t>-</w:t>
      </w:r>
      <w:r>
        <w:t xml:space="preserve">threat detection. Globally, the use of microbial genomic </w:t>
      </w:r>
      <w:r w:rsidRPr="00110146">
        <w:t xml:space="preserve">technology is </w:t>
      </w:r>
      <w:r w:rsidR="00985DD6">
        <w:t>rapidly increasing</w:t>
      </w:r>
      <w:r w:rsidRPr="0085226B">
        <w:t xml:space="preserve">, driven by accessible and advanced sequencing technologies and efficient bioinformatics data analysis.  </w:t>
      </w:r>
    </w:p>
    <w:p w14:paraId="07C404A4" w14:textId="683773E0" w:rsidR="008E699E" w:rsidRDefault="008E699E" w:rsidP="008E699E">
      <w:r w:rsidRPr="0085226B">
        <w:t>The first Australian National Microbial Genomics Framework provides</w:t>
      </w:r>
      <w:r>
        <w:t xml:space="preserve"> a consistent national view for integrating microbial genomics in the Australian public health system and seeks to highlight key policy issues and challenges. It highlights that a skilled health workforce, </w:t>
      </w:r>
      <w:r w:rsidR="00B93B8F">
        <w:t xml:space="preserve">a </w:t>
      </w:r>
      <w:r>
        <w:t xml:space="preserve">robust technological infrastructure and a sustainable funding model </w:t>
      </w:r>
      <w:r w:rsidR="00B93B8F">
        <w:t xml:space="preserve">are </w:t>
      </w:r>
      <w:r>
        <w:t xml:space="preserve">critical to support and </w:t>
      </w:r>
      <w:proofErr w:type="spellStart"/>
      <w:r>
        <w:t>maximise</w:t>
      </w:r>
      <w:proofErr w:type="spellEnd"/>
      <w:r>
        <w:t xml:space="preserve"> the </w:t>
      </w:r>
      <w:r w:rsidRPr="00D133AF">
        <w:t>benefits of microbial</w:t>
      </w:r>
      <w:r>
        <w:t xml:space="preserve"> genomic</w:t>
      </w:r>
      <w:r w:rsidR="00916C67">
        <w:t>s</w:t>
      </w:r>
      <w:r>
        <w:t xml:space="preserve"> technology in Australia. </w:t>
      </w:r>
    </w:p>
    <w:p w14:paraId="05F2C5D9" w14:textId="67959DDA" w:rsidR="008E699E" w:rsidRDefault="008E699E" w:rsidP="008E699E">
      <w:r>
        <w:t xml:space="preserve">Through close consultation with </w:t>
      </w:r>
      <w:r w:rsidR="00253E81">
        <w:t xml:space="preserve">the </w:t>
      </w:r>
      <w:r>
        <w:t xml:space="preserve">states and territories, the </w:t>
      </w:r>
      <w:r w:rsidR="00B93B8F">
        <w:t>f</w:t>
      </w:r>
      <w:r>
        <w:t xml:space="preserve">ramework </w:t>
      </w:r>
      <w:proofErr w:type="spellStart"/>
      <w:r>
        <w:t>recognises</w:t>
      </w:r>
      <w:proofErr w:type="spellEnd"/>
      <w:r>
        <w:t xml:space="preserve"> that strong collaborative relationships between national, state and territory governments, </w:t>
      </w:r>
      <w:r w:rsidR="00051F41">
        <w:t xml:space="preserve">medical </w:t>
      </w:r>
      <w:r>
        <w:t>laborator</w:t>
      </w:r>
      <w:r w:rsidR="00051F41">
        <w:t>y professionals</w:t>
      </w:r>
      <w:r>
        <w:t xml:space="preserve">, researchers and health professionals </w:t>
      </w:r>
      <w:r w:rsidR="0085226B">
        <w:t xml:space="preserve">are </w:t>
      </w:r>
      <w:r>
        <w:t xml:space="preserve">critical in supporting implementation of </w:t>
      </w:r>
      <w:r w:rsidR="00916C67">
        <w:t xml:space="preserve">microbial </w:t>
      </w:r>
      <w:r>
        <w:t xml:space="preserve">genomics in a way that is safe, </w:t>
      </w:r>
      <w:proofErr w:type="gramStart"/>
      <w:r>
        <w:t>ethical</w:t>
      </w:r>
      <w:proofErr w:type="gramEnd"/>
      <w:r>
        <w:t xml:space="preserve"> and equitable.</w:t>
      </w:r>
    </w:p>
    <w:p w14:paraId="4D9CC722" w14:textId="6C627975" w:rsidR="008E699E" w:rsidRDefault="008E699E" w:rsidP="008E699E">
      <w:r>
        <w:t xml:space="preserve">The strategic priorities within this </w:t>
      </w:r>
      <w:r w:rsidR="00B93B8F">
        <w:t>f</w:t>
      </w:r>
      <w:r>
        <w:t xml:space="preserve">ramework are designed to drive national effort on agreed priorities and will evolve and adapt to the rapidly advancing sequencing and data analysis technologies and practices. It is important to stay at the forefront of this innovative public health practice to ensure that Australia is equipped </w:t>
      </w:r>
      <w:r w:rsidR="00916C67">
        <w:t xml:space="preserve">to </w:t>
      </w:r>
      <w:r>
        <w:t>monitor, identif</w:t>
      </w:r>
      <w:r w:rsidR="00916C67">
        <w:t xml:space="preserve">y, </w:t>
      </w:r>
      <w:r>
        <w:t xml:space="preserve">control </w:t>
      </w:r>
      <w:r w:rsidR="00916C67">
        <w:t>and respond</w:t>
      </w:r>
      <w:r>
        <w:t xml:space="preserve"> to</w:t>
      </w:r>
      <w:r w:rsidR="00B93B8F">
        <w:t>,</w:t>
      </w:r>
      <w:r>
        <w:t xml:space="preserve"> disease </w:t>
      </w:r>
      <w:r w:rsidRPr="00110146">
        <w:t xml:space="preserve">outbreaks </w:t>
      </w:r>
      <w:r w:rsidRPr="0085226B">
        <w:t>and bio</w:t>
      </w:r>
      <w:r w:rsidR="0085226B" w:rsidRPr="00916C67">
        <w:t>-</w:t>
      </w:r>
      <w:r w:rsidRPr="00110146">
        <w:t>threats</w:t>
      </w:r>
      <w:r w:rsidRPr="0085226B">
        <w:t xml:space="preserve"> into the future</w:t>
      </w:r>
      <w:r>
        <w:t>.</w:t>
      </w:r>
    </w:p>
    <w:p w14:paraId="12905120" w14:textId="695050E8" w:rsidR="008E699E" w:rsidRDefault="008E699E" w:rsidP="008E699E">
      <w:r>
        <w:t xml:space="preserve">I would like </w:t>
      </w:r>
      <w:r w:rsidR="00257C1B">
        <w:t xml:space="preserve">to </w:t>
      </w:r>
      <w:r>
        <w:t xml:space="preserve">acknowledge those who have contributed to the development of this </w:t>
      </w:r>
      <w:r w:rsidR="00B93B8F">
        <w:t>f</w:t>
      </w:r>
      <w:r>
        <w:t>ramework</w:t>
      </w:r>
      <w:r w:rsidR="00B93B8F">
        <w:t>—</w:t>
      </w:r>
      <w:r>
        <w:t>notably, the Office of Health Protection, the joint Public Health Laboratory Network</w:t>
      </w:r>
      <w:r w:rsidR="00A32CFD">
        <w:t xml:space="preserve"> and </w:t>
      </w:r>
      <w:r>
        <w:t>Communicable Diseases Network Australia Project Reference Group on Microbial Genomics</w:t>
      </w:r>
      <w:r w:rsidR="00A32CFD">
        <w:t>,</w:t>
      </w:r>
      <w:r>
        <w:t xml:space="preserve"> and the Communicable Diseases Genomics Network. Your generosity in sharing your expert knowledge, enthusiasm and commitment to public health has been invaluable to establishing the future direction of microbial genomics in Australia. </w:t>
      </w:r>
    </w:p>
    <w:p w14:paraId="43D4BA8F" w14:textId="1F310FDC" w:rsidR="00705784" w:rsidRDefault="00705784" w:rsidP="008E699E">
      <w:r w:rsidRPr="00705784">
        <w:rPr>
          <w:noProof/>
          <w:lang w:val="en-AU" w:eastAsia="en-AU"/>
        </w:rPr>
        <w:drawing>
          <wp:inline distT="0" distB="0" distL="0" distR="0" wp14:anchorId="62DEFE38" wp14:editId="44E726B4">
            <wp:extent cx="1169670" cy="477520"/>
            <wp:effectExtent l="0" t="0" r="0" b="0"/>
            <wp:docPr id="4" name="Picture 4" descr="Professor Brendan Mur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670" cy="477520"/>
                    </a:xfrm>
                    <a:prstGeom prst="rect">
                      <a:avLst/>
                    </a:prstGeom>
                    <a:noFill/>
                    <a:ln>
                      <a:noFill/>
                    </a:ln>
                  </pic:spPr>
                </pic:pic>
              </a:graphicData>
            </a:graphic>
          </wp:inline>
        </w:drawing>
      </w:r>
    </w:p>
    <w:p w14:paraId="0B7B0B7F" w14:textId="62ABFEC5" w:rsidR="008E699E" w:rsidRDefault="008E699E" w:rsidP="008E699E">
      <w:r w:rsidRPr="00110146">
        <w:t>Prof</w:t>
      </w:r>
      <w:r w:rsidR="0085226B" w:rsidRPr="0085226B">
        <w:t>essor</w:t>
      </w:r>
      <w:r w:rsidRPr="0085226B">
        <w:t xml:space="preserve"> Brendan Murphy</w:t>
      </w:r>
    </w:p>
    <w:p w14:paraId="4108D42B" w14:textId="77777777" w:rsidR="009A3902" w:rsidRDefault="008E699E" w:rsidP="008E699E">
      <w:pPr>
        <w:sectPr w:rsidR="009A3902" w:rsidSect="009A3902">
          <w:headerReference w:type="default" r:id="rId9"/>
          <w:footerReference w:type="default" r:id="rId10"/>
          <w:footerReference w:type="first" r:id="rId11"/>
          <w:pgSz w:w="11906" w:h="16838"/>
          <w:pgMar w:top="964" w:right="1418" w:bottom="1276" w:left="1418" w:header="567" w:footer="397" w:gutter="0"/>
          <w:cols w:space="708"/>
          <w:titlePg/>
          <w:docGrid w:linePitch="360"/>
        </w:sectPr>
      </w:pPr>
      <w:r>
        <w:t>Australian Government Chief Medical Officer</w:t>
      </w:r>
    </w:p>
    <w:sdt>
      <w:sdtPr>
        <w:rPr>
          <w:rFonts w:asciiTheme="minorHAnsi" w:eastAsia="Times New Roman" w:hAnsiTheme="minorHAnsi" w:cs="Times New Roman"/>
          <w:b w:val="0"/>
          <w:bCs w:val="0"/>
          <w:color w:val="auto"/>
          <w:sz w:val="24"/>
          <w:szCs w:val="24"/>
          <w:lang w:val="en-AU" w:eastAsia="en-US"/>
        </w:rPr>
        <w:id w:val="291719392"/>
        <w:docPartObj>
          <w:docPartGallery w:val="Table of Contents"/>
          <w:docPartUnique/>
        </w:docPartObj>
      </w:sdtPr>
      <w:sdtEndPr>
        <w:rPr>
          <w:sz w:val="22"/>
        </w:rPr>
      </w:sdtEndPr>
      <w:sdtContent>
        <w:p w14:paraId="1E485EBF" w14:textId="14381D23" w:rsidR="00873325" w:rsidRPr="00ED4544" w:rsidRDefault="00873325">
          <w:pPr>
            <w:pStyle w:val="TOCHeading"/>
            <w:rPr>
              <w:lang w:val="en-AU"/>
            </w:rPr>
          </w:pPr>
          <w:r w:rsidRPr="00ED4544">
            <w:rPr>
              <w:lang w:val="en-AU"/>
            </w:rPr>
            <w:t xml:space="preserve">Table of </w:t>
          </w:r>
          <w:r w:rsidR="0085226B">
            <w:rPr>
              <w:lang w:val="en-AU"/>
            </w:rPr>
            <w:t>c</w:t>
          </w:r>
          <w:r w:rsidR="0085226B" w:rsidRPr="00ED4544">
            <w:rPr>
              <w:lang w:val="en-AU"/>
            </w:rPr>
            <w:t>ontents</w:t>
          </w:r>
        </w:p>
        <w:p w14:paraId="5C8235CD" w14:textId="07422DE4" w:rsidR="008745A5" w:rsidRDefault="00873325">
          <w:pPr>
            <w:pStyle w:val="TOC1"/>
            <w:rPr>
              <w:rFonts w:eastAsiaTheme="minorEastAsia" w:cstheme="minorBidi"/>
              <w:noProof/>
              <w:szCs w:val="22"/>
              <w:lang w:val="en-AU" w:eastAsia="en-AU"/>
            </w:rPr>
          </w:pPr>
          <w:r w:rsidRPr="00ED4544">
            <w:rPr>
              <w:lang w:val="en-AU"/>
            </w:rPr>
            <w:fldChar w:fldCharType="begin"/>
          </w:r>
          <w:r w:rsidRPr="00ED4544">
            <w:rPr>
              <w:lang w:val="en-AU"/>
            </w:rPr>
            <w:instrText xml:space="preserve"> TOC \o "1-3" \h \z \u </w:instrText>
          </w:r>
          <w:r w:rsidRPr="00ED4544">
            <w:rPr>
              <w:lang w:val="en-AU"/>
            </w:rPr>
            <w:fldChar w:fldCharType="separate"/>
          </w:r>
          <w:hyperlink w:anchor="_Toc11404098" w:history="1">
            <w:r w:rsidR="008745A5" w:rsidRPr="005648FB">
              <w:rPr>
                <w:rStyle w:val="Hyperlink"/>
                <w:noProof/>
                <w:lang w:val="en-AU"/>
              </w:rPr>
              <w:t>Glossary of key technical terms</w:t>
            </w:r>
            <w:r w:rsidR="008745A5">
              <w:rPr>
                <w:noProof/>
                <w:webHidden/>
              </w:rPr>
              <w:tab/>
            </w:r>
            <w:r w:rsidR="008745A5">
              <w:rPr>
                <w:noProof/>
                <w:webHidden/>
              </w:rPr>
              <w:fldChar w:fldCharType="begin"/>
            </w:r>
            <w:r w:rsidR="008745A5">
              <w:rPr>
                <w:noProof/>
                <w:webHidden/>
              </w:rPr>
              <w:instrText xml:space="preserve"> PAGEREF _Toc11404098 \h </w:instrText>
            </w:r>
            <w:r w:rsidR="008745A5">
              <w:rPr>
                <w:noProof/>
                <w:webHidden/>
              </w:rPr>
            </w:r>
            <w:r w:rsidR="008745A5">
              <w:rPr>
                <w:noProof/>
                <w:webHidden/>
              </w:rPr>
              <w:fldChar w:fldCharType="separate"/>
            </w:r>
            <w:r w:rsidR="00020677">
              <w:rPr>
                <w:noProof/>
                <w:webHidden/>
              </w:rPr>
              <w:t>2</w:t>
            </w:r>
            <w:r w:rsidR="008745A5">
              <w:rPr>
                <w:noProof/>
                <w:webHidden/>
              </w:rPr>
              <w:fldChar w:fldCharType="end"/>
            </w:r>
          </w:hyperlink>
        </w:p>
        <w:p w14:paraId="0A56DBA2" w14:textId="0FE25C0C" w:rsidR="008745A5" w:rsidRDefault="00E50632">
          <w:pPr>
            <w:pStyle w:val="TOC1"/>
            <w:rPr>
              <w:rFonts w:eastAsiaTheme="minorEastAsia" w:cstheme="minorBidi"/>
              <w:noProof/>
              <w:szCs w:val="22"/>
              <w:lang w:val="en-AU" w:eastAsia="en-AU"/>
            </w:rPr>
          </w:pPr>
          <w:hyperlink w:anchor="_Toc11404099" w:history="1">
            <w:r w:rsidR="008745A5" w:rsidRPr="005648FB">
              <w:rPr>
                <w:rStyle w:val="Hyperlink"/>
                <w:noProof/>
                <w:lang w:val="en-AU"/>
              </w:rPr>
              <w:t>Acronyms and abbreviations</w:t>
            </w:r>
            <w:r w:rsidR="008745A5">
              <w:rPr>
                <w:noProof/>
                <w:webHidden/>
              </w:rPr>
              <w:tab/>
            </w:r>
            <w:r w:rsidR="008745A5">
              <w:rPr>
                <w:noProof/>
                <w:webHidden/>
              </w:rPr>
              <w:fldChar w:fldCharType="begin"/>
            </w:r>
            <w:r w:rsidR="008745A5">
              <w:rPr>
                <w:noProof/>
                <w:webHidden/>
              </w:rPr>
              <w:instrText xml:space="preserve"> PAGEREF _Toc11404099 \h </w:instrText>
            </w:r>
            <w:r w:rsidR="008745A5">
              <w:rPr>
                <w:noProof/>
                <w:webHidden/>
              </w:rPr>
            </w:r>
            <w:r w:rsidR="008745A5">
              <w:rPr>
                <w:noProof/>
                <w:webHidden/>
              </w:rPr>
              <w:fldChar w:fldCharType="separate"/>
            </w:r>
            <w:r w:rsidR="00020677">
              <w:rPr>
                <w:noProof/>
                <w:webHidden/>
              </w:rPr>
              <w:t>4</w:t>
            </w:r>
            <w:r w:rsidR="008745A5">
              <w:rPr>
                <w:noProof/>
                <w:webHidden/>
              </w:rPr>
              <w:fldChar w:fldCharType="end"/>
            </w:r>
          </w:hyperlink>
        </w:p>
        <w:p w14:paraId="41348761" w14:textId="5483594A" w:rsidR="008745A5" w:rsidRDefault="00E50632">
          <w:pPr>
            <w:pStyle w:val="TOC1"/>
            <w:rPr>
              <w:rFonts w:eastAsiaTheme="minorEastAsia" w:cstheme="minorBidi"/>
              <w:noProof/>
              <w:szCs w:val="22"/>
              <w:lang w:val="en-AU" w:eastAsia="en-AU"/>
            </w:rPr>
          </w:pPr>
          <w:hyperlink w:anchor="_Toc11404100" w:history="1">
            <w:r w:rsidR="008745A5" w:rsidRPr="005648FB">
              <w:rPr>
                <w:rStyle w:val="Hyperlink"/>
                <w:noProof/>
                <w:lang w:val="en-AU"/>
              </w:rPr>
              <w:t>Preamble</w:t>
            </w:r>
            <w:r w:rsidR="008745A5">
              <w:rPr>
                <w:noProof/>
                <w:webHidden/>
              </w:rPr>
              <w:tab/>
            </w:r>
            <w:r w:rsidR="008745A5">
              <w:rPr>
                <w:noProof/>
                <w:webHidden/>
              </w:rPr>
              <w:fldChar w:fldCharType="begin"/>
            </w:r>
            <w:r w:rsidR="008745A5">
              <w:rPr>
                <w:noProof/>
                <w:webHidden/>
              </w:rPr>
              <w:instrText xml:space="preserve"> PAGEREF _Toc11404100 \h </w:instrText>
            </w:r>
            <w:r w:rsidR="008745A5">
              <w:rPr>
                <w:noProof/>
                <w:webHidden/>
              </w:rPr>
            </w:r>
            <w:r w:rsidR="008745A5">
              <w:rPr>
                <w:noProof/>
                <w:webHidden/>
              </w:rPr>
              <w:fldChar w:fldCharType="separate"/>
            </w:r>
            <w:r w:rsidR="00020677">
              <w:rPr>
                <w:noProof/>
                <w:webHidden/>
              </w:rPr>
              <w:t>5</w:t>
            </w:r>
            <w:r w:rsidR="008745A5">
              <w:rPr>
                <w:noProof/>
                <w:webHidden/>
              </w:rPr>
              <w:fldChar w:fldCharType="end"/>
            </w:r>
          </w:hyperlink>
        </w:p>
        <w:p w14:paraId="173A708E" w14:textId="3A53A743" w:rsidR="008745A5" w:rsidRDefault="00E50632">
          <w:pPr>
            <w:pStyle w:val="TOC1"/>
            <w:rPr>
              <w:rFonts w:eastAsiaTheme="minorEastAsia" w:cstheme="minorBidi"/>
              <w:noProof/>
              <w:szCs w:val="22"/>
              <w:lang w:val="en-AU" w:eastAsia="en-AU"/>
            </w:rPr>
          </w:pPr>
          <w:hyperlink w:anchor="_Toc11404101" w:history="1">
            <w:r w:rsidR="008745A5" w:rsidRPr="005648FB">
              <w:rPr>
                <w:rStyle w:val="Hyperlink"/>
                <w:noProof/>
                <w:lang w:val="en-AU"/>
              </w:rPr>
              <w:t>Vision</w:t>
            </w:r>
            <w:r w:rsidR="008745A5">
              <w:rPr>
                <w:noProof/>
                <w:webHidden/>
              </w:rPr>
              <w:tab/>
            </w:r>
            <w:r w:rsidR="008745A5">
              <w:rPr>
                <w:noProof/>
                <w:webHidden/>
              </w:rPr>
              <w:fldChar w:fldCharType="begin"/>
            </w:r>
            <w:r w:rsidR="008745A5">
              <w:rPr>
                <w:noProof/>
                <w:webHidden/>
              </w:rPr>
              <w:instrText xml:space="preserve"> PAGEREF _Toc11404101 \h </w:instrText>
            </w:r>
            <w:r w:rsidR="008745A5">
              <w:rPr>
                <w:noProof/>
                <w:webHidden/>
              </w:rPr>
            </w:r>
            <w:r w:rsidR="008745A5">
              <w:rPr>
                <w:noProof/>
                <w:webHidden/>
              </w:rPr>
              <w:fldChar w:fldCharType="separate"/>
            </w:r>
            <w:r w:rsidR="00020677">
              <w:rPr>
                <w:noProof/>
                <w:webHidden/>
              </w:rPr>
              <w:t>6</w:t>
            </w:r>
            <w:r w:rsidR="008745A5">
              <w:rPr>
                <w:noProof/>
                <w:webHidden/>
              </w:rPr>
              <w:fldChar w:fldCharType="end"/>
            </w:r>
          </w:hyperlink>
        </w:p>
        <w:p w14:paraId="37FCA2AC" w14:textId="7BFF8E5E" w:rsidR="008745A5" w:rsidRDefault="00E50632">
          <w:pPr>
            <w:pStyle w:val="TOC1"/>
            <w:rPr>
              <w:rFonts w:eastAsiaTheme="minorEastAsia" w:cstheme="minorBidi"/>
              <w:noProof/>
              <w:szCs w:val="22"/>
              <w:lang w:val="en-AU" w:eastAsia="en-AU"/>
            </w:rPr>
          </w:pPr>
          <w:hyperlink w:anchor="_Toc11404102" w:history="1">
            <w:r w:rsidR="008745A5" w:rsidRPr="005648FB">
              <w:rPr>
                <w:rStyle w:val="Hyperlink"/>
                <w:noProof/>
                <w:lang w:val="en-AU"/>
              </w:rPr>
              <w:t>Mission</w:t>
            </w:r>
            <w:r w:rsidR="008745A5">
              <w:rPr>
                <w:noProof/>
                <w:webHidden/>
              </w:rPr>
              <w:tab/>
            </w:r>
            <w:r w:rsidR="008745A5">
              <w:rPr>
                <w:noProof/>
                <w:webHidden/>
              </w:rPr>
              <w:fldChar w:fldCharType="begin"/>
            </w:r>
            <w:r w:rsidR="008745A5">
              <w:rPr>
                <w:noProof/>
                <w:webHidden/>
              </w:rPr>
              <w:instrText xml:space="preserve"> PAGEREF _Toc11404102 \h </w:instrText>
            </w:r>
            <w:r w:rsidR="008745A5">
              <w:rPr>
                <w:noProof/>
                <w:webHidden/>
              </w:rPr>
            </w:r>
            <w:r w:rsidR="008745A5">
              <w:rPr>
                <w:noProof/>
                <w:webHidden/>
              </w:rPr>
              <w:fldChar w:fldCharType="separate"/>
            </w:r>
            <w:r w:rsidR="00020677">
              <w:rPr>
                <w:noProof/>
                <w:webHidden/>
              </w:rPr>
              <w:t>6</w:t>
            </w:r>
            <w:r w:rsidR="008745A5">
              <w:rPr>
                <w:noProof/>
                <w:webHidden/>
              </w:rPr>
              <w:fldChar w:fldCharType="end"/>
            </w:r>
          </w:hyperlink>
        </w:p>
        <w:p w14:paraId="71F964F7" w14:textId="71085D94" w:rsidR="008745A5" w:rsidRDefault="00E50632">
          <w:pPr>
            <w:pStyle w:val="TOC1"/>
            <w:rPr>
              <w:rFonts w:eastAsiaTheme="minorEastAsia" w:cstheme="minorBidi"/>
              <w:noProof/>
              <w:szCs w:val="22"/>
              <w:lang w:val="en-AU" w:eastAsia="en-AU"/>
            </w:rPr>
          </w:pPr>
          <w:hyperlink w:anchor="_Toc11404103" w:history="1">
            <w:r w:rsidR="008745A5" w:rsidRPr="005648FB">
              <w:rPr>
                <w:rStyle w:val="Hyperlink"/>
                <w:noProof/>
                <w:lang w:val="en-AU"/>
              </w:rPr>
              <w:t>Enablers</w:t>
            </w:r>
            <w:r w:rsidR="008745A5">
              <w:rPr>
                <w:noProof/>
                <w:webHidden/>
              </w:rPr>
              <w:tab/>
            </w:r>
            <w:r w:rsidR="008745A5">
              <w:rPr>
                <w:noProof/>
                <w:webHidden/>
              </w:rPr>
              <w:fldChar w:fldCharType="begin"/>
            </w:r>
            <w:r w:rsidR="008745A5">
              <w:rPr>
                <w:noProof/>
                <w:webHidden/>
              </w:rPr>
              <w:instrText xml:space="preserve"> PAGEREF _Toc11404103 \h </w:instrText>
            </w:r>
            <w:r w:rsidR="008745A5">
              <w:rPr>
                <w:noProof/>
                <w:webHidden/>
              </w:rPr>
            </w:r>
            <w:r w:rsidR="008745A5">
              <w:rPr>
                <w:noProof/>
                <w:webHidden/>
              </w:rPr>
              <w:fldChar w:fldCharType="separate"/>
            </w:r>
            <w:r w:rsidR="00020677">
              <w:rPr>
                <w:noProof/>
                <w:webHidden/>
              </w:rPr>
              <w:t>6</w:t>
            </w:r>
            <w:r w:rsidR="008745A5">
              <w:rPr>
                <w:noProof/>
                <w:webHidden/>
              </w:rPr>
              <w:fldChar w:fldCharType="end"/>
            </w:r>
          </w:hyperlink>
        </w:p>
        <w:p w14:paraId="07A358B0" w14:textId="7F45F563" w:rsidR="008745A5" w:rsidRDefault="00E50632">
          <w:pPr>
            <w:pStyle w:val="TOC1"/>
            <w:rPr>
              <w:rFonts w:eastAsiaTheme="minorEastAsia" w:cstheme="minorBidi"/>
              <w:noProof/>
              <w:szCs w:val="22"/>
              <w:lang w:val="en-AU" w:eastAsia="en-AU"/>
            </w:rPr>
          </w:pPr>
          <w:hyperlink w:anchor="_Toc11404104" w:history="1">
            <w:r w:rsidR="008745A5" w:rsidRPr="005648FB">
              <w:rPr>
                <w:rStyle w:val="Hyperlink"/>
                <w:noProof/>
              </w:rPr>
              <w:t>Guiding principles</w:t>
            </w:r>
            <w:r w:rsidR="008745A5">
              <w:rPr>
                <w:noProof/>
                <w:webHidden/>
              </w:rPr>
              <w:tab/>
            </w:r>
            <w:r w:rsidR="008745A5">
              <w:rPr>
                <w:noProof/>
                <w:webHidden/>
              </w:rPr>
              <w:fldChar w:fldCharType="begin"/>
            </w:r>
            <w:r w:rsidR="008745A5">
              <w:rPr>
                <w:noProof/>
                <w:webHidden/>
              </w:rPr>
              <w:instrText xml:space="preserve"> PAGEREF _Toc11404104 \h </w:instrText>
            </w:r>
            <w:r w:rsidR="008745A5">
              <w:rPr>
                <w:noProof/>
                <w:webHidden/>
              </w:rPr>
            </w:r>
            <w:r w:rsidR="008745A5">
              <w:rPr>
                <w:noProof/>
                <w:webHidden/>
              </w:rPr>
              <w:fldChar w:fldCharType="separate"/>
            </w:r>
            <w:r w:rsidR="00020677">
              <w:rPr>
                <w:noProof/>
                <w:webHidden/>
              </w:rPr>
              <w:t>6</w:t>
            </w:r>
            <w:r w:rsidR="008745A5">
              <w:rPr>
                <w:noProof/>
                <w:webHidden/>
              </w:rPr>
              <w:fldChar w:fldCharType="end"/>
            </w:r>
          </w:hyperlink>
        </w:p>
        <w:p w14:paraId="208DFC48" w14:textId="72699978" w:rsidR="008745A5" w:rsidRDefault="00E50632">
          <w:pPr>
            <w:pStyle w:val="TOC1"/>
            <w:rPr>
              <w:rFonts w:eastAsiaTheme="minorEastAsia" w:cstheme="minorBidi"/>
              <w:noProof/>
              <w:szCs w:val="22"/>
              <w:lang w:val="en-AU" w:eastAsia="en-AU"/>
            </w:rPr>
          </w:pPr>
          <w:hyperlink w:anchor="_Toc11404105" w:history="1">
            <w:r w:rsidR="008745A5" w:rsidRPr="005648FB">
              <w:rPr>
                <w:rStyle w:val="Hyperlink"/>
                <w:noProof/>
                <w:lang w:val="en-AU"/>
              </w:rPr>
              <w:t>Strategic context</w:t>
            </w:r>
            <w:r w:rsidR="008745A5">
              <w:rPr>
                <w:noProof/>
                <w:webHidden/>
              </w:rPr>
              <w:tab/>
            </w:r>
            <w:r w:rsidR="008745A5">
              <w:rPr>
                <w:noProof/>
                <w:webHidden/>
              </w:rPr>
              <w:fldChar w:fldCharType="begin"/>
            </w:r>
            <w:r w:rsidR="008745A5">
              <w:rPr>
                <w:noProof/>
                <w:webHidden/>
              </w:rPr>
              <w:instrText xml:space="preserve"> PAGEREF _Toc11404105 \h </w:instrText>
            </w:r>
            <w:r w:rsidR="008745A5">
              <w:rPr>
                <w:noProof/>
                <w:webHidden/>
              </w:rPr>
            </w:r>
            <w:r w:rsidR="008745A5">
              <w:rPr>
                <w:noProof/>
                <w:webHidden/>
              </w:rPr>
              <w:fldChar w:fldCharType="separate"/>
            </w:r>
            <w:r w:rsidR="00020677">
              <w:rPr>
                <w:noProof/>
                <w:webHidden/>
              </w:rPr>
              <w:t>7</w:t>
            </w:r>
            <w:r w:rsidR="008745A5">
              <w:rPr>
                <w:noProof/>
                <w:webHidden/>
              </w:rPr>
              <w:fldChar w:fldCharType="end"/>
            </w:r>
          </w:hyperlink>
        </w:p>
        <w:p w14:paraId="02140D4F" w14:textId="7F6A60FD" w:rsidR="008745A5" w:rsidRDefault="00E50632">
          <w:pPr>
            <w:pStyle w:val="TOC1"/>
            <w:rPr>
              <w:rFonts w:eastAsiaTheme="minorEastAsia" w:cstheme="minorBidi"/>
              <w:noProof/>
              <w:szCs w:val="22"/>
              <w:lang w:val="en-AU" w:eastAsia="en-AU"/>
            </w:rPr>
          </w:pPr>
          <w:hyperlink w:anchor="_Toc11404106" w:history="1">
            <w:r w:rsidR="008745A5" w:rsidRPr="005648FB">
              <w:rPr>
                <w:rStyle w:val="Hyperlink"/>
                <w:noProof/>
                <w:lang w:val="en-AU"/>
              </w:rPr>
              <w:t>Strategic priorities</w:t>
            </w:r>
            <w:r w:rsidR="008745A5">
              <w:rPr>
                <w:noProof/>
                <w:webHidden/>
              </w:rPr>
              <w:tab/>
            </w:r>
            <w:r w:rsidR="008745A5">
              <w:rPr>
                <w:noProof/>
                <w:webHidden/>
              </w:rPr>
              <w:fldChar w:fldCharType="begin"/>
            </w:r>
            <w:r w:rsidR="008745A5">
              <w:rPr>
                <w:noProof/>
                <w:webHidden/>
              </w:rPr>
              <w:instrText xml:space="preserve"> PAGEREF _Toc11404106 \h </w:instrText>
            </w:r>
            <w:r w:rsidR="008745A5">
              <w:rPr>
                <w:noProof/>
                <w:webHidden/>
              </w:rPr>
            </w:r>
            <w:r w:rsidR="008745A5">
              <w:rPr>
                <w:noProof/>
                <w:webHidden/>
              </w:rPr>
              <w:fldChar w:fldCharType="separate"/>
            </w:r>
            <w:r w:rsidR="00020677">
              <w:rPr>
                <w:noProof/>
                <w:webHidden/>
              </w:rPr>
              <w:t>13</w:t>
            </w:r>
            <w:r w:rsidR="008745A5">
              <w:rPr>
                <w:noProof/>
                <w:webHidden/>
              </w:rPr>
              <w:fldChar w:fldCharType="end"/>
            </w:r>
          </w:hyperlink>
        </w:p>
        <w:p w14:paraId="564F372F" w14:textId="3FD99F09" w:rsidR="008745A5" w:rsidRDefault="00E50632">
          <w:pPr>
            <w:pStyle w:val="TOC2"/>
            <w:tabs>
              <w:tab w:val="right" w:leader="dot" w:pos="9060"/>
            </w:tabs>
            <w:rPr>
              <w:rFonts w:eastAsiaTheme="minorEastAsia" w:cstheme="minorBidi"/>
              <w:noProof/>
              <w:szCs w:val="22"/>
              <w:lang w:val="en-AU" w:eastAsia="en-AU"/>
            </w:rPr>
          </w:pPr>
          <w:hyperlink w:anchor="_Toc11404107" w:history="1">
            <w:r w:rsidR="008745A5" w:rsidRPr="005648FB">
              <w:rPr>
                <w:rStyle w:val="Hyperlink"/>
                <w:noProof/>
              </w:rPr>
              <w:t>Strategic Priority 1—Standardised National Approach</w:t>
            </w:r>
            <w:r w:rsidR="008745A5">
              <w:rPr>
                <w:noProof/>
                <w:webHidden/>
              </w:rPr>
              <w:tab/>
            </w:r>
            <w:r w:rsidR="008745A5">
              <w:rPr>
                <w:noProof/>
                <w:webHidden/>
              </w:rPr>
              <w:fldChar w:fldCharType="begin"/>
            </w:r>
            <w:r w:rsidR="008745A5">
              <w:rPr>
                <w:noProof/>
                <w:webHidden/>
              </w:rPr>
              <w:instrText xml:space="preserve"> PAGEREF _Toc11404107 \h </w:instrText>
            </w:r>
            <w:r w:rsidR="008745A5">
              <w:rPr>
                <w:noProof/>
                <w:webHidden/>
              </w:rPr>
            </w:r>
            <w:r w:rsidR="008745A5">
              <w:rPr>
                <w:noProof/>
                <w:webHidden/>
              </w:rPr>
              <w:fldChar w:fldCharType="separate"/>
            </w:r>
            <w:r w:rsidR="00020677">
              <w:rPr>
                <w:noProof/>
                <w:webHidden/>
              </w:rPr>
              <w:t>14</w:t>
            </w:r>
            <w:r w:rsidR="008745A5">
              <w:rPr>
                <w:noProof/>
                <w:webHidden/>
              </w:rPr>
              <w:fldChar w:fldCharType="end"/>
            </w:r>
          </w:hyperlink>
        </w:p>
        <w:p w14:paraId="3804FBB7" w14:textId="79B2EED4" w:rsidR="008745A5" w:rsidRDefault="00E50632">
          <w:pPr>
            <w:pStyle w:val="TOC2"/>
            <w:tabs>
              <w:tab w:val="right" w:leader="dot" w:pos="9060"/>
            </w:tabs>
            <w:rPr>
              <w:rFonts w:eastAsiaTheme="minorEastAsia" w:cstheme="minorBidi"/>
              <w:noProof/>
              <w:szCs w:val="22"/>
              <w:lang w:val="en-AU" w:eastAsia="en-AU"/>
            </w:rPr>
          </w:pPr>
          <w:hyperlink w:anchor="_Toc11404108" w:history="1">
            <w:r w:rsidR="008745A5" w:rsidRPr="005648FB">
              <w:rPr>
                <w:rStyle w:val="Hyperlink"/>
                <w:noProof/>
              </w:rPr>
              <w:t>Strategic Priority 2—Technology and Data Governance</w:t>
            </w:r>
            <w:r w:rsidR="008745A5">
              <w:rPr>
                <w:noProof/>
                <w:webHidden/>
              </w:rPr>
              <w:tab/>
            </w:r>
            <w:r w:rsidR="008745A5">
              <w:rPr>
                <w:noProof/>
                <w:webHidden/>
              </w:rPr>
              <w:fldChar w:fldCharType="begin"/>
            </w:r>
            <w:r w:rsidR="008745A5">
              <w:rPr>
                <w:noProof/>
                <w:webHidden/>
              </w:rPr>
              <w:instrText xml:space="preserve"> PAGEREF _Toc11404108 \h </w:instrText>
            </w:r>
            <w:r w:rsidR="008745A5">
              <w:rPr>
                <w:noProof/>
                <w:webHidden/>
              </w:rPr>
            </w:r>
            <w:r w:rsidR="008745A5">
              <w:rPr>
                <w:noProof/>
                <w:webHidden/>
              </w:rPr>
              <w:fldChar w:fldCharType="separate"/>
            </w:r>
            <w:r w:rsidR="00020677">
              <w:rPr>
                <w:noProof/>
                <w:webHidden/>
              </w:rPr>
              <w:t>16</w:t>
            </w:r>
            <w:r w:rsidR="008745A5">
              <w:rPr>
                <w:noProof/>
                <w:webHidden/>
              </w:rPr>
              <w:fldChar w:fldCharType="end"/>
            </w:r>
          </w:hyperlink>
        </w:p>
        <w:p w14:paraId="32396CB4" w14:textId="59EBF7F4" w:rsidR="008745A5" w:rsidRDefault="00E50632">
          <w:pPr>
            <w:pStyle w:val="TOC2"/>
            <w:tabs>
              <w:tab w:val="right" w:leader="dot" w:pos="9060"/>
            </w:tabs>
            <w:rPr>
              <w:rFonts w:eastAsiaTheme="minorEastAsia" w:cstheme="minorBidi"/>
              <w:noProof/>
              <w:szCs w:val="22"/>
              <w:lang w:val="en-AU" w:eastAsia="en-AU"/>
            </w:rPr>
          </w:pPr>
          <w:hyperlink w:anchor="_Toc11404109" w:history="1">
            <w:r w:rsidR="008745A5" w:rsidRPr="005648FB">
              <w:rPr>
                <w:rStyle w:val="Hyperlink"/>
                <w:noProof/>
              </w:rPr>
              <w:t>Strategic Priority 3—Integration into Public Health</w:t>
            </w:r>
            <w:r w:rsidR="008745A5">
              <w:rPr>
                <w:noProof/>
                <w:webHidden/>
              </w:rPr>
              <w:tab/>
            </w:r>
            <w:r w:rsidR="008745A5">
              <w:rPr>
                <w:noProof/>
                <w:webHidden/>
              </w:rPr>
              <w:fldChar w:fldCharType="begin"/>
            </w:r>
            <w:r w:rsidR="008745A5">
              <w:rPr>
                <w:noProof/>
                <w:webHidden/>
              </w:rPr>
              <w:instrText xml:space="preserve"> PAGEREF _Toc11404109 \h </w:instrText>
            </w:r>
            <w:r w:rsidR="008745A5">
              <w:rPr>
                <w:noProof/>
                <w:webHidden/>
              </w:rPr>
            </w:r>
            <w:r w:rsidR="008745A5">
              <w:rPr>
                <w:noProof/>
                <w:webHidden/>
              </w:rPr>
              <w:fldChar w:fldCharType="separate"/>
            </w:r>
            <w:r w:rsidR="00020677">
              <w:rPr>
                <w:noProof/>
                <w:webHidden/>
              </w:rPr>
              <w:t>18</w:t>
            </w:r>
            <w:r w:rsidR="008745A5">
              <w:rPr>
                <w:noProof/>
                <w:webHidden/>
              </w:rPr>
              <w:fldChar w:fldCharType="end"/>
            </w:r>
          </w:hyperlink>
        </w:p>
        <w:p w14:paraId="600C0B55" w14:textId="6B3AC82C" w:rsidR="008745A5" w:rsidRDefault="00E50632">
          <w:pPr>
            <w:pStyle w:val="TOC2"/>
            <w:tabs>
              <w:tab w:val="right" w:leader="dot" w:pos="9060"/>
            </w:tabs>
            <w:rPr>
              <w:rFonts w:eastAsiaTheme="minorEastAsia" w:cstheme="minorBidi"/>
              <w:noProof/>
              <w:szCs w:val="22"/>
              <w:lang w:val="en-AU" w:eastAsia="en-AU"/>
            </w:rPr>
          </w:pPr>
          <w:hyperlink w:anchor="_Toc11404110" w:history="1">
            <w:r w:rsidR="008745A5" w:rsidRPr="005648FB">
              <w:rPr>
                <w:rStyle w:val="Hyperlink"/>
                <w:noProof/>
              </w:rPr>
              <w:t>Strategic Priority 4—Access and Workforce</w:t>
            </w:r>
            <w:r w:rsidR="008745A5">
              <w:rPr>
                <w:noProof/>
                <w:webHidden/>
              </w:rPr>
              <w:tab/>
            </w:r>
            <w:r w:rsidR="008745A5">
              <w:rPr>
                <w:noProof/>
                <w:webHidden/>
              </w:rPr>
              <w:fldChar w:fldCharType="begin"/>
            </w:r>
            <w:r w:rsidR="008745A5">
              <w:rPr>
                <w:noProof/>
                <w:webHidden/>
              </w:rPr>
              <w:instrText xml:space="preserve"> PAGEREF _Toc11404110 \h </w:instrText>
            </w:r>
            <w:r w:rsidR="008745A5">
              <w:rPr>
                <w:noProof/>
                <w:webHidden/>
              </w:rPr>
            </w:r>
            <w:r w:rsidR="008745A5">
              <w:rPr>
                <w:noProof/>
                <w:webHidden/>
              </w:rPr>
              <w:fldChar w:fldCharType="separate"/>
            </w:r>
            <w:r w:rsidR="00020677">
              <w:rPr>
                <w:noProof/>
                <w:webHidden/>
              </w:rPr>
              <w:t>20</w:t>
            </w:r>
            <w:r w:rsidR="008745A5">
              <w:rPr>
                <w:noProof/>
                <w:webHidden/>
              </w:rPr>
              <w:fldChar w:fldCharType="end"/>
            </w:r>
          </w:hyperlink>
        </w:p>
        <w:p w14:paraId="491BA2D5" w14:textId="24E54D67" w:rsidR="008745A5" w:rsidRDefault="00E50632">
          <w:pPr>
            <w:pStyle w:val="TOC2"/>
            <w:tabs>
              <w:tab w:val="right" w:leader="dot" w:pos="9060"/>
            </w:tabs>
            <w:rPr>
              <w:rFonts w:eastAsiaTheme="minorEastAsia" w:cstheme="minorBidi"/>
              <w:noProof/>
              <w:szCs w:val="22"/>
              <w:lang w:val="en-AU" w:eastAsia="en-AU"/>
            </w:rPr>
          </w:pPr>
          <w:hyperlink w:anchor="_Toc11404111" w:history="1">
            <w:r w:rsidR="008745A5" w:rsidRPr="005648FB">
              <w:rPr>
                <w:rStyle w:val="Hyperlink"/>
                <w:noProof/>
              </w:rPr>
              <w:t>Strategic Priority 5—Financing</w:t>
            </w:r>
            <w:r w:rsidR="008745A5">
              <w:rPr>
                <w:noProof/>
                <w:webHidden/>
              </w:rPr>
              <w:tab/>
            </w:r>
            <w:r w:rsidR="008745A5">
              <w:rPr>
                <w:noProof/>
                <w:webHidden/>
              </w:rPr>
              <w:fldChar w:fldCharType="begin"/>
            </w:r>
            <w:r w:rsidR="008745A5">
              <w:rPr>
                <w:noProof/>
                <w:webHidden/>
              </w:rPr>
              <w:instrText xml:space="preserve"> PAGEREF _Toc11404111 \h </w:instrText>
            </w:r>
            <w:r w:rsidR="008745A5">
              <w:rPr>
                <w:noProof/>
                <w:webHidden/>
              </w:rPr>
            </w:r>
            <w:r w:rsidR="008745A5">
              <w:rPr>
                <w:noProof/>
                <w:webHidden/>
              </w:rPr>
              <w:fldChar w:fldCharType="separate"/>
            </w:r>
            <w:r w:rsidR="00020677">
              <w:rPr>
                <w:noProof/>
                <w:webHidden/>
              </w:rPr>
              <w:t>22</w:t>
            </w:r>
            <w:r w:rsidR="008745A5">
              <w:rPr>
                <w:noProof/>
                <w:webHidden/>
              </w:rPr>
              <w:fldChar w:fldCharType="end"/>
            </w:r>
          </w:hyperlink>
        </w:p>
        <w:p w14:paraId="44428EE2" w14:textId="56FF8A3B" w:rsidR="008745A5" w:rsidRDefault="00E50632">
          <w:pPr>
            <w:pStyle w:val="TOC1"/>
            <w:rPr>
              <w:rFonts w:eastAsiaTheme="minorEastAsia" w:cstheme="minorBidi"/>
              <w:noProof/>
              <w:szCs w:val="22"/>
              <w:lang w:val="en-AU" w:eastAsia="en-AU"/>
            </w:rPr>
          </w:pPr>
          <w:hyperlink w:anchor="_Toc11404112" w:history="1">
            <w:r w:rsidR="008745A5" w:rsidRPr="005648FB">
              <w:rPr>
                <w:rStyle w:val="Hyperlink"/>
                <w:noProof/>
                <w:lang w:val="en-AU" w:eastAsia="en-AU"/>
              </w:rPr>
              <w:t>Implementing the framework</w:t>
            </w:r>
            <w:r w:rsidR="008745A5">
              <w:rPr>
                <w:noProof/>
                <w:webHidden/>
              </w:rPr>
              <w:tab/>
            </w:r>
            <w:r w:rsidR="008745A5">
              <w:rPr>
                <w:noProof/>
                <w:webHidden/>
              </w:rPr>
              <w:fldChar w:fldCharType="begin"/>
            </w:r>
            <w:r w:rsidR="008745A5">
              <w:rPr>
                <w:noProof/>
                <w:webHidden/>
              </w:rPr>
              <w:instrText xml:space="preserve"> PAGEREF _Toc11404112 \h </w:instrText>
            </w:r>
            <w:r w:rsidR="008745A5">
              <w:rPr>
                <w:noProof/>
                <w:webHidden/>
              </w:rPr>
            </w:r>
            <w:r w:rsidR="008745A5">
              <w:rPr>
                <w:noProof/>
                <w:webHidden/>
              </w:rPr>
              <w:fldChar w:fldCharType="separate"/>
            </w:r>
            <w:r w:rsidR="00020677">
              <w:rPr>
                <w:noProof/>
                <w:webHidden/>
              </w:rPr>
              <w:t>23</w:t>
            </w:r>
            <w:r w:rsidR="008745A5">
              <w:rPr>
                <w:noProof/>
                <w:webHidden/>
              </w:rPr>
              <w:fldChar w:fldCharType="end"/>
            </w:r>
          </w:hyperlink>
        </w:p>
        <w:p w14:paraId="0D81DC6B" w14:textId="42F56DCD" w:rsidR="00873325" w:rsidRPr="00ED4544" w:rsidRDefault="00873325">
          <w:pPr>
            <w:rPr>
              <w:lang w:val="en-AU"/>
            </w:rPr>
          </w:pPr>
          <w:r w:rsidRPr="00ED4544">
            <w:rPr>
              <w:b/>
              <w:bCs/>
              <w:lang w:val="en-AU"/>
            </w:rPr>
            <w:fldChar w:fldCharType="end"/>
          </w:r>
        </w:p>
      </w:sdtContent>
    </w:sdt>
    <w:p w14:paraId="0C0099D6" w14:textId="77777777" w:rsidR="006E046F" w:rsidRPr="00ED4544" w:rsidRDefault="006E046F" w:rsidP="00DA48E0">
      <w:pPr>
        <w:rPr>
          <w:lang w:val="en-AU"/>
        </w:rPr>
      </w:pPr>
    </w:p>
    <w:p w14:paraId="239C6CAC" w14:textId="45CD4C12" w:rsidR="006E046F" w:rsidRPr="00ED4544" w:rsidRDefault="006E046F">
      <w:pPr>
        <w:rPr>
          <w:lang w:val="en-AU"/>
        </w:rPr>
        <w:sectPr w:rsidR="006E046F" w:rsidRPr="00ED4544" w:rsidSect="009A3902">
          <w:footerReference w:type="first" r:id="rId12"/>
          <w:pgSz w:w="11906" w:h="16838"/>
          <w:pgMar w:top="964" w:right="1418" w:bottom="1276" w:left="1418" w:header="567" w:footer="397" w:gutter="0"/>
          <w:pgNumType w:start="1"/>
          <w:cols w:space="708"/>
          <w:titlePg/>
          <w:docGrid w:linePitch="360"/>
        </w:sectPr>
      </w:pPr>
    </w:p>
    <w:p w14:paraId="4301D6C7" w14:textId="55E3B8A8" w:rsidR="0084021B" w:rsidRPr="00ED4544" w:rsidRDefault="0084021B" w:rsidP="00873325">
      <w:pPr>
        <w:pStyle w:val="Heading1"/>
        <w:rPr>
          <w:lang w:val="en-AU"/>
        </w:rPr>
      </w:pPr>
      <w:bookmarkStart w:id="6" w:name="_Toc530994568"/>
      <w:bookmarkStart w:id="7" w:name="_Toc11404098"/>
      <w:r w:rsidRPr="00ED4544">
        <w:rPr>
          <w:lang w:val="en-AU"/>
        </w:rPr>
        <w:lastRenderedPageBreak/>
        <w:t>G</w:t>
      </w:r>
      <w:r w:rsidR="0094077E" w:rsidRPr="00ED4544">
        <w:rPr>
          <w:lang w:val="en-AU"/>
        </w:rPr>
        <w:t xml:space="preserve">lossary of </w:t>
      </w:r>
      <w:r w:rsidR="00616477">
        <w:rPr>
          <w:lang w:val="en-AU"/>
        </w:rPr>
        <w:t>k</w:t>
      </w:r>
      <w:r w:rsidR="0094077E" w:rsidRPr="00ED4544">
        <w:rPr>
          <w:lang w:val="en-AU"/>
        </w:rPr>
        <w:t>ey</w:t>
      </w:r>
      <w:r w:rsidR="007F5AF5" w:rsidRPr="00ED4544">
        <w:rPr>
          <w:lang w:val="en-AU"/>
        </w:rPr>
        <w:t xml:space="preserve"> </w:t>
      </w:r>
      <w:r w:rsidR="00616477">
        <w:rPr>
          <w:lang w:val="en-AU"/>
        </w:rPr>
        <w:t>t</w:t>
      </w:r>
      <w:r w:rsidR="00F27826" w:rsidRPr="00ED4544">
        <w:rPr>
          <w:lang w:val="en-AU"/>
        </w:rPr>
        <w:t xml:space="preserve">echnical </w:t>
      </w:r>
      <w:r w:rsidR="00616477">
        <w:rPr>
          <w:lang w:val="en-AU"/>
        </w:rPr>
        <w:t>t</w:t>
      </w:r>
      <w:r w:rsidR="0094077E" w:rsidRPr="00ED4544">
        <w:rPr>
          <w:lang w:val="en-AU"/>
        </w:rPr>
        <w:t>erms</w:t>
      </w:r>
      <w:bookmarkEnd w:id="6"/>
      <w:bookmarkEnd w:id="7"/>
    </w:p>
    <w:p w14:paraId="72863521" w14:textId="4049378C" w:rsidR="00403FC1" w:rsidRPr="0060559B" w:rsidRDefault="00403FC1" w:rsidP="0060559B">
      <w:r w:rsidRPr="0060559B">
        <w:t xml:space="preserve">For the purposes of the </w:t>
      </w:r>
      <w:r w:rsidR="0085226B" w:rsidRPr="0060559B">
        <w:t>National Microbial Genomics</w:t>
      </w:r>
      <w:r w:rsidR="00CC7536" w:rsidRPr="0060559B">
        <w:t xml:space="preserve"> Framework</w:t>
      </w:r>
      <w:r w:rsidR="00271F24" w:rsidRPr="0060559B">
        <w:t xml:space="preserve"> 2019-2022</w:t>
      </w:r>
      <w:r w:rsidRPr="0060559B">
        <w:t>, key terms are defined as follows</w:t>
      </w:r>
      <w:r w:rsidR="00511DBA" w:rsidRPr="0060559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lossary of key technical terms to be read left to right, top to bottom"/>
      </w:tblPr>
      <w:tblGrid>
        <w:gridCol w:w="2410"/>
        <w:gridCol w:w="6521"/>
      </w:tblGrid>
      <w:tr w:rsidR="00403FC1" w:rsidRPr="001E4E7D" w14:paraId="1DB144B4" w14:textId="77777777" w:rsidTr="00B65945">
        <w:tc>
          <w:tcPr>
            <w:tcW w:w="2410" w:type="dxa"/>
          </w:tcPr>
          <w:p w14:paraId="25E0524E" w14:textId="46D29B1B" w:rsidR="00403FC1" w:rsidRPr="0060559B" w:rsidRDefault="00B65945" w:rsidP="0060559B">
            <w:r w:rsidRPr="0060559B">
              <w:t>Term</w:t>
            </w:r>
          </w:p>
        </w:tc>
        <w:tc>
          <w:tcPr>
            <w:tcW w:w="6521" w:type="dxa"/>
          </w:tcPr>
          <w:p w14:paraId="29C24A83" w14:textId="74038ADB" w:rsidR="00931CCE" w:rsidRPr="0060559B" w:rsidRDefault="00B65945" w:rsidP="0060559B">
            <w:r w:rsidRPr="0060559B">
              <w:t>Definition</w:t>
            </w:r>
          </w:p>
        </w:tc>
      </w:tr>
      <w:tr w:rsidR="00403FC1" w:rsidRPr="001E4E7D" w14:paraId="6CA337F6" w14:textId="77777777" w:rsidTr="00B65945">
        <w:tc>
          <w:tcPr>
            <w:tcW w:w="2410" w:type="dxa"/>
          </w:tcPr>
          <w:p w14:paraId="5816AE80" w14:textId="77777777" w:rsidR="00403FC1" w:rsidRPr="0060559B" w:rsidRDefault="00403FC1" w:rsidP="0060559B">
            <w:r w:rsidRPr="0060559B">
              <w:t xml:space="preserve">Bioinformatics </w:t>
            </w:r>
          </w:p>
        </w:tc>
        <w:tc>
          <w:tcPr>
            <w:tcW w:w="6521" w:type="dxa"/>
          </w:tcPr>
          <w:p w14:paraId="73144B8C" w14:textId="6D879F50" w:rsidR="00CF302A" w:rsidRPr="00ED4544" w:rsidRDefault="00616477" w:rsidP="00B65945">
            <w:pPr>
              <w:rPr>
                <w:b/>
                <w:bCs/>
                <w:sz w:val="23"/>
                <w:szCs w:val="23"/>
                <w:lang w:val="en-AU"/>
              </w:rPr>
            </w:pPr>
            <w:r>
              <w:rPr>
                <w:szCs w:val="22"/>
                <w:lang w:val="en-AU"/>
              </w:rPr>
              <w:t>T</w:t>
            </w:r>
            <w:r w:rsidR="00403FC1" w:rsidRPr="00ED4544">
              <w:rPr>
                <w:szCs w:val="22"/>
                <w:lang w:val="en-AU"/>
              </w:rPr>
              <w:t xml:space="preserve">he use of algorithms and software to analyse </w:t>
            </w:r>
            <w:r w:rsidR="002D4706" w:rsidRPr="00ED4544">
              <w:rPr>
                <w:szCs w:val="22"/>
                <w:lang w:val="en-AU"/>
              </w:rPr>
              <w:t>sequencing</w:t>
            </w:r>
            <w:r w:rsidR="00403FC1" w:rsidRPr="00ED4544">
              <w:rPr>
                <w:szCs w:val="22"/>
                <w:lang w:val="en-AU"/>
              </w:rPr>
              <w:t xml:space="preserve"> data.</w:t>
            </w:r>
          </w:p>
        </w:tc>
      </w:tr>
      <w:tr w:rsidR="00403FC1" w:rsidRPr="001E4E7D" w14:paraId="353DF319" w14:textId="77777777" w:rsidTr="00B65945">
        <w:tc>
          <w:tcPr>
            <w:tcW w:w="2410" w:type="dxa"/>
          </w:tcPr>
          <w:p w14:paraId="74BA4C01" w14:textId="77777777" w:rsidR="00403FC1" w:rsidRPr="0060559B" w:rsidRDefault="00403FC1" w:rsidP="0060559B">
            <w:r w:rsidRPr="0060559B">
              <w:t xml:space="preserve">DNA </w:t>
            </w:r>
          </w:p>
        </w:tc>
        <w:tc>
          <w:tcPr>
            <w:tcW w:w="6521" w:type="dxa"/>
          </w:tcPr>
          <w:p w14:paraId="4802FA02" w14:textId="656792C3" w:rsidR="00CF302A" w:rsidRPr="00DE4AC0" w:rsidRDefault="00616477" w:rsidP="00B65945">
            <w:pPr>
              <w:rPr>
                <w:b/>
                <w:bCs/>
                <w:sz w:val="23"/>
                <w:szCs w:val="23"/>
                <w:lang w:val="en-AU"/>
              </w:rPr>
            </w:pPr>
            <w:r w:rsidRPr="00DE4AC0">
              <w:rPr>
                <w:szCs w:val="22"/>
                <w:lang w:val="en-AU"/>
              </w:rPr>
              <w:t>D</w:t>
            </w:r>
            <w:r w:rsidR="00403FC1" w:rsidRPr="00DE4AC0">
              <w:rPr>
                <w:szCs w:val="22"/>
                <w:lang w:val="en-AU"/>
              </w:rPr>
              <w:t>eoxyribonucleic acid</w:t>
            </w:r>
            <w:r w:rsidRPr="00DE4AC0">
              <w:rPr>
                <w:szCs w:val="22"/>
                <w:lang w:val="en-AU"/>
              </w:rPr>
              <w:t>—</w:t>
            </w:r>
            <w:r w:rsidR="00403FC1" w:rsidRPr="00DE4AC0">
              <w:rPr>
                <w:szCs w:val="22"/>
                <w:lang w:val="en-AU"/>
              </w:rPr>
              <w:t>a self-replicating material which is present in nearly all living organisms as the main constituent of chromosomes. It is the carrier of genetic information.</w:t>
            </w:r>
          </w:p>
        </w:tc>
      </w:tr>
      <w:tr w:rsidR="00403FC1" w:rsidRPr="001E4E7D" w14:paraId="15B12A25" w14:textId="77777777" w:rsidTr="00B65945">
        <w:tc>
          <w:tcPr>
            <w:tcW w:w="2410" w:type="dxa"/>
          </w:tcPr>
          <w:p w14:paraId="24A3CDCA" w14:textId="77777777" w:rsidR="00403FC1" w:rsidRPr="0060559B" w:rsidRDefault="00403FC1" w:rsidP="0060559B">
            <w:r w:rsidRPr="0060559B">
              <w:t xml:space="preserve">Efficiency </w:t>
            </w:r>
          </w:p>
        </w:tc>
        <w:tc>
          <w:tcPr>
            <w:tcW w:w="6521" w:type="dxa"/>
          </w:tcPr>
          <w:p w14:paraId="05547FA2" w14:textId="0E68697F" w:rsidR="00CF302A" w:rsidRPr="00ED4544" w:rsidRDefault="00616477" w:rsidP="00B65945">
            <w:pPr>
              <w:rPr>
                <w:b/>
                <w:bCs/>
                <w:sz w:val="23"/>
                <w:szCs w:val="23"/>
                <w:lang w:val="en-AU"/>
              </w:rPr>
            </w:pPr>
            <w:r>
              <w:rPr>
                <w:szCs w:val="22"/>
                <w:lang w:val="en-AU"/>
              </w:rPr>
              <w:t>A</w:t>
            </w:r>
            <w:r w:rsidR="00403FC1" w:rsidRPr="00ED4544">
              <w:rPr>
                <w:szCs w:val="22"/>
                <w:lang w:val="en-AU"/>
              </w:rPr>
              <w:t xml:space="preserve"> measure of </w:t>
            </w:r>
            <w:r w:rsidR="00403FC1" w:rsidRPr="00110146">
              <w:rPr>
                <w:szCs w:val="22"/>
                <w:lang w:val="en-AU"/>
              </w:rPr>
              <w:t xml:space="preserve">whether </w:t>
            </w:r>
            <w:r w:rsidR="00403FC1" w:rsidRPr="0085226B">
              <w:rPr>
                <w:szCs w:val="22"/>
                <w:lang w:val="en-AU"/>
              </w:rPr>
              <w:t>health</w:t>
            </w:r>
            <w:r w:rsidR="0085226B" w:rsidRPr="00CE3D15">
              <w:rPr>
                <w:szCs w:val="22"/>
                <w:lang w:val="en-AU"/>
              </w:rPr>
              <w:t xml:space="preserve"> </w:t>
            </w:r>
            <w:r w:rsidR="00403FC1" w:rsidRPr="00110146">
              <w:rPr>
                <w:szCs w:val="22"/>
                <w:lang w:val="en-AU"/>
              </w:rPr>
              <w:t>care</w:t>
            </w:r>
            <w:r w:rsidR="00403FC1" w:rsidRPr="0085226B">
              <w:rPr>
                <w:szCs w:val="22"/>
                <w:lang w:val="en-AU"/>
              </w:rPr>
              <w:t xml:space="preserve"> resources</w:t>
            </w:r>
            <w:r w:rsidR="00403FC1" w:rsidRPr="00ED4544">
              <w:rPr>
                <w:szCs w:val="22"/>
                <w:lang w:val="en-AU"/>
              </w:rPr>
              <w:t xml:space="preserve"> are being used to get the best value for money. Includes technical, </w:t>
            </w:r>
            <w:proofErr w:type="gramStart"/>
            <w:r w:rsidR="00403FC1" w:rsidRPr="00ED4544">
              <w:rPr>
                <w:szCs w:val="22"/>
                <w:lang w:val="en-AU"/>
              </w:rPr>
              <w:t>productive</w:t>
            </w:r>
            <w:proofErr w:type="gramEnd"/>
            <w:r w:rsidR="00403FC1" w:rsidRPr="00ED4544">
              <w:rPr>
                <w:szCs w:val="22"/>
                <w:lang w:val="en-AU"/>
              </w:rPr>
              <w:t xml:space="preserve"> and allocative efficienc</w:t>
            </w:r>
            <w:r w:rsidR="00B65945">
              <w:rPr>
                <w:szCs w:val="22"/>
                <w:lang w:val="en-AU"/>
              </w:rPr>
              <w:t>y.</w:t>
            </w:r>
          </w:p>
        </w:tc>
      </w:tr>
      <w:tr w:rsidR="007F178E" w:rsidRPr="001E4E7D" w14:paraId="3AA9E860" w14:textId="77777777" w:rsidTr="00B65945">
        <w:tc>
          <w:tcPr>
            <w:tcW w:w="2410" w:type="dxa"/>
          </w:tcPr>
          <w:p w14:paraId="48AA7B13" w14:textId="77777777" w:rsidR="007F178E" w:rsidRPr="0060559B" w:rsidRDefault="007F178E" w:rsidP="0060559B">
            <w:r w:rsidRPr="0060559B">
              <w:t xml:space="preserve">Gene </w:t>
            </w:r>
          </w:p>
        </w:tc>
        <w:tc>
          <w:tcPr>
            <w:tcW w:w="6521" w:type="dxa"/>
          </w:tcPr>
          <w:p w14:paraId="71C200E9" w14:textId="44651698" w:rsidR="00CF302A" w:rsidRPr="00ED4544" w:rsidRDefault="00616477" w:rsidP="00B65945">
            <w:pPr>
              <w:rPr>
                <w:b/>
                <w:bCs/>
                <w:sz w:val="23"/>
                <w:szCs w:val="23"/>
                <w:lang w:val="en-AU"/>
              </w:rPr>
            </w:pPr>
            <w:r>
              <w:rPr>
                <w:szCs w:val="22"/>
                <w:lang w:val="en-AU"/>
              </w:rPr>
              <w:t>T</w:t>
            </w:r>
            <w:r w:rsidR="007F178E" w:rsidRPr="00ED4544">
              <w:rPr>
                <w:szCs w:val="22"/>
                <w:lang w:val="en-AU"/>
              </w:rPr>
              <w:t>he basic physical and functional unit of heredity. Genes, which are made up of DNA, act as instructions to make molecules called proteins.</w:t>
            </w:r>
          </w:p>
        </w:tc>
      </w:tr>
      <w:tr w:rsidR="007F178E" w:rsidRPr="001E4E7D" w14:paraId="0FA5496B" w14:textId="77777777" w:rsidTr="00B65945">
        <w:tc>
          <w:tcPr>
            <w:tcW w:w="2410" w:type="dxa"/>
          </w:tcPr>
          <w:p w14:paraId="65B2CAB9" w14:textId="77777777" w:rsidR="007F178E" w:rsidRPr="0060559B" w:rsidRDefault="007F178E" w:rsidP="0060559B">
            <w:r w:rsidRPr="0060559B">
              <w:t xml:space="preserve">Genome </w:t>
            </w:r>
          </w:p>
        </w:tc>
        <w:tc>
          <w:tcPr>
            <w:tcW w:w="6521" w:type="dxa"/>
          </w:tcPr>
          <w:p w14:paraId="0FFD9E0E" w14:textId="7EEA7AF9" w:rsidR="00CF302A" w:rsidRPr="00ED4544" w:rsidRDefault="00616477" w:rsidP="00B65945">
            <w:pPr>
              <w:rPr>
                <w:b/>
                <w:bCs/>
                <w:sz w:val="23"/>
                <w:szCs w:val="23"/>
                <w:lang w:val="en-AU"/>
              </w:rPr>
            </w:pPr>
            <w:r>
              <w:rPr>
                <w:szCs w:val="22"/>
                <w:lang w:val="en-AU"/>
              </w:rPr>
              <w:t>T</w:t>
            </w:r>
            <w:r w:rsidR="007F178E" w:rsidRPr="00ED4544">
              <w:rPr>
                <w:szCs w:val="22"/>
                <w:lang w:val="en-AU"/>
              </w:rPr>
              <w:t>he complete set of genetic information in an organism.</w:t>
            </w:r>
          </w:p>
        </w:tc>
      </w:tr>
      <w:tr w:rsidR="007F178E" w:rsidRPr="001E4E7D" w14:paraId="5D2B1DCE" w14:textId="77777777" w:rsidTr="00B65945">
        <w:tc>
          <w:tcPr>
            <w:tcW w:w="2410" w:type="dxa"/>
          </w:tcPr>
          <w:p w14:paraId="52FE488A" w14:textId="77777777" w:rsidR="007F178E" w:rsidRPr="0060559B" w:rsidRDefault="007F178E" w:rsidP="0060559B">
            <w:r w:rsidRPr="0060559B">
              <w:t xml:space="preserve">Genomics </w:t>
            </w:r>
          </w:p>
        </w:tc>
        <w:tc>
          <w:tcPr>
            <w:tcW w:w="6521" w:type="dxa"/>
          </w:tcPr>
          <w:p w14:paraId="0E834642" w14:textId="3AA75418" w:rsidR="00CF302A" w:rsidRPr="00ED4544" w:rsidRDefault="00616477" w:rsidP="00B65945">
            <w:pPr>
              <w:rPr>
                <w:b/>
                <w:bCs/>
                <w:sz w:val="23"/>
                <w:szCs w:val="23"/>
                <w:lang w:val="en-AU"/>
              </w:rPr>
            </w:pPr>
            <w:r>
              <w:rPr>
                <w:szCs w:val="22"/>
                <w:lang w:val="en-AU"/>
              </w:rPr>
              <w:t>T</w:t>
            </w:r>
            <w:r w:rsidR="007F178E" w:rsidRPr="00ED4544">
              <w:rPr>
                <w:szCs w:val="22"/>
                <w:lang w:val="en-AU"/>
              </w:rPr>
              <w:t xml:space="preserve">he application of genome-based knowledge through the study of genes and other genetic information, their </w:t>
            </w:r>
            <w:proofErr w:type="gramStart"/>
            <w:r w:rsidR="007F178E" w:rsidRPr="00ED4544">
              <w:rPr>
                <w:szCs w:val="22"/>
                <w:lang w:val="en-AU"/>
              </w:rPr>
              <w:t>functions</w:t>
            </w:r>
            <w:proofErr w:type="gramEnd"/>
            <w:r w:rsidR="007F178E" w:rsidRPr="00ED4544">
              <w:rPr>
                <w:szCs w:val="22"/>
                <w:lang w:val="en-AU"/>
              </w:rPr>
              <w:t xml:space="preserve"> and </w:t>
            </w:r>
            <w:r w:rsidR="007F178E" w:rsidRPr="00110146">
              <w:rPr>
                <w:szCs w:val="22"/>
                <w:lang w:val="en-AU"/>
              </w:rPr>
              <w:t>inter</w:t>
            </w:r>
            <w:r w:rsidR="007F178E" w:rsidRPr="0085226B">
              <w:rPr>
                <w:szCs w:val="22"/>
                <w:lang w:val="en-AU"/>
              </w:rPr>
              <w:t>relationships</w:t>
            </w:r>
            <w:r w:rsidR="007F178E" w:rsidRPr="00ED4544">
              <w:rPr>
                <w:szCs w:val="22"/>
                <w:lang w:val="en-AU"/>
              </w:rPr>
              <w:t xml:space="preserve"> for the benefit of human health.</w:t>
            </w:r>
          </w:p>
        </w:tc>
      </w:tr>
      <w:tr w:rsidR="007F178E" w:rsidRPr="001E4E7D" w14:paraId="265186AE" w14:textId="77777777" w:rsidTr="00B65945">
        <w:tc>
          <w:tcPr>
            <w:tcW w:w="2410" w:type="dxa"/>
          </w:tcPr>
          <w:p w14:paraId="5A234926" w14:textId="77777777" w:rsidR="007F178E" w:rsidRPr="0060559B" w:rsidRDefault="007F178E" w:rsidP="0060559B">
            <w:r w:rsidRPr="0060559B">
              <w:t xml:space="preserve">Genomic data </w:t>
            </w:r>
          </w:p>
        </w:tc>
        <w:tc>
          <w:tcPr>
            <w:tcW w:w="6521" w:type="dxa"/>
          </w:tcPr>
          <w:p w14:paraId="7C035144" w14:textId="20F719F2" w:rsidR="00CF302A" w:rsidRPr="00ED4544" w:rsidRDefault="00616477" w:rsidP="00B65945">
            <w:pPr>
              <w:rPr>
                <w:b/>
                <w:bCs/>
                <w:sz w:val="23"/>
                <w:szCs w:val="23"/>
                <w:lang w:val="en-AU"/>
              </w:rPr>
            </w:pPr>
            <w:r>
              <w:rPr>
                <w:szCs w:val="22"/>
                <w:lang w:val="en-AU"/>
              </w:rPr>
              <w:t>R</w:t>
            </w:r>
            <w:r w:rsidR="007F178E" w:rsidRPr="00ED4544">
              <w:rPr>
                <w:szCs w:val="22"/>
                <w:lang w:val="en-AU"/>
              </w:rPr>
              <w:t>efers to data produced from DNA sequencing of a genome</w:t>
            </w:r>
            <w:r w:rsidR="007258FD">
              <w:rPr>
                <w:szCs w:val="22"/>
                <w:lang w:val="en-AU"/>
              </w:rPr>
              <w:t>.</w:t>
            </w:r>
          </w:p>
        </w:tc>
      </w:tr>
      <w:tr w:rsidR="007F178E" w:rsidRPr="001E4E7D" w14:paraId="2D0614FF" w14:textId="77777777" w:rsidTr="00B65945">
        <w:tc>
          <w:tcPr>
            <w:tcW w:w="2410" w:type="dxa"/>
          </w:tcPr>
          <w:p w14:paraId="20A8871F" w14:textId="77777777" w:rsidR="007F178E" w:rsidRPr="0060559B" w:rsidRDefault="007F178E" w:rsidP="0060559B">
            <w:r w:rsidRPr="0060559B">
              <w:t xml:space="preserve">Genomic knowledge </w:t>
            </w:r>
          </w:p>
        </w:tc>
        <w:tc>
          <w:tcPr>
            <w:tcW w:w="6521" w:type="dxa"/>
          </w:tcPr>
          <w:p w14:paraId="4F37DC2A" w14:textId="39FB27FD" w:rsidR="00CF302A" w:rsidRPr="00ED4544" w:rsidRDefault="00616477" w:rsidP="00B65945">
            <w:pPr>
              <w:rPr>
                <w:b/>
                <w:bCs/>
                <w:sz w:val="23"/>
                <w:szCs w:val="23"/>
                <w:lang w:val="en-AU"/>
              </w:rPr>
            </w:pPr>
            <w:r>
              <w:rPr>
                <w:szCs w:val="22"/>
                <w:lang w:val="en-AU"/>
              </w:rPr>
              <w:t>I</w:t>
            </w:r>
            <w:r w:rsidR="007F178E" w:rsidRPr="00ED4544">
              <w:rPr>
                <w:szCs w:val="22"/>
                <w:lang w:val="en-AU"/>
              </w:rPr>
              <w:t>ncludes information about the interpretation of genomic data and the implications of these findings, as well as relevant non-genomic clinical information.</w:t>
            </w:r>
          </w:p>
        </w:tc>
      </w:tr>
      <w:tr w:rsidR="0087380E" w:rsidRPr="001E4E7D" w14:paraId="3DCE8B25" w14:textId="77777777" w:rsidTr="00B65945">
        <w:tc>
          <w:tcPr>
            <w:tcW w:w="2410" w:type="dxa"/>
          </w:tcPr>
          <w:p w14:paraId="54D9D101" w14:textId="4928E9DB" w:rsidR="0087380E" w:rsidRPr="0060559B" w:rsidRDefault="0087380E" w:rsidP="0060559B">
            <w:r w:rsidRPr="0060559B">
              <w:t xml:space="preserve">Genomic services </w:t>
            </w:r>
          </w:p>
        </w:tc>
        <w:tc>
          <w:tcPr>
            <w:tcW w:w="6521" w:type="dxa"/>
          </w:tcPr>
          <w:p w14:paraId="433405C7" w14:textId="0F04FEE2" w:rsidR="0087380E" w:rsidRPr="00ED4544" w:rsidRDefault="007258FD" w:rsidP="00B65945">
            <w:pPr>
              <w:rPr>
                <w:szCs w:val="22"/>
                <w:lang w:val="en-AU"/>
              </w:rPr>
            </w:pPr>
            <w:r>
              <w:rPr>
                <w:szCs w:val="22"/>
                <w:lang w:val="en-AU"/>
              </w:rPr>
              <w:t>G</w:t>
            </w:r>
            <w:r w:rsidR="0087380E" w:rsidRPr="00ED4544">
              <w:rPr>
                <w:szCs w:val="22"/>
                <w:lang w:val="en-AU"/>
              </w:rPr>
              <w:t xml:space="preserve">enome sequencing and analysis available for research, </w:t>
            </w:r>
            <w:proofErr w:type="gramStart"/>
            <w:r w:rsidR="0087380E" w:rsidRPr="00ED4544">
              <w:rPr>
                <w:szCs w:val="22"/>
                <w:lang w:val="en-AU"/>
              </w:rPr>
              <w:t>screening</w:t>
            </w:r>
            <w:proofErr w:type="gramEnd"/>
            <w:r w:rsidR="0087380E" w:rsidRPr="00ED4544">
              <w:rPr>
                <w:szCs w:val="22"/>
                <w:lang w:val="en-AU"/>
              </w:rPr>
              <w:t xml:space="preserve"> and diagnostic purposes.</w:t>
            </w:r>
          </w:p>
        </w:tc>
      </w:tr>
      <w:tr w:rsidR="0087380E" w:rsidRPr="001E4E7D" w14:paraId="753D0E9E" w14:textId="77777777" w:rsidTr="00B65945">
        <w:tc>
          <w:tcPr>
            <w:tcW w:w="2410" w:type="dxa"/>
          </w:tcPr>
          <w:p w14:paraId="4A205332" w14:textId="2AD5FD4D" w:rsidR="0087380E" w:rsidRPr="0060559B" w:rsidRDefault="0087380E" w:rsidP="0060559B">
            <w:r w:rsidRPr="0060559B">
              <w:t>Genomic surveillance</w:t>
            </w:r>
          </w:p>
        </w:tc>
        <w:tc>
          <w:tcPr>
            <w:tcW w:w="6521" w:type="dxa"/>
          </w:tcPr>
          <w:p w14:paraId="55248632" w14:textId="63D979D8" w:rsidR="0087380E" w:rsidRPr="00ED4544" w:rsidRDefault="0087380E" w:rsidP="00B65945">
            <w:pPr>
              <w:rPr>
                <w:szCs w:val="22"/>
                <w:lang w:val="en-AU"/>
              </w:rPr>
            </w:pPr>
            <w:r w:rsidRPr="00ED4544">
              <w:rPr>
                <w:szCs w:val="22"/>
                <w:lang w:val="en-AU"/>
              </w:rPr>
              <w:t xml:space="preserve">Involves the monitoring of pathogen evolution, </w:t>
            </w:r>
            <w:proofErr w:type="gramStart"/>
            <w:r w:rsidRPr="00ED4544">
              <w:rPr>
                <w:szCs w:val="22"/>
                <w:lang w:val="en-AU"/>
              </w:rPr>
              <w:t>transmission</w:t>
            </w:r>
            <w:proofErr w:type="gramEnd"/>
            <w:r w:rsidRPr="00ED4544">
              <w:rPr>
                <w:szCs w:val="22"/>
                <w:lang w:val="en-AU"/>
              </w:rPr>
              <w:t xml:space="preserve"> and dissemination, including distribution and evolution of </w:t>
            </w:r>
            <w:r w:rsidRPr="00110146">
              <w:rPr>
                <w:szCs w:val="22"/>
                <w:lang w:val="en-AU"/>
              </w:rPr>
              <w:t>antimicrobial</w:t>
            </w:r>
            <w:r w:rsidR="0085226B" w:rsidRPr="00CE3D15">
              <w:rPr>
                <w:szCs w:val="22"/>
                <w:lang w:val="en-AU"/>
              </w:rPr>
              <w:t xml:space="preserve"> </w:t>
            </w:r>
            <w:r w:rsidRPr="0085226B">
              <w:rPr>
                <w:szCs w:val="22"/>
                <w:lang w:val="en-AU"/>
              </w:rPr>
              <w:t>resistance</w:t>
            </w:r>
            <w:r w:rsidRPr="00ED4544">
              <w:rPr>
                <w:szCs w:val="22"/>
                <w:lang w:val="en-AU"/>
              </w:rPr>
              <w:t xml:space="preserve"> determinants and lineages. This type of surveillance involves applying the principles of evolutionary biology to determine the relatedness of pathogens</w:t>
            </w:r>
          </w:p>
        </w:tc>
      </w:tr>
      <w:tr w:rsidR="0087380E" w:rsidRPr="001E4E7D" w14:paraId="288F60E0" w14:textId="77777777" w:rsidTr="00B65945">
        <w:tc>
          <w:tcPr>
            <w:tcW w:w="2410" w:type="dxa"/>
          </w:tcPr>
          <w:p w14:paraId="0EDA8453" w14:textId="4CDE8377" w:rsidR="0087380E" w:rsidRPr="0060559B" w:rsidRDefault="0087380E" w:rsidP="0060559B">
            <w:r w:rsidRPr="0060559B">
              <w:t xml:space="preserve">Genomic testing </w:t>
            </w:r>
          </w:p>
        </w:tc>
        <w:tc>
          <w:tcPr>
            <w:tcW w:w="6521" w:type="dxa"/>
          </w:tcPr>
          <w:p w14:paraId="70131EBE" w14:textId="71320496" w:rsidR="0087380E" w:rsidRPr="00ED4544" w:rsidRDefault="00616477" w:rsidP="00B65945">
            <w:pPr>
              <w:rPr>
                <w:szCs w:val="22"/>
                <w:lang w:val="en-AU"/>
              </w:rPr>
            </w:pPr>
            <w:r>
              <w:rPr>
                <w:szCs w:val="22"/>
                <w:lang w:val="en-AU"/>
              </w:rPr>
              <w:t>I</w:t>
            </w:r>
            <w:r w:rsidR="0087380E" w:rsidRPr="00ED4544">
              <w:rPr>
                <w:szCs w:val="22"/>
                <w:lang w:val="en-AU"/>
              </w:rPr>
              <w:t>nvolves the analysis of hundreds or even thousands of genes from a pathogen simultaneously using sophisticated computer-based algorithms.</w:t>
            </w:r>
          </w:p>
        </w:tc>
      </w:tr>
      <w:tr w:rsidR="0087380E" w:rsidRPr="001E4E7D" w14:paraId="3A350C75" w14:textId="77777777" w:rsidTr="00B65945">
        <w:tc>
          <w:tcPr>
            <w:tcW w:w="2410" w:type="dxa"/>
          </w:tcPr>
          <w:p w14:paraId="41865F7F" w14:textId="39522E93" w:rsidR="0087380E" w:rsidRPr="0060559B" w:rsidRDefault="0087380E" w:rsidP="0060559B">
            <w:r w:rsidRPr="0060559B">
              <w:t xml:space="preserve">Governance </w:t>
            </w:r>
          </w:p>
        </w:tc>
        <w:tc>
          <w:tcPr>
            <w:tcW w:w="6521" w:type="dxa"/>
          </w:tcPr>
          <w:p w14:paraId="5B0A6E44" w14:textId="01801586" w:rsidR="0087380E" w:rsidRPr="00ED4544" w:rsidRDefault="00616477" w:rsidP="00B65945">
            <w:pPr>
              <w:rPr>
                <w:szCs w:val="22"/>
                <w:lang w:val="en-AU"/>
              </w:rPr>
            </w:pPr>
            <w:r>
              <w:rPr>
                <w:szCs w:val="22"/>
                <w:lang w:val="en-AU"/>
              </w:rPr>
              <w:t>T</w:t>
            </w:r>
            <w:r w:rsidR="0087380E" w:rsidRPr="00ED4544">
              <w:rPr>
                <w:szCs w:val="22"/>
                <w:lang w:val="en-AU"/>
              </w:rPr>
              <w:t xml:space="preserve">he structures and processes by which the health system is regulated, </w:t>
            </w:r>
            <w:proofErr w:type="gramStart"/>
            <w:r w:rsidR="0087380E" w:rsidRPr="00ED4544">
              <w:rPr>
                <w:szCs w:val="22"/>
                <w:lang w:val="en-AU"/>
              </w:rPr>
              <w:t>directed</w:t>
            </w:r>
            <w:proofErr w:type="gramEnd"/>
            <w:r w:rsidR="0087380E" w:rsidRPr="00ED4544">
              <w:rPr>
                <w:szCs w:val="22"/>
                <w:lang w:val="en-AU"/>
              </w:rPr>
              <w:t xml:space="preserve"> and controlled. It includes the obligations of stewardship</w:t>
            </w:r>
            <w:r>
              <w:rPr>
                <w:szCs w:val="22"/>
                <w:lang w:val="en-AU"/>
              </w:rPr>
              <w:t>—</w:t>
            </w:r>
            <w:r w:rsidR="0087380E" w:rsidRPr="00ED4544">
              <w:rPr>
                <w:szCs w:val="22"/>
                <w:lang w:val="en-AU"/>
              </w:rPr>
              <w:lastRenderedPageBreak/>
              <w:t>ensuring that the system is well sustained for the future as well as serving the needs of the present.</w:t>
            </w:r>
          </w:p>
        </w:tc>
      </w:tr>
      <w:tr w:rsidR="0087380E" w:rsidRPr="001E4E7D" w14:paraId="3C5B7057" w14:textId="77777777" w:rsidTr="00B65945">
        <w:tc>
          <w:tcPr>
            <w:tcW w:w="2410" w:type="dxa"/>
          </w:tcPr>
          <w:p w14:paraId="22B36474" w14:textId="03315CC8" w:rsidR="0087380E" w:rsidRPr="0060559B" w:rsidRDefault="0087380E" w:rsidP="0060559B">
            <w:r w:rsidRPr="0060559B">
              <w:lastRenderedPageBreak/>
              <w:t xml:space="preserve">Metadata </w:t>
            </w:r>
          </w:p>
        </w:tc>
        <w:tc>
          <w:tcPr>
            <w:tcW w:w="6521" w:type="dxa"/>
          </w:tcPr>
          <w:p w14:paraId="57218796" w14:textId="39D72B10" w:rsidR="0087380E" w:rsidRPr="00ED4544" w:rsidRDefault="00616477" w:rsidP="00B65945">
            <w:pPr>
              <w:rPr>
                <w:szCs w:val="22"/>
                <w:lang w:val="en-AU"/>
              </w:rPr>
            </w:pPr>
            <w:r>
              <w:rPr>
                <w:szCs w:val="22"/>
                <w:lang w:val="en-AU"/>
              </w:rPr>
              <w:t>A</w:t>
            </w:r>
            <w:r w:rsidR="0087380E" w:rsidRPr="00ED4544">
              <w:rPr>
                <w:szCs w:val="22"/>
                <w:lang w:val="en-AU"/>
              </w:rPr>
              <w:t xml:space="preserve"> set of data that describes and gives information about other data.</w:t>
            </w:r>
          </w:p>
        </w:tc>
      </w:tr>
      <w:tr w:rsidR="00066DC7" w:rsidRPr="001E4E7D" w14:paraId="55AB8B6D" w14:textId="77777777" w:rsidTr="00B65945">
        <w:tc>
          <w:tcPr>
            <w:tcW w:w="2410" w:type="dxa"/>
          </w:tcPr>
          <w:p w14:paraId="01EFC67A" w14:textId="22CF68E1" w:rsidR="00066DC7" w:rsidRPr="0060559B" w:rsidRDefault="00066DC7" w:rsidP="0060559B">
            <w:r w:rsidRPr="0060559B">
              <w:t>Microbial genomics</w:t>
            </w:r>
          </w:p>
        </w:tc>
        <w:tc>
          <w:tcPr>
            <w:tcW w:w="6521" w:type="dxa"/>
          </w:tcPr>
          <w:p w14:paraId="669DFACE" w14:textId="0E9BC943" w:rsidR="00BB06DE" w:rsidRPr="00066DC7" w:rsidRDefault="00616477" w:rsidP="00B65945">
            <w:pPr>
              <w:rPr>
                <w:szCs w:val="22"/>
                <w:lang w:val="en-AU"/>
              </w:rPr>
            </w:pPr>
            <w:r>
              <w:rPr>
                <w:szCs w:val="22"/>
                <w:lang w:val="en-AU"/>
              </w:rPr>
              <w:t>A</w:t>
            </w:r>
            <w:r w:rsidR="00066DC7">
              <w:rPr>
                <w:szCs w:val="22"/>
                <w:lang w:val="en-AU"/>
              </w:rPr>
              <w:t xml:space="preserve"> scientific discipline that uses the application of genome-based knowledge to study </w:t>
            </w:r>
            <w:r w:rsidR="00880047">
              <w:rPr>
                <w:szCs w:val="22"/>
                <w:lang w:val="en-AU"/>
              </w:rPr>
              <w:t xml:space="preserve">and analyse </w:t>
            </w:r>
            <w:r w:rsidR="00066DC7">
              <w:rPr>
                <w:szCs w:val="22"/>
                <w:lang w:val="en-AU"/>
              </w:rPr>
              <w:t>the genome, functions and entire hereditary information of microbes or microorganisms</w:t>
            </w:r>
            <w:r w:rsidR="003F53DB">
              <w:rPr>
                <w:szCs w:val="22"/>
                <w:lang w:val="en-AU"/>
              </w:rPr>
              <w:t>—</w:t>
            </w:r>
            <w:r w:rsidR="001A456D">
              <w:rPr>
                <w:szCs w:val="22"/>
                <w:lang w:val="en-AU"/>
              </w:rPr>
              <w:t xml:space="preserve">bacteria, </w:t>
            </w:r>
            <w:proofErr w:type="gramStart"/>
            <w:r w:rsidR="001A456D" w:rsidRPr="00DE4AC0">
              <w:rPr>
                <w:szCs w:val="22"/>
                <w:lang w:val="en-AU"/>
              </w:rPr>
              <w:t>virus</w:t>
            </w:r>
            <w:r w:rsidR="0085226B" w:rsidRPr="00DE4AC0">
              <w:rPr>
                <w:szCs w:val="22"/>
                <w:lang w:val="en-AU"/>
              </w:rPr>
              <w:t>es</w:t>
            </w:r>
            <w:proofErr w:type="gramEnd"/>
            <w:r w:rsidR="001A456D" w:rsidRPr="00DE4AC0">
              <w:rPr>
                <w:szCs w:val="22"/>
                <w:lang w:val="en-AU"/>
              </w:rPr>
              <w:t xml:space="preserve"> or fung</w:t>
            </w:r>
            <w:r w:rsidR="0085226B" w:rsidRPr="005D5EAF">
              <w:rPr>
                <w:szCs w:val="22"/>
                <w:lang w:val="en-AU"/>
              </w:rPr>
              <w:t>i</w:t>
            </w:r>
            <w:r w:rsidR="00B00974" w:rsidRPr="00DE4AC0">
              <w:rPr>
                <w:szCs w:val="22"/>
                <w:lang w:val="en-AU"/>
              </w:rPr>
              <w:t>.</w:t>
            </w:r>
          </w:p>
        </w:tc>
      </w:tr>
      <w:tr w:rsidR="00FF755C" w:rsidRPr="001E4E7D" w14:paraId="0DFE32F7" w14:textId="77777777" w:rsidTr="00B65945">
        <w:tc>
          <w:tcPr>
            <w:tcW w:w="2410" w:type="dxa"/>
          </w:tcPr>
          <w:p w14:paraId="460731D9" w14:textId="048F0119" w:rsidR="00FF755C" w:rsidRPr="0060559B" w:rsidRDefault="00FF755C" w:rsidP="0060559B">
            <w:r w:rsidRPr="0060559B">
              <w:t>One health</w:t>
            </w:r>
          </w:p>
        </w:tc>
        <w:tc>
          <w:tcPr>
            <w:tcW w:w="6521" w:type="dxa"/>
          </w:tcPr>
          <w:p w14:paraId="1D101B90" w14:textId="29A6571D" w:rsidR="00FF755C" w:rsidRDefault="00FF755C" w:rsidP="00DD0079">
            <w:pPr>
              <w:rPr>
                <w:szCs w:val="22"/>
                <w:lang w:val="en-AU"/>
              </w:rPr>
            </w:pPr>
            <w:r>
              <w:rPr>
                <w:szCs w:val="22"/>
                <w:lang w:val="en-AU"/>
              </w:rPr>
              <w:t xml:space="preserve">An approach to designing and implementing programs, policies, </w:t>
            </w:r>
            <w:proofErr w:type="gramStart"/>
            <w:r>
              <w:rPr>
                <w:szCs w:val="22"/>
                <w:lang w:val="en-AU"/>
              </w:rPr>
              <w:t>legislation</w:t>
            </w:r>
            <w:proofErr w:type="gramEnd"/>
            <w:r>
              <w:rPr>
                <w:szCs w:val="22"/>
                <w:lang w:val="en-AU"/>
              </w:rPr>
              <w:t xml:space="preserve"> and research in which multiple sectors communicate and work together to achieve better public health outcomes.</w:t>
            </w:r>
          </w:p>
        </w:tc>
      </w:tr>
      <w:tr w:rsidR="00CE243F" w:rsidRPr="001E4E7D" w14:paraId="48223CCA" w14:textId="77777777" w:rsidTr="00B65945">
        <w:tc>
          <w:tcPr>
            <w:tcW w:w="2410" w:type="dxa"/>
          </w:tcPr>
          <w:p w14:paraId="6B7D63CD" w14:textId="46ADEC55" w:rsidR="00CE243F" w:rsidRPr="0060559B" w:rsidRDefault="00CE243F" w:rsidP="0060559B">
            <w:r w:rsidRPr="0060559B">
              <w:t>Pathogen</w:t>
            </w:r>
          </w:p>
        </w:tc>
        <w:tc>
          <w:tcPr>
            <w:tcW w:w="6521" w:type="dxa"/>
          </w:tcPr>
          <w:p w14:paraId="446A96A6" w14:textId="0984D33B" w:rsidR="00C4670C" w:rsidRPr="00ED4544" w:rsidRDefault="00616477" w:rsidP="00B65945">
            <w:pPr>
              <w:rPr>
                <w:szCs w:val="22"/>
                <w:lang w:val="en-AU"/>
              </w:rPr>
            </w:pPr>
            <w:r>
              <w:rPr>
                <w:szCs w:val="22"/>
                <w:lang w:val="en-AU"/>
              </w:rPr>
              <w:t>A</w:t>
            </w:r>
            <w:r w:rsidR="00CE243F">
              <w:rPr>
                <w:szCs w:val="22"/>
                <w:lang w:val="en-AU"/>
              </w:rPr>
              <w:t xml:space="preserve"> microorganism that can cause disease.</w:t>
            </w:r>
          </w:p>
        </w:tc>
      </w:tr>
      <w:tr w:rsidR="0087380E" w:rsidRPr="001E4E7D" w14:paraId="38A3A919" w14:textId="77777777" w:rsidTr="00B65945">
        <w:tc>
          <w:tcPr>
            <w:tcW w:w="2410" w:type="dxa"/>
          </w:tcPr>
          <w:p w14:paraId="56408FEC" w14:textId="05F32E3D" w:rsidR="0087380E" w:rsidRPr="0060559B" w:rsidRDefault="0087380E" w:rsidP="0060559B">
            <w:r w:rsidRPr="0060559B">
              <w:t xml:space="preserve">RNA </w:t>
            </w:r>
          </w:p>
        </w:tc>
        <w:tc>
          <w:tcPr>
            <w:tcW w:w="6521" w:type="dxa"/>
          </w:tcPr>
          <w:p w14:paraId="05DE34FE" w14:textId="18116608" w:rsidR="0087380E" w:rsidRPr="00ED4544" w:rsidRDefault="00616477" w:rsidP="00B65945">
            <w:pPr>
              <w:rPr>
                <w:szCs w:val="22"/>
                <w:lang w:val="en-AU"/>
              </w:rPr>
            </w:pPr>
            <w:r>
              <w:rPr>
                <w:szCs w:val="22"/>
                <w:lang w:val="en-AU"/>
              </w:rPr>
              <w:t>R</w:t>
            </w:r>
            <w:r w:rsidR="0087380E" w:rsidRPr="00ED4544">
              <w:rPr>
                <w:szCs w:val="22"/>
                <w:lang w:val="en-AU"/>
              </w:rPr>
              <w:t>ibonucleic acid</w:t>
            </w:r>
            <w:r>
              <w:rPr>
                <w:szCs w:val="22"/>
                <w:lang w:val="en-AU"/>
              </w:rPr>
              <w:t>—</w:t>
            </w:r>
            <w:r w:rsidR="0087380E" w:rsidRPr="00ED4544">
              <w:rPr>
                <w:szCs w:val="22"/>
                <w:lang w:val="en-AU"/>
              </w:rPr>
              <w:t xml:space="preserve">a nucleic acid present in all living cells. Its principal role is to act as a messenger carrying instructions from DNA to initiate and control the synthesis of proteins, although in some </w:t>
            </w:r>
            <w:proofErr w:type="gramStart"/>
            <w:r w:rsidR="0087380E" w:rsidRPr="00ED4544">
              <w:rPr>
                <w:szCs w:val="22"/>
                <w:lang w:val="en-AU"/>
              </w:rPr>
              <w:t>viruses</w:t>
            </w:r>
            <w:proofErr w:type="gramEnd"/>
            <w:r w:rsidR="0087380E" w:rsidRPr="00ED4544">
              <w:rPr>
                <w:szCs w:val="22"/>
                <w:lang w:val="en-AU"/>
              </w:rPr>
              <w:t xml:space="preserve"> RNA rather than DNA carries the genetic information.</w:t>
            </w:r>
          </w:p>
        </w:tc>
      </w:tr>
      <w:tr w:rsidR="0087380E" w:rsidRPr="001E4E7D" w14:paraId="288114E8" w14:textId="77777777" w:rsidTr="00B65945">
        <w:tc>
          <w:tcPr>
            <w:tcW w:w="2410" w:type="dxa"/>
          </w:tcPr>
          <w:p w14:paraId="35227A1C" w14:textId="5C683472" w:rsidR="0087380E" w:rsidRPr="0060559B" w:rsidRDefault="0087380E" w:rsidP="0060559B">
            <w:r w:rsidRPr="0060559B">
              <w:t xml:space="preserve">Whole genome sequencing </w:t>
            </w:r>
          </w:p>
        </w:tc>
        <w:tc>
          <w:tcPr>
            <w:tcW w:w="6521" w:type="dxa"/>
          </w:tcPr>
          <w:p w14:paraId="06B352ED" w14:textId="6E83EE16" w:rsidR="0087380E" w:rsidRPr="00ED4544" w:rsidRDefault="00616477" w:rsidP="0087380E">
            <w:pPr>
              <w:rPr>
                <w:szCs w:val="22"/>
                <w:lang w:val="en-AU"/>
              </w:rPr>
            </w:pPr>
            <w:r>
              <w:rPr>
                <w:szCs w:val="22"/>
              </w:rPr>
              <w:t>A</w:t>
            </w:r>
            <w:r w:rsidR="0087380E" w:rsidRPr="001E4E7D">
              <w:rPr>
                <w:szCs w:val="22"/>
              </w:rPr>
              <w:t xml:space="preserve"> laboratory process to determine the complete DNA sequence of an organism’s genome.</w:t>
            </w:r>
          </w:p>
        </w:tc>
      </w:tr>
    </w:tbl>
    <w:p w14:paraId="42685936" w14:textId="49076D7D" w:rsidR="00931CCE" w:rsidRPr="00ED4544" w:rsidRDefault="00931CCE">
      <w:pPr>
        <w:rPr>
          <w:lang w:val="en-AU"/>
        </w:rPr>
      </w:pPr>
    </w:p>
    <w:p w14:paraId="10405970" w14:textId="77777777" w:rsidR="007D340D" w:rsidRPr="0060559B" w:rsidRDefault="007D340D" w:rsidP="0060559B">
      <w:r w:rsidRPr="0060559B">
        <w:br w:type="page"/>
      </w:r>
    </w:p>
    <w:p w14:paraId="0FB3E22D" w14:textId="2CC7CA7E" w:rsidR="00C83AFA" w:rsidRPr="00ED4544" w:rsidRDefault="00C83AFA" w:rsidP="00873325">
      <w:pPr>
        <w:pStyle w:val="Heading1"/>
        <w:rPr>
          <w:lang w:val="en-AU"/>
        </w:rPr>
      </w:pPr>
      <w:bookmarkStart w:id="8" w:name="_Toc530994569"/>
      <w:bookmarkStart w:id="9" w:name="_Toc11404099"/>
      <w:r w:rsidRPr="00ED4544">
        <w:rPr>
          <w:lang w:val="en-AU"/>
        </w:rPr>
        <w:lastRenderedPageBreak/>
        <w:t>A</w:t>
      </w:r>
      <w:r w:rsidR="0094077E" w:rsidRPr="00ED4544">
        <w:rPr>
          <w:lang w:val="en-AU"/>
        </w:rPr>
        <w:t>cronyms</w:t>
      </w:r>
      <w:bookmarkEnd w:id="8"/>
      <w:r w:rsidR="00511DBA">
        <w:rPr>
          <w:lang w:val="en-AU"/>
        </w:rPr>
        <w:t xml:space="preserve"> and abbreviations</w:t>
      </w:r>
      <w:bookmarkEnd w:id="9"/>
    </w:p>
    <w:tbl>
      <w:tblPr>
        <w:tblW w:w="0" w:type="auto"/>
        <w:tblInd w:w="108" w:type="dxa"/>
        <w:tblBorders>
          <w:top w:val="nil"/>
          <w:left w:val="nil"/>
          <w:bottom w:val="nil"/>
          <w:right w:val="nil"/>
        </w:tblBorders>
        <w:tblLayout w:type="fixed"/>
        <w:tblLook w:val="0000" w:firstRow="0" w:lastRow="0" w:firstColumn="0" w:lastColumn="0" w:noHBand="0" w:noVBand="0"/>
      </w:tblPr>
      <w:tblGrid>
        <w:gridCol w:w="2268"/>
        <w:gridCol w:w="5250"/>
      </w:tblGrid>
      <w:tr w:rsidR="00C83AFA" w:rsidRPr="00B263B0" w14:paraId="52FDF4D7" w14:textId="77777777" w:rsidTr="00C83AFA">
        <w:trPr>
          <w:trHeight w:val="120"/>
        </w:trPr>
        <w:tc>
          <w:tcPr>
            <w:tcW w:w="2268" w:type="dxa"/>
          </w:tcPr>
          <w:p w14:paraId="562907C0" w14:textId="012CF57F" w:rsidR="00C83AFA" w:rsidRPr="00B263B0" w:rsidRDefault="00BC290C" w:rsidP="00B263B0">
            <w:pPr>
              <w:rPr>
                <w:b/>
                <w:bCs/>
              </w:rPr>
            </w:pPr>
            <w:r w:rsidRPr="00B263B0">
              <w:rPr>
                <w:b/>
                <w:bCs/>
              </w:rPr>
              <w:t>Acronym</w:t>
            </w:r>
          </w:p>
        </w:tc>
        <w:tc>
          <w:tcPr>
            <w:tcW w:w="5250" w:type="dxa"/>
          </w:tcPr>
          <w:p w14:paraId="7F1B3CF1" w14:textId="64D42163" w:rsidR="00C83AFA" w:rsidRPr="00B263B0" w:rsidRDefault="00BC290C" w:rsidP="0060559B">
            <w:pPr>
              <w:rPr>
                <w:b/>
                <w:bCs/>
              </w:rPr>
            </w:pPr>
            <w:r w:rsidRPr="00B263B0">
              <w:rPr>
                <w:b/>
                <w:bCs/>
              </w:rPr>
              <w:t>Meaning</w:t>
            </w:r>
          </w:p>
        </w:tc>
      </w:tr>
      <w:tr w:rsidR="00C83AFA" w:rsidRPr="001E4E7D" w14:paraId="4A9171FC" w14:textId="77777777" w:rsidTr="00C83AFA">
        <w:trPr>
          <w:trHeight w:val="135"/>
        </w:trPr>
        <w:tc>
          <w:tcPr>
            <w:tcW w:w="2268" w:type="dxa"/>
          </w:tcPr>
          <w:p w14:paraId="617BAA19" w14:textId="50482CD2" w:rsidR="00C83AFA" w:rsidRPr="00B263B0" w:rsidRDefault="002020B6" w:rsidP="00B263B0">
            <w:pPr>
              <w:rPr>
                <w:b/>
                <w:bCs/>
              </w:rPr>
            </w:pPr>
            <w:r w:rsidRPr="00B263B0">
              <w:rPr>
                <w:b/>
                <w:bCs/>
              </w:rPr>
              <w:t>ABLN</w:t>
            </w:r>
          </w:p>
        </w:tc>
        <w:tc>
          <w:tcPr>
            <w:tcW w:w="5250" w:type="dxa"/>
          </w:tcPr>
          <w:p w14:paraId="139B5ED3" w14:textId="43DB5492" w:rsidR="00C83AFA" w:rsidRPr="00B263B0" w:rsidRDefault="002020B6" w:rsidP="00B263B0">
            <w:r w:rsidRPr="00B263B0">
              <w:t>Australian (Counter)</w:t>
            </w:r>
            <w:r w:rsidR="00722F82" w:rsidRPr="00B263B0">
              <w:t xml:space="preserve"> </w:t>
            </w:r>
            <w:r w:rsidRPr="00B263B0">
              <w:t>Bioterrorism Laboratory Network</w:t>
            </w:r>
          </w:p>
        </w:tc>
      </w:tr>
      <w:tr w:rsidR="00BC290C" w:rsidRPr="001E4E7D" w14:paraId="218D08D9" w14:textId="77777777" w:rsidTr="00C83AFA">
        <w:trPr>
          <w:trHeight w:val="135"/>
        </w:trPr>
        <w:tc>
          <w:tcPr>
            <w:tcW w:w="2268" w:type="dxa"/>
          </w:tcPr>
          <w:p w14:paraId="2137EED8" w14:textId="636C5AC4" w:rsidR="00BC290C" w:rsidRPr="00B263B0" w:rsidRDefault="00BC290C" w:rsidP="00B263B0">
            <w:pPr>
              <w:rPr>
                <w:b/>
                <w:bCs/>
              </w:rPr>
            </w:pPr>
            <w:r w:rsidRPr="00B263B0">
              <w:rPr>
                <w:b/>
                <w:bCs/>
              </w:rPr>
              <w:t>AHPPC</w:t>
            </w:r>
          </w:p>
        </w:tc>
        <w:tc>
          <w:tcPr>
            <w:tcW w:w="5250" w:type="dxa"/>
          </w:tcPr>
          <w:p w14:paraId="79D2A83C" w14:textId="2B49A8BE" w:rsidR="00BC290C" w:rsidRPr="00B263B0" w:rsidRDefault="00BC290C" w:rsidP="00B263B0">
            <w:r w:rsidRPr="00B263B0">
              <w:t>Australian Health Protection Principal Committee</w:t>
            </w:r>
          </w:p>
        </w:tc>
      </w:tr>
      <w:tr w:rsidR="005A6458" w:rsidRPr="001E4E7D" w14:paraId="719FAB9D" w14:textId="77777777" w:rsidTr="00C83AFA">
        <w:trPr>
          <w:trHeight w:val="110"/>
        </w:trPr>
        <w:tc>
          <w:tcPr>
            <w:tcW w:w="2268" w:type="dxa"/>
          </w:tcPr>
          <w:p w14:paraId="48CEA644" w14:textId="77777777" w:rsidR="005A6458" w:rsidRPr="00B263B0" w:rsidRDefault="005A6458" w:rsidP="00B263B0">
            <w:pPr>
              <w:rPr>
                <w:b/>
                <w:bCs/>
              </w:rPr>
            </w:pPr>
            <w:r w:rsidRPr="00B263B0">
              <w:rPr>
                <w:b/>
                <w:bCs/>
              </w:rPr>
              <w:t>AMR</w:t>
            </w:r>
          </w:p>
        </w:tc>
        <w:tc>
          <w:tcPr>
            <w:tcW w:w="5250" w:type="dxa"/>
          </w:tcPr>
          <w:p w14:paraId="3ACD50C0" w14:textId="4665A044" w:rsidR="005A6458" w:rsidRPr="00B263B0" w:rsidRDefault="005A6458" w:rsidP="00B263B0">
            <w:r w:rsidRPr="00B263B0">
              <w:t xml:space="preserve">Antimicrobial </w:t>
            </w:r>
            <w:r w:rsidR="00616477" w:rsidRPr="00B263B0">
              <w:t>r</w:t>
            </w:r>
            <w:r w:rsidRPr="00B263B0">
              <w:t>esistance</w:t>
            </w:r>
          </w:p>
        </w:tc>
      </w:tr>
      <w:tr w:rsidR="005A6458" w:rsidRPr="001E4E7D" w14:paraId="3A44E881" w14:textId="77777777" w:rsidTr="00C83AFA">
        <w:trPr>
          <w:trHeight w:val="110"/>
        </w:trPr>
        <w:tc>
          <w:tcPr>
            <w:tcW w:w="2268" w:type="dxa"/>
          </w:tcPr>
          <w:p w14:paraId="1A270DAB" w14:textId="77777777" w:rsidR="005A6458" w:rsidRPr="00B263B0" w:rsidRDefault="005A6458" w:rsidP="00B263B0">
            <w:pPr>
              <w:rPr>
                <w:b/>
                <w:bCs/>
              </w:rPr>
            </w:pPr>
            <w:r w:rsidRPr="00B263B0">
              <w:rPr>
                <w:b/>
                <w:bCs/>
              </w:rPr>
              <w:t>CDC</w:t>
            </w:r>
          </w:p>
        </w:tc>
        <w:tc>
          <w:tcPr>
            <w:tcW w:w="5250" w:type="dxa"/>
          </w:tcPr>
          <w:p w14:paraId="67441776" w14:textId="77777777" w:rsidR="005A6458" w:rsidRPr="00B263B0" w:rsidRDefault="005A6458" w:rsidP="00B263B0">
            <w:r w:rsidRPr="00B263B0">
              <w:t>United States Centers for Disease Control and Prevention</w:t>
            </w:r>
          </w:p>
        </w:tc>
      </w:tr>
      <w:tr w:rsidR="00C83AFA" w:rsidRPr="001E4E7D" w14:paraId="48AE231D" w14:textId="77777777" w:rsidTr="00C83AFA">
        <w:trPr>
          <w:trHeight w:val="110"/>
        </w:trPr>
        <w:tc>
          <w:tcPr>
            <w:tcW w:w="2268" w:type="dxa"/>
          </w:tcPr>
          <w:p w14:paraId="00986027" w14:textId="77777777" w:rsidR="00C83AFA" w:rsidRPr="00B263B0" w:rsidRDefault="00C83AFA" w:rsidP="00B263B0">
            <w:pPr>
              <w:rPr>
                <w:b/>
                <w:bCs/>
              </w:rPr>
            </w:pPr>
            <w:r w:rsidRPr="00B263B0">
              <w:rPr>
                <w:b/>
                <w:bCs/>
              </w:rPr>
              <w:t>CDGN</w:t>
            </w:r>
          </w:p>
        </w:tc>
        <w:tc>
          <w:tcPr>
            <w:tcW w:w="5250" w:type="dxa"/>
          </w:tcPr>
          <w:p w14:paraId="70AD6FFD" w14:textId="77777777" w:rsidR="00C83AFA" w:rsidRPr="00B263B0" w:rsidRDefault="00C83AFA" w:rsidP="00B263B0">
            <w:r w:rsidRPr="00B263B0">
              <w:t>Communicable Diseases Genomics Network</w:t>
            </w:r>
          </w:p>
        </w:tc>
      </w:tr>
      <w:tr w:rsidR="00C83AFA" w:rsidRPr="001E4E7D" w14:paraId="7A2511F7" w14:textId="77777777" w:rsidTr="00C83AFA">
        <w:trPr>
          <w:trHeight w:val="110"/>
        </w:trPr>
        <w:tc>
          <w:tcPr>
            <w:tcW w:w="2268" w:type="dxa"/>
          </w:tcPr>
          <w:p w14:paraId="5B85EB9F" w14:textId="77777777" w:rsidR="00C83AFA" w:rsidRPr="00B263B0" w:rsidRDefault="00C83AFA" w:rsidP="00B263B0">
            <w:pPr>
              <w:rPr>
                <w:b/>
                <w:bCs/>
              </w:rPr>
            </w:pPr>
            <w:r w:rsidRPr="00B263B0">
              <w:rPr>
                <w:b/>
                <w:bCs/>
              </w:rPr>
              <w:t>CDNA</w:t>
            </w:r>
          </w:p>
        </w:tc>
        <w:tc>
          <w:tcPr>
            <w:tcW w:w="5250" w:type="dxa"/>
          </w:tcPr>
          <w:p w14:paraId="3BAD15AB" w14:textId="77777777" w:rsidR="00C83AFA" w:rsidRPr="00B263B0" w:rsidRDefault="00C83AFA" w:rsidP="00B263B0">
            <w:r w:rsidRPr="00B263B0">
              <w:t>Communicable Diseases Network Australia</w:t>
            </w:r>
          </w:p>
        </w:tc>
      </w:tr>
      <w:tr w:rsidR="00C83AFA" w:rsidRPr="001E4E7D" w14:paraId="6AF919E3" w14:textId="77777777" w:rsidTr="00C83AFA">
        <w:trPr>
          <w:trHeight w:val="110"/>
        </w:trPr>
        <w:tc>
          <w:tcPr>
            <w:tcW w:w="2268" w:type="dxa"/>
          </w:tcPr>
          <w:p w14:paraId="7B2F308E" w14:textId="7BEC4E93" w:rsidR="00C83AFA" w:rsidRPr="00B263B0" w:rsidRDefault="00C83AFA" w:rsidP="00B263B0">
            <w:pPr>
              <w:rPr>
                <w:b/>
                <w:bCs/>
              </w:rPr>
            </w:pPr>
            <w:r w:rsidRPr="00B263B0">
              <w:rPr>
                <w:b/>
                <w:bCs/>
              </w:rPr>
              <w:t>DNA</w:t>
            </w:r>
          </w:p>
        </w:tc>
        <w:tc>
          <w:tcPr>
            <w:tcW w:w="5250" w:type="dxa"/>
          </w:tcPr>
          <w:p w14:paraId="5C66B34B" w14:textId="77777777" w:rsidR="00C83AFA" w:rsidRPr="00B263B0" w:rsidRDefault="00C83AFA" w:rsidP="00B263B0">
            <w:r w:rsidRPr="00B263B0">
              <w:t xml:space="preserve">Deoxyribonucleic acid </w:t>
            </w:r>
          </w:p>
        </w:tc>
      </w:tr>
      <w:tr w:rsidR="00457CAB" w:rsidRPr="001E4E7D" w14:paraId="2802367E" w14:textId="77777777" w:rsidTr="00C83AFA">
        <w:trPr>
          <w:trHeight w:val="110"/>
        </w:trPr>
        <w:tc>
          <w:tcPr>
            <w:tcW w:w="2268" w:type="dxa"/>
          </w:tcPr>
          <w:p w14:paraId="71630AE7" w14:textId="77777777" w:rsidR="00457CAB" w:rsidRPr="00B263B0" w:rsidRDefault="00457CAB" w:rsidP="00B263B0">
            <w:pPr>
              <w:rPr>
                <w:b/>
                <w:bCs/>
              </w:rPr>
            </w:pPr>
            <w:r w:rsidRPr="00B263B0">
              <w:rPr>
                <w:b/>
                <w:bCs/>
              </w:rPr>
              <w:t>FDA</w:t>
            </w:r>
          </w:p>
        </w:tc>
        <w:tc>
          <w:tcPr>
            <w:tcW w:w="5250" w:type="dxa"/>
          </w:tcPr>
          <w:p w14:paraId="7FA6406B" w14:textId="77777777" w:rsidR="00457CAB" w:rsidRPr="00B263B0" w:rsidRDefault="00457CAB" w:rsidP="00B263B0">
            <w:r w:rsidRPr="00B263B0">
              <w:t>United States Food and Drug Administration</w:t>
            </w:r>
          </w:p>
        </w:tc>
      </w:tr>
      <w:tr w:rsidR="00C83AFA" w:rsidRPr="001E4E7D" w14:paraId="425138BA" w14:textId="77777777" w:rsidTr="00C83AFA">
        <w:trPr>
          <w:trHeight w:val="110"/>
        </w:trPr>
        <w:tc>
          <w:tcPr>
            <w:tcW w:w="2268" w:type="dxa"/>
          </w:tcPr>
          <w:p w14:paraId="77F14FB8" w14:textId="77777777" w:rsidR="00C83AFA" w:rsidRPr="00B263B0" w:rsidRDefault="00C83AFA" w:rsidP="00B263B0">
            <w:pPr>
              <w:rPr>
                <w:b/>
                <w:bCs/>
              </w:rPr>
            </w:pPr>
            <w:r w:rsidRPr="00B263B0">
              <w:rPr>
                <w:b/>
                <w:bCs/>
              </w:rPr>
              <w:t>Health</w:t>
            </w:r>
          </w:p>
        </w:tc>
        <w:tc>
          <w:tcPr>
            <w:tcW w:w="5250" w:type="dxa"/>
          </w:tcPr>
          <w:p w14:paraId="7F8C3EC6" w14:textId="77777777" w:rsidR="00C83AFA" w:rsidRPr="00B263B0" w:rsidRDefault="00C83AFA" w:rsidP="00B263B0">
            <w:r w:rsidRPr="00B263B0">
              <w:t xml:space="preserve">Australian Government Department of Health </w:t>
            </w:r>
          </w:p>
        </w:tc>
      </w:tr>
      <w:tr w:rsidR="00387C83" w:rsidRPr="001E4E7D" w14:paraId="7EB14CF0" w14:textId="77777777" w:rsidTr="00C83AFA">
        <w:trPr>
          <w:trHeight w:val="110"/>
        </w:trPr>
        <w:tc>
          <w:tcPr>
            <w:tcW w:w="2268" w:type="dxa"/>
          </w:tcPr>
          <w:p w14:paraId="16BCBD84" w14:textId="72E18BBF" w:rsidR="00387C83" w:rsidRPr="00B263B0" w:rsidRDefault="00387C83" w:rsidP="00B263B0">
            <w:pPr>
              <w:rPr>
                <w:b/>
                <w:bCs/>
              </w:rPr>
            </w:pPr>
            <w:r w:rsidRPr="00B263B0">
              <w:rPr>
                <w:b/>
                <w:bCs/>
              </w:rPr>
              <w:t>MDU PHL</w:t>
            </w:r>
          </w:p>
        </w:tc>
        <w:tc>
          <w:tcPr>
            <w:tcW w:w="5250" w:type="dxa"/>
          </w:tcPr>
          <w:p w14:paraId="61BF306A" w14:textId="4760F451" w:rsidR="00387C83" w:rsidRPr="00B263B0" w:rsidRDefault="00387C83" w:rsidP="00B263B0">
            <w:r w:rsidRPr="00B263B0">
              <w:t>Microbiological Diagnostic Unit Pub</w:t>
            </w:r>
            <w:r w:rsidR="00A83DD4" w:rsidRPr="00B263B0">
              <w:t>l</w:t>
            </w:r>
            <w:r w:rsidRPr="00B263B0">
              <w:t>ic Health Laboratory</w:t>
            </w:r>
          </w:p>
        </w:tc>
      </w:tr>
      <w:tr w:rsidR="00C83AFA" w:rsidRPr="001E4E7D" w14:paraId="21520002" w14:textId="77777777" w:rsidTr="00C83AFA">
        <w:trPr>
          <w:trHeight w:val="110"/>
        </w:trPr>
        <w:tc>
          <w:tcPr>
            <w:tcW w:w="2268" w:type="dxa"/>
          </w:tcPr>
          <w:p w14:paraId="10AA823C" w14:textId="338F58E3" w:rsidR="00C83AFA" w:rsidRPr="00B263B0" w:rsidRDefault="00C83AFA" w:rsidP="00B263B0">
            <w:pPr>
              <w:rPr>
                <w:b/>
                <w:bCs/>
              </w:rPr>
            </w:pPr>
            <w:r w:rsidRPr="00B263B0">
              <w:rPr>
                <w:b/>
                <w:bCs/>
              </w:rPr>
              <w:t>NATA</w:t>
            </w:r>
          </w:p>
        </w:tc>
        <w:tc>
          <w:tcPr>
            <w:tcW w:w="5250" w:type="dxa"/>
          </w:tcPr>
          <w:p w14:paraId="7852F370" w14:textId="77777777" w:rsidR="00C83AFA" w:rsidRPr="00B263B0" w:rsidRDefault="00C83AFA" w:rsidP="00B263B0">
            <w:r w:rsidRPr="00B263B0">
              <w:t xml:space="preserve">National Association of Testing Authorities </w:t>
            </w:r>
          </w:p>
        </w:tc>
      </w:tr>
      <w:tr w:rsidR="005A6458" w:rsidRPr="001E4E7D" w14:paraId="415DF44B" w14:textId="77777777" w:rsidTr="00C83AFA">
        <w:trPr>
          <w:trHeight w:val="110"/>
        </w:trPr>
        <w:tc>
          <w:tcPr>
            <w:tcW w:w="2268" w:type="dxa"/>
          </w:tcPr>
          <w:p w14:paraId="05175288" w14:textId="77777777" w:rsidR="005A6458" w:rsidRPr="00B263B0" w:rsidRDefault="005A6458" w:rsidP="00B263B0">
            <w:pPr>
              <w:rPr>
                <w:b/>
                <w:bCs/>
              </w:rPr>
            </w:pPr>
            <w:r w:rsidRPr="00B263B0">
              <w:rPr>
                <w:b/>
                <w:bCs/>
              </w:rPr>
              <w:t>NPAAC</w:t>
            </w:r>
          </w:p>
        </w:tc>
        <w:tc>
          <w:tcPr>
            <w:tcW w:w="5250" w:type="dxa"/>
          </w:tcPr>
          <w:p w14:paraId="6AC5CD32" w14:textId="77777777" w:rsidR="005A6458" w:rsidRPr="00B263B0" w:rsidRDefault="005A6458" w:rsidP="00B263B0">
            <w:r w:rsidRPr="00B263B0">
              <w:t>National Pathology Accreditation Advisory Council</w:t>
            </w:r>
          </w:p>
        </w:tc>
      </w:tr>
      <w:tr w:rsidR="005A6458" w:rsidRPr="001E4E7D" w14:paraId="6BEFF9AD" w14:textId="77777777" w:rsidTr="00C83AFA">
        <w:trPr>
          <w:trHeight w:val="110"/>
        </w:trPr>
        <w:tc>
          <w:tcPr>
            <w:tcW w:w="2268" w:type="dxa"/>
          </w:tcPr>
          <w:p w14:paraId="63A24894" w14:textId="77777777" w:rsidR="005A6458" w:rsidRPr="00B263B0" w:rsidRDefault="005A6458" w:rsidP="00B263B0">
            <w:pPr>
              <w:rPr>
                <w:b/>
                <w:bCs/>
              </w:rPr>
            </w:pPr>
            <w:r w:rsidRPr="00B263B0">
              <w:rPr>
                <w:b/>
                <w:bCs/>
              </w:rPr>
              <w:t>PHE</w:t>
            </w:r>
          </w:p>
        </w:tc>
        <w:tc>
          <w:tcPr>
            <w:tcW w:w="5250" w:type="dxa"/>
          </w:tcPr>
          <w:p w14:paraId="63C732AD" w14:textId="77777777" w:rsidR="005A6458" w:rsidRPr="00B263B0" w:rsidRDefault="005A6458" w:rsidP="00B263B0">
            <w:r w:rsidRPr="00B263B0">
              <w:t>Public Health England</w:t>
            </w:r>
          </w:p>
        </w:tc>
      </w:tr>
      <w:tr w:rsidR="00C83AFA" w:rsidRPr="001E4E7D" w14:paraId="25CF04CD" w14:textId="77777777" w:rsidTr="00C83AFA">
        <w:trPr>
          <w:trHeight w:val="110"/>
        </w:trPr>
        <w:tc>
          <w:tcPr>
            <w:tcW w:w="2268" w:type="dxa"/>
          </w:tcPr>
          <w:p w14:paraId="2F034665" w14:textId="77777777" w:rsidR="00C83AFA" w:rsidRPr="00B263B0" w:rsidRDefault="00C83AFA" w:rsidP="00B263B0">
            <w:pPr>
              <w:rPr>
                <w:b/>
                <w:bCs/>
              </w:rPr>
            </w:pPr>
            <w:r w:rsidRPr="00B263B0">
              <w:rPr>
                <w:b/>
                <w:bCs/>
              </w:rPr>
              <w:t>PHLN</w:t>
            </w:r>
          </w:p>
        </w:tc>
        <w:tc>
          <w:tcPr>
            <w:tcW w:w="5250" w:type="dxa"/>
          </w:tcPr>
          <w:p w14:paraId="2BB04EE2" w14:textId="77777777" w:rsidR="00C83AFA" w:rsidRPr="00B263B0" w:rsidRDefault="00C83AFA" w:rsidP="00B263B0">
            <w:r w:rsidRPr="00B263B0">
              <w:t>Public Health Laboratory Network</w:t>
            </w:r>
          </w:p>
        </w:tc>
      </w:tr>
      <w:tr w:rsidR="005A6458" w:rsidRPr="001E4E7D" w14:paraId="0D619093" w14:textId="77777777" w:rsidTr="00C83AFA">
        <w:trPr>
          <w:trHeight w:val="110"/>
        </w:trPr>
        <w:tc>
          <w:tcPr>
            <w:tcW w:w="2268" w:type="dxa"/>
          </w:tcPr>
          <w:p w14:paraId="11F7F801" w14:textId="77777777" w:rsidR="005A6458" w:rsidRPr="00B263B0" w:rsidRDefault="005A6458" w:rsidP="00B263B0">
            <w:pPr>
              <w:rPr>
                <w:b/>
                <w:bCs/>
              </w:rPr>
            </w:pPr>
            <w:r w:rsidRPr="00B263B0">
              <w:rPr>
                <w:b/>
                <w:bCs/>
              </w:rPr>
              <w:t>RCPA QAP</w:t>
            </w:r>
          </w:p>
        </w:tc>
        <w:tc>
          <w:tcPr>
            <w:tcW w:w="5250" w:type="dxa"/>
          </w:tcPr>
          <w:p w14:paraId="70F1F56F" w14:textId="77777777" w:rsidR="005A6458" w:rsidRPr="00B263B0" w:rsidRDefault="005A6458" w:rsidP="00B263B0">
            <w:r w:rsidRPr="00B263B0">
              <w:t>The Royal College of Pathologists of Australasia Quality Assurance Programs</w:t>
            </w:r>
          </w:p>
        </w:tc>
      </w:tr>
      <w:tr w:rsidR="005A6458" w:rsidRPr="001E4E7D" w14:paraId="219A8D39" w14:textId="77777777" w:rsidTr="00C83AFA">
        <w:trPr>
          <w:trHeight w:val="110"/>
        </w:trPr>
        <w:tc>
          <w:tcPr>
            <w:tcW w:w="2268" w:type="dxa"/>
          </w:tcPr>
          <w:p w14:paraId="4BD689FB" w14:textId="77777777" w:rsidR="005A6458" w:rsidRPr="00B263B0" w:rsidRDefault="005A6458" w:rsidP="00B263B0">
            <w:pPr>
              <w:rPr>
                <w:b/>
                <w:bCs/>
              </w:rPr>
            </w:pPr>
            <w:r w:rsidRPr="00B263B0">
              <w:rPr>
                <w:b/>
                <w:bCs/>
              </w:rPr>
              <w:t>WGS</w:t>
            </w:r>
          </w:p>
        </w:tc>
        <w:tc>
          <w:tcPr>
            <w:tcW w:w="5250" w:type="dxa"/>
          </w:tcPr>
          <w:p w14:paraId="00784924" w14:textId="4B1EDFCD" w:rsidR="005A6458" w:rsidRPr="00B263B0" w:rsidRDefault="005A6458" w:rsidP="00B263B0">
            <w:r w:rsidRPr="00B263B0">
              <w:t xml:space="preserve">Whole </w:t>
            </w:r>
            <w:r w:rsidR="00511DBA" w:rsidRPr="00B263B0">
              <w:t>g</w:t>
            </w:r>
            <w:r w:rsidRPr="00B263B0">
              <w:t xml:space="preserve">enome </w:t>
            </w:r>
            <w:r w:rsidR="00511DBA" w:rsidRPr="00B263B0">
              <w:t>s</w:t>
            </w:r>
            <w:r w:rsidRPr="00B263B0">
              <w:t>equencing</w:t>
            </w:r>
          </w:p>
        </w:tc>
      </w:tr>
    </w:tbl>
    <w:p w14:paraId="74086BEE" w14:textId="77777777" w:rsidR="00C83AFA" w:rsidRPr="00BC290C" w:rsidRDefault="00C83AFA" w:rsidP="00BC290C">
      <w:r w:rsidRPr="00BC290C">
        <w:br w:type="page"/>
      </w:r>
    </w:p>
    <w:p w14:paraId="5A921533" w14:textId="77777777" w:rsidR="007D340D" w:rsidRPr="0039410C" w:rsidRDefault="007D340D" w:rsidP="0039410C">
      <w:pPr>
        <w:pStyle w:val="Heading1"/>
      </w:pPr>
      <w:bookmarkStart w:id="10" w:name="_Toc530994570"/>
      <w:bookmarkStart w:id="11" w:name="_Toc11404100"/>
      <w:r w:rsidRPr="0039410C">
        <w:lastRenderedPageBreak/>
        <w:t>P</w:t>
      </w:r>
      <w:r w:rsidR="0094077E" w:rsidRPr="0039410C">
        <w:t>reamble</w:t>
      </w:r>
      <w:bookmarkEnd w:id="10"/>
      <w:bookmarkEnd w:id="11"/>
    </w:p>
    <w:p w14:paraId="31443E51" w14:textId="0A607047" w:rsidR="007D340D" w:rsidRPr="001E4E7D" w:rsidRDefault="007D340D" w:rsidP="00B263B0">
      <w:pPr>
        <w:rPr>
          <w:b/>
          <w:bCs/>
        </w:rPr>
      </w:pPr>
      <w:r w:rsidRPr="001E4E7D">
        <w:t xml:space="preserve">A whole-of-government National Microbial Genomics Framework is required to capitalise on emerging knowledge by better integrating </w:t>
      </w:r>
      <w:r w:rsidR="002652E2" w:rsidRPr="001E4E7D">
        <w:t xml:space="preserve">microbial </w:t>
      </w:r>
      <w:r w:rsidRPr="001E4E7D">
        <w:t xml:space="preserve">genomics into Australian </w:t>
      </w:r>
      <w:r w:rsidR="002652E2" w:rsidRPr="001E4E7D">
        <w:t xml:space="preserve">laboratory and surveillance </w:t>
      </w:r>
      <w:r w:rsidRPr="001E4E7D">
        <w:t>system</w:t>
      </w:r>
      <w:r w:rsidR="002652E2" w:rsidRPr="001E4E7D">
        <w:t>s</w:t>
      </w:r>
      <w:r w:rsidRPr="001E4E7D">
        <w:t xml:space="preserve">. The </w:t>
      </w:r>
      <w:r w:rsidR="00CC7536">
        <w:t>National Microbial Genomics F</w:t>
      </w:r>
      <w:r w:rsidRPr="001E4E7D">
        <w:t xml:space="preserve">ramework </w:t>
      </w:r>
      <w:r w:rsidR="00CC7536">
        <w:t xml:space="preserve">2019–2022 </w:t>
      </w:r>
      <w:r w:rsidRPr="00110146">
        <w:t>places</w:t>
      </w:r>
      <w:r w:rsidRPr="001E4E7D">
        <w:t xml:space="preserve"> a strong focus on those policy issues that will benefit from collaboration across all jurisdictions</w:t>
      </w:r>
      <w:r w:rsidR="009C22F2" w:rsidRPr="001E4E7D">
        <w:t xml:space="preserve"> and between public health laboratories and public health units specifically</w:t>
      </w:r>
      <w:r w:rsidRPr="001E4E7D">
        <w:t xml:space="preserve">. The </w:t>
      </w:r>
      <w:r w:rsidR="00616477">
        <w:t>f</w:t>
      </w:r>
      <w:r w:rsidRPr="001E4E7D">
        <w:t xml:space="preserve">ramework </w:t>
      </w:r>
      <w:r w:rsidR="006355CD">
        <w:t>was</w:t>
      </w:r>
      <w:r w:rsidRPr="001E4E7D">
        <w:t xml:space="preserve"> developed </w:t>
      </w:r>
      <w:r w:rsidR="002652E2" w:rsidRPr="001E4E7D">
        <w:t>by the Office of Health Protection within the Department of Health</w:t>
      </w:r>
      <w:r w:rsidR="00AC09F9" w:rsidRPr="001E4E7D">
        <w:t>,</w:t>
      </w:r>
      <w:r w:rsidR="002652E2" w:rsidRPr="001E4E7D">
        <w:t xml:space="preserve"> </w:t>
      </w:r>
      <w:r w:rsidRPr="001E4E7D">
        <w:t xml:space="preserve">with input from a </w:t>
      </w:r>
      <w:r w:rsidR="002652E2" w:rsidRPr="001E4E7D">
        <w:t xml:space="preserve">joint Public Health Laboratory Network </w:t>
      </w:r>
      <w:r w:rsidR="00DE4AC0">
        <w:t xml:space="preserve">(PHLN) </w:t>
      </w:r>
      <w:r w:rsidR="002652E2" w:rsidRPr="001E4E7D">
        <w:t xml:space="preserve">and Communicable Diseases Network Australia </w:t>
      </w:r>
      <w:r w:rsidR="00DE4AC0">
        <w:t xml:space="preserve">(CDNA) </w:t>
      </w:r>
      <w:r w:rsidR="00C4449A" w:rsidRPr="001E4E7D">
        <w:t>Project Reference</w:t>
      </w:r>
      <w:r w:rsidRPr="001E4E7D">
        <w:t xml:space="preserve"> Group</w:t>
      </w:r>
      <w:r w:rsidR="00C4449A" w:rsidRPr="001E4E7D">
        <w:t xml:space="preserve"> on </w:t>
      </w:r>
      <w:r w:rsidR="00C4449A" w:rsidRPr="00F77D46">
        <w:t>Microbial Genomics</w:t>
      </w:r>
      <w:r w:rsidRPr="00F77D46">
        <w:t xml:space="preserve">. </w:t>
      </w:r>
      <w:r w:rsidR="00110146" w:rsidRPr="00F77D46">
        <w:t>T</w:t>
      </w:r>
      <w:r w:rsidRPr="00F77D46">
        <w:t xml:space="preserve">he </w:t>
      </w:r>
      <w:r w:rsidR="00110146" w:rsidRPr="00E3496C">
        <w:t>g</w:t>
      </w:r>
      <w:r w:rsidRPr="00F77D46">
        <w:t xml:space="preserve">roup comprises a Commonwealth Chair and </w:t>
      </w:r>
      <w:r w:rsidR="002652E2" w:rsidRPr="00F77D46">
        <w:t xml:space="preserve">nominated </w:t>
      </w:r>
      <w:r w:rsidRPr="00F77D46">
        <w:t xml:space="preserve">members from </w:t>
      </w:r>
      <w:r w:rsidR="002652E2" w:rsidRPr="00F77D46">
        <w:t>key</w:t>
      </w:r>
      <w:r w:rsidRPr="00F77D46">
        <w:t xml:space="preserve"> jurisdiction</w:t>
      </w:r>
      <w:r w:rsidR="002652E2" w:rsidRPr="00F77D46">
        <w:t>s</w:t>
      </w:r>
      <w:r w:rsidRPr="00F77D46">
        <w:t>.</w:t>
      </w:r>
    </w:p>
    <w:p w14:paraId="77A6E0D1" w14:textId="77777777" w:rsidR="007D340D" w:rsidRPr="00BC290C" w:rsidRDefault="007D340D" w:rsidP="0039410C">
      <w:pPr>
        <w:pStyle w:val="Heading2"/>
      </w:pPr>
      <w:r w:rsidRPr="00BC290C">
        <w:t>Purpose</w:t>
      </w:r>
    </w:p>
    <w:p w14:paraId="580BA89C" w14:textId="37C4FD87" w:rsidR="007D340D" w:rsidRPr="001E4E7D" w:rsidRDefault="007D340D" w:rsidP="00B263B0">
      <w:r w:rsidRPr="001E4E7D">
        <w:t xml:space="preserve">This </w:t>
      </w:r>
      <w:r w:rsidR="00616477">
        <w:t>f</w:t>
      </w:r>
      <w:r w:rsidRPr="001E4E7D">
        <w:t xml:space="preserve">ramework is to provide a consistent, </w:t>
      </w:r>
      <w:proofErr w:type="gramStart"/>
      <w:r w:rsidRPr="001E4E7D">
        <w:t>national</w:t>
      </w:r>
      <w:proofErr w:type="gramEnd"/>
      <w:r w:rsidRPr="001E4E7D">
        <w:t xml:space="preserve"> and strategic view for integrating microbial genomics into the Australian health system and </w:t>
      </w:r>
      <w:r w:rsidR="009C22F2" w:rsidRPr="001E4E7D">
        <w:t xml:space="preserve">for </w:t>
      </w:r>
      <w:r w:rsidRPr="001E4E7D">
        <w:t>identify</w:t>
      </w:r>
      <w:r w:rsidR="009C22F2" w:rsidRPr="001E4E7D">
        <w:t>ing</w:t>
      </w:r>
      <w:r w:rsidRPr="001E4E7D">
        <w:t xml:space="preserve"> microbial genomics policy issues and challenges that need to be addressed. Developing a whol</w:t>
      </w:r>
      <w:r w:rsidR="00820BC5" w:rsidRPr="001E4E7D">
        <w:t>e-of-government and system-focu</w:t>
      </w:r>
      <w:r w:rsidRPr="001E4E7D">
        <w:t xml:space="preserve">sed </w:t>
      </w:r>
      <w:r w:rsidR="00616477">
        <w:t>f</w:t>
      </w:r>
      <w:r w:rsidRPr="001E4E7D">
        <w:t xml:space="preserve">ramework is necessary to ensure consistency across Australia. </w:t>
      </w:r>
    </w:p>
    <w:p w14:paraId="70363DAB" w14:textId="36511354" w:rsidR="007D340D" w:rsidRPr="001E4E7D" w:rsidRDefault="007D340D" w:rsidP="00B263B0">
      <w:r w:rsidRPr="001E4E7D">
        <w:t xml:space="preserve">The </w:t>
      </w:r>
      <w:r w:rsidR="00A83DD4">
        <w:t xml:space="preserve">framework </w:t>
      </w:r>
      <w:r w:rsidRPr="001E4E7D">
        <w:t xml:space="preserve">will support better coordination and consistency of action between Australian laboratories and public health units to ensure the potential benefits of microbial genomics are harnessed in an efficient, effective, </w:t>
      </w:r>
      <w:proofErr w:type="gramStart"/>
      <w:r w:rsidRPr="001E4E7D">
        <w:t>ethical</w:t>
      </w:r>
      <w:proofErr w:type="gramEnd"/>
      <w:r w:rsidRPr="001E4E7D">
        <w:t xml:space="preserve"> and equitable way. </w:t>
      </w:r>
    </w:p>
    <w:p w14:paraId="59612ADA" w14:textId="0478C537" w:rsidR="000C5237" w:rsidRPr="001E4E7D" w:rsidRDefault="000C5237" w:rsidP="00B263B0">
      <w:r w:rsidRPr="001E4E7D">
        <w:t xml:space="preserve">The </w:t>
      </w:r>
      <w:r w:rsidR="00616477">
        <w:t>f</w:t>
      </w:r>
      <w:r w:rsidRPr="001E4E7D">
        <w:t xml:space="preserve">ramework </w:t>
      </w:r>
      <w:r w:rsidR="000C438E" w:rsidRPr="001E4E7D">
        <w:t>provide</w:t>
      </w:r>
      <w:r w:rsidR="000D4EBF">
        <w:t>s</w:t>
      </w:r>
      <w:r w:rsidR="000C438E" w:rsidRPr="001E4E7D">
        <w:t xml:space="preserve"> high</w:t>
      </w:r>
      <w:r w:rsidR="00616477">
        <w:t>-</w:t>
      </w:r>
      <w:r w:rsidR="000C438E" w:rsidRPr="001E4E7D">
        <w:t xml:space="preserve">level guidance </w:t>
      </w:r>
      <w:r w:rsidR="000D4EBF">
        <w:t>for the</w:t>
      </w:r>
      <w:r w:rsidR="000C438E" w:rsidRPr="001E4E7D">
        <w:t xml:space="preserve"> development of a nationally agreed microbial </w:t>
      </w:r>
      <w:r w:rsidR="000C438E" w:rsidRPr="00110146">
        <w:t>genomics system</w:t>
      </w:r>
      <w:r w:rsidR="000D4EBF">
        <w:t>. This system</w:t>
      </w:r>
      <w:r w:rsidR="00110146" w:rsidRPr="00110146">
        <w:t xml:space="preserve"> </w:t>
      </w:r>
      <w:r w:rsidR="000D4EBF">
        <w:t>will allow</w:t>
      </w:r>
      <w:r w:rsidR="000C438E" w:rsidRPr="001E4E7D">
        <w:t xml:space="preserve"> organisms of public health importance</w:t>
      </w:r>
      <w:r w:rsidR="000D4EBF">
        <w:t xml:space="preserve"> to be identified</w:t>
      </w:r>
      <w:r w:rsidR="000C438E" w:rsidRPr="001E4E7D">
        <w:t>, eventually in real</w:t>
      </w:r>
      <w:r w:rsidR="00616477">
        <w:t xml:space="preserve"> </w:t>
      </w:r>
      <w:r w:rsidR="000C438E" w:rsidRPr="001E4E7D">
        <w:t>time</w:t>
      </w:r>
      <w:r w:rsidR="00F4501F" w:rsidRPr="001E4E7D">
        <w:t>,</w:t>
      </w:r>
      <w:r w:rsidR="000C438E" w:rsidRPr="001E4E7D">
        <w:t xml:space="preserve"> within the auspice of a robust quality system. The </w:t>
      </w:r>
      <w:r w:rsidR="00616477">
        <w:t>f</w:t>
      </w:r>
      <w:r w:rsidR="000C438E" w:rsidRPr="001E4E7D">
        <w:t xml:space="preserve">ramework highlights </w:t>
      </w:r>
      <w:r w:rsidR="00F4501F" w:rsidRPr="001E4E7D">
        <w:t xml:space="preserve">that </w:t>
      </w:r>
      <w:r w:rsidR="000C438E" w:rsidRPr="001E4E7D">
        <w:t xml:space="preserve">development of both domestic and international linkages for information sharing and communication </w:t>
      </w:r>
      <w:r w:rsidR="00F4501F" w:rsidRPr="001E4E7D">
        <w:t>are essential to drive this important public health initiative.</w:t>
      </w:r>
    </w:p>
    <w:p w14:paraId="7BD5339C" w14:textId="1758C449" w:rsidR="007D340D" w:rsidRPr="0060559B" w:rsidRDefault="007D340D" w:rsidP="007D340D">
      <w:r w:rsidRPr="00ED4544">
        <w:rPr>
          <w:lang w:val="en-AU"/>
        </w:rPr>
        <w:t xml:space="preserve">The </w:t>
      </w:r>
      <w:r w:rsidR="00616477">
        <w:rPr>
          <w:lang w:val="en-AU"/>
        </w:rPr>
        <w:t>f</w:t>
      </w:r>
      <w:r w:rsidRPr="00ED4544">
        <w:rPr>
          <w:lang w:val="en-AU"/>
        </w:rPr>
        <w:t xml:space="preserve">ramework is not intended to address all issues related to microbial </w:t>
      </w:r>
      <w:r w:rsidR="00EA1B24" w:rsidRPr="00ED4544">
        <w:rPr>
          <w:lang w:val="en-AU"/>
        </w:rPr>
        <w:t>genomics</w:t>
      </w:r>
      <w:r w:rsidR="00110146">
        <w:rPr>
          <w:lang w:val="en-AU"/>
        </w:rPr>
        <w:t>.</w:t>
      </w:r>
      <w:r w:rsidRPr="00ED4544">
        <w:rPr>
          <w:lang w:val="en-AU"/>
        </w:rPr>
        <w:t xml:space="preserve"> </w:t>
      </w:r>
      <w:r w:rsidR="00110146">
        <w:rPr>
          <w:lang w:val="en-AU"/>
        </w:rPr>
        <w:t>I</w:t>
      </w:r>
      <w:r w:rsidRPr="00ED4544">
        <w:rPr>
          <w:lang w:val="en-AU"/>
        </w:rPr>
        <w:t>nstead</w:t>
      </w:r>
      <w:r w:rsidR="00616477">
        <w:rPr>
          <w:lang w:val="en-AU"/>
        </w:rPr>
        <w:t>,</w:t>
      </w:r>
      <w:r w:rsidRPr="00ED4544">
        <w:rPr>
          <w:lang w:val="en-AU"/>
        </w:rPr>
        <w:t xml:space="preserve"> the </w:t>
      </w:r>
      <w:r w:rsidR="00616477">
        <w:rPr>
          <w:lang w:val="en-AU"/>
        </w:rPr>
        <w:t>f</w:t>
      </w:r>
      <w:r w:rsidRPr="00ED4544">
        <w:rPr>
          <w:lang w:val="en-AU"/>
        </w:rPr>
        <w:t xml:space="preserve">ramework prioritises particular issues for initial consideration and indicates where further work is needed while also recognising that stakeholders have a role in addressing issues independently. Subsequent reviews of the </w:t>
      </w:r>
      <w:r w:rsidR="00616477">
        <w:rPr>
          <w:lang w:val="en-AU"/>
        </w:rPr>
        <w:t>f</w:t>
      </w:r>
      <w:r w:rsidRPr="00ED4544">
        <w:rPr>
          <w:lang w:val="en-AU"/>
        </w:rPr>
        <w:t>ramework are expected to identify other emerging issues</w:t>
      </w:r>
      <w:r w:rsidRPr="00343A08">
        <w:t>.</w:t>
      </w:r>
    </w:p>
    <w:p w14:paraId="0C01CA81" w14:textId="6EC5BAD1" w:rsidR="000A1344" w:rsidRPr="0039410C" w:rsidRDefault="000A1344" w:rsidP="0039410C">
      <w:pPr>
        <w:pStyle w:val="Heading2"/>
      </w:pPr>
      <w:r w:rsidRPr="0039410C">
        <w:t>Audience</w:t>
      </w:r>
    </w:p>
    <w:p w14:paraId="3BC2708F" w14:textId="5681F7C0" w:rsidR="000A1344" w:rsidRPr="001E4E7D" w:rsidRDefault="000A1344" w:rsidP="00B263B0">
      <w:r w:rsidRPr="001E4E7D">
        <w:t xml:space="preserve">The </w:t>
      </w:r>
      <w:r w:rsidR="00616477">
        <w:t>f</w:t>
      </w:r>
      <w:r w:rsidRPr="001E4E7D">
        <w:t>ramework is designed primarily as a tool to provide guidance for the development and implementation of microbial genomic</w:t>
      </w:r>
      <w:r w:rsidR="006763E9">
        <w:t xml:space="preserve"> </w:t>
      </w:r>
      <w:r w:rsidRPr="001E4E7D">
        <w:t>related policies, strategies, actions and services and is directed at decision</w:t>
      </w:r>
      <w:r w:rsidR="00616477">
        <w:t>-makers</w:t>
      </w:r>
      <w:r w:rsidRPr="001E4E7D">
        <w:t xml:space="preserve"> and </w:t>
      </w:r>
      <w:proofErr w:type="gramStart"/>
      <w:r w:rsidRPr="00110146">
        <w:t>policy</w:t>
      </w:r>
      <w:r w:rsidR="00110146" w:rsidRPr="00E51ACF">
        <w:t>-</w:t>
      </w:r>
      <w:r w:rsidRPr="00110146">
        <w:t>makers</w:t>
      </w:r>
      <w:proofErr w:type="gramEnd"/>
      <w:r w:rsidRPr="00110146">
        <w:t xml:space="preserve"> at</w:t>
      </w:r>
      <w:r w:rsidRPr="001E4E7D">
        <w:t xml:space="preserve"> national, state </w:t>
      </w:r>
      <w:r w:rsidR="00E51ACF">
        <w:t xml:space="preserve">and territory </w:t>
      </w:r>
      <w:r w:rsidRPr="001E4E7D">
        <w:t>and health service levels.</w:t>
      </w:r>
    </w:p>
    <w:p w14:paraId="14B99B1C" w14:textId="553BB619" w:rsidR="000A1344" w:rsidRPr="0039410C" w:rsidRDefault="000A1344" w:rsidP="0039410C">
      <w:pPr>
        <w:pStyle w:val="Heading2"/>
      </w:pPr>
      <w:r w:rsidRPr="0039410C">
        <w:t>Time</w:t>
      </w:r>
      <w:r w:rsidR="00110146" w:rsidRPr="0039410C">
        <w:t xml:space="preserve"> </w:t>
      </w:r>
      <w:r w:rsidRPr="0039410C">
        <w:t>frame</w:t>
      </w:r>
    </w:p>
    <w:p w14:paraId="2F804821" w14:textId="07508335" w:rsidR="007D340D" w:rsidRPr="0060559B" w:rsidRDefault="000A1344" w:rsidP="000A1344">
      <w:r w:rsidRPr="00110146">
        <w:rPr>
          <w:lang w:val="en-AU"/>
        </w:rPr>
        <w:t>The</w:t>
      </w:r>
      <w:r w:rsidR="000E6C54" w:rsidRPr="00110146">
        <w:rPr>
          <w:lang w:val="en-AU"/>
        </w:rPr>
        <w:t xml:space="preserve"> time</w:t>
      </w:r>
      <w:r w:rsidR="00110146" w:rsidRPr="00E51ACF">
        <w:rPr>
          <w:lang w:val="en-AU"/>
        </w:rPr>
        <w:t xml:space="preserve"> </w:t>
      </w:r>
      <w:r w:rsidR="000E6C54" w:rsidRPr="00110146">
        <w:rPr>
          <w:lang w:val="en-AU"/>
        </w:rPr>
        <w:t xml:space="preserve">frame of the </w:t>
      </w:r>
      <w:r w:rsidR="00616477" w:rsidRPr="00110146">
        <w:rPr>
          <w:lang w:val="en-AU"/>
        </w:rPr>
        <w:t>f</w:t>
      </w:r>
      <w:r w:rsidR="000E6C54" w:rsidRPr="00110146">
        <w:rPr>
          <w:lang w:val="en-AU"/>
        </w:rPr>
        <w:t>ramework</w:t>
      </w:r>
      <w:r w:rsidR="000E6C54">
        <w:rPr>
          <w:lang w:val="en-AU"/>
        </w:rPr>
        <w:t xml:space="preserve"> is three</w:t>
      </w:r>
      <w:r w:rsidRPr="00ED4544">
        <w:rPr>
          <w:lang w:val="en-AU"/>
        </w:rPr>
        <w:t xml:space="preserve"> years, with a review anticipated in 202</w:t>
      </w:r>
      <w:r w:rsidR="00652941" w:rsidRPr="00ED4544">
        <w:rPr>
          <w:lang w:val="en-AU"/>
        </w:rPr>
        <w:t>2</w:t>
      </w:r>
      <w:r w:rsidRPr="00ED4544">
        <w:rPr>
          <w:lang w:val="en-AU"/>
        </w:rPr>
        <w:t xml:space="preserve"> to inform the next iteration.</w:t>
      </w:r>
    </w:p>
    <w:p w14:paraId="675BF45A" w14:textId="77777777" w:rsidR="009C22F2" w:rsidRPr="00B65945" w:rsidRDefault="009C22F2" w:rsidP="00B65945">
      <w:pPr>
        <w:rPr>
          <w:rFonts w:eastAsiaTheme="majorEastAsia"/>
        </w:rPr>
      </w:pPr>
      <w:r w:rsidRPr="00B65945">
        <w:br w:type="page"/>
      </w:r>
    </w:p>
    <w:p w14:paraId="7323678F" w14:textId="77777777" w:rsidR="00D03BD8" w:rsidRPr="006A4A1F" w:rsidRDefault="00D03BD8" w:rsidP="006A4A1F">
      <w:pPr>
        <w:pStyle w:val="Heading1"/>
      </w:pPr>
      <w:bookmarkStart w:id="12" w:name="_Toc530994571"/>
      <w:bookmarkStart w:id="13" w:name="_Toc11404101"/>
      <w:r w:rsidRPr="006A4A1F">
        <w:lastRenderedPageBreak/>
        <w:t>Vision</w:t>
      </w:r>
      <w:bookmarkEnd w:id="12"/>
      <w:bookmarkEnd w:id="13"/>
    </w:p>
    <w:p w14:paraId="3048D029" w14:textId="2B2BED40" w:rsidR="00D03BD8" w:rsidRPr="001E4E7D" w:rsidRDefault="00481AE2" w:rsidP="00D03BD8">
      <w:pPr>
        <w:rPr>
          <w:lang w:val="en-AU"/>
        </w:rPr>
      </w:pPr>
      <w:r w:rsidRPr="001E4E7D">
        <w:rPr>
          <w:lang w:val="en-AU"/>
        </w:rPr>
        <w:t xml:space="preserve">To </w:t>
      </w:r>
      <w:r w:rsidR="00F75193" w:rsidRPr="001E4E7D">
        <w:rPr>
          <w:lang w:val="en-AU"/>
        </w:rPr>
        <w:t>protect the health of all Australians from communicable disease and biological agent threats</w:t>
      </w:r>
      <w:r w:rsidR="00A3356C" w:rsidRPr="001E4E7D">
        <w:rPr>
          <w:lang w:val="en-AU"/>
        </w:rPr>
        <w:t xml:space="preserve"> (including foodborne and environmental)</w:t>
      </w:r>
      <w:r w:rsidR="00F75193" w:rsidRPr="001E4E7D">
        <w:rPr>
          <w:lang w:val="en-AU"/>
        </w:rPr>
        <w:t xml:space="preserve"> through access to microbial genomics information and technology</w:t>
      </w:r>
      <w:r w:rsidR="00110146">
        <w:rPr>
          <w:lang w:val="en-AU"/>
        </w:rPr>
        <w:t>;</w:t>
      </w:r>
      <w:r w:rsidR="0058319F" w:rsidRPr="001E4E7D">
        <w:rPr>
          <w:lang w:val="en-AU"/>
        </w:rPr>
        <w:t xml:space="preserve"> and</w:t>
      </w:r>
      <w:r w:rsidR="00741116" w:rsidRPr="001E4E7D">
        <w:rPr>
          <w:lang w:val="en-AU"/>
        </w:rPr>
        <w:t>, through responsible data</w:t>
      </w:r>
      <w:r w:rsidR="003A5D8E">
        <w:rPr>
          <w:lang w:val="en-AU"/>
        </w:rPr>
        <w:t xml:space="preserve"> </w:t>
      </w:r>
      <w:r w:rsidR="00741116" w:rsidRPr="001E4E7D">
        <w:rPr>
          <w:lang w:val="en-AU"/>
        </w:rPr>
        <w:t>sharing</w:t>
      </w:r>
      <w:r w:rsidR="001E4E7D" w:rsidRPr="001E4E7D">
        <w:rPr>
          <w:lang w:val="en-AU"/>
        </w:rPr>
        <w:t>, to</w:t>
      </w:r>
      <w:r w:rsidR="0058319F" w:rsidRPr="001E4E7D">
        <w:rPr>
          <w:lang w:val="en-AU"/>
        </w:rPr>
        <w:t xml:space="preserve"> promote </w:t>
      </w:r>
      <w:r w:rsidR="008D5A5B">
        <w:rPr>
          <w:lang w:val="en-AU"/>
        </w:rPr>
        <w:t xml:space="preserve">its use </w:t>
      </w:r>
      <w:r w:rsidR="0058319F" w:rsidRPr="001E4E7D">
        <w:rPr>
          <w:lang w:val="en-AU"/>
        </w:rPr>
        <w:t>for routine surveillance</w:t>
      </w:r>
      <w:r w:rsidR="00F75193" w:rsidRPr="001E4E7D">
        <w:rPr>
          <w:lang w:val="en-AU"/>
        </w:rPr>
        <w:t>.</w:t>
      </w:r>
    </w:p>
    <w:p w14:paraId="74668E6E" w14:textId="77777777" w:rsidR="00F75193" w:rsidRPr="005E2DDE" w:rsidRDefault="00F75193" w:rsidP="00F75193">
      <w:pPr>
        <w:pStyle w:val="Heading1"/>
        <w:rPr>
          <w:lang w:val="en-AU"/>
        </w:rPr>
      </w:pPr>
      <w:bookmarkStart w:id="14" w:name="_Toc530994572"/>
      <w:bookmarkStart w:id="15" w:name="_Toc11404102"/>
      <w:r w:rsidRPr="005E2DDE">
        <w:rPr>
          <w:lang w:val="en-AU"/>
        </w:rPr>
        <w:t>Mission</w:t>
      </w:r>
      <w:bookmarkEnd w:id="14"/>
      <w:bookmarkEnd w:id="15"/>
    </w:p>
    <w:p w14:paraId="1D73147D" w14:textId="35A26334" w:rsidR="00F75193" w:rsidRPr="005E2DDE" w:rsidRDefault="00056101" w:rsidP="00F75193">
      <w:pPr>
        <w:rPr>
          <w:lang w:val="en-AU"/>
        </w:rPr>
      </w:pPr>
      <w:r w:rsidRPr="005E2DDE">
        <w:rPr>
          <w:lang w:val="en-AU"/>
        </w:rPr>
        <w:t xml:space="preserve">To harness the public health benefits of microbial genomics, genomic knowledge and technology in </w:t>
      </w:r>
      <w:r w:rsidR="00616477">
        <w:rPr>
          <w:lang w:val="en-AU"/>
        </w:rPr>
        <w:t>n</w:t>
      </w:r>
      <w:r w:rsidRPr="005E2DDE">
        <w:rPr>
          <w:lang w:val="en-AU"/>
        </w:rPr>
        <w:t>ational public health systems in a consistent, efficient and effective way in order to improve public health responses.</w:t>
      </w:r>
    </w:p>
    <w:p w14:paraId="62E5C312" w14:textId="77777777" w:rsidR="00D03BD8" w:rsidRPr="005E2DDE" w:rsidRDefault="00400916" w:rsidP="00BD3B90">
      <w:pPr>
        <w:pStyle w:val="Heading1"/>
        <w:rPr>
          <w:lang w:val="en-AU"/>
        </w:rPr>
      </w:pPr>
      <w:bookmarkStart w:id="16" w:name="_Toc530994573"/>
      <w:bookmarkStart w:id="17" w:name="_Toc11404103"/>
      <w:r w:rsidRPr="005E2DDE">
        <w:rPr>
          <w:lang w:val="en-AU"/>
        </w:rPr>
        <w:t>Enablers</w:t>
      </w:r>
      <w:bookmarkEnd w:id="16"/>
      <w:bookmarkEnd w:id="17"/>
    </w:p>
    <w:p w14:paraId="23796434" w14:textId="040E92CB" w:rsidR="00400916" w:rsidRPr="001E4E7D" w:rsidRDefault="00400916" w:rsidP="00400916">
      <w:pPr>
        <w:rPr>
          <w:lang w:val="en-AU"/>
        </w:rPr>
      </w:pPr>
      <w:r w:rsidRPr="001E4E7D">
        <w:rPr>
          <w:lang w:val="en-AU"/>
        </w:rPr>
        <w:t>To help guide decision</w:t>
      </w:r>
      <w:r w:rsidR="00110146">
        <w:rPr>
          <w:lang w:val="en-AU"/>
        </w:rPr>
        <w:t>-makers</w:t>
      </w:r>
      <w:r w:rsidRPr="001E4E7D">
        <w:rPr>
          <w:lang w:val="en-AU"/>
        </w:rPr>
        <w:t xml:space="preserve"> and </w:t>
      </w:r>
      <w:proofErr w:type="gramStart"/>
      <w:r w:rsidRPr="001E4E7D">
        <w:rPr>
          <w:lang w:val="en-AU"/>
        </w:rPr>
        <w:t>policy</w:t>
      </w:r>
      <w:r w:rsidR="00616477">
        <w:rPr>
          <w:lang w:val="en-AU"/>
        </w:rPr>
        <w:t>-</w:t>
      </w:r>
      <w:r w:rsidRPr="001E4E7D">
        <w:rPr>
          <w:lang w:val="en-AU"/>
        </w:rPr>
        <w:t>makers</w:t>
      </w:r>
      <w:proofErr w:type="gramEnd"/>
      <w:r w:rsidRPr="001E4E7D">
        <w:rPr>
          <w:lang w:val="en-AU"/>
        </w:rPr>
        <w:t xml:space="preserve"> in successfully implementing the </w:t>
      </w:r>
      <w:r w:rsidR="00616477">
        <w:rPr>
          <w:lang w:val="en-AU"/>
        </w:rPr>
        <w:t>f</w:t>
      </w:r>
      <w:r w:rsidRPr="001E4E7D">
        <w:rPr>
          <w:lang w:val="en-AU"/>
        </w:rPr>
        <w:t>ramework, three key enablers have been identified:</w:t>
      </w:r>
    </w:p>
    <w:p w14:paraId="0305F07E" w14:textId="08F6048A" w:rsidR="00400916" w:rsidRPr="001E4E7D" w:rsidRDefault="00400916" w:rsidP="00400916">
      <w:pPr>
        <w:pStyle w:val="ListParagraph"/>
        <w:numPr>
          <w:ilvl w:val="0"/>
          <w:numId w:val="1"/>
        </w:numPr>
        <w:rPr>
          <w:lang w:val="en-AU"/>
        </w:rPr>
      </w:pPr>
      <w:r w:rsidRPr="001E4E7D">
        <w:rPr>
          <w:b/>
          <w:lang w:val="en-AU"/>
        </w:rPr>
        <w:t>Collaborative governance and leadership</w:t>
      </w:r>
      <w:r w:rsidRPr="001E4E7D">
        <w:rPr>
          <w:lang w:val="en-AU"/>
        </w:rPr>
        <w:br/>
      </w:r>
      <w:r w:rsidRPr="001E4E7D">
        <w:rPr>
          <w:i/>
          <w:lang w:val="en-AU"/>
        </w:rPr>
        <w:t xml:space="preserve">Joint national and jurisdictional leadership with engagement from </w:t>
      </w:r>
      <w:r w:rsidR="005872C1" w:rsidRPr="001E4E7D">
        <w:rPr>
          <w:i/>
          <w:lang w:val="en-AU"/>
        </w:rPr>
        <w:t xml:space="preserve">the Australian </w:t>
      </w:r>
      <w:r w:rsidRPr="001E4E7D">
        <w:rPr>
          <w:i/>
          <w:lang w:val="en-AU"/>
        </w:rPr>
        <w:t>Government,</w:t>
      </w:r>
      <w:r w:rsidR="005872C1" w:rsidRPr="001E4E7D">
        <w:rPr>
          <w:i/>
          <w:lang w:val="en-AU"/>
        </w:rPr>
        <w:t xml:space="preserve"> </w:t>
      </w:r>
      <w:proofErr w:type="gramStart"/>
      <w:r w:rsidR="00680BAE" w:rsidRPr="001E4E7D">
        <w:rPr>
          <w:i/>
          <w:lang w:val="en-AU"/>
        </w:rPr>
        <w:t>states</w:t>
      </w:r>
      <w:proofErr w:type="gramEnd"/>
      <w:r w:rsidR="00680BAE" w:rsidRPr="001E4E7D">
        <w:rPr>
          <w:i/>
          <w:lang w:val="en-AU"/>
        </w:rPr>
        <w:t xml:space="preserve"> and territories, </w:t>
      </w:r>
      <w:r w:rsidR="005872C1" w:rsidRPr="001E4E7D">
        <w:rPr>
          <w:i/>
          <w:lang w:val="en-AU"/>
        </w:rPr>
        <w:t>PHLN, CDNA, the Communicable Diseases Genomics Network</w:t>
      </w:r>
      <w:r w:rsidR="00777F91" w:rsidRPr="001E4E7D">
        <w:rPr>
          <w:i/>
          <w:lang w:val="en-AU"/>
        </w:rPr>
        <w:t xml:space="preserve"> (CDGN)</w:t>
      </w:r>
      <w:r w:rsidR="005872C1" w:rsidRPr="001E4E7D">
        <w:rPr>
          <w:i/>
          <w:lang w:val="en-AU"/>
        </w:rPr>
        <w:t xml:space="preserve">, the </w:t>
      </w:r>
      <w:r w:rsidR="007A48D4" w:rsidRPr="001E4E7D">
        <w:rPr>
          <w:i/>
          <w:lang w:val="en-AU"/>
        </w:rPr>
        <w:t>A</w:t>
      </w:r>
      <w:r w:rsidR="005872C1" w:rsidRPr="001E4E7D">
        <w:rPr>
          <w:i/>
          <w:lang w:val="en-AU"/>
        </w:rPr>
        <w:t>ustralian Health Protection Principal Committee</w:t>
      </w:r>
      <w:r w:rsidRPr="001E4E7D">
        <w:rPr>
          <w:i/>
          <w:lang w:val="en-AU"/>
        </w:rPr>
        <w:t xml:space="preserve"> </w:t>
      </w:r>
      <w:r w:rsidR="005872C1" w:rsidRPr="001E4E7D">
        <w:rPr>
          <w:i/>
          <w:lang w:val="en-AU"/>
        </w:rPr>
        <w:t xml:space="preserve">(AHPPC) </w:t>
      </w:r>
      <w:r w:rsidRPr="001E4E7D">
        <w:rPr>
          <w:i/>
          <w:lang w:val="en-AU"/>
        </w:rPr>
        <w:t xml:space="preserve">and </w:t>
      </w:r>
      <w:r w:rsidR="005872C1" w:rsidRPr="001E4E7D">
        <w:rPr>
          <w:i/>
          <w:lang w:val="en-AU"/>
        </w:rPr>
        <w:t>other relevant stakeholders</w:t>
      </w:r>
      <w:r w:rsidRPr="001E4E7D">
        <w:rPr>
          <w:i/>
          <w:lang w:val="en-AU"/>
        </w:rPr>
        <w:t>.</w:t>
      </w:r>
    </w:p>
    <w:p w14:paraId="15E7BDD6" w14:textId="4F08D614" w:rsidR="003D4D5A" w:rsidRPr="001E4E7D" w:rsidRDefault="003D4D5A" w:rsidP="00400916">
      <w:pPr>
        <w:pStyle w:val="ListParagraph"/>
        <w:numPr>
          <w:ilvl w:val="0"/>
          <w:numId w:val="1"/>
        </w:numPr>
        <w:rPr>
          <w:lang w:val="en-AU"/>
        </w:rPr>
      </w:pPr>
      <w:r w:rsidRPr="001E4E7D">
        <w:rPr>
          <w:b/>
          <w:lang w:val="en-AU"/>
        </w:rPr>
        <w:t>Stakeholder engagement</w:t>
      </w:r>
      <w:r w:rsidR="008F0703" w:rsidRPr="001E4E7D">
        <w:rPr>
          <w:b/>
          <w:lang w:val="en-AU"/>
        </w:rPr>
        <w:br/>
      </w:r>
      <w:r w:rsidR="00FE1B8A" w:rsidRPr="001E4E7D">
        <w:rPr>
          <w:i/>
          <w:lang w:val="en-AU"/>
        </w:rPr>
        <w:t xml:space="preserve">Actively engage with </w:t>
      </w:r>
      <w:r w:rsidR="00891BA7" w:rsidRPr="001E4E7D">
        <w:rPr>
          <w:i/>
          <w:lang w:val="en-AU"/>
        </w:rPr>
        <w:t xml:space="preserve">private and </w:t>
      </w:r>
      <w:r w:rsidR="00FE1B8A" w:rsidRPr="001E4E7D">
        <w:rPr>
          <w:i/>
          <w:lang w:val="en-AU"/>
        </w:rPr>
        <w:t>public health laboratories, research laboratories, clinical diagnostic laboratories</w:t>
      </w:r>
      <w:r w:rsidR="00237C86" w:rsidRPr="001E4E7D">
        <w:rPr>
          <w:i/>
          <w:lang w:val="en-AU"/>
        </w:rPr>
        <w:t>,</w:t>
      </w:r>
      <w:r w:rsidR="004F74E3" w:rsidRPr="001E4E7D">
        <w:rPr>
          <w:i/>
          <w:lang w:val="en-AU"/>
        </w:rPr>
        <w:t xml:space="preserve"> animal laboratories, environmental laboratories,</w:t>
      </w:r>
      <w:r w:rsidR="00237C86" w:rsidRPr="001E4E7D">
        <w:rPr>
          <w:i/>
          <w:lang w:val="en-AU"/>
        </w:rPr>
        <w:t xml:space="preserve"> </w:t>
      </w:r>
      <w:r w:rsidR="00FE1B8A" w:rsidRPr="001E4E7D">
        <w:rPr>
          <w:i/>
          <w:lang w:val="en-AU"/>
        </w:rPr>
        <w:t>public health units</w:t>
      </w:r>
      <w:r w:rsidR="00237C86" w:rsidRPr="001E4E7D">
        <w:rPr>
          <w:i/>
          <w:lang w:val="en-AU"/>
        </w:rPr>
        <w:t>,</w:t>
      </w:r>
      <w:r w:rsidR="00EA1B24" w:rsidRPr="001E4E7D">
        <w:rPr>
          <w:i/>
          <w:lang w:val="en-AU"/>
        </w:rPr>
        <w:t xml:space="preserve"> communicable disease</w:t>
      </w:r>
      <w:r w:rsidR="00FF534B" w:rsidRPr="001E4E7D">
        <w:rPr>
          <w:i/>
          <w:lang w:val="en-AU"/>
        </w:rPr>
        <w:t xml:space="preserve"> control</w:t>
      </w:r>
      <w:r w:rsidR="00EA1B24" w:rsidRPr="001E4E7D">
        <w:rPr>
          <w:i/>
          <w:lang w:val="en-AU"/>
        </w:rPr>
        <w:t xml:space="preserve"> units,</w:t>
      </w:r>
      <w:r w:rsidR="00237C86" w:rsidRPr="001E4E7D">
        <w:rPr>
          <w:i/>
          <w:lang w:val="en-AU"/>
        </w:rPr>
        <w:t xml:space="preserve"> regulatory bodies</w:t>
      </w:r>
      <w:r w:rsidR="00BE78AD" w:rsidRPr="001E4E7D">
        <w:rPr>
          <w:i/>
          <w:lang w:val="en-AU"/>
        </w:rPr>
        <w:t xml:space="preserve">, </w:t>
      </w:r>
      <w:proofErr w:type="spellStart"/>
      <w:r w:rsidR="00BE78AD" w:rsidRPr="001E4E7D">
        <w:rPr>
          <w:i/>
          <w:lang w:val="en-AU"/>
        </w:rPr>
        <w:t>OzFoodNet</w:t>
      </w:r>
      <w:proofErr w:type="spellEnd"/>
      <w:r w:rsidR="00237C86" w:rsidRPr="001E4E7D">
        <w:rPr>
          <w:i/>
          <w:lang w:val="en-AU"/>
        </w:rPr>
        <w:t xml:space="preserve"> and the Royal </w:t>
      </w:r>
      <w:r w:rsidR="0077581D">
        <w:rPr>
          <w:i/>
          <w:lang w:val="en-AU"/>
        </w:rPr>
        <w:t>College of Pathologists Austral</w:t>
      </w:r>
      <w:r w:rsidR="00237C86" w:rsidRPr="001E4E7D">
        <w:rPr>
          <w:i/>
          <w:lang w:val="en-AU"/>
        </w:rPr>
        <w:t>a</w:t>
      </w:r>
      <w:r w:rsidR="009C3CEC">
        <w:rPr>
          <w:i/>
          <w:lang w:val="en-AU"/>
        </w:rPr>
        <w:t>sia</w:t>
      </w:r>
      <w:r w:rsidR="005872C1" w:rsidRPr="001E4E7D">
        <w:rPr>
          <w:i/>
          <w:lang w:val="en-AU"/>
        </w:rPr>
        <w:t xml:space="preserve"> Quality Assurance Programs</w:t>
      </w:r>
      <w:r w:rsidR="006279B1" w:rsidRPr="001E4E7D">
        <w:rPr>
          <w:i/>
          <w:lang w:val="en-AU"/>
        </w:rPr>
        <w:t xml:space="preserve"> (RCPA QAP)</w:t>
      </w:r>
      <w:r w:rsidR="00FE1B8A" w:rsidRPr="001E4E7D">
        <w:rPr>
          <w:i/>
          <w:lang w:val="en-AU"/>
        </w:rPr>
        <w:t>.</w:t>
      </w:r>
    </w:p>
    <w:p w14:paraId="766A66B9" w14:textId="77777777" w:rsidR="001B6CB2" w:rsidRPr="001E4E7D" w:rsidRDefault="001B6CB2" w:rsidP="00400916">
      <w:pPr>
        <w:pStyle w:val="ListParagraph"/>
        <w:numPr>
          <w:ilvl w:val="0"/>
          <w:numId w:val="1"/>
        </w:numPr>
        <w:rPr>
          <w:b/>
          <w:lang w:val="en-AU"/>
        </w:rPr>
      </w:pPr>
      <w:r w:rsidRPr="001E4E7D">
        <w:rPr>
          <w:b/>
          <w:lang w:val="en-AU"/>
        </w:rPr>
        <w:t>National and international partnerships</w:t>
      </w:r>
    </w:p>
    <w:p w14:paraId="6AF3CFF3" w14:textId="7A44C328" w:rsidR="00400916" w:rsidRPr="001E4E7D" w:rsidRDefault="001B6CB2" w:rsidP="001B6CB2">
      <w:pPr>
        <w:pStyle w:val="ListParagraph"/>
        <w:rPr>
          <w:lang w:val="en-AU"/>
        </w:rPr>
      </w:pPr>
      <w:r w:rsidRPr="001E4E7D">
        <w:rPr>
          <w:i/>
          <w:lang w:val="en-AU"/>
        </w:rPr>
        <w:t xml:space="preserve">Establish </w:t>
      </w:r>
      <w:r w:rsidR="00891BA7" w:rsidRPr="001E4E7D">
        <w:rPr>
          <w:i/>
          <w:lang w:val="en-AU"/>
        </w:rPr>
        <w:t xml:space="preserve">and maintain </w:t>
      </w:r>
      <w:r w:rsidRPr="001E4E7D">
        <w:rPr>
          <w:i/>
          <w:lang w:val="en-AU"/>
        </w:rPr>
        <w:t xml:space="preserve">genomics collaborations between </w:t>
      </w:r>
      <w:r w:rsidR="00777F91" w:rsidRPr="001E4E7D">
        <w:rPr>
          <w:i/>
          <w:lang w:val="en-AU"/>
        </w:rPr>
        <w:t xml:space="preserve">entities such as </w:t>
      </w:r>
      <w:r w:rsidRPr="001E4E7D">
        <w:rPr>
          <w:i/>
          <w:lang w:val="en-AU"/>
        </w:rPr>
        <w:t>PHLN,</w:t>
      </w:r>
      <w:r w:rsidR="00546943" w:rsidRPr="001E4E7D">
        <w:rPr>
          <w:i/>
          <w:lang w:val="en-AU"/>
        </w:rPr>
        <w:t xml:space="preserve"> </w:t>
      </w:r>
      <w:r w:rsidR="006279B1" w:rsidRPr="001E4E7D">
        <w:rPr>
          <w:i/>
          <w:lang w:val="en-AU"/>
        </w:rPr>
        <w:t>Australian (counter) Bioterrorism Laboratory Network (</w:t>
      </w:r>
      <w:r w:rsidR="00546943" w:rsidRPr="001E4E7D">
        <w:rPr>
          <w:i/>
          <w:lang w:val="en-AU"/>
        </w:rPr>
        <w:t>ABLN</w:t>
      </w:r>
      <w:r w:rsidR="00234C52">
        <w:rPr>
          <w:i/>
          <w:lang w:val="en-AU"/>
        </w:rPr>
        <w:t>),</w:t>
      </w:r>
      <w:r w:rsidRPr="001E4E7D">
        <w:rPr>
          <w:i/>
          <w:lang w:val="en-AU"/>
        </w:rPr>
        <w:t xml:space="preserve"> CDGN</w:t>
      </w:r>
      <w:r w:rsidR="007D363B">
        <w:rPr>
          <w:i/>
          <w:lang w:val="en-AU"/>
        </w:rPr>
        <w:t xml:space="preserve"> and </w:t>
      </w:r>
      <w:r w:rsidR="008F0703" w:rsidRPr="001E4E7D">
        <w:rPr>
          <w:i/>
          <w:lang w:val="en-AU"/>
        </w:rPr>
        <w:t>CDNA</w:t>
      </w:r>
      <w:r w:rsidR="00A01724" w:rsidRPr="001E4E7D">
        <w:rPr>
          <w:i/>
          <w:lang w:val="en-AU"/>
        </w:rPr>
        <w:t>;</w:t>
      </w:r>
      <w:r w:rsidR="004F74E3" w:rsidRPr="001E4E7D">
        <w:rPr>
          <w:i/>
          <w:lang w:val="en-AU"/>
        </w:rPr>
        <w:t xml:space="preserve"> </w:t>
      </w:r>
      <w:r w:rsidR="00A01724" w:rsidRPr="001E4E7D">
        <w:rPr>
          <w:i/>
          <w:lang w:val="en-AU"/>
        </w:rPr>
        <w:t>related government initiatives such as the Department of Foreign Affairs and Trade’s Indo-Pacific Centre for Health Security</w:t>
      </w:r>
      <w:r w:rsidR="00616477">
        <w:rPr>
          <w:i/>
          <w:lang w:val="en-AU"/>
        </w:rPr>
        <w:t>;</w:t>
      </w:r>
      <w:r w:rsidR="00A01724" w:rsidRPr="001E4E7D">
        <w:rPr>
          <w:i/>
          <w:lang w:val="en-AU"/>
        </w:rPr>
        <w:t xml:space="preserve"> </w:t>
      </w:r>
      <w:r w:rsidR="004F74E3" w:rsidRPr="001E4E7D">
        <w:rPr>
          <w:i/>
          <w:lang w:val="en-AU"/>
        </w:rPr>
        <w:t>and relevant international partners such as</w:t>
      </w:r>
      <w:r w:rsidR="0058319F" w:rsidRPr="001E4E7D">
        <w:rPr>
          <w:i/>
          <w:lang w:val="en-AU"/>
        </w:rPr>
        <w:t xml:space="preserve"> the World Health Organization,</w:t>
      </w:r>
      <w:r w:rsidR="008F0703" w:rsidRPr="001E4E7D">
        <w:rPr>
          <w:i/>
          <w:lang w:val="en-AU"/>
        </w:rPr>
        <w:t xml:space="preserve"> P</w:t>
      </w:r>
      <w:r w:rsidR="005872C1" w:rsidRPr="001E4E7D">
        <w:rPr>
          <w:i/>
          <w:lang w:val="en-AU"/>
        </w:rPr>
        <w:t>ublic Health England (P</w:t>
      </w:r>
      <w:r w:rsidR="008F0703" w:rsidRPr="001E4E7D">
        <w:rPr>
          <w:i/>
          <w:lang w:val="en-AU"/>
        </w:rPr>
        <w:t>HE</w:t>
      </w:r>
      <w:r w:rsidR="005872C1" w:rsidRPr="001E4E7D">
        <w:rPr>
          <w:i/>
          <w:lang w:val="en-AU"/>
        </w:rPr>
        <w:t>)</w:t>
      </w:r>
      <w:r w:rsidRPr="001E4E7D">
        <w:rPr>
          <w:i/>
          <w:lang w:val="en-AU"/>
        </w:rPr>
        <w:t xml:space="preserve">, </w:t>
      </w:r>
      <w:r w:rsidR="00820BC5" w:rsidRPr="001E4E7D">
        <w:rPr>
          <w:i/>
          <w:lang w:val="en-AU"/>
        </w:rPr>
        <w:t xml:space="preserve">the United States </w:t>
      </w:r>
      <w:proofErr w:type="spellStart"/>
      <w:r w:rsidR="00820BC5" w:rsidRPr="001E4E7D">
        <w:rPr>
          <w:i/>
          <w:lang w:val="en-AU"/>
        </w:rPr>
        <w:t>Centers</w:t>
      </w:r>
      <w:proofErr w:type="spellEnd"/>
      <w:r w:rsidR="005872C1" w:rsidRPr="001E4E7D">
        <w:rPr>
          <w:i/>
          <w:lang w:val="en-AU"/>
        </w:rPr>
        <w:t xml:space="preserve"> for Disease Control and Prevention (</w:t>
      </w:r>
      <w:r w:rsidRPr="001E4E7D">
        <w:rPr>
          <w:i/>
          <w:lang w:val="en-AU"/>
        </w:rPr>
        <w:t>CDC</w:t>
      </w:r>
      <w:r w:rsidR="005872C1" w:rsidRPr="001E4E7D">
        <w:rPr>
          <w:i/>
          <w:lang w:val="en-AU"/>
        </w:rPr>
        <w:t>)</w:t>
      </w:r>
      <w:r w:rsidRPr="001E4E7D">
        <w:rPr>
          <w:i/>
          <w:lang w:val="en-AU"/>
        </w:rPr>
        <w:t xml:space="preserve"> and N</w:t>
      </w:r>
      <w:r w:rsidR="005872C1" w:rsidRPr="001E4E7D">
        <w:rPr>
          <w:i/>
          <w:lang w:val="en-AU"/>
        </w:rPr>
        <w:t xml:space="preserve">ational </w:t>
      </w:r>
      <w:proofErr w:type="spellStart"/>
      <w:r w:rsidRPr="001E4E7D">
        <w:rPr>
          <w:i/>
          <w:lang w:val="en-AU"/>
        </w:rPr>
        <w:t>C</w:t>
      </w:r>
      <w:r w:rsidR="005872C1" w:rsidRPr="001E4E7D">
        <w:rPr>
          <w:i/>
          <w:lang w:val="en-AU"/>
        </w:rPr>
        <w:t>enter</w:t>
      </w:r>
      <w:proofErr w:type="spellEnd"/>
      <w:r w:rsidR="005872C1" w:rsidRPr="001E4E7D">
        <w:rPr>
          <w:i/>
          <w:lang w:val="en-AU"/>
        </w:rPr>
        <w:t xml:space="preserve"> for Biotechnology Information</w:t>
      </w:r>
      <w:r w:rsidR="004F74E3" w:rsidRPr="001E4E7D">
        <w:rPr>
          <w:i/>
          <w:lang w:val="en-AU"/>
        </w:rPr>
        <w:t xml:space="preserve">, </w:t>
      </w:r>
      <w:r w:rsidR="00616477">
        <w:rPr>
          <w:i/>
          <w:lang w:val="en-AU"/>
        </w:rPr>
        <w:t xml:space="preserve">the </w:t>
      </w:r>
      <w:r w:rsidR="004B747A" w:rsidRPr="001E4E7D">
        <w:rPr>
          <w:i/>
          <w:lang w:val="en-AU"/>
        </w:rPr>
        <w:t>Ministry of Health Singapore</w:t>
      </w:r>
      <w:r w:rsidR="004F74E3" w:rsidRPr="001E4E7D">
        <w:rPr>
          <w:i/>
          <w:lang w:val="en-AU"/>
        </w:rPr>
        <w:t xml:space="preserve">, </w:t>
      </w:r>
      <w:r w:rsidR="00616477">
        <w:rPr>
          <w:i/>
          <w:lang w:val="en-AU"/>
        </w:rPr>
        <w:t xml:space="preserve">the </w:t>
      </w:r>
      <w:r w:rsidR="004B747A" w:rsidRPr="001E4E7D">
        <w:rPr>
          <w:i/>
          <w:lang w:val="en-AU"/>
        </w:rPr>
        <w:t>Public Health Agency of Canada</w:t>
      </w:r>
      <w:r w:rsidR="004F74E3" w:rsidRPr="001E4E7D">
        <w:rPr>
          <w:i/>
          <w:lang w:val="en-AU"/>
        </w:rPr>
        <w:t xml:space="preserve"> and the Chinese</w:t>
      </w:r>
      <w:r w:rsidR="004B747A" w:rsidRPr="001E4E7D">
        <w:rPr>
          <w:i/>
          <w:lang w:val="en-AU"/>
        </w:rPr>
        <w:t xml:space="preserve"> </w:t>
      </w:r>
      <w:proofErr w:type="spellStart"/>
      <w:r w:rsidR="004B747A" w:rsidRPr="001E4E7D">
        <w:rPr>
          <w:i/>
          <w:lang w:val="en-AU"/>
        </w:rPr>
        <w:t>Center</w:t>
      </w:r>
      <w:proofErr w:type="spellEnd"/>
      <w:r w:rsidR="004B747A" w:rsidRPr="001E4E7D">
        <w:rPr>
          <w:i/>
          <w:lang w:val="en-AU"/>
        </w:rPr>
        <w:t xml:space="preserve"> </w:t>
      </w:r>
      <w:r w:rsidR="003E6380" w:rsidRPr="001E4E7D">
        <w:rPr>
          <w:i/>
          <w:lang w:val="en-AU"/>
        </w:rPr>
        <w:t>f</w:t>
      </w:r>
      <w:r w:rsidR="004B747A" w:rsidRPr="001E4E7D">
        <w:rPr>
          <w:i/>
          <w:lang w:val="en-AU"/>
        </w:rPr>
        <w:t>or Disease Control and Prevention</w:t>
      </w:r>
      <w:r w:rsidRPr="001E4E7D">
        <w:rPr>
          <w:i/>
          <w:lang w:val="en-AU"/>
        </w:rPr>
        <w:t>.</w:t>
      </w:r>
    </w:p>
    <w:p w14:paraId="267D8A26" w14:textId="52A5E848" w:rsidR="00FA64F7" w:rsidRPr="00477C88" w:rsidRDefault="003B02BF" w:rsidP="00FA64F7">
      <w:pPr>
        <w:pStyle w:val="Heading1"/>
      </w:pPr>
      <w:bookmarkStart w:id="18" w:name="_Toc530994574"/>
      <w:bookmarkStart w:id="19" w:name="_Toc11404104"/>
      <w:r w:rsidRPr="00477C88">
        <w:t xml:space="preserve">Guiding </w:t>
      </w:r>
      <w:r w:rsidR="00616477">
        <w:t>p</w:t>
      </w:r>
      <w:r w:rsidR="00FA64F7" w:rsidRPr="00477C88">
        <w:t>rinciples</w:t>
      </w:r>
      <w:bookmarkEnd w:id="18"/>
      <w:bookmarkEnd w:id="19"/>
    </w:p>
    <w:p w14:paraId="3929AACC" w14:textId="3626716D" w:rsidR="00FA64F7" w:rsidRPr="00477C88" w:rsidRDefault="00FA64F7" w:rsidP="00FA64F7">
      <w:r w:rsidRPr="00477C88">
        <w:t xml:space="preserve">The development of the </w:t>
      </w:r>
      <w:r w:rsidR="00616477">
        <w:t>f</w:t>
      </w:r>
      <w:r w:rsidRPr="00477C88">
        <w:t>ramework was supported by the following guiding principles:</w:t>
      </w:r>
    </w:p>
    <w:p w14:paraId="0E8A2988" w14:textId="728208C7" w:rsidR="00FA64F7" w:rsidRPr="0060559B" w:rsidRDefault="00FA64F7" w:rsidP="00343A08">
      <w:pPr>
        <w:pStyle w:val="ListParagraph"/>
        <w:numPr>
          <w:ilvl w:val="0"/>
          <w:numId w:val="18"/>
        </w:numPr>
      </w:pPr>
      <w:proofErr w:type="gramStart"/>
      <w:r w:rsidRPr="0060559B">
        <w:rPr>
          <w:i/>
          <w:iCs/>
        </w:rPr>
        <w:t>National</w:t>
      </w:r>
      <w:r w:rsidR="00616477" w:rsidRPr="0060559B">
        <w:t>—</w:t>
      </w:r>
      <w:r w:rsidRPr="0060559B">
        <w:t>developed</w:t>
      </w:r>
      <w:proofErr w:type="gramEnd"/>
      <w:r w:rsidRPr="0060559B">
        <w:t xml:space="preserve"> jointly by </w:t>
      </w:r>
      <w:r w:rsidR="0021177A" w:rsidRPr="0060559B">
        <w:t xml:space="preserve">Australian </w:t>
      </w:r>
      <w:r w:rsidRPr="0060559B">
        <w:t>and state/territory governments</w:t>
      </w:r>
      <w:r w:rsidR="00616477" w:rsidRPr="0060559B">
        <w:t>,</w:t>
      </w:r>
      <w:r w:rsidRPr="0060559B">
        <w:t xml:space="preserve"> with the </w:t>
      </w:r>
      <w:r w:rsidR="00616477" w:rsidRPr="0060559B">
        <w:t>f</w:t>
      </w:r>
      <w:r w:rsidRPr="0060559B">
        <w:t>ramework facilitating national coordination and government priority setting and decision</w:t>
      </w:r>
      <w:r w:rsidR="00616477" w:rsidRPr="0060559B">
        <w:t>-</w:t>
      </w:r>
      <w:r w:rsidRPr="0060559B">
        <w:t>making.</w:t>
      </w:r>
    </w:p>
    <w:p w14:paraId="6567FC94" w14:textId="12DCD477" w:rsidR="00FA64F7" w:rsidRPr="0060559B" w:rsidRDefault="00FA64F7" w:rsidP="00343A08">
      <w:pPr>
        <w:pStyle w:val="ListParagraph"/>
        <w:numPr>
          <w:ilvl w:val="0"/>
          <w:numId w:val="18"/>
        </w:numPr>
      </w:pPr>
      <w:r w:rsidRPr="0060559B">
        <w:rPr>
          <w:i/>
          <w:iCs/>
        </w:rPr>
        <w:t>High-level, strategic framework</w:t>
      </w:r>
      <w:r w:rsidR="00616477" w:rsidRPr="0060559B">
        <w:t>—</w:t>
      </w:r>
      <w:r w:rsidRPr="0060559B">
        <w:t xml:space="preserve">identification of themes, </w:t>
      </w:r>
      <w:proofErr w:type="gramStart"/>
      <w:r w:rsidRPr="0060559B">
        <w:t>principles</w:t>
      </w:r>
      <w:proofErr w:type="gramEnd"/>
      <w:r w:rsidRPr="0060559B">
        <w:t xml:space="preserve"> and considerations for embedding consistency and national coordination as enablers for more efficient, equitable </w:t>
      </w:r>
      <w:r w:rsidRPr="0060559B">
        <w:lastRenderedPageBreak/>
        <w:t xml:space="preserve">and effective </w:t>
      </w:r>
      <w:proofErr w:type="spellStart"/>
      <w:r w:rsidRPr="0060559B">
        <w:t>utilisation</w:t>
      </w:r>
      <w:proofErr w:type="spellEnd"/>
      <w:r w:rsidRPr="0060559B">
        <w:t xml:space="preserve"> of </w:t>
      </w:r>
      <w:r w:rsidR="00C10913" w:rsidRPr="0060559B">
        <w:t xml:space="preserve">microbial </w:t>
      </w:r>
      <w:r w:rsidRPr="0060559B">
        <w:t xml:space="preserve">genomics. It will be overarching and, as such, will align with existing, or to be developed, regulation, guidelines and discussion papers addressing specific </w:t>
      </w:r>
      <w:r w:rsidR="00C10913" w:rsidRPr="0060559B">
        <w:t xml:space="preserve">microbial </w:t>
      </w:r>
      <w:r w:rsidRPr="0060559B">
        <w:t>genomic</w:t>
      </w:r>
      <w:r w:rsidR="00C10913" w:rsidRPr="0060559B">
        <w:t>s</w:t>
      </w:r>
      <w:r w:rsidRPr="0060559B">
        <w:t xml:space="preserve"> issues.</w:t>
      </w:r>
    </w:p>
    <w:p w14:paraId="6151A01E" w14:textId="1EF29434" w:rsidR="00FA64F7" w:rsidRPr="0060559B" w:rsidRDefault="00FA64F7" w:rsidP="00343A08">
      <w:pPr>
        <w:pStyle w:val="ListParagraph"/>
        <w:numPr>
          <w:ilvl w:val="0"/>
          <w:numId w:val="18"/>
        </w:numPr>
      </w:pPr>
      <w:r w:rsidRPr="0060559B">
        <w:rPr>
          <w:i/>
          <w:iCs/>
        </w:rPr>
        <w:t>System-</w:t>
      </w:r>
      <w:r w:rsidR="003E6380" w:rsidRPr="0060559B">
        <w:rPr>
          <w:i/>
          <w:iCs/>
        </w:rPr>
        <w:t>focu</w:t>
      </w:r>
      <w:r w:rsidR="00820BC5" w:rsidRPr="0060559B">
        <w:rPr>
          <w:i/>
          <w:iCs/>
        </w:rPr>
        <w:t>s</w:t>
      </w:r>
      <w:r w:rsidR="00C10913" w:rsidRPr="0060559B">
        <w:rPr>
          <w:i/>
          <w:iCs/>
        </w:rPr>
        <w:t>ed</w:t>
      </w:r>
      <w:r w:rsidR="00616477" w:rsidRPr="0060559B">
        <w:t>—</w:t>
      </w:r>
      <w:r w:rsidRPr="0060559B">
        <w:t>an understanding of what the system can deliver and consideration of how a change within one system domain (</w:t>
      </w:r>
      <w:r w:rsidR="00616477" w:rsidRPr="0060559B">
        <w:t xml:space="preserve">that is, </w:t>
      </w:r>
      <w:r w:rsidRPr="0060559B">
        <w:t xml:space="preserve">leadership and governance; system financing; human resources (workforce); information systems; and service delivery) will impact, interact </w:t>
      </w:r>
      <w:proofErr w:type="gramStart"/>
      <w:r w:rsidR="00616477" w:rsidRPr="0060559B">
        <w:t>with</w:t>
      </w:r>
      <w:proofErr w:type="gramEnd"/>
      <w:r w:rsidR="00616477" w:rsidRPr="0060559B">
        <w:t xml:space="preserve"> </w:t>
      </w:r>
      <w:r w:rsidRPr="0060559B">
        <w:t xml:space="preserve">and change the other domains and affect the system as a whole. </w:t>
      </w:r>
      <w:r w:rsidR="00891BA7" w:rsidRPr="0060559B">
        <w:t>This system will be considered within the context of existing capacity and controls to remain consistent with and eventually embed into current communicable diseases surveillance infrastructure.</w:t>
      </w:r>
    </w:p>
    <w:p w14:paraId="13787D63" w14:textId="3E7DD084" w:rsidR="00FA64F7" w:rsidRPr="0060559B" w:rsidRDefault="00FA64F7" w:rsidP="00343A08">
      <w:pPr>
        <w:pStyle w:val="ListParagraph"/>
        <w:numPr>
          <w:ilvl w:val="0"/>
          <w:numId w:val="18"/>
        </w:numPr>
      </w:pPr>
      <w:r w:rsidRPr="0060559B">
        <w:rPr>
          <w:i/>
          <w:iCs/>
        </w:rPr>
        <w:t>Evidence-informed public policy</w:t>
      </w:r>
      <w:r w:rsidR="00616477" w:rsidRPr="0060559B">
        <w:t>—</w:t>
      </w:r>
      <w:r w:rsidRPr="0060559B">
        <w:t xml:space="preserve">ensuring that the best available research and information is used to guide decisions at all stages of policy processes. </w:t>
      </w:r>
    </w:p>
    <w:p w14:paraId="106EF451" w14:textId="732A0BB0" w:rsidR="00FA64F7" w:rsidRPr="0060559B" w:rsidRDefault="00FA64F7" w:rsidP="00343A08">
      <w:pPr>
        <w:pStyle w:val="ListParagraph"/>
        <w:numPr>
          <w:ilvl w:val="0"/>
          <w:numId w:val="18"/>
        </w:numPr>
      </w:pPr>
      <w:r w:rsidRPr="0060559B">
        <w:rPr>
          <w:i/>
          <w:iCs/>
        </w:rPr>
        <w:t>Flexible to keep up with scientific advances</w:t>
      </w:r>
      <w:r w:rsidR="00616477" w:rsidRPr="0060559B">
        <w:t>—</w:t>
      </w:r>
      <w:r w:rsidRPr="0060559B">
        <w:t xml:space="preserve">will contain flexibility to enable it to be adapted to reflect the evolving nature of </w:t>
      </w:r>
      <w:r w:rsidR="00C10913" w:rsidRPr="0060559B">
        <w:t xml:space="preserve">microbial </w:t>
      </w:r>
      <w:r w:rsidRPr="0060559B">
        <w:t xml:space="preserve">genomics technology and </w:t>
      </w:r>
      <w:proofErr w:type="gramStart"/>
      <w:r w:rsidRPr="0060559B">
        <w:t>take into account</w:t>
      </w:r>
      <w:proofErr w:type="gramEnd"/>
      <w:r w:rsidRPr="0060559B">
        <w:t xml:space="preserve"> the latest scientific findings and advances and potential shifts in </w:t>
      </w:r>
      <w:r w:rsidR="00C10913" w:rsidRPr="0060559B">
        <w:t xml:space="preserve">microbial </w:t>
      </w:r>
      <w:r w:rsidRPr="0060559B">
        <w:t>genomics policy issues and challenges.</w:t>
      </w:r>
    </w:p>
    <w:p w14:paraId="5D9B201D" w14:textId="30939A58" w:rsidR="001E4E7D" w:rsidRPr="0060559B" w:rsidRDefault="00FA64F7" w:rsidP="00343A08">
      <w:pPr>
        <w:pStyle w:val="ListParagraph"/>
        <w:numPr>
          <w:ilvl w:val="0"/>
          <w:numId w:val="18"/>
        </w:numPr>
      </w:pPr>
      <w:r w:rsidRPr="0060559B">
        <w:rPr>
          <w:i/>
          <w:iCs/>
        </w:rPr>
        <w:t>Identify priority areas</w:t>
      </w:r>
      <w:r w:rsidR="00616477" w:rsidRPr="0060559B">
        <w:t>—</w:t>
      </w:r>
      <w:proofErr w:type="gramStart"/>
      <w:r w:rsidRPr="0060559B">
        <w:t>gives consideration to</w:t>
      </w:r>
      <w:proofErr w:type="gramEnd"/>
      <w:r w:rsidRPr="0060559B">
        <w:t xml:space="preserve"> </w:t>
      </w:r>
      <w:proofErr w:type="spellStart"/>
      <w:r w:rsidRPr="0060559B">
        <w:t>prioritising</w:t>
      </w:r>
      <w:proofErr w:type="spellEnd"/>
      <w:r w:rsidRPr="0060559B">
        <w:t xml:space="preserve"> the </w:t>
      </w:r>
      <w:r w:rsidR="00C10913" w:rsidRPr="0060559B">
        <w:t xml:space="preserve">microbial </w:t>
      </w:r>
      <w:r w:rsidRPr="0060559B">
        <w:t>genomics policy issues and challenges that need to be addressed and identifies directions for change</w:t>
      </w:r>
      <w:r w:rsidR="003F53DB" w:rsidRPr="0060559B">
        <w:t xml:space="preserve"> </w:t>
      </w:r>
      <w:r w:rsidRPr="0060559B">
        <w:t>/</w:t>
      </w:r>
      <w:r w:rsidR="003F53DB" w:rsidRPr="0060559B">
        <w:t xml:space="preserve"> </w:t>
      </w:r>
      <w:r w:rsidRPr="0060559B">
        <w:t>opportunities for action and areas that require further work.</w:t>
      </w:r>
    </w:p>
    <w:p w14:paraId="021DABDE" w14:textId="0B8C8019" w:rsidR="00953FB4" w:rsidRPr="00ED4544" w:rsidRDefault="00953FB4" w:rsidP="00873325">
      <w:pPr>
        <w:pStyle w:val="Heading1"/>
        <w:rPr>
          <w:lang w:val="en-AU"/>
        </w:rPr>
      </w:pPr>
      <w:bookmarkStart w:id="20" w:name="_Toc530994575"/>
      <w:bookmarkStart w:id="21" w:name="_Toc11404105"/>
      <w:r w:rsidRPr="00ED4544">
        <w:rPr>
          <w:lang w:val="en-AU"/>
        </w:rPr>
        <w:t xml:space="preserve">Strategic </w:t>
      </w:r>
      <w:r w:rsidR="00616477">
        <w:rPr>
          <w:lang w:val="en-AU"/>
        </w:rPr>
        <w:t>c</w:t>
      </w:r>
      <w:r w:rsidRPr="00ED4544">
        <w:rPr>
          <w:lang w:val="en-AU"/>
        </w:rPr>
        <w:t>ontext</w:t>
      </w:r>
      <w:bookmarkEnd w:id="20"/>
      <w:bookmarkEnd w:id="21"/>
    </w:p>
    <w:p w14:paraId="19835B4E" w14:textId="3E2223C1" w:rsidR="006B2E49" w:rsidRDefault="005961CE" w:rsidP="007A7565">
      <w:pPr>
        <w:rPr>
          <w:lang w:val="en-AU"/>
        </w:rPr>
      </w:pPr>
      <w:r w:rsidRPr="00ED4544">
        <w:rPr>
          <w:lang w:val="en-AU"/>
        </w:rPr>
        <w:t>Microbial genomics</w:t>
      </w:r>
      <w:r w:rsidR="00777F91" w:rsidRPr="00ED4544">
        <w:rPr>
          <w:lang w:val="en-AU"/>
        </w:rPr>
        <w:t xml:space="preserve"> is already </w:t>
      </w:r>
      <w:r w:rsidRPr="00ED4544">
        <w:rPr>
          <w:lang w:val="en-AU"/>
        </w:rPr>
        <w:t>revolutionis</w:t>
      </w:r>
      <w:r w:rsidR="00777F91" w:rsidRPr="00ED4544">
        <w:rPr>
          <w:lang w:val="en-AU"/>
        </w:rPr>
        <w:t>ing</w:t>
      </w:r>
      <w:r w:rsidRPr="00ED4544">
        <w:rPr>
          <w:lang w:val="en-AU"/>
        </w:rPr>
        <w:t xml:space="preserve"> the diagnosis, surveillance and control of communicable diseases. The genome of a pathogen reveals at the highest possible resolution its identity and ancestry, the ways in which it infects humans, and how it evades both antibiotic treatment and the immune system. </w:t>
      </w:r>
    </w:p>
    <w:p w14:paraId="4D18BE0F" w14:textId="7ED1792A" w:rsidR="006B2E49" w:rsidRPr="00ED4544" w:rsidRDefault="006B2E49" w:rsidP="006B2E49">
      <w:pPr>
        <w:jc w:val="center"/>
        <w:rPr>
          <w:lang w:val="en-AU"/>
        </w:rPr>
      </w:pPr>
      <w:r>
        <w:rPr>
          <w:noProof/>
          <w:lang w:val="en-AU" w:eastAsia="en-AU"/>
        </w:rPr>
        <w:drawing>
          <wp:inline distT="0" distB="0" distL="0" distR="0" wp14:anchorId="4522312D" wp14:editId="336FAF06">
            <wp:extent cx="2999232" cy="3215640"/>
            <wp:effectExtent l="0" t="0" r="0" b="3810"/>
            <wp:docPr id="13" name="Picture 13" descr="The strategic context of microbial ge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9232" cy="3215640"/>
                    </a:xfrm>
                    <a:prstGeom prst="rect">
                      <a:avLst/>
                    </a:prstGeom>
                  </pic:spPr>
                </pic:pic>
              </a:graphicData>
            </a:graphic>
          </wp:inline>
        </w:drawing>
      </w:r>
    </w:p>
    <w:p w14:paraId="19E80349" w14:textId="77777777" w:rsidR="00294B1C" w:rsidRPr="00ED4544" w:rsidRDefault="00294B1C" w:rsidP="007A7565">
      <w:pPr>
        <w:rPr>
          <w:sz w:val="20"/>
          <w:lang w:val="en-AU"/>
        </w:rPr>
      </w:pPr>
      <w:r w:rsidRPr="0021177A">
        <w:rPr>
          <w:sz w:val="20"/>
          <w:lang w:val="en-AU"/>
        </w:rPr>
        <w:t>Figure 1. The strategic context of microbial genomics.</w:t>
      </w:r>
    </w:p>
    <w:p w14:paraId="0DED459A" w14:textId="77777777" w:rsidR="00641544" w:rsidRPr="001E4E7D" w:rsidRDefault="00641544">
      <w:pPr>
        <w:rPr>
          <w:lang w:val="en-AU"/>
        </w:rPr>
      </w:pPr>
      <w:r w:rsidRPr="001E4E7D">
        <w:rPr>
          <w:lang w:val="en-AU"/>
        </w:rPr>
        <w:br w:type="page"/>
      </w:r>
    </w:p>
    <w:p w14:paraId="54598EED" w14:textId="677F14EF" w:rsidR="007A7565" w:rsidRPr="001E4E7D" w:rsidRDefault="007A7565" w:rsidP="007A7565">
      <w:pPr>
        <w:rPr>
          <w:lang w:val="en-AU"/>
        </w:rPr>
      </w:pPr>
      <w:r w:rsidRPr="001E4E7D">
        <w:rPr>
          <w:lang w:val="en-AU"/>
        </w:rPr>
        <w:lastRenderedPageBreak/>
        <w:t xml:space="preserve">The growing accessibility of </w:t>
      </w:r>
      <w:r w:rsidR="00C44563" w:rsidRPr="001E4E7D">
        <w:rPr>
          <w:lang w:val="en-AU"/>
        </w:rPr>
        <w:t>microbial genomics</w:t>
      </w:r>
      <w:r w:rsidRPr="001E4E7D">
        <w:rPr>
          <w:lang w:val="en-AU"/>
        </w:rPr>
        <w:t xml:space="preserve"> technology has several potential public health </w:t>
      </w:r>
      <w:r w:rsidR="004262B7" w:rsidRPr="001E4E7D">
        <w:rPr>
          <w:lang w:val="en-AU"/>
        </w:rPr>
        <w:t>benefits</w:t>
      </w:r>
      <w:r w:rsidR="00D53E2A">
        <w:rPr>
          <w:lang w:val="en-AU"/>
        </w:rPr>
        <w:t>,</w:t>
      </w:r>
      <w:r w:rsidR="004262B7" w:rsidRPr="001E4E7D">
        <w:rPr>
          <w:lang w:val="en-AU"/>
        </w:rPr>
        <w:t xml:space="preserve"> </w:t>
      </w:r>
      <w:r w:rsidRPr="001E4E7D">
        <w:rPr>
          <w:lang w:val="en-AU"/>
        </w:rPr>
        <w:t>including:</w:t>
      </w:r>
    </w:p>
    <w:p w14:paraId="0ACD089F" w14:textId="2E54E83B" w:rsidR="007A7565" w:rsidRPr="0039410C" w:rsidRDefault="00D53E2A" w:rsidP="00343A08">
      <w:pPr>
        <w:pStyle w:val="ListParagraph"/>
        <w:numPr>
          <w:ilvl w:val="0"/>
          <w:numId w:val="11"/>
        </w:numPr>
      </w:pPr>
      <w:r w:rsidRPr="0039410C">
        <w:t>t</w:t>
      </w:r>
      <w:r w:rsidR="007A7565" w:rsidRPr="0039410C">
        <w:t>he ability to provide high</w:t>
      </w:r>
      <w:r w:rsidRPr="0039410C">
        <w:t>-</w:t>
      </w:r>
      <w:r w:rsidR="007A7565" w:rsidRPr="0039410C">
        <w:t xml:space="preserve">resolution, </w:t>
      </w:r>
      <w:proofErr w:type="gramStart"/>
      <w:r w:rsidR="007A7565" w:rsidRPr="0039410C">
        <w:t>nationally</w:t>
      </w:r>
      <w:proofErr w:type="gramEnd"/>
      <w:r w:rsidR="007A7565" w:rsidRPr="0039410C">
        <w:t xml:space="preserve"> and internationally compatible typing </w:t>
      </w:r>
      <w:r w:rsidR="007258FD" w:rsidRPr="0039410C">
        <w:t xml:space="preserve">and </w:t>
      </w:r>
      <w:proofErr w:type="spellStart"/>
      <w:r w:rsidR="007258FD" w:rsidRPr="0039410C">
        <w:t>characterisation</w:t>
      </w:r>
      <w:proofErr w:type="spellEnd"/>
      <w:r w:rsidR="007258FD" w:rsidRPr="0039410C">
        <w:t xml:space="preserve"> </w:t>
      </w:r>
      <w:r w:rsidR="007A7565" w:rsidRPr="0039410C">
        <w:t>data for communicable disease surveillance</w:t>
      </w:r>
      <w:r w:rsidR="00546943" w:rsidRPr="0039410C">
        <w:t xml:space="preserve"> and bio</w:t>
      </w:r>
      <w:r w:rsidR="006765E1" w:rsidRPr="0039410C">
        <w:t>-</w:t>
      </w:r>
      <w:r w:rsidR="00546943" w:rsidRPr="0039410C">
        <w:t>threat detection</w:t>
      </w:r>
    </w:p>
    <w:p w14:paraId="53F07F22" w14:textId="12AFF252" w:rsidR="002B6D43" w:rsidRPr="0039410C" w:rsidRDefault="00D53E2A" w:rsidP="00343A08">
      <w:pPr>
        <w:pStyle w:val="ListParagraph"/>
        <w:numPr>
          <w:ilvl w:val="0"/>
          <w:numId w:val="11"/>
        </w:numPr>
      </w:pPr>
      <w:r w:rsidRPr="0039410C">
        <w:t>t</w:t>
      </w:r>
      <w:r w:rsidR="002B6D43" w:rsidRPr="0039410C">
        <w:t>he ability to eventually use real-time genomic sequencing and genomic surveillance to inform the prevention, early detection and management of disease outbreaks and bio</w:t>
      </w:r>
      <w:r w:rsidR="003F53DB" w:rsidRPr="0039410C">
        <w:t>-</w:t>
      </w:r>
      <w:r w:rsidR="002B6D43" w:rsidRPr="0039410C">
        <w:t>threats</w:t>
      </w:r>
    </w:p>
    <w:p w14:paraId="34D26E23" w14:textId="3F4BC5CC" w:rsidR="007A7565" w:rsidRPr="0039410C" w:rsidRDefault="00D53E2A" w:rsidP="00343A08">
      <w:pPr>
        <w:pStyle w:val="ListParagraph"/>
        <w:numPr>
          <w:ilvl w:val="0"/>
          <w:numId w:val="11"/>
        </w:numPr>
      </w:pPr>
      <w:r w:rsidRPr="0039410C">
        <w:t>t</w:t>
      </w:r>
      <w:r w:rsidR="007A7565" w:rsidRPr="0039410C">
        <w:t>he ability to rapidly identify clusters of disease transmission</w:t>
      </w:r>
    </w:p>
    <w:p w14:paraId="07D7F754" w14:textId="37EC4757" w:rsidR="007A7565" w:rsidRPr="0039410C" w:rsidRDefault="00D53E2A" w:rsidP="00343A08">
      <w:pPr>
        <w:pStyle w:val="ListParagraph"/>
        <w:numPr>
          <w:ilvl w:val="0"/>
          <w:numId w:val="11"/>
        </w:numPr>
      </w:pPr>
      <w:r w:rsidRPr="0039410C">
        <w:t>m</w:t>
      </w:r>
      <w:r w:rsidR="007A7565" w:rsidRPr="0039410C">
        <w:t xml:space="preserve">ore accurate and rapid source attribution </w:t>
      </w:r>
      <w:r w:rsidR="001F5720" w:rsidRPr="0039410C">
        <w:t xml:space="preserve">and identification </w:t>
      </w:r>
      <w:r w:rsidR="007A7565" w:rsidRPr="0039410C">
        <w:t>of food</w:t>
      </w:r>
      <w:r w:rsidR="008C65B4" w:rsidRPr="0039410C">
        <w:t>borne</w:t>
      </w:r>
      <w:r w:rsidR="007A7565" w:rsidRPr="0039410C">
        <w:t xml:space="preserve"> and waterborne outbreaks</w:t>
      </w:r>
    </w:p>
    <w:p w14:paraId="0338175A" w14:textId="7F0DF281" w:rsidR="007A7565" w:rsidRPr="0039410C" w:rsidRDefault="00D53E2A" w:rsidP="00343A08">
      <w:pPr>
        <w:pStyle w:val="ListParagraph"/>
        <w:numPr>
          <w:ilvl w:val="0"/>
          <w:numId w:val="11"/>
        </w:numPr>
      </w:pPr>
      <w:r w:rsidRPr="0039410C">
        <w:t>m</w:t>
      </w:r>
      <w:r w:rsidR="007A7565" w:rsidRPr="0039410C">
        <w:t xml:space="preserve">ore rapid detection and </w:t>
      </w:r>
      <w:proofErr w:type="spellStart"/>
      <w:r w:rsidR="007A7565" w:rsidRPr="0039410C">
        <w:t>characterisation</w:t>
      </w:r>
      <w:proofErr w:type="spellEnd"/>
      <w:r w:rsidR="007A7565" w:rsidRPr="0039410C">
        <w:t xml:space="preserve"> of emerging pathogens or new mechanisms of antibiotic resistance</w:t>
      </w:r>
    </w:p>
    <w:p w14:paraId="19E49643" w14:textId="66D0AC82" w:rsidR="007A7565" w:rsidRPr="0039410C" w:rsidRDefault="00D53E2A" w:rsidP="00343A08">
      <w:pPr>
        <w:pStyle w:val="ListParagraph"/>
        <w:numPr>
          <w:ilvl w:val="0"/>
          <w:numId w:val="11"/>
        </w:numPr>
      </w:pPr>
      <w:r w:rsidRPr="0039410C">
        <w:t>t</w:t>
      </w:r>
      <w:r w:rsidR="007A7565" w:rsidRPr="0039410C">
        <w:t>he ability to monitor and predict the effectiveness of treatments and vaccines for communicable disease pathogens.</w:t>
      </w:r>
    </w:p>
    <w:p w14:paraId="578E9D3E" w14:textId="7AC9655F" w:rsidR="00A30DE9" w:rsidRPr="001E4E7D" w:rsidRDefault="00F83EAB" w:rsidP="006E6907">
      <w:pPr>
        <w:rPr>
          <w:lang w:val="en-AU"/>
        </w:rPr>
      </w:pPr>
      <w:r w:rsidRPr="001E4E7D">
        <w:rPr>
          <w:lang w:val="en-AU"/>
        </w:rPr>
        <w:t>P</w:t>
      </w:r>
      <w:r w:rsidR="004262B7" w:rsidRPr="001E4E7D">
        <w:rPr>
          <w:lang w:val="en-AU"/>
        </w:rPr>
        <w:t>otential</w:t>
      </w:r>
      <w:r w:rsidRPr="001E4E7D">
        <w:rPr>
          <w:lang w:val="en-AU"/>
        </w:rPr>
        <w:t xml:space="preserve"> public health</w:t>
      </w:r>
      <w:r w:rsidR="004262B7" w:rsidRPr="001E4E7D">
        <w:rPr>
          <w:lang w:val="en-AU"/>
        </w:rPr>
        <w:t xml:space="preserve"> applications of </w:t>
      </w:r>
      <w:r w:rsidR="00DC7813" w:rsidRPr="001E4E7D">
        <w:rPr>
          <w:lang w:val="en-AU"/>
        </w:rPr>
        <w:t>pathogen</w:t>
      </w:r>
      <w:r w:rsidR="004262B7" w:rsidRPr="001E4E7D">
        <w:rPr>
          <w:lang w:val="en-AU"/>
        </w:rPr>
        <w:t xml:space="preserve"> genomics</w:t>
      </w:r>
      <w:r w:rsidR="00B93E6F" w:rsidRPr="001E4E7D">
        <w:rPr>
          <w:lang w:val="en-AU"/>
        </w:rPr>
        <w:t xml:space="preserve"> technology</w:t>
      </w:r>
      <w:r w:rsidR="006E6907" w:rsidRPr="001E4E7D">
        <w:rPr>
          <w:lang w:val="en-AU"/>
        </w:rPr>
        <w:t xml:space="preserve"> may</w:t>
      </w:r>
      <w:r w:rsidR="004262B7" w:rsidRPr="001E4E7D">
        <w:rPr>
          <w:lang w:val="en-AU"/>
        </w:rPr>
        <w:t xml:space="preserve"> </w:t>
      </w:r>
      <w:r w:rsidR="006E6907" w:rsidRPr="001E4E7D">
        <w:rPr>
          <w:lang w:val="en-AU"/>
        </w:rPr>
        <w:t>include</w:t>
      </w:r>
      <w:r w:rsidR="00A30DE9" w:rsidRPr="001E4E7D">
        <w:rPr>
          <w:lang w:val="en-AU"/>
        </w:rPr>
        <w:t>:</w:t>
      </w:r>
    </w:p>
    <w:p w14:paraId="3FAFF924" w14:textId="62060CE4" w:rsidR="00A30DE9" w:rsidRPr="0039410C" w:rsidRDefault="00D53E2A" w:rsidP="00343A08">
      <w:pPr>
        <w:pStyle w:val="ListParagraph"/>
        <w:numPr>
          <w:ilvl w:val="0"/>
          <w:numId w:val="12"/>
        </w:numPr>
      </w:pPr>
      <w:r w:rsidRPr="0039410C">
        <w:t>i</w:t>
      </w:r>
      <w:r w:rsidR="00F9376C" w:rsidRPr="0039410C">
        <w:t>nforming therapeutics and</w:t>
      </w:r>
      <w:r w:rsidR="006E6907" w:rsidRPr="0039410C">
        <w:t xml:space="preserve"> vaccine development</w:t>
      </w:r>
    </w:p>
    <w:p w14:paraId="5CF5BCAF" w14:textId="3A2E5712" w:rsidR="00B93E6F" w:rsidRPr="0039410C" w:rsidRDefault="00D53E2A" w:rsidP="00343A08">
      <w:pPr>
        <w:pStyle w:val="ListParagraph"/>
        <w:numPr>
          <w:ilvl w:val="0"/>
          <w:numId w:val="12"/>
        </w:numPr>
      </w:pPr>
      <w:r w:rsidRPr="0039410C">
        <w:t>i</w:t>
      </w:r>
      <w:r w:rsidR="00B93E6F" w:rsidRPr="0039410C">
        <w:t>nforming public health</w:t>
      </w:r>
      <w:r w:rsidR="00DC7813" w:rsidRPr="0039410C">
        <w:t xml:space="preserve"> infection control</w:t>
      </w:r>
      <w:r w:rsidR="00B93E6F" w:rsidRPr="0039410C">
        <w:t xml:space="preserve"> in food safety</w:t>
      </w:r>
      <w:r w:rsidR="00DC7813" w:rsidRPr="0039410C">
        <w:t>,</w:t>
      </w:r>
      <w:r w:rsidR="00B93E6F" w:rsidRPr="0039410C">
        <w:t xml:space="preserve"> across hospitals and </w:t>
      </w:r>
      <w:r w:rsidR="00DC7813" w:rsidRPr="0039410C">
        <w:t xml:space="preserve">within </w:t>
      </w:r>
      <w:r w:rsidR="00B93E6F" w:rsidRPr="0039410C">
        <w:t>communit</w:t>
      </w:r>
      <w:r w:rsidR="00DC7813" w:rsidRPr="0039410C">
        <w:t>y settings</w:t>
      </w:r>
    </w:p>
    <w:p w14:paraId="5A5460E9" w14:textId="7E2A929A" w:rsidR="00F9376C" w:rsidRPr="0039410C" w:rsidRDefault="00D53E2A" w:rsidP="00343A08">
      <w:pPr>
        <w:pStyle w:val="ListParagraph"/>
        <w:numPr>
          <w:ilvl w:val="0"/>
          <w:numId w:val="12"/>
        </w:numPr>
      </w:pPr>
      <w:r w:rsidRPr="0039410C">
        <w:t>a</w:t>
      </w:r>
      <w:r w:rsidR="00B93E6F" w:rsidRPr="0039410C">
        <w:t>ssisting with</w:t>
      </w:r>
      <w:r w:rsidR="00F9376C" w:rsidRPr="0039410C">
        <w:t xml:space="preserve"> </w:t>
      </w:r>
      <w:r w:rsidR="00B93E6F" w:rsidRPr="0039410C">
        <w:t xml:space="preserve">the development of </w:t>
      </w:r>
      <w:r w:rsidR="00F9376C" w:rsidRPr="0039410C">
        <w:t>agricultural and water resource and management approaches</w:t>
      </w:r>
      <w:r w:rsidR="00DC7813" w:rsidRPr="0039410C">
        <w:t xml:space="preserve"> and to determine the persistence of pathogens in the environment</w:t>
      </w:r>
    </w:p>
    <w:p w14:paraId="7143E53F" w14:textId="53E46EDD" w:rsidR="00DC7813" w:rsidRPr="0039410C" w:rsidRDefault="00D53E2A" w:rsidP="00343A08">
      <w:pPr>
        <w:pStyle w:val="ListParagraph"/>
        <w:numPr>
          <w:ilvl w:val="0"/>
          <w:numId w:val="12"/>
        </w:numPr>
      </w:pPr>
      <w:r w:rsidRPr="0039410C">
        <w:t>i</w:t>
      </w:r>
      <w:r w:rsidR="00B93E6F" w:rsidRPr="0039410C">
        <w:t>nforming the d</w:t>
      </w:r>
      <w:r w:rsidR="00A30DE9" w:rsidRPr="0039410C">
        <w:t>evelopment of sensitive and specific diagnostic tools</w:t>
      </w:r>
      <w:r w:rsidR="00DC7813" w:rsidRPr="0039410C">
        <w:t xml:space="preserve"> </w:t>
      </w:r>
    </w:p>
    <w:p w14:paraId="257891CB" w14:textId="3C9DAEEA" w:rsidR="00E94358" w:rsidRPr="0039410C" w:rsidRDefault="00D53E2A" w:rsidP="00343A08">
      <w:pPr>
        <w:pStyle w:val="ListParagraph"/>
        <w:numPr>
          <w:ilvl w:val="0"/>
          <w:numId w:val="12"/>
        </w:numPr>
      </w:pPr>
      <w:r w:rsidRPr="0039410C">
        <w:t>s</w:t>
      </w:r>
      <w:r w:rsidR="00DC7813" w:rsidRPr="0039410C">
        <w:t>upporting decision</w:t>
      </w:r>
      <w:r w:rsidRPr="0039410C">
        <w:t>-</w:t>
      </w:r>
      <w:r w:rsidR="00DC7813" w:rsidRPr="0039410C">
        <w:t>making in health</w:t>
      </w:r>
      <w:r w:rsidR="003F53DB" w:rsidRPr="0039410C">
        <w:t xml:space="preserve"> </w:t>
      </w:r>
      <w:r w:rsidR="00DC7813" w:rsidRPr="0039410C">
        <w:t>care service planning</w:t>
      </w:r>
    </w:p>
    <w:p w14:paraId="6C1AFEE9" w14:textId="4DDDE74B" w:rsidR="004262B7" w:rsidRPr="0039410C" w:rsidRDefault="00D53E2A" w:rsidP="00343A08">
      <w:pPr>
        <w:pStyle w:val="ListParagraph"/>
        <w:numPr>
          <w:ilvl w:val="0"/>
          <w:numId w:val="12"/>
        </w:numPr>
      </w:pPr>
      <w:r w:rsidRPr="0039410C">
        <w:t>c</w:t>
      </w:r>
      <w:r w:rsidR="00E94358" w:rsidRPr="0039410C">
        <w:t>ollaboration with law enforcement agencies in microbial forensics in the context of criminal or terrorist investigations.</w:t>
      </w:r>
      <w:r w:rsidR="00A30DE9" w:rsidRPr="0039410C">
        <w:t xml:space="preserve"> </w:t>
      </w:r>
    </w:p>
    <w:p w14:paraId="4D57CB26" w14:textId="6C4E0AE4" w:rsidR="00D53E2A" w:rsidRPr="003F53DB" w:rsidRDefault="00587F6E" w:rsidP="00953FB4">
      <w:pPr>
        <w:rPr>
          <w:lang w:val="en-AU"/>
        </w:rPr>
      </w:pPr>
      <w:r w:rsidRPr="003F53DB">
        <w:rPr>
          <w:lang w:val="en-AU"/>
        </w:rPr>
        <w:t xml:space="preserve">The </w:t>
      </w:r>
      <w:r w:rsidR="003F53DB" w:rsidRPr="003F53DB">
        <w:rPr>
          <w:lang w:val="en-AU"/>
        </w:rPr>
        <w:t xml:space="preserve">National Microbial Genomics </w:t>
      </w:r>
      <w:r w:rsidR="00CC7536">
        <w:rPr>
          <w:lang w:val="en-AU"/>
        </w:rPr>
        <w:t xml:space="preserve">Framework </w:t>
      </w:r>
      <w:r w:rsidRPr="003F53DB">
        <w:rPr>
          <w:lang w:val="en-AU"/>
        </w:rPr>
        <w:t xml:space="preserve">is designed to drive national effort on agreed priorities </w:t>
      </w:r>
      <w:r w:rsidR="00A914E3" w:rsidRPr="003F53DB">
        <w:rPr>
          <w:lang w:val="en-AU"/>
        </w:rPr>
        <w:t>to provide</w:t>
      </w:r>
      <w:r w:rsidRPr="003F53DB">
        <w:rPr>
          <w:lang w:val="en-AU"/>
        </w:rPr>
        <w:t xml:space="preserve"> national coordination of microbial genomic activities across Australia</w:t>
      </w:r>
      <w:r w:rsidR="00DC7813" w:rsidRPr="003F53DB">
        <w:rPr>
          <w:lang w:val="en-AU"/>
        </w:rPr>
        <w:t xml:space="preserve"> for all priority pathogens regardless of organism type</w:t>
      </w:r>
      <w:r w:rsidR="00D53E2A" w:rsidRPr="003F53DB">
        <w:rPr>
          <w:lang w:val="en-AU"/>
        </w:rPr>
        <w:t>—</w:t>
      </w:r>
      <w:r w:rsidR="00DC7813" w:rsidRPr="003F53DB">
        <w:rPr>
          <w:lang w:val="en-AU"/>
        </w:rPr>
        <w:t xml:space="preserve">bacterial, </w:t>
      </w:r>
      <w:proofErr w:type="gramStart"/>
      <w:r w:rsidR="00DC7813" w:rsidRPr="003F53DB">
        <w:rPr>
          <w:lang w:val="en-AU"/>
        </w:rPr>
        <w:t>viral</w:t>
      </w:r>
      <w:proofErr w:type="gramEnd"/>
      <w:r w:rsidR="00DC7813" w:rsidRPr="003F53DB">
        <w:rPr>
          <w:lang w:val="en-AU"/>
        </w:rPr>
        <w:t xml:space="preserve"> or fungal</w:t>
      </w:r>
      <w:r w:rsidRPr="003F53DB">
        <w:rPr>
          <w:lang w:val="en-AU"/>
        </w:rPr>
        <w:t xml:space="preserve">. The </w:t>
      </w:r>
      <w:r w:rsidR="00D53E2A" w:rsidRPr="003F53DB">
        <w:rPr>
          <w:lang w:val="en-AU"/>
        </w:rPr>
        <w:t>f</w:t>
      </w:r>
      <w:r w:rsidRPr="003F53DB">
        <w:rPr>
          <w:lang w:val="en-AU"/>
        </w:rPr>
        <w:t xml:space="preserve">ramework provides an opportunity to act on divergent approaches to implementing microbial genomics before they form impediments to successful integration of microbial genomics into </w:t>
      </w:r>
      <w:r w:rsidR="00DC047D" w:rsidRPr="003F53DB">
        <w:rPr>
          <w:lang w:val="en-AU"/>
        </w:rPr>
        <w:t xml:space="preserve">the </w:t>
      </w:r>
      <w:r w:rsidRPr="003F53DB">
        <w:rPr>
          <w:lang w:val="en-AU"/>
        </w:rPr>
        <w:t>Australian health</w:t>
      </w:r>
      <w:r w:rsidR="00DC047D" w:rsidRPr="003F53DB">
        <w:rPr>
          <w:lang w:val="en-AU"/>
        </w:rPr>
        <w:t xml:space="preserve"> system</w:t>
      </w:r>
      <w:r w:rsidRPr="003F53DB">
        <w:rPr>
          <w:lang w:val="en-AU"/>
        </w:rPr>
        <w:t xml:space="preserve">. </w:t>
      </w:r>
    </w:p>
    <w:p w14:paraId="6C8E9515" w14:textId="77777777" w:rsidR="00C24186" w:rsidRPr="0021177A" w:rsidRDefault="00587F6E" w:rsidP="00953FB4">
      <w:pPr>
        <w:rPr>
          <w:lang w:val="en-AU"/>
        </w:rPr>
      </w:pPr>
      <w:r w:rsidRPr="0021177A">
        <w:rPr>
          <w:lang w:val="en-AU"/>
        </w:rPr>
        <w:t xml:space="preserve">A key enabler for consistency will be the establishment of collaborative governance arrangements that can facilitate actions to address the </w:t>
      </w:r>
      <w:r w:rsidR="002D4706" w:rsidRPr="0021177A">
        <w:rPr>
          <w:lang w:val="en-AU"/>
        </w:rPr>
        <w:t>constantly evolving</w:t>
      </w:r>
      <w:r w:rsidRPr="0021177A">
        <w:rPr>
          <w:lang w:val="en-AU"/>
        </w:rPr>
        <w:t xml:space="preserve"> nature of microbial genomics. The development of support structures will allow for coordination across jurisdictions and between laboratories and public health units. </w:t>
      </w:r>
    </w:p>
    <w:p w14:paraId="686D8D8F" w14:textId="4D38FE5B" w:rsidR="00953FB4" w:rsidRPr="00C556B1" w:rsidRDefault="00587F6E" w:rsidP="00953FB4">
      <w:pPr>
        <w:rPr>
          <w:lang w:val="en-AU"/>
        </w:rPr>
      </w:pPr>
      <w:r w:rsidRPr="0021177A">
        <w:rPr>
          <w:lang w:val="en-AU"/>
        </w:rPr>
        <w:t>Currently, the funding for microbial genomics is largely embedded in state</w:t>
      </w:r>
      <w:r w:rsidR="00D53E2A" w:rsidRPr="0021177A">
        <w:rPr>
          <w:lang w:val="en-AU"/>
        </w:rPr>
        <w:t>-</w:t>
      </w:r>
      <w:r w:rsidRPr="0021177A">
        <w:rPr>
          <w:lang w:val="en-AU"/>
        </w:rPr>
        <w:t xml:space="preserve">funded health systems. This </w:t>
      </w:r>
      <w:r w:rsidR="00D53E2A" w:rsidRPr="0021177A">
        <w:rPr>
          <w:lang w:val="en-AU"/>
        </w:rPr>
        <w:t>f</w:t>
      </w:r>
      <w:r w:rsidRPr="0021177A">
        <w:rPr>
          <w:lang w:val="en-AU"/>
        </w:rPr>
        <w:t>ramework</w:t>
      </w:r>
      <w:r w:rsidRPr="00C556B1">
        <w:rPr>
          <w:lang w:val="en-AU"/>
        </w:rPr>
        <w:t xml:space="preserve"> aims to acknowledge the respective responsibilities of all</w:t>
      </w:r>
      <w:r w:rsidRPr="005E2DDE">
        <w:rPr>
          <w:lang w:val="en-AU"/>
        </w:rPr>
        <w:t xml:space="preserve"> jurisdictions while outlining the need for a collaborative effort to address gaps in activity which will further drive national value. </w:t>
      </w:r>
    </w:p>
    <w:p w14:paraId="24DA36C8" w14:textId="329CC6AF" w:rsidR="00953FB4" w:rsidRPr="00ED4544" w:rsidRDefault="00953FB4" w:rsidP="0039410C">
      <w:pPr>
        <w:pStyle w:val="Heading2"/>
      </w:pPr>
      <w:r w:rsidRPr="00ED4544">
        <w:lastRenderedPageBreak/>
        <w:t xml:space="preserve">International </w:t>
      </w:r>
      <w:r w:rsidR="00D53E2A">
        <w:t>d</w:t>
      </w:r>
      <w:r w:rsidRPr="00ED4544">
        <w:t>evelopments</w:t>
      </w:r>
    </w:p>
    <w:p w14:paraId="62746122" w14:textId="3F79F191" w:rsidR="000A43A8" w:rsidRPr="001E4E7D" w:rsidRDefault="000A43A8" w:rsidP="0039410C">
      <w:r w:rsidRPr="001E4E7D">
        <w:t xml:space="preserve">The </w:t>
      </w:r>
      <w:r w:rsidRPr="0039410C">
        <w:t>Public</w:t>
      </w:r>
      <w:r w:rsidRPr="005C718B">
        <w:t xml:space="preserve"> Health Genomics </w:t>
      </w:r>
      <w:r w:rsidR="00D53E2A" w:rsidRPr="005C718B">
        <w:t>F</w:t>
      </w:r>
      <w:r w:rsidRPr="005C718B">
        <w:t>oundation</w:t>
      </w:r>
      <w:r w:rsidRPr="001E4E7D">
        <w:t>, a U</w:t>
      </w:r>
      <w:r w:rsidR="00830415" w:rsidRPr="001E4E7D">
        <w:t xml:space="preserve">nited </w:t>
      </w:r>
      <w:r w:rsidRPr="001E4E7D">
        <w:t>K</w:t>
      </w:r>
      <w:r w:rsidR="00830415" w:rsidRPr="001E4E7D">
        <w:t>ingdom (UK)</w:t>
      </w:r>
      <w:r w:rsidRPr="00D0499A">
        <w:t xml:space="preserve"> health policy think tank that is recognised internationally fo</w:t>
      </w:r>
      <w:r w:rsidRPr="001E4E7D">
        <w:t xml:space="preserve">r leadership in the application of genomic technologies to health, has suggested that the implementation of </w:t>
      </w:r>
      <w:r w:rsidR="007C3071" w:rsidRPr="001E4E7D">
        <w:t>whole genome s</w:t>
      </w:r>
      <w:r w:rsidR="00C44563" w:rsidRPr="001E4E7D">
        <w:t>equencing (</w:t>
      </w:r>
      <w:r w:rsidRPr="001E4E7D">
        <w:t>WGS</w:t>
      </w:r>
      <w:r w:rsidR="00C44563" w:rsidRPr="001E4E7D">
        <w:t>)</w:t>
      </w:r>
      <w:r w:rsidRPr="001E4E7D">
        <w:t xml:space="preserve"> of pathogens will improve the management of communicable diseases in the following ways</w:t>
      </w:r>
      <w:r w:rsidR="00D53E2A">
        <w:t>:</w:t>
      </w:r>
      <w:r w:rsidR="000B023A" w:rsidRPr="001E4E7D">
        <w:rPr>
          <w:rStyle w:val="FootnoteReference"/>
        </w:rPr>
        <w:footnoteReference w:id="1"/>
      </w:r>
      <w:r w:rsidRPr="001E4E7D">
        <w:t xml:space="preserve"> </w:t>
      </w:r>
    </w:p>
    <w:p w14:paraId="35ACD801" w14:textId="7893B8AC" w:rsidR="000A43A8" w:rsidRPr="0039410C" w:rsidRDefault="000A43A8" w:rsidP="00343A08">
      <w:pPr>
        <w:pStyle w:val="ListParagraph"/>
        <w:numPr>
          <w:ilvl w:val="0"/>
          <w:numId w:val="13"/>
        </w:numPr>
      </w:pPr>
      <w:r w:rsidRPr="0039410C">
        <w:rPr>
          <w:i/>
          <w:iCs/>
        </w:rPr>
        <w:t>Precision</w:t>
      </w:r>
      <w:r w:rsidR="00D53E2A" w:rsidRPr="0039410C">
        <w:t>—</w:t>
      </w:r>
      <w:r w:rsidR="007258FD" w:rsidRPr="0039410C">
        <w:t>Microbial</w:t>
      </w:r>
      <w:r w:rsidR="008F3ACC" w:rsidRPr="0039410C">
        <w:t xml:space="preserve"> genomics</w:t>
      </w:r>
      <w:r w:rsidR="00174B2B" w:rsidRPr="0039410C">
        <w:t xml:space="preserve"> allows for </w:t>
      </w:r>
      <w:r w:rsidR="00D53E2A" w:rsidRPr="0039410C">
        <w:t>m</w:t>
      </w:r>
      <w:r w:rsidRPr="0039410C">
        <w:t>ore specific identification of the bacteri</w:t>
      </w:r>
      <w:r w:rsidR="009C04D8" w:rsidRPr="0039410C">
        <w:t>um</w:t>
      </w:r>
      <w:r w:rsidRPr="0039410C">
        <w:t xml:space="preserve"> or virus causing an infection improves the accuracy of outbreak investigation and effectiveness of control measures.</w:t>
      </w:r>
    </w:p>
    <w:p w14:paraId="42E76C83" w14:textId="59199578" w:rsidR="000A43A8" w:rsidRPr="0039410C" w:rsidRDefault="000A43A8" w:rsidP="00343A08">
      <w:pPr>
        <w:pStyle w:val="ListParagraph"/>
        <w:numPr>
          <w:ilvl w:val="0"/>
          <w:numId w:val="13"/>
        </w:numPr>
      </w:pPr>
      <w:r w:rsidRPr="0039410C">
        <w:rPr>
          <w:i/>
          <w:iCs/>
        </w:rPr>
        <w:t>Sensitivity</w:t>
      </w:r>
      <w:r w:rsidR="00174B2B" w:rsidRPr="0039410C">
        <w:t>—</w:t>
      </w:r>
      <w:r w:rsidR="007258FD" w:rsidRPr="0039410C">
        <w:t>Microbial</w:t>
      </w:r>
      <w:r w:rsidRPr="0039410C">
        <w:t xml:space="preserve"> genomics enables the early detection of emerging drug</w:t>
      </w:r>
      <w:r w:rsidR="00D53E2A" w:rsidRPr="0039410C">
        <w:t>-</w:t>
      </w:r>
      <w:r w:rsidRPr="0039410C">
        <w:t>resistant pathogens</w:t>
      </w:r>
      <w:r w:rsidR="00680BAE" w:rsidRPr="0039410C">
        <w:t xml:space="preserve"> and patterns</w:t>
      </w:r>
      <w:r w:rsidR="00174B2B" w:rsidRPr="0039410C">
        <w:t xml:space="preserve">; </w:t>
      </w:r>
      <w:r w:rsidR="00D53E2A" w:rsidRPr="0039410C">
        <w:t xml:space="preserve">for example, </w:t>
      </w:r>
      <w:r w:rsidRPr="0039410C">
        <w:t>antibiotic-resistant bacteria or resistant virus</w:t>
      </w:r>
      <w:r w:rsidR="005C718B" w:rsidRPr="0039410C">
        <w:t>es</w:t>
      </w:r>
      <w:r w:rsidRPr="0039410C">
        <w:t xml:space="preserve"> in </w:t>
      </w:r>
      <w:r w:rsidR="006279B1" w:rsidRPr="0039410C">
        <w:t>Human Immunodeficiency Virus</w:t>
      </w:r>
      <w:r w:rsidR="006279B1" w:rsidRPr="0039410C" w:rsidDel="006279B1">
        <w:t xml:space="preserve"> </w:t>
      </w:r>
      <w:r w:rsidRPr="0039410C">
        <w:t xml:space="preserve">patients. </w:t>
      </w:r>
    </w:p>
    <w:p w14:paraId="433AC8BD" w14:textId="315C5702" w:rsidR="000A43A8" w:rsidRPr="0039410C" w:rsidRDefault="000A43A8" w:rsidP="00343A08">
      <w:pPr>
        <w:pStyle w:val="ListParagraph"/>
        <w:numPr>
          <w:ilvl w:val="0"/>
          <w:numId w:val="13"/>
        </w:numPr>
      </w:pPr>
      <w:r w:rsidRPr="0039410C">
        <w:rPr>
          <w:i/>
          <w:iCs/>
        </w:rPr>
        <w:t>Speed</w:t>
      </w:r>
      <w:r w:rsidR="00D53E2A" w:rsidRPr="0039410C">
        <w:t>—</w:t>
      </w:r>
      <w:r w:rsidR="00174B2B" w:rsidRPr="0039410C">
        <w:t>F</w:t>
      </w:r>
      <w:r w:rsidRPr="0039410C">
        <w:t>or slow</w:t>
      </w:r>
      <w:r w:rsidR="005C718B" w:rsidRPr="0039410C">
        <w:t>-</w:t>
      </w:r>
      <w:r w:rsidRPr="0039410C">
        <w:t xml:space="preserve">growing bacteria such as Mycobacterium tuberculosis, </w:t>
      </w:r>
      <w:r w:rsidR="007258FD" w:rsidRPr="0039410C">
        <w:t>microbial</w:t>
      </w:r>
      <w:r w:rsidRPr="0039410C">
        <w:t xml:space="preserve"> genomics enables significantly faster detection of drug resistance than current culture methods. </w:t>
      </w:r>
    </w:p>
    <w:p w14:paraId="4133CAC2" w14:textId="482880EE" w:rsidR="000A43A8" w:rsidRPr="0039410C" w:rsidRDefault="000A43A8" w:rsidP="00343A08">
      <w:pPr>
        <w:pStyle w:val="ListParagraph"/>
        <w:numPr>
          <w:ilvl w:val="0"/>
          <w:numId w:val="13"/>
        </w:numPr>
      </w:pPr>
      <w:proofErr w:type="spellStart"/>
      <w:r w:rsidRPr="0039410C">
        <w:rPr>
          <w:i/>
          <w:iCs/>
        </w:rPr>
        <w:t>Personalisation</w:t>
      </w:r>
      <w:proofErr w:type="spellEnd"/>
      <w:r w:rsidR="00174B2B" w:rsidRPr="0039410C">
        <w:t>—G</w:t>
      </w:r>
      <w:r w:rsidRPr="0039410C">
        <w:t xml:space="preserve">enomic information can be useful in identifying which drugs will or will not be effective in treating an infection, enabling considerably more effective </w:t>
      </w:r>
      <w:proofErr w:type="spellStart"/>
      <w:r w:rsidRPr="0039410C">
        <w:t>personalisation</w:t>
      </w:r>
      <w:proofErr w:type="spellEnd"/>
      <w:r w:rsidRPr="0039410C">
        <w:t xml:space="preserve"> of care. </w:t>
      </w:r>
    </w:p>
    <w:p w14:paraId="7AF654FB" w14:textId="7B4D495C" w:rsidR="000A43A8" w:rsidRPr="0039410C" w:rsidRDefault="000A43A8" w:rsidP="00343A08">
      <w:pPr>
        <w:pStyle w:val="ListParagraph"/>
        <w:numPr>
          <w:ilvl w:val="0"/>
          <w:numId w:val="13"/>
        </w:numPr>
      </w:pPr>
      <w:r w:rsidRPr="0039410C">
        <w:rPr>
          <w:i/>
          <w:iCs/>
        </w:rPr>
        <w:t>Detecting novel threats</w:t>
      </w:r>
      <w:r w:rsidR="00174B2B" w:rsidRPr="0039410C">
        <w:t>—G</w:t>
      </w:r>
      <w:r w:rsidRPr="0039410C">
        <w:t xml:space="preserve">enomics </w:t>
      </w:r>
      <w:r w:rsidR="005C718B" w:rsidRPr="0039410C">
        <w:t xml:space="preserve">is </w:t>
      </w:r>
      <w:r w:rsidRPr="0039410C">
        <w:t xml:space="preserve">proving </w:t>
      </w:r>
      <w:r w:rsidR="00E31B0A" w:rsidRPr="0039410C">
        <w:t xml:space="preserve">to be </w:t>
      </w:r>
      <w:r w:rsidRPr="0039410C">
        <w:t xml:space="preserve">an important tool in improving detection and understanding of emerging infectious diseases, such as Zika virus, </w:t>
      </w:r>
      <w:proofErr w:type="gramStart"/>
      <w:r w:rsidRPr="0039410C">
        <w:t>Ebola</w:t>
      </w:r>
      <w:proofErr w:type="gramEnd"/>
      <w:r w:rsidRPr="0039410C">
        <w:t xml:space="preserve"> and avian influenza, in addition to biosecurity threats.</w:t>
      </w:r>
    </w:p>
    <w:p w14:paraId="12F3A7D2" w14:textId="637FD27A" w:rsidR="00964CAF" w:rsidRPr="001E4E7D" w:rsidRDefault="00126A1C" w:rsidP="0039410C">
      <w:proofErr w:type="gramStart"/>
      <w:r w:rsidRPr="001E4E7D">
        <w:t>A number of</w:t>
      </w:r>
      <w:proofErr w:type="gramEnd"/>
      <w:r w:rsidRPr="001E4E7D">
        <w:t xml:space="preserve"> countries have established, to varying degrees, infrastructure and systems to enable </w:t>
      </w:r>
      <w:r w:rsidRPr="0039410C">
        <w:t>nationwide</w:t>
      </w:r>
      <w:r w:rsidRPr="001E4E7D">
        <w:t xml:space="preserve"> genomic surveillance</w:t>
      </w:r>
      <w:r w:rsidR="00F53F2D">
        <w:t xml:space="preserve"> </w:t>
      </w:r>
      <w:r w:rsidRPr="001E4E7D">
        <w:t>of communicable diseases</w:t>
      </w:r>
      <w:r w:rsidR="00F53F2D">
        <w:t xml:space="preserve"> and public sharing of genomic data for public health purposes</w:t>
      </w:r>
      <w:r w:rsidRPr="001E4E7D">
        <w:t xml:space="preserve">. In particular, </w:t>
      </w:r>
      <w:r w:rsidRPr="00E31B0A">
        <w:t>the UK (</w:t>
      </w:r>
      <w:r w:rsidR="003A5962" w:rsidRPr="00E31B0A">
        <w:t>PHE</w:t>
      </w:r>
      <w:r w:rsidRPr="00E31B0A">
        <w:t>), the United States</w:t>
      </w:r>
      <w:r w:rsidR="001F5720" w:rsidRPr="00E31B0A">
        <w:t xml:space="preserve"> of America (US)</w:t>
      </w:r>
      <w:r w:rsidRPr="00E31B0A">
        <w:t xml:space="preserve"> (through the </w:t>
      </w:r>
      <w:r w:rsidR="0082559E" w:rsidRPr="00E31B0A">
        <w:t>US Food and Drug Administration (</w:t>
      </w:r>
      <w:r w:rsidRPr="00E31B0A">
        <w:t>FDA</w:t>
      </w:r>
      <w:r w:rsidR="0082559E" w:rsidRPr="00E31B0A">
        <w:t>)</w:t>
      </w:r>
      <w:r w:rsidRPr="00E31B0A">
        <w:t xml:space="preserve"> and CDC) and</w:t>
      </w:r>
      <w:r w:rsidRPr="001E4E7D">
        <w:t xml:space="preserve"> Canada (Public Health Agency of Canada) have been at the forefront of applying microbial genomics to public health microbiology. </w:t>
      </w:r>
    </w:p>
    <w:p w14:paraId="04806016" w14:textId="4B67D5C3" w:rsidR="00AA381F" w:rsidRPr="00ED4544" w:rsidRDefault="00AA381F" w:rsidP="002A0796">
      <w:pPr>
        <w:pStyle w:val="Casestudyheading"/>
      </w:pPr>
      <w:r w:rsidRPr="00ED4544">
        <w:t>Case Study</w:t>
      </w:r>
      <w:r w:rsidR="003A5962" w:rsidRPr="00ED4544">
        <w:t xml:space="preserve"> 1</w:t>
      </w:r>
      <w:r w:rsidR="00387C83" w:rsidRPr="00ED4544">
        <w:t>: Public Health England</w:t>
      </w:r>
    </w:p>
    <w:p w14:paraId="2E87AA0E" w14:textId="2B4B0E95" w:rsidR="002F27D8" w:rsidRPr="001E4E7D" w:rsidRDefault="00AA381F" w:rsidP="002A0796">
      <w:pPr>
        <w:pStyle w:val="Casestudytext"/>
      </w:pPr>
      <w:r w:rsidRPr="001E4E7D">
        <w:t xml:space="preserve">Since the introduction of a centralised WGS </w:t>
      </w:r>
      <w:r w:rsidR="00D53E2A">
        <w:t>s</w:t>
      </w:r>
      <w:r w:rsidRPr="001E4E7D">
        <w:t xml:space="preserve">ervice in 2014, PHE </w:t>
      </w:r>
      <w:r w:rsidR="00D53E2A">
        <w:t xml:space="preserve">has </w:t>
      </w:r>
      <w:r w:rsidRPr="001E4E7D">
        <w:t xml:space="preserve">reported significant benefits </w:t>
      </w:r>
      <w:r w:rsidR="00D53E2A">
        <w:t xml:space="preserve">to </w:t>
      </w:r>
      <w:r w:rsidRPr="001E4E7D">
        <w:t xml:space="preserve">and impacts </w:t>
      </w:r>
      <w:r w:rsidR="00D53E2A">
        <w:t xml:space="preserve">on </w:t>
      </w:r>
      <w:r w:rsidRPr="001E4E7D">
        <w:t>laboratory services</w:t>
      </w:r>
      <w:r w:rsidR="00D53E2A">
        <w:t>,</w:t>
      </w:r>
      <w:r w:rsidRPr="001E4E7D">
        <w:t xml:space="preserve"> including improved safety, streamlined laboratory workflows and reduced staffing and equipment costs. The migration to WGS has refined outbreak detection and investigation in laboratories and has improved national and local surveillance of outbreaks and monitoring of the effectiveness of control and preventative measures.</w:t>
      </w:r>
      <w:r w:rsidRPr="001E4E7D">
        <w:rPr>
          <w:rStyle w:val="FootnoteReference"/>
        </w:rPr>
        <w:footnoteReference w:id="2"/>
      </w:r>
    </w:p>
    <w:p w14:paraId="52C33985" w14:textId="1EF222EE" w:rsidR="008B45F9" w:rsidRDefault="00126A1C" w:rsidP="0039410C">
      <w:r w:rsidRPr="001E4E7D">
        <w:t xml:space="preserve">The key approach at both </w:t>
      </w:r>
      <w:r w:rsidR="003A5962" w:rsidRPr="001E4E7D">
        <w:t>PHE</w:t>
      </w:r>
      <w:r w:rsidRPr="001E4E7D">
        <w:t xml:space="preserve"> and the FDA has been a hub and spoke model, where coordination and high</w:t>
      </w:r>
      <w:r w:rsidR="00D53E2A">
        <w:t>-</w:t>
      </w:r>
      <w:r w:rsidRPr="001E4E7D">
        <w:t>level bioinformatics expertise is centralised, with nodes (within different branches of PHE or different lab</w:t>
      </w:r>
      <w:r w:rsidR="002D4706" w:rsidRPr="001E4E7D">
        <w:t>oratorie</w:t>
      </w:r>
      <w:r w:rsidRPr="001E4E7D">
        <w:t xml:space="preserve">s throughout the US) that have capacity for genome sequencing and data analysis that is supported by the central hub. The advantage of this model is the efficient use of </w:t>
      </w:r>
      <w:r w:rsidR="009F0643" w:rsidRPr="001E4E7D">
        <w:t>scarce bioinformatics expertise</w:t>
      </w:r>
      <w:r w:rsidRPr="001E4E7D">
        <w:t xml:space="preserve">, a coordinated approach to data analysis, capacity for rapid data </w:t>
      </w:r>
      <w:r w:rsidRPr="001E4E7D">
        <w:lastRenderedPageBreak/>
        <w:t xml:space="preserve">sharing and analysis, and rapid generation of genomics data because isolates can be sequenced at all </w:t>
      </w:r>
      <w:r w:rsidR="00D53E2A">
        <w:t>‘</w:t>
      </w:r>
      <w:r w:rsidRPr="001E4E7D">
        <w:t>spokes</w:t>
      </w:r>
      <w:r w:rsidR="00D53E2A">
        <w:t>’</w:t>
      </w:r>
      <w:r w:rsidRPr="001E4E7D">
        <w:t xml:space="preserve"> without the need for transport to other laboratories.</w:t>
      </w:r>
    </w:p>
    <w:p w14:paraId="6EC59F6F" w14:textId="76698339" w:rsidR="008B45F9" w:rsidRPr="00ED4544" w:rsidRDefault="008B45F9" w:rsidP="0074398D">
      <w:pPr>
        <w:pStyle w:val="Casestudyheading"/>
      </w:pPr>
      <w:r>
        <w:t>Case Study 2</w:t>
      </w:r>
      <w:r w:rsidRPr="00ED4544">
        <w:t xml:space="preserve">: International outbreak of </w:t>
      </w:r>
      <w:r w:rsidRPr="00ED4544">
        <w:rPr>
          <w:i/>
        </w:rPr>
        <w:t xml:space="preserve">Salmonella </w:t>
      </w:r>
      <w:r w:rsidR="00A83DD4">
        <w:t>E</w:t>
      </w:r>
      <w:r w:rsidRPr="00A83DD4">
        <w:t>nteritidis</w:t>
      </w:r>
    </w:p>
    <w:p w14:paraId="2E8257D1" w14:textId="24B3D206" w:rsidR="008B45F9" w:rsidRPr="00ED4544" w:rsidRDefault="008B45F9" w:rsidP="0074398D">
      <w:pPr>
        <w:pStyle w:val="Casestudytext"/>
      </w:pPr>
      <w:r w:rsidRPr="00ED4544">
        <w:t xml:space="preserve">Near real-time WGS was used to assess the origin of an outbreak </w:t>
      </w:r>
      <w:r w:rsidRPr="00C84BD0">
        <w:t xml:space="preserve">of </w:t>
      </w:r>
      <w:r w:rsidRPr="00C84BD0">
        <w:rPr>
          <w:i/>
        </w:rPr>
        <w:t xml:space="preserve">Salmonella </w:t>
      </w:r>
      <w:r w:rsidR="00A83DD4" w:rsidRPr="00A83DD4">
        <w:t>E</w:t>
      </w:r>
      <w:r w:rsidRPr="00A83DD4">
        <w:t>nteritidis</w:t>
      </w:r>
      <w:r w:rsidRPr="00ED4544">
        <w:t xml:space="preserve"> by determining its strain characteristics. This enabled the identification of linkages between a hospital in England </w:t>
      </w:r>
      <w:r w:rsidR="00C84BD0">
        <w:t xml:space="preserve">and </w:t>
      </w:r>
      <w:r w:rsidRPr="00ED4544">
        <w:t xml:space="preserve">outbreaks in other countries such as France and Germany. The inclusion of WGS in epidemiological and environmental investigations enabled the tracing of its origin to contaminated eggs from </w:t>
      </w:r>
      <w:r w:rsidRPr="007265CB">
        <w:t>Germany</w:t>
      </w:r>
      <w:r w:rsidR="00D53E2A" w:rsidRPr="007265CB">
        <w:t>.</w:t>
      </w:r>
      <w:r w:rsidRPr="007265CB">
        <w:t xml:space="preserve"> </w:t>
      </w:r>
      <w:r w:rsidR="00D53E2A" w:rsidRPr="007265CB">
        <w:t xml:space="preserve">This </w:t>
      </w:r>
      <w:r w:rsidRPr="007265CB">
        <w:t>informed</w:t>
      </w:r>
      <w:r w:rsidRPr="00ED4544">
        <w:t xml:space="preserve"> public health control measures.</w:t>
      </w:r>
      <w:r w:rsidRPr="00ED4544">
        <w:rPr>
          <w:rStyle w:val="FootnoteReference"/>
        </w:rPr>
        <w:footnoteReference w:id="3"/>
      </w:r>
    </w:p>
    <w:p w14:paraId="668ED623" w14:textId="08389277" w:rsidR="00AA381F" w:rsidRPr="001E4E7D" w:rsidRDefault="008020D8" w:rsidP="0039410C">
      <w:r w:rsidRPr="001E4E7D">
        <w:t xml:space="preserve">There is </w:t>
      </w:r>
      <w:r w:rsidRPr="0039410C">
        <w:t>emerging</w:t>
      </w:r>
      <w:r w:rsidRPr="001E4E7D">
        <w:t xml:space="preserve"> evidence </w:t>
      </w:r>
      <w:r w:rsidR="00C84BD0">
        <w:t>that</w:t>
      </w:r>
      <w:r w:rsidR="00C84BD0" w:rsidRPr="001E4E7D">
        <w:t xml:space="preserve"> </w:t>
      </w:r>
      <w:r w:rsidRPr="001E4E7D">
        <w:t>demonstrat</w:t>
      </w:r>
      <w:r w:rsidR="002959F4" w:rsidRPr="001E4E7D">
        <w:t>es</w:t>
      </w:r>
      <w:r w:rsidRPr="001E4E7D">
        <w:t xml:space="preserve"> the benefit of integrating microbial genomics into public health microbiology practice. The cost per </w:t>
      </w:r>
      <w:r w:rsidR="00550594" w:rsidRPr="001E4E7D">
        <w:t xml:space="preserve">genome sequence is rapidly falling </w:t>
      </w:r>
      <w:proofErr w:type="gramStart"/>
      <w:r w:rsidR="00550594" w:rsidRPr="001E4E7D">
        <w:t>and</w:t>
      </w:r>
      <w:r w:rsidR="00376BCB">
        <w:t>,</w:t>
      </w:r>
      <w:proofErr w:type="gramEnd"/>
      <w:r w:rsidR="00550594" w:rsidRPr="001E4E7D">
        <w:t xml:space="preserve"> coupled with improved turnaround times</w:t>
      </w:r>
      <w:r w:rsidR="008C19C2" w:rsidRPr="001E4E7D">
        <w:t xml:space="preserve">, this revolutionary technology is slowly </w:t>
      </w:r>
      <w:r w:rsidR="00550594" w:rsidRPr="001E4E7D">
        <w:t>becom</w:t>
      </w:r>
      <w:r w:rsidR="008C19C2" w:rsidRPr="001E4E7D">
        <w:t>ing</w:t>
      </w:r>
      <w:r w:rsidR="00550594" w:rsidRPr="001E4E7D">
        <w:t xml:space="preserve"> a viable real-time diagnostic tool</w:t>
      </w:r>
      <w:r w:rsidR="008C19C2" w:rsidRPr="001E4E7D">
        <w:t>.</w:t>
      </w:r>
      <w:r w:rsidR="00AA381F" w:rsidRPr="001E4E7D">
        <w:rPr>
          <w:rStyle w:val="FootnoteReference"/>
        </w:rPr>
        <w:footnoteReference w:id="4"/>
      </w:r>
    </w:p>
    <w:p w14:paraId="38520446" w14:textId="7E725CB7" w:rsidR="00953FB4" w:rsidRPr="001E4E7D" w:rsidRDefault="00953FB4" w:rsidP="0039410C">
      <w:pPr>
        <w:pStyle w:val="Heading2"/>
      </w:pPr>
      <w:r w:rsidRPr="001E4E7D">
        <w:t xml:space="preserve">National </w:t>
      </w:r>
      <w:r w:rsidR="00376BCB">
        <w:t>d</w:t>
      </w:r>
      <w:r w:rsidRPr="001E4E7D">
        <w:t>evelopments</w:t>
      </w:r>
    </w:p>
    <w:p w14:paraId="73D2C98F" w14:textId="0EC12DCE" w:rsidR="00641544" w:rsidRPr="001E4E7D" w:rsidRDefault="0098771E" w:rsidP="0039410C">
      <w:r w:rsidRPr="001E4E7D">
        <w:t xml:space="preserve">To date, the introduction and implementation of microbial genomics in public health </w:t>
      </w:r>
      <w:r w:rsidRPr="0039410C">
        <w:t>microbiology</w:t>
      </w:r>
      <w:r w:rsidRPr="001E4E7D">
        <w:t xml:space="preserve"> laboratories in Australia has been sporadic, with varying capacity and capability across jurisdictions. However, over the last couple of years, </w:t>
      </w:r>
      <w:proofErr w:type="gramStart"/>
      <w:r w:rsidRPr="001E4E7D">
        <w:t>a number of</w:t>
      </w:r>
      <w:proofErr w:type="gramEnd"/>
      <w:r w:rsidRPr="001E4E7D">
        <w:t xml:space="preserve"> activities have emerged, all with the aim of facilitating the implementation of </w:t>
      </w:r>
      <w:r w:rsidR="00C44563" w:rsidRPr="001E4E7D">
        <w:t>microbial genomics technology</w:t>
      </w:r>
      <w:r w:rsidRPr="001E4E7D">
        <w:t xml:space="preserve"> into routine public health practice. </w:t>
      </w:r>
    </w:p>
    <w:p w14:paraId="2DB68004" w14:textId="2FAD065A" w:rsidR="00AA381F" w:rsidRPr="00ED4544" w:rsidRDefault="00AA381F" w:rsidP="0074398D">
      <w:pPr>
        <w:pStyle w:val="Casestudyheading"/>
      </w:pPr>
      <w:r w:rsidRPr="00ED4544">
        <w:t xml:space="preserve">Case Study </w:t>
      </w:r>
      <w:r w:rsidR="008B45F9">
        <w:t>3</w:t>
      </w:r>
      <w:r w:rsidRPr="00ED4544">
        <w:t xml:space="preserve">: Microbiological Diagnostic Unit Public Health Laboratory </w:t>
      </w:r>
    </w:p>
    <w:p w14:paraId="4D59D89E" w14:textId="029B967A" w:rsidR="00AA381F" w:rsidRPr="00ED4544" w:rsidRDefault="00376BCB" w:rsidP="0074398D">
      <w:pPr>
        <w:pStyle w:val="Casestudytext"/>
      </w:pPr>
      <w:r>
        <w:t xml:space="preserve">The </w:t>
      </w:r>
      <w:r w:rsidRPr="007265CB">
        <w:t>Microbiological Diagnostic Unit Public Health Laboratory (</w:t>
      </w:r>
      <w:r w:rsidR="00AA381F" w:rsidRPr="007265CB">
        <w:t>MDU PHL</w:t>
      </w:r>
      <w:r w:rsidRPr="007265CB">
        <w:t>)</w:t>
      </w:r>
      <w:r w:rsidR="00AA381F" w:rsidRPr="007265CB">
        <w:t xml:space="preserve"> in Victoria</w:t>
      </w:r>
      <w:r w:rsidR="00AA381F" w:rsidRPr="00ED4544">
        <w:t xml:space="preserve"> is the Australian reference laboratory</w:t>
      </w:r>
      <w:r w:rsidR="003A5962" w:rsidRPr="00ED4544">
        <w:t xml:space="preserve"> </w:t>
      </w:r>
      <w:r w:rsidR="003A5962" w:rsidRPr="00C84BD0">
        <w:t xml:space="preserve">for </w:t>
      </w:r>
      <w:r w:rsidR="003A5962" w:rsidRPr="00C84BD0">
        <w:rPr>
          <w:i/>
        </w:rPr>
        <w:t>Listeria</w:t>
      </w:r>
      <w:r w:rsidR="00AA381F" w:rsidRPr="00C84BD0">
        <w:t xml:space="preserve"> and</w:t>
      </w:r>
      <w:r w:rsidR="00AA381F" w:rsidRPr="00ED4544">
        <w:t xml:space="preserve"> conducts national definitive testing and WGS-based routine national surveillance for </w:t>
      </w:r>
      <w:r w:rsidR="00AA381F" w:rsidRPr="00ED4544">
        <w:rPr>
          <w:i/>
        </w:rPr>
        <w:t xml:space="preserve">Listeria monocytogenes. </w:t>
      </w:r>
      <w:r w:rsidR="00AA381F" w:rsidRPr="00ED4544">
        <w:t>In 201</w:t>
      </w:r>
      <w:r w:rsidR="00EF3622" w:rsidRPr="00ED4544">
        <w:t>5</w:t>
      </w:r>
      <w:r w:rsidR="00AA381F" w:rsidRPr="00ED4544">
        <w:t xml:space="preserve">, MDU PHL </w:t>
      </w:r>
      <w:r w:rsidR="00EF3622" w:rsidRPr="00ED4544">
        <w:t xml:space="preserve">analysed a total of 520 </w:t>
      </w:r>
      <w:r w:rsidR="00EF3622" w:rsidRPr="00ED4544">
        <w:rPr>
          <w:i/>
        </w:rPr>
        <w:t xml:space="preserve">L. monocytogenes </w:t>
      </w:r>
      <w:r w:rsidR="00403C95" w:rsidRPr="00ED4544">
        <w:t xml:space="preserve">isolates </w:t>
      </w:r>
      <w:r w:rsidR="00EF3622" w:rsidRPr="00ED4544">
        <w:t>referred to them from 1995 to 2015</w:t>
      </w:r>
      <w:r w:rsidR="00403C95" w:rsidRPr="00ED4544">
        <w:t>. This analysis</w:t>
      </w:r>
      <w:r w:rsidR="00EF3622" w:rsidRPr="00ED4544">
        <w:t xml:space="preserve"> </w:t>
      </w:r>
      <w:r w:rsidR="00AA381F" w:rsidRPr="00ED4544">
        <w:t>found that</w:t>
      </w:r>
      <w:r>
        <w:t>,</w:t>
      </w:r>
      <w:r w:rsidR="00AA381F" w:rsidRPr="00ED4544">
        <w:t xml:space="preserve"> for national epidemiological surveillance of </w:t>
      </w:r>
      <w:r w:rsidR="00AA381F" w:rsidRPr="00ED4544">
        <w:rPr>
          <w:i/>
        </w:rPr>
        <w:t>L. monocytogene</w:t>
      </w:r>
      <w:r w:rsidR="003A5962" w:rsidRPr="00ED4544">
        <w:rPr>
          <w:i/>
        </w:rPr>
        <w:t>s</w:t>
      </w:r>
      <w:r w:rsidR="00AA381F" w:rsidRPr="00ED4544">
        <w:t xml:space="preserve">, the results inferred </w:t>
      </w:r>
      <w:r w:rsidR="00AA381F" w:rsidRPr="00ED4544">
        <w:rPr>
          <w:i/>
        </w:rPr>
        <w:t>in silico</w:t>
      </w:r>
      <w:r w:rsidR="00AA381F" w:rsidRPr="00ED4544">
        <w:t xml:space="preserve"> from WGS data was </w:t>
      </w:r>
      <w:r w:rsidR="00403C95" w:rsidRPr="00ED4544">
        <w:t xml:space="preserve">highly </w:t>
      </w:r>
      <w:r w:rsidR="00AA381F" w:rsidRPr="00ED4544">
        <w:t>concordant with the results from conventional laboratory typing data. WGS was also able to identify distinct nested clusters within isolate groups that were otherwise indistinguishable. Subsequently, the use of WGS for</w:t>
      </w:r>
      <w:r w:rsidR="003A5962" w:rsidRPr="00ED4544">
        <w:t xml:space="preserve"> </w:t>
      </w:r>
      <w:r w:rsidR="00AA381F" w:rsidRPr="00ED4544">
        <w:t xml:space="preserve">definitive testing </w:t>
      </w:r>
      <w:r w:rsidR="003A5962" w:rsidRPr="00ED4544">
        <w:t xml:space="preserve">of </w:t>
      </w:r>
      <w:r w:rsidR="003A5962" w:rsidRPr="00ED4544">
        <w:rPr>
          <w:i/>
        </w:rPr>
        <w:t>L. monocytogenes</w:t>
      </w:r>
      <w:r w:rsidR="003A5962" w:rsidRPr="00ED4544">
        <w:t xml:space="preserve"> </w:t>
      </w:r>
      <w:r w:rsidR="00AA381F" w:rsidRPr="00ED4544">
        <w:t xml:space="preserve">was approved as the new national approach for </w:t>
      </w:r>
      <w:r w:rsidR="003A5962" w:rsidRPr="00735240">
        <w:t>Listeria</w:t>
      </w:r>
      <w:r w:rsidR="00AA381F" w:rsidRPr="00ED4544">
        <w:rPr>
          <w:i/>
        </w:rPr>
        <w:t xml:space="preserve"> </w:t>
      </w:r>
      <w:r w:rsidR="00AA381F" w:rsidRPr="00ED4544">
        <w:t>surveillance, demonstrating that genomics</w:t>
      </w:r>
      <w:r w:rsidR="003A5962" w:rsidRPr="00ED4544">
        <w:t xml:space="preserve"> is beginning to</w:t>
      </w:r>
      <w:r w:rsidR="00AA381F" w:rsidRPr="00ED4544">
        <w:t xml:space="preserve"> replace traditional typing methods for routine public health surveillance and investigation </w:t>
      </w:r>
      <w:r w:rsidR="00AA381F" w:rsidRPr="00C84BD0">
        <w:t>of foodborne pathogens</w:t>
      </w:r>
      <w:r w:rsidR="00AA381F" w:rsidRPr="00ED4544">
        <w:t>.</w:t>
      </w:r>
      <w:r w:rsidR="00AA381F" w:rsidRPr="00ED4544">
        <w:rPr>
          <w:rStyle w:val="FootnoteReference"/>
        </w:rPr>
        <w:footnoteReference w:id="5"/>
      </w:r>
    </w:p>
    <w:p w14:paraId="4F466F3E" w14:textId="34109F9E" w:rsidR="008B45F9" w:rsidRPr="0060559B" w:rsidRDefault="008B45F9" w:rsidP="0060559B">
      <w:r w:rsidRPr="0060559B">
        <w:br w:type="page"/>
      </w:r>
    </w:p>
    <w:p w14:paraId="4B2B378B" w14:textId="6AE311DD" w:rsidR="008B45F9" w:rsidRDefault="008B45F9" w:rsidP="0074398D">
      <w:pPr>
        <w:pStyle w:val="Casestudyheading"/>
      </w:pPr>
      <w:r>
        <w:lastRenderedPageBreak/>
        <w:t xml:space="preserve">Case Study 4: Multijurisdictional outbreak of </w:t>
      </w:r>
      <w:r w:rsidRPr="005E2DDE">
        <w:rPr>
          <w:i/>
        </w:rPr>
        <w:t>Salmonella</w:t>
      </w:r>
      <w:r w:rsidRPr="005A5005">
        <w:t xml:space="preserve"> </w:t>
      </w:r>
      <w:proofErr w:type="spellStart"/>
      <w:r w:rsidR="00735240" w:rsidRPr="00735240">
        <w:t>H</w:t>
      </w:r>
      <w:r w:rsidRPr="00735240">
        <w:t>vittingfoss</w:t>
      </w:r>
      <w:proofErr w:type="spellEnd"/>
      <w:r>
        <w:t xml:space="preserve"> in rockmelons</w:t>
      </w:r>
    </w:p>
    <w:p w14:paraId="53FEA5BD" w14:textId="3A2D1549" w:rsidR="008B45F9" w:rsidRDefault="008B45F9" w:rsidP="0074398D">
      <w:pPr>
        <w:pStyle w:val="Casestudytext"/>
      </w:pPr>
      <w:r>
        <w:t xml:space="preserve">In 2016, an increase </w:t>
      </w:r>
      <w:r w:rsidR="00257C1B">
        <w:t>in</w:t>
      </w:r>
      <w:r>
        <w:t xml:space="preserve"> </w:t>
      </w:r>
      <w:r w:rsidR="00376BCB" w:rsidRPr="00735240">
        <w:rPr>
          <w:i/>
        </w:rPr>
        <w:t>Salmonella</w:t>
      </w:r>
      <w:r w:rsidR="00C84BD0">
        <w:t xml:space="preserve"> </w:t>
      </w:r>
      <w:proofErr w:type="spellStart"/>
      <w:r w:rsidR="00C84BD0" w:rsidRPr="00735240">
        <w:t>H</w:t>
      </w:r>
      <w:r w:rsidR="00376BCB" w:rsidRPr="00735240">
        <w:t>vittingfoss</w:t>
      </w:r>
      <w:proofErr w:type="spellEnd"/>
      <w:r w:rsidR="00376BCB">
        <w:t xml:space="preserve"> </w:t>
      </w:r>
      <w:r>
        <w:t xml:space="preserve">infections was identified through routine surveillance in </w:t>
      </w:r>
      <w:r w:rsidR="00376BCB">
        <w:t xml:space="preserve">New South Wales </w:t>
      </w:r>
      <w:r>
        <w:t xml:space="preserve">and across two other jurisdictions. Based on epidemiology and </w:t>
      </w:r>
      <w:r w:rsidRPr="00C84BD0">
        <w:t>traceback investigation</w:t>
      </w:r>
      <w:r>
        <w:t xml:space="preserve">, rockmelons were found to be the probable cause. </w:t>
      </w:r>
      <w:r w:rsidRPr="00346216">
        <w:t xml:space="preserve">Over 150 cases of </w:t>
      </w:r>
      <w:r w:rsidR="007265CB" w:rsidRPr="00735240">
        <w:t>s</w:t>
      </w:r>
      <w:r w:rsidRPr="007265CB">
        <w:t>almonella</w:t>
      </w:r>
      <w:r w:rsidRPr="00346216">
        <w:t xml:space="preserve"> were associated with the outbreak and WGS was used to definitively link 110 human cases of </w:t>
      </w:r>
      <w:r w:rsidRPr="001E5922">
        <w:rPr>
          <w:i/>
        </w:rPr>
        <w:t>S.</w:t>
      </w:r>
      <w:r w:rsidR="00E6378E">
        <w:rPr>
          <w:i/>
        </w:rPr>
        <w:t xml:space="preserve"> </w:t>
      </w:r>
      <w:proofErr w:type="spellStart"/>
      <w:r w:rsidR="00C84BD0" w:rsidRPr="00735240">
        <w:t>H</w:t>
      </w:r>
      <w:r w:rsidRPr="00735240">
        <w:t>vittingfoss</w:t>
      </w:r>
      <w:proofErr w:type="spellEnd"/>
      <w:r w:rsidRPr="00346216">
        <w:t xml:space="preserve"> infection to each other and to the affected rockmelons</w:t>
      </w:r>
      <w:r w:rsidR="00075417">
        <w:t>.</w:t>
      </w:r>
      <w:r>
        <w:t xml:space="preserve"> This marked the first time WGS was used in Australia to investigate </w:t>
      </w:r>
      <w:r w:rsidRPr="00C84BD0">
        <w:t>multi</w:t>
      </w:r>
      <w:r w:rsidR="00C84BD0" w:rsidRPr="00735240">
        <w:t>-</w:t>
      </w:r>
      <w:r w:rsidRPr="00C84BD0">
        <w:t>jurisdictional</w:t>
      </w:r>
      <w:r>
        <w:t xml:space="preserve"> outbreaks of foodborne disease.</w:t>
      </w:r>
      <w:r>
        <w:rPr>
          <w:rStyle w:val="FootnoteReference"/>
        </w:rPr>
        <w:footnoteReference w:id="6"/>
      </w:r>
    </w:p>
    <w:p w14:paraId="78B6F47E" w14:textId="185D0D90" w:rsidR="00AA038D" w:rsidRPr="00ED4544" w:rsidRDefault="00AA038D" w:rsidP="00AA038D">
      <w:pPr>
        <w:rPr>
          <w:lang w:val="en-AU"/>
        </w:rPr>
      </w:pPr>
      <w:r w:rsidRPr="00ED4544">
        <w:rPr>
          <w:lang w:val="en-AU"/>
        </w:rPr>
        <w:t>Since July 2015</w:t>
      </w:r>
      <w:r w:rsidRPr="007265CB">
        <w:rPr>
          <w:lang w:val="en-AU"/>
        </w:rPr>
        <w:t>,</w:t>
      </w:r>
      <w:r w:rsidR="00B5512B" w:rsidRPr="007265CB">
        <w:rPr>
          <w:lang w:val="en-AU"/>
        </w:rPr>
        <w:t xml:space="preserve"> CDGN</w:t>
      </w:r>
      <w:r w:rsidR="00B90E41" w:rsidRPr="007265CB">
        <w:rPr>
          <w:lang w:val="en-AU"/>
        </w:rPr>
        <w:t>,</w:t>
      </w:r>
      <w:r w:rsidRPr="007265CB">
        <w:rPr>
          <w:lang w:val="en-AU"/>
        </w:rPr>
        <w:t xml:space="preserve"> a network</w:t>
      </w:r>
      <w:r w:rsidRPr="00ED4544">
        <w:rPr>
          <w:lang w:val="en-AU"/>
        </w:rPr>
        <w:t xml:space="preserve"> of </w:t>
      </w:r>
      <w:r w:rsidR="00B90E41">
        <w:rPr>
          <w:lang w:val="en-AU"/>
        </w:rPr>
        <w:t>p</w:t>
      </w:r>
      <w:r w:rsidRPr="00ED4544">
        <w:rPr>
          <w:lang w:val="en-AU"/>
        </w:rPr>
        <w:t xml:space="preserve">ublic </w:t>
      </w:r>
      <w:r w:rsidR="00B90E41">
        <w:rPr>
          <w:lang w:val="en-AU"/>
        </w:rPr>
        <w:t>h</w:t>
      </w:r>
      <w:r w:rsidRPr="00ED4544">
        <w:rPr>
          <w:lang w:val="en-AU"/>
        </w:rPr>
        <w:t xml:space="preserve">ealth </w:t>
      </w:r>
      <w:r w:rsidR="00B90E41">
        <w:rPr>
          <w:lang w:val="en-AU"/>
        </w:rPr>
        <w:t>l</w:t>
      </w:r>
      <w:r w:rsidRPr="00ED4544">
        <w:rPr>
          <w:lang w:val="en-AU"/>
        </w:rPr>
        <w:t>aboratories and other stakeholders in Australia</w:t>
      </w:r>
      <w:r w:rsidR="00B90E41">
        <w:rPr>
          <w:lang w:val="en-AU"/>
        </w:rPr>
        <w:t>,</w:t>
      </w:r>
      <w:r w:rsidRPr="00ED4544">
        <w:rPr>
          <w:lang w:val="en-AU"/>
        </w:rPr>
        <w:t xml:space="preserve"> has been meeting through a series of teleconferences, annual face</w:t>
      </w:r>
      <w:r w:rsidR="00376BCB">
        <w:rPr>
          <w:lang w:val="en-AU"/>
        </w:rPr>
        <w:t>-</w:t>
      </w:r>
      <w:r w:rsidRPr="00ED4544">
        <w:rPr>
          <w:lang w:val="en-AU"/>
        </w:rPr>
        <w:t>to</w:t>
      </w:r>
      <w:r w:rsidR="00376BCB">
        <w:rPr>
          <w:lang w:val="en-AU"/>
        </w:rPr>
        <w:t>-</w:t>
      </w:r>
      <w:r w:rsidRPr="00ED4544">
        <w:rPr>
          <w:lang w:val="en-AU"/>
        </w:rPr>
        <w:t xml:space="preserve">face </w:t>
      </w:r>
      <w:proofErr w:type="gramStart"/>
      <w:r w:rsidRPr="00ED4544">
        <w:rPr>
          <w:lang w:val="en-AU"/>
        </w:rPr>
        <w:t>meetings</w:t>
      </w:r>
      <w:proofErr w:type="gramEnd"/>
      <w:r w:rsidRPr="00ED4544">
        <w:rPr>
          <w:lang w:val="en-AU"/>
        </w:rPr>
        <w:t xml:space="preserve"> and symposia</w:t>
      </w:r>
      <w:r w:rsidR="00B5512B">
        <w:rPr>
          <w:lang w:val="en-AU"/>
        </w:rPr>
        <w:t xml:space="preserve"> </w:t>
      </w:r>
      <w:r w:rsidRPr="00ED4544">
        <w:rPr>
          <w:lang w:val="en-AU"/>
        </w:rPr>
        <w:t>with the specific aims of:</w:t>
      </w:r>
    </w:p>
    <w:p w14:paraId="1DCE8C6C" w14:textId="344A04DB" w:rsidR="00AA038D" w:rsidRPr="0039410C" w:rsidRDefault="00376BCB" w:rsidP="00343A08">
      <w:pPr>
        <w:pStyle w:val="ListParagraph"/>
        <w:numPr>
          <w:ilvl w:val="0"/>
          <w:numId w:val="14"/>
        </w:numPr>
      </w:pPr>
      <w:r w:rsidRPr="0039410C">
        <w:t>e</w:t>
      </w:r>
      <w:r w:rsidR="00AA038D" w:rsidRPr="0039410C">
        <w:t xml:space="preserve">stablishing a unified and coordinated public health microbial genomics network to advise and interact with existing laboratory and public health networks, government, </w:t>
      </w:r>
      <w:proofErr w:type="gramStart"/>
      <w:r w:rsidR="00AA038D" w:rsidRPr="0039410C">
        <w:t>policy</w:t>
      </w:r>
      <w:r w:rsidRPr="0039410C">
        <w:t>-</w:t>
      </w:r>
      <w:r w:rsidR="00AA038D" w:rsidRPr="0039410C">
        <w:t>makers</w:t>
      </w:r>
      <w:proofErr w:type="gramEnd"/>
      <w:r w:rsidR="00AA038D" w:rsidRPr="0039410C">
        <w:t xml:space="preserve"> and other relevant stakeholders</w:t>
      </w:r>
    </w:p>
    <w:p w14:paraId="17EDCE73" w14:textId="4EB93B9F" w:rsidR="00AA038D" w:rsidRPr="0039410C" w:rsidRDefault="00376BCB" w:rsidP="00343A08">
      <w:pPr>
        <w:pStyle w:val="ListParagraph"/>
        <w:numPr>
          <w:ilvl w:val="0"/>
          <w:numId w:val="14"/>
        </w:numPr>
      </w:pPr>
      <w:r w:rsidRPr="0039410C">
        <w:t>e</w:t>
      </w:r>
      <w:r w:rsidR="00AA038D" w:rsidRPr="0039410C">
        <w:t>stablishing consensus on WGS and metagenomic platforms and methods</w:t>
      </w:r>
    </w:p>
    <w:p w14:paraId="1915C2A2" w14:textId="61E341D6" w:rsidR="00AA038D" w:rsidRPr="0039410C" w:rsidRDefault="00376BCB" w:rsidP="00343A08">
      <w:pPr>
        <w:pStyle w:val="ListParagraph"/>
        <w:numPr>
          <w:ilvl w:val="0"/>
          <w:numId w:val="14"/>
        </w:numPr>
      </w:pPr>
      <w:r w:rsidRPr="0039410C">
        <w:t>c</w:t>
      </w:r>
      <w:r w:rsidR="00AA038D" w:rsidRPr="0039410C">
        <w:t>oordinating jurisdictional capacity and expertise in microbial WGS and metagenomics</w:t>
      </w:r>
    </w:p>
    <w:p w14:paraId="72D884CF" w14:textId="6C4C37B9" w:rsidR="00AA038D" w:rsidRPr="0039410C" w:rsidRDefault="00376BCB" w:rsidP="00343A08">
      <w:pPr>
        <w:pStyle w:val="ListParagraph"/>
        <w:numPr>
          <w:ilvl w:val="0"/>
          <w:numId w:val="14"/>
        </w:numPr>
      </w:pPr>
      <w:r w:rsidRPr="0039410C">
        <w:t>e</w:t>
      </w:r>
      <w:r w:rsidR="00AA038D" w:rsidRPr="0039410C">
        <w:t>stablishing consistent, validated national microbial bioinformatics pipelines</w:t>
      </w:r>
    </w:p>
    <w:p w14:paraId="776BEFBC" w14:textId="5EAFDE1A" w:rsidR="00AA038D" w:rsidRPr="0039410C" w:rsidRDefault="00376BCB" w:rsidP="00343A08">
      <w:pPr>
        <w:pStyle w:val="ListParagraph"/>
        <w:numPr>
          <w:ilvl w:val="0"/>
          <w:numId w:val="14"/>
        </w:numPr>
      </w:pPr>
      <w:r w:rsidRPr="0039410C">
        <w:t>d</w:t>
      </w:r>
      <w:r w:rsidR="00AA038D" w:rsidRPr="0039410C">
        <w:t>eveloping procedures and policies allowing rapid national genomic data sharing and analysis in an ethical framework</w:t>
      </w:r>
    </w:p>
    <w:p w14:paraId="02D8E6C7" w14:textId="4341E6D7" w:rsidR="00AA038D" w:rsidRPr="0039410C" w:rsidRDefault="00376BCB" w:rsidP="00343A08">
      <w:pPr>
        <w:pStyle w:val="ListParagraph"/>
        <w:numPr>
          <w:ilvl w:val="0"/>
          <w:numId w:val="14"/>
        </w:numPr>
      </w:pPr>
      <w:r w:rsidRPr="0039410C">
        <w:t>d</w:t>
      </w:r>
      <w:r w:rsidR="00AA038D" w:rsidRPr="0039410C">
        <w:t>eveloping and supporting teaching and training activities to enhance public health microbial genomics</w:t>
      </w:r>
      <w:r w:rsidRPr="0039410C">
        <w:t>.</w:t>
      </w:r>
    </w:p>
    <w:p w14:paraId="561A0DEC" w14:textId="203B7AA4" w:rsidR="00AA038D" w:rsidRPr="00ED4544" w:rsidRDefault="00AA038D" w:rsidP="00AA038D">
      <w:pPr>
        <w:rPr>
          <w:lang w:val="en-AU"/>
        </w:rPr>
      </w:pPr>
      <w:r w:rsidRPr="00ED4544">
        <w:rPr>
          <w:lang w:val="en-AU"/>
        </w:rPr>
        <w:t xml:space="preserve">CDGN has representative membership from all jurisdictions, with observer members from the </w:t>
      </w:r>
      <w:r w:rsidR="00C84BD0" w:rsidRPr="007265CB">
        <w:rPr>
          <w:lang w:val="en-AU"/>
        </w:rPr>
        <w:t xml:space="preserve">Australian Government </w:t>
      </w:r>
      <w:r w:rsidRPr="007265CB">
        <w:rPr>
          <w:lang w:val="en-AU"/>
        </w:rPr>
        <w:t>and the</w:t>
      </w:r>
      <w:r w:rsidRPr="00ED4544">
        <w:rPr>
          <w:lang w:val="en-AU"/>
        </w:rPr>
        <w:t xml:space="preserve"> New Zealand national public health laboratory (ESR). </w:t>
      </w:r>
      <w:r w:rsidR="00B90E41">
        <w:rPr>
          <w:lang w:val="en-AU"/>
        </w:rPr>
        <w:t xml:space="preserve">CDGN has been formalised as </w:t>
      </w:r>
      <w:r w:rsidR="00B90E41" w:rsidRPr="007344AC">
        <w:rPr>
          <w:lang w:val="en-AU"/>
        </w:rPr>
        <w:t xml:space="preserve">an </w:t>
      </w:r>
      <w:r w:rsidR="007344AC" w:rsidRPr="00735240">
        <w:rPr>
          <w:lang w:val="en-AU"/>
        </w:rPr>
        <w:t>e</w:t>
      </w:r>
      <w:r w:rsidR="00B90E41" w:rsidRPr="007344AC">
        <w:rPr>
          <w:lang w:val="en-AU"/>
        </w:rPr>
        <w:t xml:space="preserve">xpert </w:t>
      </w:r>
      <w:r w:rsidR="007344AC" w:rsidRPr="00735240">
        <w:rPr>
          <w:lang w:val="en-AU"/>
        </w:rPr>
        <w:t>r</w:t>
      </w:r>
      <w:r w:rsidR="00B90E41" w:rsidRPr="007344AC">
        <w:rPr>
          <w:lang w:val="en-AU"/>
        </w:rPr>
        <w:t xml:space="preserve">eference </w:t>
      </w:r>
      <w:r w:rsidR="007344AC" w:rsidRPr="00735240">
        <w:rPr>
          <w:lang w:val="en-AU"/>
        </w:rPr>
        <w:t>p</w:t>
      </w:r>
      <w:r w:rsidR="00B90E41" w:rsidRPr="007344AC">
        <w:rPr>
          <w:lang w:val="en-AU"/>
        </w:rPr>
        <w:t>anel</w:t>
      </w:r>
      <w:r w:rsidR="00B90E41" w:rsidRPr="00ED4544">
        <w:rPr>
          <w:lang w:val="en-AU"/>
        </w:rPr>
        <w:t xml:space="preserve"> reporting </w:t>
      </w:r>
      <w:r w:rsidR="00B90E41" w:rsidRPr="00DE4AC0">
        <w:rPr>
          <w:lang w:val="en-AU"/>
        </w:rPr>
        <w:t>to PHLN and</w:t>
      </w:r>
      <w:r w:rsidR="00B90E41" w:rsidRPr="00ED4544">
        <w:rPr>
          <w:lang w:val="en-AU"/>
        </w:rPr>
        <w:t xml:space="preserve"> is current</w:t>
      </w:r>
      <w:r w:rsidR="00B90E41">
        <w:rPr>
          <w:lang w:val="en-AU"/>
        </w:rPr>
        <w:t xml:space="preserve">ly coordinated by MDU PHL. </w:t>
      </w:r>
      <w:r w:rsidRPr="00ED4544">
        <w:rPr>
          <w:lang w:val="en-AU"/>
        </w:rPr>
        <w:t>To address the aims</w:t>
      </w:r>
      <w:r w:rsidR="00B90E41">
        <w:rPr>
          <w:lang w:val="en-AU"/>
        </w:rPr>
        <w:t xml:space="preserve"> of the network</w:t>
      </w:r>
      <w:r w:rsidRPr="00ED4544">
        <w:rPr>
          <w:lang w:val="en-AU"/>
        </w:rPr>
        <w:t>, CDGN has established a number of working groups covering the following topics:</w:t>
      </w:r>
    </w:p>
    <w:p w14:paraId="40950854" w14:textId="046C507C" w:rsidR="00AA038D" w:rsidRPr="0039410C" w:rsidRDefault="00376BCB" w:rsidP="00343A08">
      <w:pPr>
        <w:pStyle w:val="ListParagraph"/>
        <w:numPr>
          <w:ilvl w:val="0"/>
          <w:numId w:val="15"/>
        </w:numPr>
      </w:pPr>
      <w:r w:rsidRPr="0039410C">
        <w:t>w</w:t>
      </w:r>
      <w:r w:rsidR="00AA038D" w:rsidRPr="0039410C">
        <w:t>orkforce training and curriculum development in microbial genomics</w:t>
      </w:r>
    </w:p>
    <w:p w14:paraId="793030DA" w14:textId="7C94733F" w:rsidR="005E2DDE" w:rsidRPr="0039410C" w:rsidRDefault="00376BCB" w:rsidP="00343A08">
      <w:pPr>
        <w:pStyle w:val="ListParagraph"/>
        <w:numPr>
          <w:ilvl w:val="0"/>
          <w:numId w:val="15"/>
        </w:numPr>
      </w:pPr>
      <w:r w:rsidRPr="0039410C">
        <w:t>d</w:t>
      </w:r>
      <w:r w:rsidR="00AA038D" w:rsidRPr="0039410C">
        <w:t>evelopment of a secure platform for rapid</w:t>
      </w:r>
      <w:r w:rsidR="007258FD" w:rsidRPr="0039410C">
        <w:t>, equitable</w:t>
      </w:r>
      <w:r w:rsidR="00AA038D" w:rsidRPr="0039410C">
        <w:t xml:space="preserve"> and ethical data</w:t>
      </w:r>
      <w:r w:rsidR="003A5D8E" w:rsidRPr="0039410C">
        <w:t xml:space="preserve"> </w:t>
      </w:r>
      <w:r w:rsidR="00AA038D" w:rsidRPr="0039410C">
        <w:t>sharing (‘</w:t>
      </w:r>
      <w:proofErr w:type="spellStart"/>
      <w:r w:rsidR="00AA038D" w:rsidRPr="0039410C">
        <w:t>AusTrakka</w:t>
      </w:r>
      <w:proofErr w:type="spellEnd"/>
      <w:r w:rsidR="00AA038D" w:rsidRPr="0039410C">
        <w:t>’)</w:t>
      </w:r>
    </w:p>
    <w:p w14:paraId="7622132E" w14:textId="42EC9119" w:rsidR="008B45F9" w:rsidRPr="0039410C" w:rsidRDefault="00376BCB" w:rsidP="00343A08">
      <w:pPr>
        <w:pStyle w:val="ListParagraph"/>
        <w:numPr>
          <w:ilvl w:val="0"/>
          <w:numId w:val="15"/>
        </w:numPr>
      </w:pPr>
      <w:proofErr w:type="spellStart"/>
      <w:r w:rsidRPr="0039410C">
        <w:t>s</w:t>
      </w:r>
      <w:r w:rsidR="005E2DDE" w:rsidRPr="0039410C">
        <w:t>tandardisation</w:t>
      </w:r>
      <w:proofErr w:type="spellEnd"/>
      <w:r w:rsidR="005E2DDE" w:rsidRPr="0039410C">
        <w:t xml:space="preserve"> and implementation of genomic technologies in laboratories (including clinical metagenomics). This includes development and support for the R</w:t>
      </w:r>
      <w:r w:rsidR="00A83DD4" w:rsidRPr="0039410C">
        <w:t>C</w:t>
      </w:r>
      <w:r w:rsidR="005E2DDE" w:rsidRPr="0039410C">
        <w:t>P</w:t>
      </w:r>
      <w:r w:rsidR="00A83DD4" w:rsidRPr="0039410C">
        <w:t>A QAP</w:t>
      </w:r>
      <w:r w:rsidR="005E2DDE" w:rsidRPr="0039410C">
        <w:t xml:space="preserve"> in microbial genomics.</w:t>
      </w:r>
    </w:p>
    <w:p w14:paraId="41D7A936" w14:textId="77777777" w:rsidR="008B45F9" w:rsidRDefault="008B45F9">
      <w:pPr>
        <w:rPr>
          <w:lang w:val="en-AU"/>
        </w:rPr>
      </w:pPr>
      <w:r>
        <w:rPr>
          <w:lang w:val="en-AU"/>
        </w:rPr>
        <w:br w:type="page"/>
      </w:r>
    </w:p>
    <w:p w14:paraId="2CD263C2" w14:textId="63C4B6DD" w:rsidR="00AA381F" w:rsidRPr="003B4AC2" w:rsidRDefault="00AD3AF2" w:rsidP="0074398D">
      <w:pPr>
        <w:pStyle w:val="Casestudyheading"/>
      </w:pPr>
      <w:r>
        <w:lastRenderedPageBreak/>
        <w:t>Case Study</w:t>
      </w:r>
      <w:r w:rsidRPr="003B4AC2">
        <w:t xml:space="preserve"> </w:t>
      </w:r>
      <w:r w:rsidR="008B45F9">
        <w:t>5</w:t>
      </w:r>
      <w:r w:rsidR="00AA381F" w:rsidRPr="003B4AC2">
        <w:t xml:space="preserve">: </w:t>
      </w:r>
      <w:r w:rsidR="00AA381F" w:rsidRPr="004F3B91">
        <w:t>Listeria</w:t>
      </w:r>
      <w:r w:rsidR="00AA381F" w:rsidRPr="003B4AC2">
        <w:t xml:space="preserve"> in </w:t>
      </w:r>
      <w:r w:rsidR="00376BCB">
        <w:t>r</w:t>
      </w:r>
      <w:r w:rsidR="00376BCB" w:rsidRPr="003B4AC2">
        <w:t>ockmelons</w:t>
      </w:r>
      <w:r w:rsidR="00376BCB">
        <w:t>—</w:t>
      </w:r>
      <w:r w:rsidR="00AA381F" w:rsidRPr="003B4AC2">
        <w:t>outbreak investigation</w:t>
      </w:r>
    </w:p>
    <w:p w14:paraId="24F8DEFE" w14:textId="222ABCE5" w:rsidR="00F633D0" w:rsidRPr="00B263B0" w:rsidRDefault="00AA381F" w:rsidP="0074398D">
      <w:pPr>
        <w:pStyle w:val="Casestudytext"/>
      </w:pPr>
      <w:r w:rsidRPr="003B4AC2">
        <w:t xml:space="preserve">In 2018, WGS was used to investigate the origin of </w:t>
      </w:r>
      <w:r w:rsidR="00434D6F">
        <w:t>22</w:t>
      </w:r>
      <w:r w:rsidRPr="003B4AC2">
        <w:t xml:space="preserve"> human cases of listeriosis in Australia. Laboratory testing was referred to MDU PHL</w:t>
      </w:r>
      <w:r w:rsidR="00376BCB">
        <w:t>,</w:t>
      </w:r>
      <w:r w:rsidRPr="003B4AC2">
        <w:t xml:space="preserve"> which found through WGS that the </w:t>
      </w:r>
      <w:r w:rsidRPr="007344AC">
        <w:rPr>
          <w:i/>
        </w:rPr>
        <w:t>Listeria monocytogenes</w:t>
      </w:r>
      <w:r w:rsidRPr="007344AC">
        <w:t xml:space="preserve"> strain</w:t>
      </w:r>
      <w:r w:rsidRPr="003B4AC2">
        <w:t xml:space="preserve"> causing the infections was related to isolates recovered from 37 rockmelons sourced from retail and wholesale</w:t>
      </w:r>
      <w:r w:rsidR="003A5962" w:rsidRPr="003B4AC2">
        <w:t xml:space="preserve"> outlets that were</w:t>
      </w:r>
      <w:r w:rsidRPr="003B4AC2">
        <w:t xml:space="preserve"> supplied by the same farm. The use of WGS enabled the identification of the outbreak origin and informed post-outbreak controls to prevent further risk of illness.</w:t>
      </w:r>
      <w:r w:rsidR="001163D2" w:rsidRPr="003B4AC2">
        <w:rPr>
          <w:rStyle w:val="FootnoteReference"/>
        </w:rPr>
        <w:footnoteReference w:id="7"/>
      </w:r>
    </w:p>
    <w:p w14:paraId="3570988F" w14:textId="16131A29" w:rsidR="00953FB4" w:rsidRPr="003B4AC2" w:rsidRDefault="00953FB4" w:rsidP="0039410C">
      <w:pPr>
        <w:pStyle w:val="Heading2"/>
      </w:pPr>
      <w:r w:rsidRPr="003B4AC2">
        <w:t xml:space="preserve">Challenges in the Australian </w:t>
      </w:r>
      <w:r w:rsidR="00376BCB">
        <w:t>c</w:t>
      </w:r>
      <w:r w:rsidRPr="003B4AC2">
        <w:t>ontext</w:t>
      </w:r>
    </w:p>
    <w:p w14:paraId="3B996D82" w14:textId="044BA7BA" w:rsidR="00D930A3" w:rsidRPr="0039410C" w:rsidRDefault="0048197C" w:rsidP="00343A08">
      <w:pPr>
        <w:pStyle w:val="ListParagraph"/>
        <w:numPr>
          <w:ilvl w:val="0"/>
          <w:numId w:val="16"/>
        </w:numPr>
      </w:pPr>
      <w:r w:rsidRPr="0039410C">
        <w:t>There is a l</w:t>
      </w:r>
      <w:r w:rsidR="00BC7429" w:rsidRPr="0039410C">
        <w:t>ack of national coordination of microbial genomic activities across Australia</w:t>
      </w:r>
      <w:r w:rsidRPr="0039410C">
        <w:t>.</w:t>
      </w:r>
    </w:p>
    <w:p w14:paraId="4D3419D3" w14:textId="38B601A3" w:rsidR="00E51621" w:rsidRPr="0039410C" w:rsidRDefault="0048197C" w:rsidP="00343A08">
      <w:pPr>
        <w:pStyle w:val="ListParagraph"/>
        <w:numPr>
          <w:ilvl w:val="0"/>
          <w:numId w:val="16"/>
        </w:numPr>
      </w:pPr>
      <w:r w:rsidRPr="0039410C">
        <w:t>There is a n</w:t>
      </w:r>
      <w:r w:rsidR="00E51621" w:rsidRPr="0039410C">
        <w:t>eed to determine a list of priority pathogens of public health importance</w:t>
      </w:r>
      <w:r w:rsidR="00BC08B0" w:rsidRPr="0039410C">
        <w:t>.</w:t>
      </w:r>
    </w:p>
    <w:p w14:paraId="080AD99D" w14:textId="2EC30926" w:rsidR="00BC7429" w:rsidRPr="0039410C" w:rsidRDefault="00F27C30" w:rsidP="00343A08">
      <w:pPr>
        <w:pStyle w:val="ListParagraph"/>
        <w:numPr>
          <w:ilvl w:val="0"/>
          <w:numId w:val="16"/>
        </w:numPr>
      </w:pPr>
      <w:r w:rsidRPr="0039410C">
        <w:t>Public health l</w:t>
      </w:r>
      <w:r w:rsidR="00BC7429" w:rsidRPr="0039410C">
        <w:t>aboratory and health unit systems do not currently have the capacity or capability to fully integrate microbial genomics</w:t>
      </w:r>
      <w:r w:rsidR="004B747A" w:rsidRPr="0039410C">
        <w:t xml:space="preserve"> data and metadata</w:t>
      </w:r>
      <w:r w:rsidR="001F5720" w:rsidRPr="0039410C">
        <w:t xml:space="preserve"> into existing surveillance systems</w:t>
      </w:r>
      <w:r w:rsidR="00BC08B0" w:rsidRPr="0039410C">
        <w:t>.</w:t>
      </w:r>
    </w:p>
    <w:p w14:paraId="234B1728" w14:textId="58959B6F" w:rsidR="00BC7429" w:rsidRPr="0039410C" w:rsidRDefault="00011B37" w:rsidP="00343A08">
      <w:pPr>
        <w:pStyle w:val="ListParagraph"/>
        <w:numPr>
          <w:ilvl w:val="0"/>
          <w:numId w:val="16"/>
        </w:numPr>
      </w:pPr>
      <w:r w:rsidRPr="0039410C">
        <w:t xml:space="preserve">Implementation of microbial genomics has been </w:t>
      </w:r>
      <w:proofErr w:type="spellStart"/>
      <w:r w:rsidRPr="0039410C">
        <w:t>organisationally</w:t>
      </w:r>
      <w:proofErr w:type="spellEnd"/>
      <w:r w:rsidRPr="0039410C">
        <w:t xml:space="preserve"> disruptive through replacement of traditional testing methodologies and placing complex molecular analysis at the forefront of communicable disease prevention and control</w:t>
      </w:r>
      <w:r w:rsidR="00BC08B0" w:rsidRPr="0039410C">
        <w:t>.</w:t>
      </w:r>
    </w:p>
    <w:p w14:paraId="12C41913" w14:textId="2B86C2A2" w:rsidR="00011B37" w:rsidRPr="0039410C" w:rsidRDefault="00011B37" w:rsidP="00343A08">
      <w:pPr>
        <w:pStyle w:val="ListParagraph"/>
        <w:numPr>
          <w:ilvl w:val="0"/>
          <w:numId w:val="16"/>
        </w:numPr>
      </w:pPr>
      <w:r w:rsidRPr="0039410C">
        <w:t>There is an essential need to</w:t>
      </w:r>
      <w:r w:rsidR="00FC241C" w:rsidRPr="0039410C">
        <w:t xml:space="preserve"> undertake workforce planning and training </w:t>
      </w:r>
      <w:r w:rsidR="00BC08B0" w:rsidRPr="0039410C">
        <w:t xml:space="preserve">in bioinformatics </w:t>
      </w:r>
      <w:r w:rsidR="00FC241C" w:rsidRPr="0039410C">
        <w:t>for laboratory scientific staff and epidemiologists</w:t>
      </w:r>
      <w:r w:rsidR="00BC08B0" w:rsidRPr="0039410C">
        <w:t>.</w:t>
      </w:r>
    </w:p>
    <w:p w14:paraId="0802A295" w14:textId="1AD44DA4" w:rsidR="00FC241C" w:rsidRPr="0039410C" w:rsidRDefault="00BC08B0" w:rsidP="00343A08">
      <w:pPr>
        <w:pStyle w:val="ListParagraph"/>
        <w:numPr>
          <w:ilvl w:val="0"/>
          <w:numId w:val="16"/>
        </w:numPr>
      </w:pPr>
      <w:r w:rsidRPr="0039410C">
        <w:t xml:space="preserve">There is a </w:t>
      </w:r>
      <w:r w:rsidR="00FC241C" w:rsidRPr="0039410C">
        <w:t xml:space="preserve">need to develop policies and procedures </w:t>
      </w:r>
      <w:r w:rsidRPr="0039410C">
        <w:t xml:space="preserve">quickly </w:t>
      </w:r>
      <w:r w:rsidR="00FC241C" w:rsidRPr="0039410C">
        <w:t xml:space="preserve">to enable rapid national genomics data sharing and analysis to enhance public health </w:t>
      </w:r>
      <w:r w:rsidR="00014373" w:rsidRPr="0039410C">
        <w:t xml:space="preserve">surveillance </w:t>
      </w:r>
      <w:r w:rsidR="00FC241C" w:rsidRPr="0039410C">
        <w:t>and response</w:t>
      </w:r>
      <w:r w:rsidRPr="0039410C">
        <w:t>.</w:t>
      </w:r>
    </w:p>
    <w:p w14:paraId="6823D5D7" w14:textId="114FD73B" w:rsidR="00F27C30" w:rsidRPr="0039410C" w:rsidRDefault="00BC08B0" w:rsidP="00343A08">
      <w:pPr>
        <w:pStyle w:val="ListParagraph"/>
        <w:numPr>
          <w:ilvl w:val="0"/>
          <w:numId w:val="16"/>
        </w:numPr>
      </w:pPr>
      <w:r w:rsidRPr="0039410C">
        <w:t>There is a</w:t>
      </w:r>
      <w:r w:rsidR="00011FDA" w:rsidRPr="0039410C">
        <w:t xml:space="preserve"> role for national </w:t>
      </w:r>
      <w:proofErr w:type="spellStart"/>
      <w:r w:rsidR="00011FDA" w:rsidRPr="0039410C">
        <w:t>standardis</w:t>
      </w:r>
      <w:r w:rsidR="00777F91" w:rsidRPr="0039410C">
        <w:t>ation</w:t>
      </w:r>
      <w:proofErr w:type="spellEnd"/>
      <w:r w:rsidR="00777F91" w:rsidRPr="0039410C">
        <w:t xml:space="preserve"> and definition of quality practices to assist in </w:t>
      </w:r>
      <w:r w:rsidR="00FC241C" w:rsidRPr="0039410C">
        <w:t xml:space="preserve">National Association of Testing Authorities (NATA) accreditation </w:t>
      </w:r>
      <w:r w:rsidR="00C44563" w:rsidRPr="0039410C">
        <w:t xml:space="preserve">of microbial genomics </w:t>
      </w:r>
      <w:r w:rsidR="00777F91" w:rsidRPr="0039410C">
        <w:t>analysis</w:t>
      </w:r>
      <w:r w:rsidR="00C44563" w:rsidRPr="0039410C">
        <w:t xml:space="preserve"> </w:t>
      </w:r>
      <w:r w:rsidR="00FC241C" w:rsidRPr="0039410C">
        <w:t>in public health laboratories in Australia</w:t>
      </w:r>
      <w:r w:rsidRPr="0039410C">
        <w:t>.</w:t>
      </w:r>
    </w:p>
    <w:p w14:paraId="41CF7D49" w14:textId="63CFB698" w:rsidR="004B747A" w:rsidRPr="0039410C" w:rsidRDefault="00BC08B0" w:rsidP="00343A08">
      <w:pPr>
        <w:pStyle w:val="ListParagraph"/>
        <w:numPr>
          <w:ilvl w:val="0"/>
          <w:numId w:val="16"/>
        </w:numPr>
      </w:pPr>
      <w:r w:rsidRPr="0039410C">
        <w:t>There is a n</w:t>
      </w:r>
      <w:r w:rsidR="00F27C30" w:rsidRPr="0039410C">
        <w:t>eed for exploration of opportunities to integrate microbial genomic data into surveillance infrastructures (</w:t>
      </w:r>
      <w:r w:rsidR="007265CB" w:rsidRPr="0039410C">
        <w:t>for example,</w:t>
      </w:r>
      <w:r w:rsidR="00F27C30" w:rsidRPr="0039410C">
        <w:t xml:space="preserve"> </w:t>
      </w:r>
      <w:proofErr w:type="spellStart"/>
      <w:r w:rsidR="00F27C30" w:rsidRPr="0039410C">
        <w:t>OzFoodNet</w:t>
      </w:r>
      <w:proofErr w:type="spellEnd"/>
      <w:r w:rsidR="00F27C30" w:rsidRPr="0039410C">
        <w:t>,</w:t>
      </w:r>
      <w:r w:rsidR="00DC0B4D" w:rsidRPr="0039410C">
        <w:t xml:space="preserve"> </w:t>
      </w:r>
      <w:r w:rsidR="00FB0CFB" w:rsidRPr="0039410C">
        <w:t xml:space="preserve">the </w:t>
      </w:r>
      <w:r w:rsidR="008F741A" w:rsidRPr="0039410C">
        <w:t>National Notifiable Diseases Surveillance System</w:t>
      </w:r>
      <w:r w:rsidR="00DC0B4D" w:rsidRPr="0039410C">
        <w:t xml:space="preserve">, jurisdictional </w:t>
      </w:r>
      <w:r w:rsidR="00680BAE" w:rsidRPr="0039410C">
        <w:t xml:space="preserve">health </w:t>
      </w:r>
      <w:r w:rsidR="00DC0B4D" w:rsidRPr="0039410C">
        <w:t>databases,</w:t>
      </w:r>
      <w:r w:rsidR="00F27C30" w:rsidRPr="0039410C">
        <w:t xml:space="preserve"> </w:t>
      </w:r>
      <w:r w:rsidR="00FB0CFB" w:rsidRPr="0039410C">
        <w:t xml:space="preserve">the </w:t>
      </w:r>
      <w:r w:rsidR="00F27C30" w:rsidRPr="0039410C">
        <w:t xml:space="preserve">National Tuberculosis Advisory </w:t>
      </w:r>
      <w:proofErr w:type="gramStart"/>
      <w:r w:rsidR="00F27C30" w:rsidRPr="0039410C">
        <w:t>Committee</w:t>
      </w:r>
      <w:proofErr w:type="gramEnd"/>
      <w:r w:rsidR="00F27C30" w:rsidRPr="0039410C">
        <w:t xml:space="preserve"> and the National Neisseria Network)</w:t>
      </w:r>
      <w:r w:rsidRPr="0039410C">
        <w:t>.</w:t>
      </w:r>
    </w:p>
    <w:p w14:paraId="50062DBD" w14:textId="1DB8076A" w:rsidR="00011B37" w:rsidRPr="0039410C" w:rsidRDefault="00BC08B0" w:rsidP="00343A08">
      <w:pPr>
        <w:pStyle w:val="ListParagraph"/>
        <w:numPr>
          <w:ilvl w:val="0"/>
          <w:numId w:val="16"/>
        </w:numPr>
      </w:pPr>
      <w:r w:rsidRPr="0039410C">
        <w:t>There are d</w:t>
      </w:r>
      <w:r w:rsidR="004B747A" w:rsidRPr="0039410C">
        <w:t>ifferences in jurisdictional capacity</w:t>
      </w:r>
      <w:r w:rsidR="00D7297E" w:rsidRPr="0039410C">
        <w:t>, methodology, instrumentation, governance structures</w:t>
      </w:r>
      <w:r w:rsidR="00B01AEE" w:rsidRPr="0039410C">
        <w:t xml:space="preserve"> and </w:t>
      </w:r>
      <w:r w:rsidR="00116462" w:rsidRPr="0039410C">
        <w:t>requirements</w:t>
      </w:r>
      <w:r w:rsidR="00B01AEE" w:rsidRPr="0039410C">
        <w:t xml:space="preserve"> for microbial genomic technologies</w:t>
      </w:r>
      <w:r w:rsidR="00116462" w:rsidRPr="0039410C">
        <w:t xml:space="preserve"> and information</w:t>
      </w:r>
      <w:r w:rsidR="00DC0B4D" w:rsidRPr="0039410C">
        <w:t xml:space="preserve"> within both the laboratories and public health units</w:t>
      </w:r>
      <w:r w:rsidR="00FC241C" w:rsidRPr="0039410C">
        <w:t>.</w:t>
      </w:r>
    </w:p>
    <w:p w14:paraId="2376DF0B" w14:textId="482FF69B" w:rsidR="00240B0A" w:rsidRPr="00B65945" w:rsidRDefault="00240B0A" w:rsidP="00B65945">
      <w:pPr>
        <w:rPr>
          <w:rFonts w:eastAsiaTheme="majorEastAsia"/>
        </w:rPr>
      </w:pPr>
      <w:r w:rsidRPr="00B65945">
        <w:br w:type="page"/>
      </w:r>
    </w:p>
    <w:p w14:paraId="18158BCC" w14:textId="2931D885" w:rsidR="00E8282F" w:rsidRPr="003B4AC2" w:rsidRDefault="00BD3B90" w:rsidP="00BD3B90">
      <w:pPr>
        <w:pStyle w:val="Heading1"/>
        <w:rPr>
          <w:lang w:val="en-AU"/>
        </w:rPr>
      </w:pPr>
      <w:bookmarkStart w:id="22" w:name="_Toc530994576"/>
      <w:bookmarkStart w:id="23" w:name="_Toc11404106"/>
      <w:r w:rsidRPr="003B4AC2">
        <w:rPr>
          <w:lang w:val="en-AU"/>
        </w:rPr>
        <w:lastRenderedPageBreak/>
        <w:t xml:space="preserve">Strategic </w:t>
      </w:r>
      <w:r w:rsidR="00376BCB">
        <w:rPr>
          <w:lang w:val="en-AU"/>
        </w:rPr>
        <w:t>p</w:t>
      </w:r>
      <w:r w:rsidR="00E8282F" w:rsidRPr="003B4AC2">
        <w:rPr>
          <w:lang w:val="en-AU"/>
        </w:rPr>
        <w:t>riorities</w:t>
      </w:r>
      <w:bookmarkEnd w:id="22"/>
      <w:bookmarkEnd w:id="23"/>
    </w:p>
    <w:p w14:paraId="0DA0C650" w14:textId="573EE10A" w:rsidR="00E8282F" w:rsidRPr="001E4E7D" w:rsidRDefault="00BC08B0" w:rsidP="00E8282F">
      <w:pPr>
        <w:rPr>
          <w:lang w:val="en-AU"/>
        </w:rPr>
      </w:pPr>
      <w:r>
        <w:rPr>
          <w:lang w:val="en-AU"/>
        </w:rPr>
        <w:t>T</w:t>
      </w:r>
      <w:r w:rsidR="00C76467" w:rsidRPr="001E4E7D">
        <w:rPr>
          <w:lang w:val="en-AU"/>
        </w:rPr>
        <w:t xml:space="preserve">he </w:t>
      </w:r>
      <w:r w:rsidR="00CC7536">
        <w:rPr>
          <w:lang w:val="en-AU"/>
        </w:rPr>
        <w:t>National Microbial Genomics Framework</w:t>
      </w:r>
      <w:r>
        <w:rPr>
          <w:lang w:val="en-AU"/>
        </w:rPr>
        <w:t xml:space="preserve"> outlines five</w:t>
      </w:r>
      <w:r w:rsidR="00CC7536">
        <w:rPr>
          <w:lang w:val="en-AU"/>
        </w:rPr>
        <w:t xml:space="preserve"> </w:t>
      </w:r>
      <w:r w:rsidR="00CC7536" w:rsidRPr="00A80633">
        <w:rPr>
          <w:lang w:val="en-AU"/>
        </w:rPr>
        <w:t xml:space="preserve">strategic priorities </w:t>
      </w:r>
      <w:r>
        <w:rPr>
          <w:lang w:val="en-AU"/>
        </w:rPr>
        <w:t xml:space="preserve">that </w:t>
      </w:r>
      <w:r w:rsidR="00DA48E0" w:rsidRPr="001E4E7D">
        <w:rPr>
          <w:lang w:val="en-AU"/>
        </w:rPr>
        <w:t xml:space="preserve">give </w:t>
      </w:r>
      <w:r w:rsidR="00D930A3" w:rsidRPr="001E4E7D">
        <w:rPr>
          <w:lang w:val="en-AU"/>
        </w:rPr>
        <w:t>c</w:t>
      </w:r>
      <w:r w:rsidR="00DA48E0" w:rsidRPr="001E4E7D">
        <w:rPr>
          <w:lang w:val="en-AU"/>
        </w:rPr>
        <w:t>onsideration to prioritising the microbial genomics policy issues and challenges that need to be addressed</w:t>
      </w:r>
      <w:r>
        <w:rPr>
          <w:lang w:val="en-AU"/>
        </w:rPr>
        <w:t>.</w:t>
      </w:r>
      <w:r w:rsidR="00DA48E0" w:rsidRPr="001E4E7D">
        <w:rPr>
          <w:lang w:val="en-AU"/>
        </w:rPr>
        <w:t xml:space="preserve"> </w:t>
      </w:r>
      <w:r>
        <w:rPr>
          <w:lang w:val="en-AU"/>
        </w:rPr>
        <w:t xml:space="preserve">They also </w:t>
      </w:r>
      <w:r w:rsidR="00DA48E0" w:rsidRPr="001E4E7D">
        <w:rPr>
          <w:lang w:val="en-AU"/>
        </w:rPr>
        <w:t>identif</w:t>
      </w:r>
      <w:r w:rsidR="00376BCB">
        <w:rPr>
          <w:lang w:val="en-AU"/>
        </w:rPr>
        <w:t>y</w:t>
      </w:r>
      <w:r w:rsidR="00DA48E0" w:rsidRPr="001E4E7D">
        <w:rPr>
          <w:lang w:val="en-AU"/>
        </w:rPr>
        <w:t xml:space="preserve"> directions for change and opportunities for action as well as areas that require further work.</w:t>
      </w:r>
      <w:r w:rsidR="00C76467" w:rsidRPr="001E4E7D">
        <w:rPr>
          <w:lang w:val="en-AU"/>
        </w:rPr>
        <w:t xml:space="preserve"> </w:t>
      </w:r>
      <w:r w:rsidR="001D1FF8" w:rsidRPr="001E4E7D">
        <w:rPr>
          <w:lang w:val="en-AU"/>
        </w:rPr>
        <w:t xml:space="preserve">The priority areas are not necessarily discrete and there will be </w:t>
      </w:r>
      <w:r w:rsidR="001D1FF8" w:rsidRPr="000A400C">
        <w:rPr>
          <w:lang w:val="en-AU"/>
        </w:rPr>
        <w:t>interrelationships and interdependencies</w:t>
      </w:r>
      <w:r w:rsidR="001D1FF8" w:rsidRPr="001E4E7D">
        <w:rPr>
          <w:lang w:val="en-AU"/>
        </w:rPr>
        <w:t>.</w:t>
      </w:r>
    </w:p>
    <w:p w14:paraId="3C6F2822" w14:textId="2C6BBA6E" w:rsidR="00741CEC" w:rsidRPr="001E4E7D" w:rsidRDefault="001D1FF8" w:rsidP="00E8282F">
      <w:pPr>
        <w:rPr>
          <w:lang w:val="en-AU"/>
        </w:rPr>
      </w:pPr>
      <w:r w:rsidRPr="001E4E7D">
        <w:rPr>
          <w:lang w:val="en-AU"/>
        </w:rPr>
        <w:t xml:space="preserve">The </w:t>
      </w:r>
      <w:r w:rsidR="00376BCB">
        <w:rPr>
          <w:lang w:val="en-AU"/>
        </w:rPr>
        <w:t xml:space="preserve">five strategic </w:t>
      </w:r>
      <w:r w:rsidRPr="001E4E7D">
        <w:rPr>
          <w:lang w:val="en-AU"/>
        </w:rPr>
        <w:t>priorities are</w:t>
      </w:r>
      <w:r w:rsidR="000A400C">
        <w:rPr>
          <w:lang w:val="en-AU"/>
        </w:rPr>
        <w:t xml:space="preserve"> as follows</w:t>
      </w:r>
      <w:r w:rsidRPr="001E4E7D">
        <w:rPr>
          <w:lang w:val="en-AU"/>
        </w:rPr>
        <w:t>:</w:t>
      </w:r>
    </w:p>
    <w:p w14:paraId="0F637732" w14:textId="7DD2820F" w:rsidR="00353783" w:rsidRPr="00A80633" w:rsidRDefault="00353783" w:rsidP="00343A08">
      <w:pPr>
        <w:pStyle w:val="ListParagraph"/>
        <w:numPr>
          <w:ilvl w:val="0"/>
          <w:numId w:val="7"/>
        </w:numPr>
        <w:rPr>
          <w:lang w:val="en-AU"/>
        </w:rPr>
      </w:pPr>
      <w:r w:rsidRPr="004F19F6">
        <w:rPr>
          <w:i/>
          <w:lang w:val="en-AU"/>
        </w:rPr>
        <w:t>Strategic Priority 1</w:t>
      </w:r>
      <w:r w:rsidR="00376BCB" w:rsidRPr="00A80633">
        <w:rPr>
          <w:lang w:val="en-AU"/>
        </w:rPr>
        <w:t>—</w:t>
      </w:r>
      <w:r w:rsidRPr="00A80633">
        <w:rPr>
          <w:lang w:val="en-AU"/>
        </w:rPr>
        <w:t>Standardised National Approach</w:t>
      </w:r>
    </w:p>
    <w:p w14:paraId="75E080A5" w14:textId="4388FAD6" w:rsidR="001D1FF8" w:rsidRPr="0060559B" w:rsidRDefault="001D1FF8" w:rsidP="00343A08">
      <w:pPr>
        <w:pStyle w:val="ListParagraph"/>
        <w:numPr>
          <w:ilvl w:val="1"/>
          <w:numId w:val="7"/>
        </w:numPr>
      </w:pPr>
      <w:r w:rsidRPr="0060559B">
        <w:t xml:space="preserve">Establishing governance arrangements to </w:t>
      </w:r>
      <w:r w:rsidR="00891BA7" w:rsidRPr="0060559B">
        <w:t xml:space="preserve">drive </w:t>
      </w:r>
      <w:proofErr w:type="spellStart"/>
      <w:r w:rsidR="00891BA7" w:rsidRPr="0060559B">
        <w:t>standardisation</w:t>
      </w:r>
      <w:proofErr w:type="spellEnd"/>
      <w:r w:rsidRPr="0060559B">
        <w:t xml:space="preserve"> on </w:t>
      </w:r>
      <w:r w:rsidR="004C64B8" w:rsidRPr="0060559B">
        <w:t xml:space="preserve">microbial genomics </w:t>
      </w:r>
      <w:r w:rsidRPr="0060559B">
        <w:t>m</w:t>
      </w:r>
      <w:r w:rsidR="004C64B8" w:rsidRPr="0060559B">
        <w:t>atters of national significance</w:t>
      </w:r>
      <w:r w:rsidR="0069145E" w:rsidRPr="0060559B">
        <w:t>,</w:t>
      </w:r>
      <w:r w:rsidR="007953A7" w:rsidRPr="0060559B">
        <w:t xml:space="preserve"> including rapid national data</w:t>
      </w:r>
      <w:r w:rsidR="003A5D8E" w:rsidRPr="0060559B">
        <w:t xml:space="preserve"> </w:t>
      </w:r>
      <w:r w:rsidR="007953A7" w:rsidRPr="0060559B">
        <w:t>sharing</w:t>
      </w:r>
      <w:r w:rsidR="00F97936" w:rsidRPr="0060559B">
        <w:t>.</w:t>
      </w:r>
    </w:p>
    <w:p w14:paraId="40B41EB8" w14:textId="3BC216D8" w:rsidR="004C64B8" w:rsidRPr="0060559B" w:rsidRDefault="004C64B8" w:rsidP="00343A08">
      <w:pPr>
        <w:pStyle w:val="ListParagraph"/>
        <w:numPr>
          <w:ilvl w:val="1"/>
          <w:numId w:val="7"/>
        </w:numPr>
      </w:pPr>
      <w:r w:rsidRPr="0060559B">
        <w:t>Growing and applying microbial genomic knowledge that is evidence</w:t>
      </w:r>
      <w:r w:rsidR="003A5D8E" w:rsidRPr="0060559B">
        <w:t xml:space="preserve"> </w:t>
      </w:r>
      <w:r w:rsidRPr="0060559B">
        <w:t xml:space="preserve">based, </w:t>
      </w:r>
      <w:proofErr w:type="spellStart"/>
      <w:r w:rsidRPr="0060559B">
        <w:t>standardised</w:t>
      </w:r>
      <w:proofErr w:type="spellEnd"/>
      <w:r w:rsidRPr="0060559B">
        <w:t xml:space="preserve"> and of high quality.</w:t>
      </w:r>
    </w:p>
    <w:p w14:paraId="590B5E85" w14:textId="6FFC1E42" w:rsidR="00353783" w:rsidRPr="00A80633" w:rsidRDefault="00353783" w:rsidP="00343A08">
      <w:pPr>
        <w:pStyle w:val="ListParagraph"/>
        <w:numPr>
          <w:ilvl w:val="0"/>
          <w:numId w:val="7"/>
        </w:numPr>
        <w:rPr>
          <w:lang w:val="en-AU"/>
        </w:rPr>
      </w:pPr>
      <w:r w:rsidRPr="004F19F6">
        <w:rPr>
          <w:i/>
          <w:lang w:val="en-AU"/>
        </w:rPr>
        <w:t>Strategic Priority 2</w:t>
      </w:r>
      <w:r w:rsidR="00376BCB" w:rsidRPr="00A80633">
        <w:rPr>
          <w:lang w:val="en-AU"/>
        </w:rPr>
        <w:t>—</w:t>
      </w:r>
      <w:r w:rsidR="00442C0B" w:rsidRPr="00A80633">
        <w:rPr>
          <w:lang w:val="en-AU"/>
        </w:rPr>
        <w:t xml:space="preserve">Technology and </w:t>
      </w:r>
      <w:r w:rsidRPr="00A80633">
        <w:rPr>
          <w:lang w:val="en-AU"/>
        </w:rPr>
        <w:t>Data Governance</w:t>
      </w:r>
    </w:p>
    <w:p w14:paraId="6BFCC8D9" w14:textId="146612D5" w:rsidR="00442C0B" w:rsidRPr="0060559B" w:rsidRDefault="00442C0B" w:rsidP="00343A08">
      <w:pPr>
        <w:pStyle w:val="ListParagraph"/>
        <w:numPr>
          <w:ilvl w:val="1"/>
          <w:numId w:val="7"/>
        </w:numPr>
      </w:pPr>
      <w:r w:rsidRPr="0060559B">
        <w:t xml:space="preserve">Establishing nationally agreed and </w:t>
      </w:r>
      <w:proofErr w:type="spellStart"/>
      <w:r w:rsidRPr="0060559B">
        <w:t>standardised</w:t>
      </w:r>
      <w:proofErr w:type="spellEnd"/>
      <w:r w:rsidRPr="0060559B">
        <w:t xml:space="preserve"> data governance arrangements.</w:t>
      </w:r>
    </w:p>
    <w:p w14:paraId="2AED33CC" w14:textId="2D2A01FE" w:rsidR="00B06EDB" w:rsidRPr="0060559B" w:rsidRDefault="00B06EDB" w:rsidP="00343A08">
      <w:pPr>
        <w:pStyle w:val="ListParagraph"/>
        <w:numPr>
          <w:ilvl w:val="1"/>
          <w:numId w:val="7"/>
        </w:numPr>
      </w:pPr>
      <w:r w:rsidRPr="0060559B">
        <w:t>Promoting the importance of ethical and equitable data sharing and understanding the risks (or perceived risks) that it may entail.</w:t>
      </w:r>
    </w:p>
    <w:p w14:paraId="3EB876DF" w14:textId="1E5AAA15" w:rsidR="00442C0B" w:rsidRPr="0060559B" w:rsidRDefault="003C6C16" w:rsidP="00343A08">
      <w:pPr>
        <w:pStyle w:val="ListParagraph"/>
        <w:numPr>
          <w:ilvl w:val="1"/>
          <w:numId w:val="7"/>
        </w:numPr>
      </w:pPr>
      <w:r w:rsidRPr="0060559B">
        <w:t>Building high</w:t>
      </w:r>
      <w:r w:rsidR="00376BCB" w:rsidRPr="0060559B">
        <w:t>-</w:t>
      </w:r>
      <w:r w:rsidRPr="0060559B">
        <w:t>performance computing infrastructure to support data storage and sharing that can adapt to enhancing microbial genomics technologies</w:t>
      </w:r>
      <w:r w:rsidR="00442C0B" w:rsidRPr="0060559B">
        <w:t xml:space="preserve">.   </w:t>
      </w:r>
    </w:p>
    <w:p w14:paraId="4F55110E" w14:textId="6B8A8F2A" w:rsidR="00353783" w:rsidRPr="004F19F6" w:rsidRDefault="00353783" w:rsidP="00343A08">
      <w:pPr>
        <w:pStyle w:val="ListParagraph"/>
        <w:numPr>
          <w:ilvl w:val="0"/>
          <w:numId w:val="7"/>
        </w:numPr>
        <w:rPr>
          <w:lang w:val="en-AU"/>
        </w:rPr>
      </w:pPr>
      <w:r w:rsidRPr="004F19F6">
        <w:rPr>
          <w:lang w:val="en-AU"/>
        </w:rPr>
        <w:t>Strategic Priority 3</w:t>
      </w:r>
      <w:r w:rsidR="00376BCB" w:rsidRPr="004F19F6">
        <w:rPr>
          <w:lang w:val="en-AU"/>
        </w:rPr>
        <w:t>—</w:t>
      </w:r>
      <w:r w:rsidRPr="004F19F6">
        <w:rPr>
          <w:lang w:val="en-AU"/>
        </w:rPr>
        <w:t>Integration into Public Health</w:t>
      </w:r>
    </w:p>
    <w:p w14:paraId="0D7C24E0" w14:textId="77777777" w:rsidR="001D1FF8" w:rsidRPr="0060559B" w:rsidRDefault="004C64B8" w:rsidP="00343A08">
      <w:pPr>
        <w:pStyle w:val="ListParagraph"/>
        <w:numPr>
          <w:ilvl w:val="1"/>
          <w:numId w:val="7"/>
        </w:numPr>
      </w:pPr>
      <w:r w:rsidRPr="0060559B">
        <w:t xml:space="preserve">Ensuring collaboration and strong linkages between Australian laboratories and public health units to </w:t>
      </w:r>
      <w:r w:rsidR="00431385" w:rsidRPr="0060559B">
        <w:t xml:space="preserve">ensure </w:t>
      </w:r>
      <w:r w:rsidRPr="0060559B">
        <w:t xml:space="preserve">the </w:t>
      </w:r>
      <w:r w:rsidR="00431385" w:rsidRPr="0060559B">
        <w:t>value</w:t>
      </w:r>
      <w:r w:rsidRPr="0060559B">
        <w:t xml:space="preserve"> of microbial genomics technology</w:t>
      </w:r>
      <w:r w:rsidR="00431385" w:rsidRPr="0060559B">
        <w:t xml:space="preserve"> is </w:t>
      </w:r>
      <w:proofErr w:type="spellStart"/>
      <w:r w:rsidR="00431385" w:rsidRPr="0060559B">
        <w:t>recognised</w:t>
      </w:r>
      <w:proofErr w:type="spellEnd"/>
      <w:r w:rsidRPr="0060559B">
        <w:t>.</w:t>
      </w:r>
      <w:r w:rsidR="004B747A" w:rsidRPr="0060559B">
        <w:t xml:space="preserve"> Integration and planning with non-human testing laboratories </w:t>
      </w:r>
      <w:proofErr w:type="gramStart"/>
      <w:r w:rsidR="004B747A" w:rsidRPr="0060559B">
        <w:t>is</w:t>
      </w:r>
      <w:proofErr w:type="gramEnd"/>
      <w:r w:rsidR="004B747A" w:rsidRPr="0060559B">
        <w:t xml:space="preserve"> also </w:t>
      </w:r>
      <w:r w:rsidR="00D10ABA" w:rsidRPr="0060559B">
        <w:t>desirable</w:t>
      </w:r>
      <w:r w:rsidR="004B747A" w:rsidRPr="0060559B">
        <w:t>.</w:t>
      </w:r>
    </w:p>
    <w:p w14:paraId="6E9F503B" w14:textId="77777777" w:rsidR="005C5F76" w:rsidRPr="0060559B" w:rsidRDefault="005C5F76" w:rsidP="00343A08">
      <w:pPr>
        <w:pStyle w:val="ListParagraph"/>
        <w:numPr>
          <w:ilvl w:val="1"/>
          <w:numId w:val="7"/>
        </w:numPr>
      </w:pPr>
      <w:r w:rsidRPr="0060559B">
        <w:t>Establishing nationally consistent reporting structures that are compatible with existing public health surveillance systems.</w:t>
      </w:r>
    </w:p>
    <w:p w14:paraId="588EB0AF" w14:textId="7080B0C4" w:rsidR="00353783" w:rsidRPr="004F19F6" w:rsidRDefault="00353783" w:rsidP="00343A08">
      <w:pPr>
        <w:pStyle w:val="ListParagraph"/>
        <w:numPr>
          <w:ilvl w:val="0"/>
          <w:numId w:val="7"/>
        </w:numPr>
        <w:rPr>
          <w:lang w:val="en-AU"/>
        </w:rPr>
      </w:pPr>
      <w:r w:rsidRPr="004F19F6">
        <w:rPr>
          <w:lang w:val="en-AU"/>
        </w:rPr>
        <w:t>Strategic Priority 4</w:t>
      </w:r>
      <w:r w:rsidR="00376BCB" w:rsidRPr="004F19F6">
        <w:rPr>
          <w:lang w:val="en-AU"/>
        </w:rPr>
        <w:t>—</w:t>
      </w:r>
      <w:r w:rsidRPr="004F19F6">
        <w:rPr>
          <w:lang w:val="en-AU"/>
        </w:rPr>
        <w:t>Access and Workforce</w:t>
      </w:r>
    </w:p>
    <w:p w14:paraId="751D207C" w14:textId="4C1AD583" w:rsidR="001D1FF8" w:rsidRPr="0060559B" w:rsidRDefault="004C64B8" w:rsidP="00343A08">
      <w:pPr>
        <w:pStyle w:val="ListParagraph"/>
        <w:numPr>
          <w:ilvl w:val="1"/>
          <w:numId w:val="7"/>
        </w:numPr>
      </w:pPr>
      <w:r w:rsidRPr="0060559B">
        <w:t>Building</w:t>
      </w:r>
      <w:r w:rsidR="007944B4" w:rsidRPr="0060559B">
        <w:t xml:space="preserve"> and maintaining</w:t>
      </w:r>
      <w:r w:rsidRPr="0060559B">
        <w:t xml:space="preserve"> a competent multidisciplinary microbial genomics workforce.</w:t>
      </w:r>
    </w:p>
    <w:p w14:paraId="79741900" w14:textId="77777777" w:rsidR="004C64B8" w:rsidRPr="0060559B" w:rsidRDefault="004C64B8" w:rsidP="00343A08">
      <w:pPr>
        <w:pStyle w:val="ListParagraph"/>
        <w:numPr>
          <w:ilvl w:val="1"/>
          <w:numId w:val="7"/>
        </w:numPr>
      </w:pPr>
      <w:r w:rsidRPr="0060559B">
        <w:t>Ensuring microbial genomics capacity and capability is equitable across jurisdictions.</w:t>
      </w:r>
    </w:p>
    <w:p w14:paraId="75EFFAD3" w14:textId="49B68AEB" w:rsidR="00353783" w:rsidRPr="004F19F6" w:rsidRDefault="00353783" w:rsidP="00343A08">
      <w:pPr>
        <w:pStyle w:val="ListParagraph"/>
        <w:numPr>
          <w:ilvl w:val="0"/>
          <w:numId w:val="7"/>
        </w:numPr>
        <w:rPr>
          <w:lang w:val="en-AU"/>
        </w:rPr>
      </w:pPr>
      <w:r w:rsidRPr="004F19F6">
        <w:rPr>
          <w:lang w:val="en-AU"/>
        </w:rPr>
        <w:t>Strategic Priority 5</w:t>
      </w:r>
      <w:r w:rsidR="00376BCB" w:rsidRPr="004F19F6">
        <w:rPr>
          <w:lang w:val="en-AU"/>
        </w:rPr>
        <w:t>—</w:t>
      </w:r>
      <w:r w:rsidR="004C64B8" w:rsidRPr="004F19F6">
        <w:rPr>
          <w:lang w:val="en-AU"/>
        </w:rPr>
        <w:t>Financing</w:t>
      </w:r>
    </w:p>
    <w:p w14:paraId="12766B2A" w14:textId="0EB93C89" w:rsidR="004C64B8" w:rsidRPr="0060559B" w:rsidRDefault="004C64B8" w:rsidP="00343A08">
      <w:pPr>
        <w:pStyle w:val="ListParagraph"/>
        <w:numPr>
          <w:ilvl w:val="1"/>
          <w:numId w:val="7"/>
        </w:numPr>
      </w:pPr>
      <w:r w:rsidRPr="0060559B">
        <w:t xml:space="preserve">Ensuring the funding model applied to microbial genomics </w:t>
      </w:r>
      <w:r w:rsidR="004F50A9" w:rsidRPr="0060559B">
        <w:t xml:space="preserve">considers </w:t>
      </w:r>
      <w:r w:rsidR="003C6C16" w:rsidRPr="0060559B">
        <w:t xml:space="preserve">the substantial </w:t>
      </w:r>
      <w:r w:rsidR="004F50A9" w:rsidRPr="0060559B">
        <w:t xml:space="preserve">establishment costs and </w:t>
      </w:r>
      <w:r w:rsidRPr="0060559B">
        <w:t>is cost-effective and sustainable into the future.</w:t>
      </w:r>
    </w:p>
    <w:p w14:paraId="03A54802" w14:textId="5F938C6E" w:rsidR="00CA5186" w:rsidRPr="005E2DDE" w:rsidRDefault="00CA5186" w:rsidP="0039410C">
      <w:pPr>
        <w:keepNext/>
        <w:keepLines/>
        <w:rPr>
          <w:lang w:val="en-AU"/>
        </w:rPr>
      </w:pPr>
      <w:r w:rsidRPr="005E2DDE">
        <w:rPr>
          <w:lang w:val="en-AU"/>
        </w:rPr>
        <w:lastRenderedPageBreak/>
        <w:t xml:space="preserve">The following </w:t>
      </w:r>
      <w:r w:rsidR="003B02BF" w:rsidRPr="005E2DDE">
        <w:rPr>
          <w:lang w:val="en-AU"/>
        </w:rPr>
        <w:t>values</w:t>
      </w:r>
      <w:r w:rsidRPr="005E2DDE">
        <w:rPr>
          <w:lang w:val="en-AU"/>
        </w:rPr>
        <w:t xml:space="preserve"> underpin the </w:t>
      </w:r>
      <w:r w:rsidR="00376BCB">
        <w:rPr>
          <w:lang w:val="en-AU"/>
        </w:rPr>
        <w:t>s</w:t>
      </w:r>
      <w:r w:rsidRPr="005E2DDE">
        <w:rPr>
          <w:lang w:val="en-AU"/>
        </w:rPr>
        <w:t xml:space="preserve">trategic </w:t>
      </w:r>
      <w:r w:rsidR="00376BCB">
        <w:rPr>
          <w:lang w:val="en-AU"/>
        </w:rPr>
        <w:t>p</w:t>
      </w:r>
      <w:r w:rsidRPr="005E2DDE">
        <w:rPr>
          <w:lang w:val="en-AU"/>
        </w:rPr>
        <w:t xml:space="preserve">riorities of the </w:t>
      </w:r>
      <w:r w:rsidR="00376BCB">
        <w:rPr>
          <w:lang w:val="en-AU"/>
        </w:rPr>
        <w:t>f</w:t>
      </w:r>
      <w:r w:rsidRPr="005E2DDE">
        <w:rPr>
          <w:lang w:val="en-AU"/>
        </w:rPr>
        <w:t>ramework:</w:t>
      </w:r>
    </w:p>
    <w:p w14:paraId="76C8225B" w14:textId="7B1F21FE" w:rsidR="00CA5186" w:rsidRPr="005E2DDE" w:rsidRDefault="00CA5186" w:rsidP="00343A08">
      <w:pPr>
        <w:pStyle w:val="ListParagraph"/>
        <w:keepNext/>
        <w:keepLines/>
        <w:numPr>
          <w:ilvl w:val="0"/>
          <w:numId w:val="8"/>
        </w:numPr>
        <w:rPr>
          <w:lang w:val="en-AU"/>
        </w:rPr>
      </w:pPr>
      <w:r w:rsidRPr="005E2DDE">
        <w:rPr>
          <w:lang w:val="en-AU"/>
        </w:rPr>
        <w:t>The application of microbial genomic knowledge is ethically, legally and socially responsible</w:t>
      </w:r>
      <w:r w:rsidR="00376BCB">
        <w:rPr>
          <w:lang w:val="en-AU"/>
        </w:rPr>
        <w:t>.</w:t>
      </w:r>
    </w:p>
    <w:p w14:paraId="76DAEEA6" w14:textId="10B01D3F" w:rsidR="00CA5186" w:rsidRPr="005E2DDE" w:rsidRDefault="00CA5186" w:rsidP="00343A08">
      <w:pPr>
        <w:pStyle w:val="ListParagraph"/>
        <w:keepNext/>
        <w:keepLines/>
        <w:numPr>
          <w:ilvl w:val="0"/>
          <w:numId w:val="8"/>
        </w:numPr>
        <w:rPr>
          <w:lang w:val="en-AU"/>
        </w:rPr>
      </w:pPr>
      <w:r w:rsidRPr="005E2DDE">
        <w:rPr>
          <w:lang w:val="en-AU"/>
        </w:rPr>
        <w:t xml:space="preserve">Access to microbial genomics information is equitable </w:t>
      </w:r>
      <w:r w:rsidR="00356397" w:rsidRPr="005E2DDE">
        <w:rPr>
          <w:lang w:val="en-AU"/>
        </w:rPr>
        <w:t>within and between</w:t>
      </w:r>
      <w:r w:rsidRPr="005E2DDE">
        <w:rPr>
          <w:lang w:val="en-AU"/>
        </w:rPr>
        <w:t xml:space="preserve"> </w:t>
      </w:r>
      <w:r w:rsidR="003175F3">
        <w:rPr>
          <w:lang w:val="en-AU"/>
        </w:rPr>
        <w:t xml:space="preserve">the </w:t>
      </w:r>
      <w:r w:rsidR="00376BCB">
        <w:rPr>
          <w:lang w:val="en-AU"/>
        </w:rPr>
        <w:t>s</w:t>
      </w:r>
      <w:r w:rsidRPr="005E2DDE">
        <w:rPr>
          <w:lang w:val="en-AU"/>
        </w:rPr>
        <w:t>tate</w:t>
      </w:r>
      <w:r w:rsidR="00356397" w:rsidRPr="005E2DDE">
        <w:rPr>
          <w:lang w:val="en-AU"/>
        </w:rPr>
        <w:t xml:space="preserve">s and </w:t>
      </w:r>
      <w:r w:rsidR="00376BCB">
        <w:rPr>
          <w:lang w:val="en-AU"/>
        </w:rPr>
        <w:t>t</w:t>
      </w:r>
      <w:r w:rsidRPr="005E2DDE">
        <w:rPr>
          <w:lang w:val="en-AU"/>
        </w:rPr>
        <w:t>erritor</w:t>
      </w:r>
      <w:r w:rsidR="00356397" w:rsidRPr="005E2DDE">
        <w:rPr>
          <w:lang w:val="en-AU"/>
        </w:rPr>
        <w:t xml:space="preserve">ies and the </w:t>
      </w:r>
      <w:r w:rsidR="00376BCB">
        <w:rPr>
          <w:lang w:val="en-AU"/>
        </w:rPr>
        <w:t xml:space="preserve">Australian </w:t>
      </w:r>
      <w:r w:rsidR="00356397" w:rsidRPr="005E2DDE">
        <w:rPr>
          <w:lang w:val="en-AU"/>
        </w:rPr>
        <w:t>Government</w:t>
      </w:r>
      <w:r w:rsidR="00376BCB">
        <w:rPr>
          <w:lang w:val="en-AU"/>
        </w:rPr>
        <w:t>.</w:t>
      </w:r>
    </w:p>
    <w:p w14:paraId="48023E3B" w14:textId="77777777" w:rsidR="00CA5186" w:rsidRPr="005E2DDE" w:rsidRDefault="00CA5186" w:rsidP="00343A08">
      <w:pPr>
        <w:pStyle w:val="ListParagraph"/>
        <w:keepNext/>
        <w:keepLines/>
        <w:numPr>
          <w:ilvl w:val="0"/>
          <w:numId w:val="8"/>
        </w:numPr>
        <w:rPr>
          <w:lang w:val="en-AU"/>
        </w:rPr>
      </w:pPr>
      <w:r w:rsidRPr="005E2DDE">
        <w:rPr>
          <w:lang w:val="en-AU"/>
        </w:rPr>
        <w:t>The application of microbial genomic</w:t>
      </w:r>
      <w:r w:rsidR="00356397" w:rsidRPr="005E2DDE">
        <w:rPr>
          <w:lang w:val="en-AU"/>
        </w:rPr>
        <w:t>s</w:t>
      </w:r>
      <w:r w:rsidRPr="005E2DDE">
        <w:rPr>
          <w:lang w:val="en-AU"/>
        </w:rPr>
        <w:t xml:space="preserve"> knowledge to </w:t>
      </w:r>
      <w:r w:rsidR="00356397" w:rsidRPr="005E2DDE">
        <w:rPr>
          <w:lang w:val="en-AU"/>
        </w:rPr>
        <w:t xml:space="preserve">improve public </w:t>
      </w:r>
      <w:r w:rsidRPr="005E2DDE">
        <w:rPr>
          <w:lang w:val="en-AU"/>
        </w:rPr>
        <w:t>health</w:t>
      </w:r>
      <w:r w:rsidR="00356397" w:rsidRPr="005E2DDE">
        <w:rPr>
          <w:lang w:val="en-AU"/>
        </w:rPr>
        <w:t xml:space="preserve"> outcomes</w:t>
      </w:r>
      <w:r w:rsidRPr="005E2DDE">
        <w:rPr>
          <w:lang w:val="en-AU"/>
        </w:rPr>
        <w:t xml:space="preserve"> is supported and informed by evidence and research.</w:t>
      </w:r>
    </w:p>
    <w:p w14:paraId="3C06F97B" w14:textId="77464B56" w:rsidR="005432D9" w:rsidRPr="00B65945" w:rsidRDefault="005432D9" w:rsidP="00B65945">
      <w:pPr>
        <w:pStyle w:val="Heading2"/>
      </w:pPr>
      <w:bookmarkStart w:id="24" w:name="_Toc530994577"/>
      <w:bookmarkStart w:id="25" w:name="_Toc11404107"/>
      <w:r w:rsidRPr="00B65945">
        <w:t>Strategic Priority 1</w:t>
      </w:r>
      <w:r w:rsidR="00376BCB" w:rsidRPr="00B65945">
        <w:t>—</w:t>
      </w:r>
      <w:r w:rsidRPr="00B65945">
        <w:t>Standardised National Approach</w:t>
      </w:r>
      <w:bookmarkEnd w:id="24"/>
      <w:bookmarkEnd w:id="25"/>
    </w:p>
    <w:p w14:paraId="729DAD09" w14:textId="68179CEA" w:rsidR="005432D9" w:rsidRPr="001E4E7D" w:rsidRDefault="005432D9" w:rsidP="005432D9">
      <w:pPr>
        <w:rPr>
          <w:lang w:val="en-AU"/>
        </w:rPr>
      </w:pPr>
      <w:r w:rsidRPr="001E4E7D">
        <w:rPr>
          <w:lang w:val="en-AU"/>
        </w:rPr>
        <w:t>Fragmentation in current public health surveillance activities is exemplified by jurisdictional differences in specimen flow</w:t>
      </w:r>
      <w:r w:rsidR="002D4706" w:rsidRPr="001E4E7D">
        <w:rPr>
          <w:lang w:val="en-AU"/>
        </w:rPr>
        <w:t>, public health microbiology service reimbursement</w:t>
      </w:r>
      <w:r w:rsidRPr="001E4E7D">
        <w:rPr>
          <w:lang w:val="en-AU"/>
        </w:rPr>
        <w:t xml:space="preserve"> and epidemiological typing</w:t>
      </w:r>
      <w:r w:rsidR="000D57F0" w:rsidRPr="001E4E7D">
        <w:rPr>
          <w:lang w:val="en-AU"/>
        </w:rPr>
        <w:t xml:space="preserve"> and characterisation</w:t>
      </w:r>
      <w:r w:rsidR="00870500">
        <w:rPr>
          <w:lang w:val="en-AU"/>
        </w:rPr>
        <w:t>. These</w:t>
      </w:r>
      <w:r w:rsidRPr="001E4E7D">
        <w:rPr>
          <w:lang w:val="en-AU"/>
        </w:rPr>
        <w:t xml:space="preserve"> result in considerable national variability in testing practices</w:t>
      </w:r>
      <w:r w:rsidRPr="000F0FB0">
        <w:rPr>
          <w:lang w:val="en-AU"/>
        </w:rPr>
        <w:t>, turnaround times and</w:t>
      </w:r>
      <w:r w:rsidRPr="001E4E7D">
        <w:rPr>
          <w:lang w:val="en-AU"/>
        </w:rPr>
        <w:t xml:space="preserve"> reporting. </w:t>
      </w:r>
    </w:p>
    <w:p w14:paraId="0911494B" w14:textId="77777777" w:rsidR="005432D9" w:rsidRPr="001E4E7D" w:rsidRDefault="005432D9" w:rsidP="005432D9">
      <w:pPr>
        <w:rPr>
          <w:lang w:val="en-AU"/>
        </w:rPr>
      </w:pPr>
      <w:r w:rsidRPr="001E4E7D">
        <w:rPr>
          <w:lang w:val="en-AU"/>
        </w:rPr>
        <w:t xml:space="preserve">The recent introduction of </w:t>
      </w:r>
      <w:r w:rsidR="00C44563" w:rsidRPr="001E4E7D">
        <w:rPr>
          <w:lang w:val="en-AU"/>
        </w:rPr>
        <w:t>microbial genomics</w:t>
      </w:r>
      <w:r w:rsidRPr="001E4E7D">
        <w:rPr>
          <w:lang w:val="en-AU"/>
        </w:rPr>
        <w:t xml:space="preserve"> into public health laboratories offers a window of opportunity to ensure national coordination and consistency in the application of microbial genomics to public health. Some of the key risks of allowing </w:t>
      </w:r>
      <w:r w:rsidR="00C44563" w:rsidRPr="001E4E7D">
        <w:rPr>
          <w:lang w:val="en-AU"/>
        </w:rPr>
        <w:t xml:space="preserve">microbial genomics </w:t>
      </w:r>
      <w:r w:rsidRPr="001E4E7D">
        <w:rPr>
          <w:lang w:val="en-AU"/>
        </w:rPr>
        <w:t>to develop across jurisdictions without national coordination and standardisation include:</w:t>
      </w:r>
    </w:p>
    <w:p w14:paraId="77357259" w14:textId="15E1623F" w:rsidR="005432D9" w:rsidRPr="00B263B0" w:rsidRDefault="00376BCB" w:rsidP="00343A08">
      <w:pPr>
        <w:pStyle w:val="ListParagraph"/>
        <w:numPr>
          <w:ilvl w:val="0"/>
          <w:numId w:val="23"/>
        </w:numPr>
      </w:pPr>
      <w:r w:rsidRPr="00B263B0">
        <w:t>i</w:t>
      </w:r>
      <w:r w:rsidR="005432D9" w:rsidRPr="00B263B0">
        <w:t>nconsistency in analysis due to different bioinformatics pipelines</w:t>
      </w:r>
    </w:p>
    <w:p w14:paraId="5870B1B3" w14:textId="2C9A4285" w:rsidR="005432D9" w:rsidRPr="00B263B0" w:rsidRDefault="00376BCB" w:rsidP="00343A08">
      <w:pPr>
        <w:pStyle w:val="ListParagraph"/>
        <w:numPr>
          <w:ilvl w:val="0"/>
          <w:numId w:val="23"/>
        </w:numPr>
      </w:pPr>
      <w:r w:rsidRPr="00B263B0">
        <w:t>i</w:t>
      </w:r>
      <w:r w:rsidR="005432D9" w:rsidRPr="00B263B0">
        <w:t>ncompatible data from different sequencing platforms</w:t>
      </w:r>
    </w:p>
    <w:p w14:paraId="765DF31F" w14:textId="1030F3F4" w:rsidR="005432D9" w:rsidRPr="00B263B0" w:rsidRDefault="00376BCB" w:rsidP="00343A08">
      <w:pPr>
        <w:pStyle w:val="ListParagraph"/>
        <w:numPr>
          <w:ilvl w:val="0"/>
          <w:numId w:val="23"/>
        </w:numPr>
      </w:pPr>
      <w:r w:rsidRPr="00B263B0">
        <w:t>i</w:t>
      </w:r>
      <w:r w:rsidR="005432D9" w:rsidRPr="00B263B0">
        <w:t xml:space="preserve">nconsistency in the application of </w:t>
      </w:r>
      <w:r w:rsidR="007258FD" w:rsidRPr="00B263B0">
        <w:t>microbial genomics</w:t>
      </w:r>
      <w:r w:rsidR="005432D9" w:rsidRPr="00B263B0">
        <w:t xml:space="preserve"> to public health</w:t>
      </w:r>
      <w:r w:rsidR="00341E66" w:rsidRPr="00B263B0">
        <w:t xml:space="preserve"> and bio</w:t>
      </w:r>
      <w:r w:rsidR="00A278A3" w:rsidRPr="00B263B0">
        <w:t>-</w:t>
      </w:r>
      <w:r w:rsidR="00341E66" w:rsidRPr="00B263B0">
        <w:t>threat</w:t>
      </w:r>
      <w:r w:rsidR="005432D9" w:rsidRPr="00B263B0">
        <w:t xml:space="preserve"> issues</w:t>
      </w:r>
    </w:p>
    <w:p w14:paraId="0D44D6F7" w14:textId="5488E205" w:rsidR="005432D9" w:rsidRPr="00B263B0" w:rsidRDefault="00376BCB" w:rsidP="00343A08">
      <w:pPr>
        <w:pStyle w:val="ListParagraph"/>
        <w:numPr>
          <w:ilvl w:val="0"/>
          <w:numId w:val="23"/>
        </w:numPr>
      </w:pPr>
      <w:r w:rsidRPr="00B263B0">
        <w:t>f</w:t>
      </w:r>
      <w:r w:rsidR="005432D9" w:rsidRPr="00B263B0">
        <w:t>ragmentation in data collection and storage</w:t>
      </w:r>
    </w:p>
    <w:p w14:paraId="24F76805" w14:textId="2485A014" w:rsidR="005432D9" w:rsidRPr="00B263B0" w:rsidRDefault="00376BCB" w:rsidP="00343A08">
      <w:pPr>
        <w:pStyle w:val="ListParagraph"/>
        <w:numPr>
          <w:ilvl w:val="0"/>
          <w:numId w:val="23"/>
        </w:numPr>
      </w:pPr>
      <w:r w:rsidRPr="00B263B0">
        <w:t>l</w:t>
      </w:r>
      <w:r w:rsidR="005432D9" w:rsidRPr="00B263B0">
        <w:t xml:space="preserve">ack of consistency in </w:t>
      </w:r>
      <w:r w:rsidR="00C70C10" w:rsidRPr="00B263B0">
        <w:t xml:space="preserve">data analysis and output </w:t>
      </w:r>
      <w:r w:rsidR="005432D9" w:rsidRPr="00B263B0">
        <w:t>for surveillance and investigative efforts</w:t>
      </w:r>
    </w:p>
    <w:p w14:paraId="38C9E7BB" w14:textId="0287E4B4" w:rsidR="005432D9" w:rsidRPr="00B263B0" w:rsidRDefault="00376BCB" w:rsidP="00343A08">
      <w:pPr>
        <w:pStyle w:val="ListParagraph"/>
        <w:numPr>
          <w:ilvl w:val="0"/>
          <w:numId w:val="23"/>
        </w:numPr>
      </w:pPr>
      <w:r w:rsidRPr="00B263B0">
        <w:t>l</w:t>
      </w:r>
      <w:r w:rsidR="005432D9" w:rsidRPr="00B263B0">
        <w:t>ack of collation and curation of national</w:t>
      </w:r>
      <w:r w:rsidR="003175F3" w:rsidRPr="00B263B0">
        <w:t>-</w:t>
      </w:r>
      <w:r w:rsidR="005432D9" w:rsidRPr="00B263B0">
        <w:t>level genomic data.</w:t>
      </w:r>
    </w:p>
    <w:p w14:paraId="34CBC9F3" w14:textId="77777777" w:rsidR="005432D9" w:rsidRPr="0060559B" w:rsidRDefault="005432D9" w:rsidP="0060559B">
      <w:r w:rsidRPr="0060559B">
        <w:t>Some of the key challenges in achieving nationally consistent laboratory-based surveillance have been highlighted in the National Framework for Communicable Disease Control. These include:</w:t>
      </w:r>
    </w:p>
    <w:p w14:paraId="090F4107" w14:textId="4DEC2A83" w:rsidR="005432D9" w:rsidRPr="00B263B0" w:rsidRDefault="00376BCB" w:rsidP="00343A08">
      <w:pPr>
        <w:pStyle w:val="ListParagraph"/>
        <w:numPr>
          <w:ilvl w:val="0"/>
          <w:numId w:val="24"/>
        </w:numPr>
      </w:pPr>
      <w:r w:rsidRPr="00B263B0">
        <w:t>a</w:t>
      </w:r>
      <w:r w:rsidR="005432D9" w:rsidRPr="00B263B0">
        <w:t xml:space="preserve">ligning governance and reporting models for public health laboratories and national </w:t>
      </w:r>
      <w:proofErr w:type="spellStart"/>
      <w:r w:rsidR="005432D9" w:rsidRPr="00B263B0">
        <w:t>centres</w:t>
      </w:r>
      <w:proofErr w:type="spellEnd"/>
    </w:p>
    <w:p w14:paraId="293E638A" w14:textId="2AE86FE3" w:rsidR="005432D9" w:rsidRPr="00B263B0" w:rsidRDefault="00376BCB" w:rsidP="00343A08">
      <w:pPr>
        <w:pStyle w:val="ListParagraph"/>
        <w:numPr>
          <w:ilvl w:val="0"/>
          <w:numId w:val="24"/>
        </w:numPr>
      </w:pPr>
      <w:proofErr w:type="spellStart"/>
      <w:r w:rsidRPr="00B263B0">
        <w:t>h</w:t>
      </w:r>
      <w:r w:rsidR="005432D9" w:rsidRPr="00B263B0">
        <w:t>armonising</w:t>
      </w:r>
      <w:proofErr w:type="spellEnd"/>
      <w:r w:rsidR="005432D9" w:rsidRPr="00B263B0">
        <w:t xml:space="preserve"> laboratory-based surveillance methods between jurisdictional public health reference laboratories</w:t>
      </w:r>
    </w:p>
    <w:p w14:paraId="00233406" w14:textId="14D6751A" w:rsidR="00894065" w:rsidRPr="00B263B0" w:rsidRDefault="00376BCB" w:rsidP="00343A08">
      <w:pPr>
        <w:pStyle w:val="ListParagraph"/>
        <w:numPr>
          <w:ilvl w:val="0"/>
          <w:numId w:val="24"/>
        </w:numPr>
      </w:pPr>
      <w:r w:rsidRPr="00B263B0">
        <w:t>a</w:t>
      </w:r>
      <w:r w:rsidR="00894065" w:rsidRPr="00B263B0">
        <w:t>greeing on an ethical and confidentiality dimension</w:t>
      </w:r>
    </w:p>
    <w:p w14:paraId="597D6F3C" w14:textId="31BAF575" w:rsidR="005432D9" w:rsidRPr="00B263B0" w:rsidRDefault="00376BCB" w:rsidP="00343A08">
      <w:pPr>
        <w:pStyle w:val="ListParagraph"/>
        <w:numPr>
          <w:ilvl w:val="0"/>
          <w:numId w:val="24"/>
        </w:numPr>
      </w:pPr>
      <w:r w:rsidRPr="00B263B0">
        <w:t>i</w:t>
      </w:r>
      <w:r w:rsidR="005432D9" w:rsidRPr="00B263B0">
        <w:t>mproving information sharing between laboratories, public health authorities and clinicians</w:t>
      </w:r>
    </w:p>
    <w:p w14:paraId="631F3656" w14:textId="3ACC8592" w:rsidR="005432D9" w:rsidRPr="00B263B0" w:rsidRDefault="00376BCB" w:rsidP="00343A08">
      <w:pPr>
        <w:pStyle w:val="ListParagraph"/>
        <w:numPr>
          <w:ilvl w:val="0"/>
          <w:numId w:val="24"/>
        </w:numPr>
      </w:pPr>
      <w:r w:rsidRPr="00B263B0">
        <w:t>a</w:t>
      </w:r>
      <w:r w:rsidR="005432D9" w:rsidRPr="00B263B0">
        <w:t>greeing on sustainable financing mechanisms for public health laboratory activities.</w:t>
      </w:r>
    </w:p>
    <w:p w14:paraId="3F7473E2" w14:textId="188BD900" w:rsidR="00763054" w:rsidRPr="006A4A1F" w:rsidRDefault="00763054" w:rsidP="006A4A1F">
      <w:pPr>
        <w:pStyle w:val="Heading3"/>
      </w:pPr>
      <w:r w:rsidRPr="006A4A1F">
        <w:t xml:space="preserve">Outcome </w:t>
      </w:r>
      <w:r w:rsidR="005432D9" w:rsidRPr="006A4A1F">
        <w:t>1.1</w:t>
      </w:r>
      <w:r w:rsidR="00376BCB" w:rsidRPr="006A4A1F">
        <w:t>—</w:t>
      </w:r>
      <w:r w:rsidR="00A32177" w:rsidRPr="006A4A1F">
        <w:t>Establishment</w:t>
      </w:r>
      <w:r w:rsidRPr="006A4A1F">
        <w:t xml:space="preserve"> of </w:t>
      </w:r>
      <w:r w:rsidR="00376BCB" w:rsidRPr="006A4A1F">
        <w:t>s</w:t>
      </w:r>
      <w:r w:rsidRPr="006A4A1F">
        <w:t xml:space="preserve">tandardised </w:t>
      </w:r>
      <w:r w:rsidR="00376BCB" w:rsidRPr="006A4A1F">
        <w:t>p</w:t>
      </w:r>
      <w:r w:rsidRPr="006A4A1F">
        <w:t xml:space="preserve">olicies and </w:t>
      </w:r>
      <w:r w:rsidR="00376BCB" w:rsidRPr="006A4A1F">
        <w:t>p</w:t>
      </w:r>
      <w:r w:rsidRPr="006A4A1F">
        <w:t>rocedures</w:t>
      </w:r>
    </w:p>
    <w:p w14:paraId="718E7B7E" w14:textId="5D24AA01" w:rsidR="00C70C10" w:rsidRPr="00B263B0" w:rsidRDefault="00376BCB" w:rsidP="00343A08">
      <w:pPr>
        <w:pStyle w:val="ListParagraph"/>
        <w:numPr>
          <w:ilvl w:val="0"/>
          <w:numId w:val="25"/>
        </w:numPr>
      </w:pPr>
      <w:r w:rsidRPr="00B263B0">
        <w:t>D</w:t>
      </w:r>
      <w:r w:rsidR="002946C7" w:rsidRPr="00B263B0">
        <w:t>evelo</w:t>
      </w:r>
      <w:r w:rsidRPr="00B263B0">
        <w:t>p</w:t>
      </w:r>
      <w:r w:rsidR="002946C7" w:rsidRPr="00B263B0">
        <w:t xml:space="preserve"> </w:t>
      </w:r>
      <w:r w:rsidR="005432D9" w:rsidRPr="00B263B0">
        <w:t xml:space="preserve">common standards, nomenclature and reporting </w:t>
      </w:r>
      <w:r w:rsidR="00DC0B4D" w:rsidRPr="00B263B0">
        <w:t xml:space="preserve">outputs and </w:t>
      </w:r>
      <w:r w:rsidR="005432D9" w:rsidRPr="00B263B0">
        <w:t>formats</w:t>
      </w:r>
      <w:r w:rsidR="00FF534B" w:rsidRPr="00B263B0">
        <w:t xml:space="preserve"> that are fit for purpose for public health surveillance</w:t>
      </w:r>
      <w:r w:rsidR="00EF3674" w:rsidRPr="00B263B0">
        <w:t xml:space="preserve"> and response</w:t>
      </w:r>
      <w:r w:rsidRPr="00B263B0">
        <w:t>.</w:t>
      </w:r>
    </w:p>
    <w:p w14:paraId="02247B2D" w14:textId="75472718" w:rsidR="005432D9" w:rsidRPr="00B263B0" w:rsidRDefault="00376BCB" w:rsidP="00343A08">
      <w:pPr>
        <w:pStyle w:val="ListParagraph"/>
        <w:numPr>
          <w:ilvl w:val="0"/>
          <w:numId w:val="25"/>
        </w:numPr>
      </w:pPr>
      <w:r w:rsidRPr="00B263B0">
        <w:t>A</w:t>
      </w:r>
      <w:r w:rsidR="00C70C10" w:rsidRPr="00B263B0">
        <w:t>gree on a national open-source platform which hosts bioinformatics pipeline</w:t>
      </w:r>
      <w:r w:rsidR="00D10ABA" w:rsidRPr="00B263B0">
        <w:t>s</w:t>
      </w:r>
      <w:r w:rsidR="00C70C10" w:rsidRPr="00B263B0">
        <w:t xml:space="preserve"> and </w:t>
      </w:r>
      <w:r w:rsidR="003175F3" w:rsidRPr="00B263B0">
        <w:t xml:space="preserve">a </w:t>
      </w:r>
      <w:r w:rsidR="00C70C10" w:rsidRPr="00B263B0">
        <w:t>data repository that is available to all public health laboratories</w:t>
      </w:r>
      <w:r w:rsidR="008B18CD" w:rsidRPr="00B263B0">
        <w:t>.</w:t>
      </w:r>
    </w:p>
    <w:p w14:paraId="360E94FC" w14:textId="7B3542DD" w:rsidR="00763054" w:rsidRPr="001E4E7D" w:rsidRDefault="00763054" w:rsidP="006A4A1F">
      <w:pPr>
        <w:pStyle w:val="Heading3"/>
      </w:pPr>
      <w:r w:rsidRPr="001E4E7D">
        <w:lastRenderedPageBreak/>
        <w:t>Outcome 1.2</w:t>
      </w:r>
      <w:r w:rsidR="00376BCB">
        <w:t>—</w:t>
      </w:r>
      <w:r w:rsidRPr="001E4E7D">
        <w:t xml:space="preserve">Harmonisation of </w:t>
      </w:r>
      <w:r w:rsidR="001E4749" w:rsidRPr="001E4E7D">
        <w:t>laboratory</w:t>
      </w:r>
      <w:r w:rsidR="00A537F3">
        <w:t>-</w:t>
      </w:r>
      <w:r w:rsidR="001E4749" w:rsidRPr="001E4E7D">
        <w:t>based sequencing and surveillance methods</w:t>
      </w:r>
    </w:p>
    <w:p w14:paraId="68764C7B" w14:textId="7F3249D5" w:rsidR="001E4749" w:rsidRPr="00B263B0" w:rsidRDefault="00BA7619" w:rsidP="00343A08">
      <w:pPr>
        <w:pStyle w:val="ListParagraph"/>
        <w:numPr>
          <w:ilvl w:val="0"/>
          <w:numId w:val="26"/>
        </w:numPr>
      </w:pPr>
      <w:r w:rsidRPr="00B263B0">
        <w:t>Develop</w:t>
      </w:r>
      <w:r w:rsidR="00376BCB" w:rsidRPr="00B263B0">
        <w:t xml:space="preserve"> </w:t>
      </w:r>
      <w:proofErr w:type="spellStart"/>
      <w:r w:rsidRPr="00B263B0">
        <w:t>harmonised</w:t>
      </w:r>
      <w:proofErr w:type="spellEnd"/>
      <w:r w:rsidRPr="00B263B0">
        <w:t xml:space="preserve"> laboratory</w:t>
      </w:r>
      <w:r w:rsidR="00376BCB" w:rsidRPr="00B263B0">
        <w:t>-</w:t>
      </w:r>
      <w:r w:rsidRPr="00B263B0">
        <w:t>based sequencing methodologies</w:t>
      </w:r>
      <w:r w:rsidR="00376BCB" w:rsidRPr="00B263B0">
        <w:t>.</w:t>
      </w:r>
    </w:p>
    <w:p w14:paraId="1D60E8B9" w14:textId="61F605EF" w:rsidR="00BA7619" w:rsidRPr="00B263B0" w:rsidRDefault="00BA7619" w:rsidP="00343A08">
      <w:pPr>
        <w:pStyle w:val="ListParagraph"/>
        <w:numPr>
          <w:ilvl w:val="0"/>
          <w:numId w:val="26"/>
        </w:numPr>
      </w:pPr>
      <w:r w:rsidRPr="00B263B0">
        <w:t>Develop</w:t>
      </w:r>
      <w:r w:rsidR="00376BCB" w:rsidRPr="00B263B0">
        <w:t xml:space="preserve"> </w:t>
      </w:r>
      <w:proofErr w:type="spellStart"/>
      <w:r w:rsidRPr="00B263B0">
        <w:t>standardised</w:t>
      </w:r>
      <w:proofErr w:type="spellEnd"/>
      <w:r w:rsidRPr="00B263B0">
        <w:t xml:space="preserve"> microbial genomics surveillance methods.</w:t>
      </w:r>
    </w:p>
    <w:p w14:paraId="2D0011F7" w14:textId="17F9D476" w:rsidR="005432D9" w:rsidRPr="001E4E7D" w:rsidRDefault="00763054" w:rsidP="006A4A1F">
      <w:pPr>
        <w:pStyle w:val="Heading3"/>
      </w:pPr>
      <w:r w:rsidRPr="001E4E7D">
        <w:t>Outcome 1.3</w:t>
      </w:r>
      <w:r w:rsidR="00376BCB">
        <w:t>—</w:t>
      </w:r>
      <w:r w:rsidRPr="001E4E7D">
        <w:t xml:space="preserve">Establishment of </w:t>
      </w:r>
      <w:r w:rsidR="00376BCB">
        <w:t>q</w:t>
      </w:r>
      <w:r w:rsidRPr="001E4E7D">
        <w:t xml:space="preserve">uality </w:t>
      </w:r>
      <w:r w:rsidR="00376BCB">
        <w:t>s</w:t>
      </w:r>
      <w:r w:rsidRPr="001E4E7D">
        <w:t>ervices</w:t>
      </w:r>
    </w:p>
    <w:p w14:paraId="76BDED92" w14:textId="6D8D5EF7" w:rsidR="005432D9" w:rsidRPr="00B263B0" w:rsidRDefault="002946C7" w:rsidP="00343A08">
      <w:pPr>
        <w:pStyle w:val="ListParagraph"/>
        <w:numPr>
          <w:ilvl w:val="0"/>
          <w:numId w:val="27"/>
        </w:numPr>
      </w:pPr>
      <w:r w:rsidRPr="00B263B0">
        <w:t>Develop</w:t>
      </w:r>
      <w:r w:rsidR="00376BCB" w:rsidRPr="00B263B0">
        <w:t xml:space="preserve"> </w:t>
      </w:r>
      <w:r w:rsidRPr="00B263B0">
        <w:t>q</w:t>
      </w:r>
      <w:r w:rsidR="005432D9" w:rsidRPr="00B263B0">
        <w:t>uality assurance and proficiency testing</w:t>
      </w:r>
      <w:r w:rsidRPr="00B263B0">
        <w:t xml:space="preserve"> specific to </w:t>
      </w:r>
      <w:r w:rsidR="00C44563" w:rsidRPr="00B263B0">
        <w:t>microbial genomics</w:t>
      </w:r>
      <w:r w:rsidR="00376BCB" w:rsidRPr="00B263B0">
        <w:t>.</w:t>
      </w:r>
    </w:p>
    <w:p w14:paraId="6F4FE6C2" w14:textId="0A66C1CB" w:rsidR="005432D9" w:rsidRPr="00B263B0" w:rsidRDefault="00376BCB" w:rsidP="00343A08">
      <w:pPr>
        <w:pStyle w:val="ListParagraph"/>
        <w:numPr>
          <w:ilvl w:val="0"/>
          <w:numId w:val="27"/>
        </w:numPr>
      </w:pPr>
      <w:r w:rsidRPr="00B263B0">
        <w:t xml:space="preserve">Enhance </w:t>
      </w:r>
      <w:r w:rsidR="002946C7" w:rsidRPr="00B263B0">
        <w:t>t</w:t>
      </w:r>
      <w:r w:rsidR="005432D9" w:rsidRPr="00B263B0">
        <w:t xml:space="preserve">echnical competence and integrity </w:t>
      </w:r>
      <w:r w:rsidR="002946C7" w:rsidRPr="00B263B0">
        <w:t>with</w:t>
      </w:r>
      <w:r w:rsidR="005432D9" w:rsidRPr="00B263B0">
        <w:t xml:space="preserve">in </w:t>
      </w:r>
      <w:proofErr w:type="spellStart"/>
      <w:r w:rsidR="005432D9" w:rsidRPr="00B263B0">
        <w:t>organisations</w:t>
      </w:r>
      <w:proofErr w:type="spellEnd"/>
      <w:r w:rsidR="005432D9" w:rsidRPr="00B263B0">
        <w:t xml:space="preserve"> offering microbial </w:t>
      </w:r>
      <w:r w:rsidR="00C44563" w:rsidRPr="00B263B0">
        <w:t>genomics</w:t>
      </w:r>
      <w:r w:rsidR="005432D9" w:rsidRPr="00B263B0">
        <w:t xml:space="preserve"> services through collaboration with </w:t>
      </w:r>
      <w:r w:rsidR="00476213" w:rsidRPr="00B263B0">
        <w:t xml:space="preserve">National Pathology </w:t>
      </w:r>
      <w:r w:rsidR="009556C4" w:rsidRPr="00B263B0">
        <w:t>Accreditation Advisory Council</w:t>
      </w:r>
      <w:r w:rsidR="005432D9" w:rsidRPr="00B263B0">
        <w:t>, NATA and RCPA</w:t>
      </w:r>
      <w:r w:rsidR="00563670" w:rsidRPr="00B263B0">
        <w:t xml:space="preserve"> </w:t>
      </w:r>
      <w:r w:rsidR="005432D9" w:rsidRPr="00B263B0">
        <w:t>QAP</w:t>
      </w:r>
      <w:r w:rsidRPr="00B263B0">
        <w:t>.</w:t>
      </w:r>
    </w:p>
    <w:p w14:paraId="67548FE5" w14:textId="6F9511E3" w:rsidR="005432D9" w:rsidRPr="00B263B0" w:rsidRDefault="00341E66" w:rsidP="00343A08">
      <w:pPr>
        <w:pStyle w:val="ListParagraph"/>
        <w:numPr>
          <w:ilvl w:val="0"/>
          <w:numId w:val="27"/>
        </w:numPr>
      </w:pPr>
      <w:r w:rsidRPr="00B263B0">
        <w:t>P</w:t>
      </w:r>
      <w:r w:rsidR="00A3356C" w:rsidRPr="00B263B0">
        <w:t xml:space="preserve">romote sharing of sequence data </w:t>
      </w:r>
      <w:r w:rsidR="007953A7" w:rsidRPr="00B263B0">
        <w:t>nationally and with</w:t>
      </w:r>
      <w:r w:rsidR="00A3356C" w:rsidRPr="00B263B0">
        <w:t xml:space="preserve"> international laboratories to inform</w:t>
      </w:r>
      <w:r w:rsidR="00D10ABA" w:rsidRPr="00B263B0">
        <w:t xml:space="preserve"> detection and investigation of</w:t>
      </w:r>
      <w:r w:rsidR="00A3356C" w:rsidRPr="00B263B0">
        <w:t xml:space="preserve"> multi-country outbreaks.</w:t>
      </w:r>
    </w:p>
    <w:p w14:paraId="3C1F63DB" w14:textId="32E1F8ED" w:rsidR="003B02BF" w:rsidRPr="001E4E7D" w:rsidRDefault="00570403" w:rsidP="0074398D">
      <w:pPr>
        <w:pStyle w:val="Style1"/>
      </w:pPr>
      <w:r w:rsidRPr="001E4E7D">
        <w:t>What does the f</w:t>
      </w:r>
      <w:r w:rsidR="003B02BF" w:rsidRPr="001E4E7D">
        <w:t>uture look like?</w:t>
      </w:r>
    </w:p>
    <w:p w14:paraId="1B468B79" w14:textId="2A221B25" w:rsidR="003B02BF" w:rsidRPr="00020677" w:rsidRDefault="003B02BF" w:rsidP="00020677">
      <w:pPr>
        <w:pStyle w:val="shadedbullets"/>
      </w:pPr>
      <w:r w:rsidRPr="00020677">
        <w:t>The application of microbial genomics to public health</w:t>
      </w:r>
      <w:r w:rsidR="00AF7DDC" w:rsidRPr="00020677">
        <w:t>—</w:t>
      </w:r>
      <w:r w:rsidRPr="00020677">
        <w:t>communicable disease and biological agents of security concern control</w:t>
      </w:r>
      <w:r w:rsidR="00AF7DDC" w:rsidRPr="00020677">
        <w:t>—</w:t>
      </w:r>
      <w:r w:rsidRPr="00020677">
        <w:t>is well understood by stakeholders.</w:t>
      </w:r>
    </w:p>
    <w:p w14:paraId="7C615C4C" w14:textId="4CD24CCA" w:rsidR="003B02BF" w:rsidRPr="00020677" w:rsidRDefault="003B02BF" w:rsidP="00020677">
      <w:pPr>
        <w:pStyle w:val="shadedbullets"/>
      </w:pPr>
      <w:r w:rsidRPr="00020677">
        <w:t>A coordinated and consistent approach has been developed around the application of microbial genomics in public health practice</w:t>
      </w:r>
      <w:r w:rsidR="009E0445" w:rsidRPr="00020677">
        <w:t xml:space="preserve"> that increases efficiency and reduces duplication of effort</w:t>
      </w:r>
      <w:r w:rsidRPr="00020677">
        <w:t>.</w:t>
      </w:r>
    </w:p>
    <w:p w14:paraId="3E1ECA6B" w14:textId="1DED293B" w:rsidR="003B02BF" w:rsidRPr="00020677" w:rsidRDefault="003B02BF" w:rsidP="00020677">
      <w:pPr>
        <w:pStyle w:val="shadedbullets"/>
      </w:pPr>
      <w:r w:rsidRPr="00020677">
        <w:t>Th</w:t>
      </w:r>
      <w:r w:rsidR="003E6380" w:rsidRPr="00020677">
        <w:t>e</w:t>
      </w:r>
      <w:r w:rsidRPr="00020677">
        <w:t xml:space="preserve"> approach has been adopted at a national level.</w:t>
      </w:r>
    </w:p>
    <w:p w14:paraId="3E48399F" w14:textId="3788FCCE" w:rsidR="005432D9" w:rsidRPr="001E4E7D" w:rsidRDefault="003B02BF" w:rsidP="00020677">
      <w:pPr>
        <w:pStyle w:val="shadedbullets"/>
      </w:pPr>
      <w:r w:rsidRPr="00020677">
        <w:t xml:space="preserve">The approach is </w:t>
      </w:r>
      <w:r w:rsidR="00AB5314" w:rsidRPr="00020677">
        <w:t xml:space="preserve">sustainable and </w:t>
      </w:r>
      <w:r w:rsidRPr="00020677">
        <w:t xml:space="preserve">well supported by </w:t>
      </w:r>
      <w:r w:rsidR="003836A4" w:rsidRPr="00020677">
        <w:t>information technology (</w:t>
      </w:r>
      <w:r w:rsidRPr="00020677">
        <w:t>IT</w:t>
      </w:r>
      <w:r w:rsidR="003836A4" w:rsidRPr="00020677">
        <w:t>)</w:t>
      </w:r>
      <w:r w:rsidRPr="00020677">
        <w:t xml:space="preserve"> infrastructure, quality assurance pathways and appropriate financing.</w:t>
      </w:r>
      <w:r w:rsidR="005432D9" w:rsidRPr="001E4E7D">
        <w:br w:type="page"/>
      </w:r>
    </w:p>
    <w:p w14:paraId="45286538" w14:textId="7D1FBC5E" w:rsidR="00BD3B90" w:rsidRPr="0039410C" w:rsidRDefault="00BD3B90" w:rsidP="0039410C">
      <w:pPr>
        <w:pStyle w:val="Heading2"/>
      </w:pPr>
      <w:bookmarkStart w:id="26" w:name="_Toc530994578"/>
      <w:bookmarkStart w:id="27" w:name="_Toc11404108"/>
      <w:r w:rsidRPr="0039410C">
        <w:lastRenderedPageBreak/>
        <w:t xml:space="preserve">Strategic Priority </w:t>
      </w:r>
      <w:r w:rsidR="005432D9" w:rsidRPr="0039410C">
        <w:t>2</w:t>
      </w:r>
      <w:r w:rsidR="00AF7DDC" w:rsidRPr="0039410C">
        <w:t>—</w:t>
      </w:r>
      <w:r w:rsidR="00EF3674" w:rsidRPr="0039410C">
        <w:t xml:space="preserve">Technology and </w:t>
      </w:r>
      <w:r w:rsidRPr="0039410C">
        <w:t>Data</w:t>
      </w:r>
      <w:r w:rsidR="001E69FC" w:rsidRPr="0039410C">
        <w:t xml:space="preserve"> Governance</w:t>
      </w:r>
      <w:bookmarkEnd w:id="26"/>
      <w:bookmarkEnd w:id="27"/>
    </w:p>
    <w:p w14:paraId="0E90D75E" w14:textId="54582B7F" w:rsidR="00DD16EB" w:rsidRPr="0039410C" w:rsidRDefault="000B66AC" w:rsidP="00B1299D">
      <w:pPr>
        <w:rPr>
          <w:lang w:val="en-AU"/>
        </w:rPr>
      </w:pPr>
      <w:r w:rsidRPr="001E4E7D">
        <w:rPr>
          <w:lang w:val="en-AU"/>
        </w:rPr>
        <w:t xml:space="preserve">There is recognition in the public health community of the importance of data sharing to improve public health surveillance and response. Identifying suitable approaches to data sharing that ensure sensitive data remains protected </w:t>
      </w:r>
      <w:r w:rsidR="00B7168D" w:rsidRPr="001E4E7D">
        <w:rPr>
          <w:lang w:val="en-AU"/>
        </w:rPr>
        <w:t>while</w:t>
      </w:r>
      <w:r w:rsidRPr="001E4E7D">
        <w:rPr>
          <w:lang w:val="en-AU"/>
        </w:rPr>
        <w:t xml:space="preserve"> allow</w:t>
      </w:r>
      <w:r w:rsidR="00B7168D" w:rsidRPr="001E4E7D">
        <w:rPr>
          <w:lang w:val="en-AU"/>
        </w:rPr>
        <w:t>ing</w:t>
      </w:r>
      <w:r w:rsidRPr="001E4E7D">
        <w:rPr>
          <w:lang w:val="en-AU"/>
        </w:rPr>
        <w:t xml:space="preserve"> for the benefits of genomic data to accrue in public health is an ongoing challenge. Currently, data sharing happens in an ad hoc</w:t>
      </w:r>
      <w:r w:rsidRPr="001E4E7D">
        <w:rPr>
          <w:i/>
          <w:lang w:val="en-AU"/>
        </w:rPr>
        <w:t xml:space="preserve"> </w:t>
      </w:r>
      <w:r w:rsidRPr="001E4E7D">
        <w:rPr>
          <w:lang w:val="en-AU"/>
        </w:rPr>
        <w:t xml:space="preserve">manner within negotiated bilateral </w:t>
      </w:r>
      <w:r w:rsidR="00AF7DDC">
        <w:rPr>
          <w:lang w:val="en-AU"/>
        </w:rPr>
        <w:t>s</w:t>
      </w:r>
      <w:r w:rsidRPr="001E4E7D">
        <w:rPr>
          <w:lang w:val="en-AU"/>
        </w:rPr>
        <w:t xml:space="preserve">tate and </w:t>
      </w:r>
      <w:r w:rsidR="00AF7DDC">
        <w:rPr>
          <w:lang w:val="en-AU"/>
        </w:rPr>
        <w:t>t</w:t>
      </w:r>
      <w:r w:rsidRPr="001E4E7D">
        <w:rPr>
          <w:lang w:val="en-AU"/>
        </w:rPr>
        <w:t xml:space="preserve">erritory agreements or other undocumented arrangements. The </w:t>
      </w:r>
      <w:r w:rsidR="00C44563" w:rsidRPr="001E4E7D">
        <w:rPr>
          <w:lang w:val="en-AU"/>
        </w:rPr>
        <w:t>microbial genomics</w:t>
      </w:r>
      <w:r w:rsidRPr="001E4E7D">
        <w:rPr>
          <w:lang w:val="en-AU"/>
        </w:rPr>
        <w:t xml:space="preserve"> data exchanged in this manner has been used as a tool for outbreak investigation</w:t>
      </w:r>
      <w:r w:rsidR="00BE78AD" w:rsidRPr="001E4E7D">
        <w:rPr>
          <w:lang w:val="en-AU"/>
        </w:rPr>
        <w:t xml:space="preserve"> and</w:t>
      </w:r>
      <w:r w:rsidR="00AF7DDC">
        <w:rPr>
          <w:lang w:val="en-AU"/>
        </w:rPr>
        <w:t>,</w:t>
      </w:r>
      <w:r w:rsidR="00BE78AD" w:rsidRPr="001E4E7D">
        <w:rPr>
          <w:lang w:val="en-AU"/>
        </w:rPr>
        <w:t xml:space="preserve"> more recently</w:t>
      </w:r>
      <w:r w:rsidR="00AF7DDC">
        <w:rPr>
          <w:lang w:val="en-AU"/>
        </w:rPr>
        <w:t>,</w:t>
      </w:r>
      <w:r w:rsidR="00BE78AD" w:rsidRPr="001E4E7D">
        <w:rPr>
          <w:lang w:val="en-AU"/>
        </w:rPr>
        <w:t xml:space="preserve"> </w:t>
      </w:r>
      <w:r w:rsidRPr="001E4E7D">
        <w:rPr>
          <w:lang w:val="en-AU"/>
        </w:rPr>
        <w:t xml:space="preserve">outbreak detection. </w:t>
      </w:r>
      <w:r w:rsidR="00BE78AD" w:rsidRPr="001E4E7D">
        <w:rPr>
          <w:lang w:val="en-AU"/>
        </w:rPr>
        <w:t>W</w:t>
      </w:r>
      <w:r w:rsidRPr="001E4E7D">
        <w:rPr>
          <w:lang w:val="en-AU"/>
        </w:rPr>
        <w:t xml:space="preserve">hile it has allowed for finer resolution of outbreaks, and greater confidence in including or excluding isolates in a particular outbreak, </w:t>
      </w:r>
      <w:r w:rsidR="00C44563" w:rsidRPr="001E4E7D">
        <w:rPr>
          <w:lang w:val="en-AU"/>
        </w:rPr>
        <w:t>microbial genomics</w:t>
      </w:r>
      <w:r w:rsidRPr="001E4E7D">
        <w:rPr>
          <w:lang w:val="en-AU"/>
        </w:rPr>
        <w:t xml:space="preserve"> data has not been used extensively as a tool for detecting outbreaks.</w:t>
      </w:r>
      <w:r w:rsidR="00962ABE" w:rsidRPr="001E4E7D">
        <w:rPr>
          <w:lang w:val="en-AU"/>
        </w:rPr>
        <w:t xml:space="preserve"> </w:t>
      </w:r>
      <w:r w:rsidR="00CC396B" w:rsidRPr="001E4E7D">
        <w:rPr>
          <w:lang w:val="en-AU"/>
        </w:rPr>
        <w:t>The ultimate aim is to achieve real-time sequencing and data exchange to enable enhanced outbreak detection and response.</w:t>
      </w:r>
      <w:r w:rsidR="002D4706" w:rsidRPr="001E4E7D">
        <w:rPr>
          <w:lang w:val="en-AU"/>
        </w:rPr>
        <w:t xml:space="preserve"> The value of genomic data, collected as part of genomic surveillance, for basic research and activities aligned with the One Health </w:t>
      </w:r>
      <w:r w:rsidR="00A32177" w:rsidRPr="001E4E7D">
        <w:rPr>
          <w:lang w:val="en-AU"/>
        </w:rPr>
        <w:t>approach</w:t>
      </w:r>
      <w:r w:rsidR="002D4706" w:rsidRPr="001E4E7D">
        <w:rPr>
          <w:lang w:val="en-AU"/>
        </w:rPr>
        <w:t xml:space="preserve"> should be also acknowledged.</w:t>
      </w:r>
    </w:p>
    <w:p w14:paraId="65A2D915" w14:textId="4A23F210" w:rsidR="00FC4412" w:rsidRPr="0060559B" w:rsidRDefault="00962ABE" w:rsidP="00B1299D">
      <w:r w:rsidRPr="001E4E7D">
        <w:rPr>
          <w:lang w:val="en-AU"/>
        </w:rPr>
        <w:t xml:space="preserve">A survey </w:t>
      </w:r>
      <w:r w:rsidR="00AF7DDC">
        <w:rPr>
          <w:lang w:val="en-AU"/>
        </w:rPr>
        <w:t xml:space="preserve">was </w:t>
      </w:r>
      <w:r w:rsidRPr="001E4E7D">
        <w:rPr>
          <w:lang w:val="en-AU"/>
        </w:rPr>
        <w:t>conducted in 2017 to inform the</w:t>
      </w:r>
      <w:r w:rsidR="00C55B5E">
        <w:rPr>
          <w:lang w:val="en-AU"/>
        </w:rPr>
        <w:t xml:space="preserve"> PHLN</w:t>
      </w:r>
      <w:r w:rsidRPr="001E4E7D">
        <w:rPr>
          <w:lang w:val="en-AU"/>
        </w:rPr>
        <w:t xml:space="preserve"> report </w:t>
      </w:r>
      <w:r w:rsidRPr="001E4E7D">
        <w:rPr>
          <w:i/>
          <w:lang w:val="en-AU"/>
        </w:rPr>
        <w:t xml:space="preserve">Data sharing to improve decision making in public health: </w:t>
      </w:r>
      <w:r w:rsidR="001449D2">
        <w:rPr>
          <w:i/>
          <w:lang w:val="en-AU"/>
        </w:rPr>
        <w:t>A</w:t>
      </w:r>
      <w:r w:rsidRPr="001E4E7D">
        <w:rPr>
          <w:i/>
          <w:lang w:val="en-AU"/>
        </w:rPr>
        <w:t xml:space="preserve"> case for Australian Public Health Laboratories</w:t>
      </w:r>
      <w:r w:rsidRPr="001E4E7D">
        <w:rPr>
          <w:lang w:val="en-AU"/>
        </w:rPr>
        <w:t xml:space="preserve">. </w:t>
      </w:r>
      <w:r w:rsidR="00C55B5E">
        <w:rPr>
          <w:lang w:val="en-AU"/>
        </w:rPr>
        <w:t xml:space="preserve">The report discusses support for </w:t>
      </w:r>
      <w:r w:rsidR="00FC4412" w:rsidRPr="001E4E7D">
        <w:rPr>
          <w:lang w:val="en-AU"/>
        </w:rPr>
        <w:t xml:space="preserve">a model of real-time </w:t>
      </w:r>
      <w:r w:rsidR="00CC396B" w:rsidRPr="001E4E7D">
        <w:rPr>
          <w:lang w:val="en-AU"/>
        </w:rPr>
        <w:t xml:space="preserve">data </w:t>
      </w:r>
      <w:r w:rsidR="00FC4412" w:rsidRPr="001E4E7D">
        <w:rPr>
          <w:lang w:val="en-AU"/>
        </w:rPr>
        <w:t xml:space="preserve">sharing to a central repository with controlled access across the laboratory network and relevant government </w:t>
      </w:r>
      <w:r w:rsidR="00DD16EB" w:rsidRPr="001E4E7D">
        <w:rPr>
          <w:lang w:val="en-AU"/>
        </w:rPr>
        <w:t>agencies, which</w:t>
      </w:r>
      <w:r w:rsidR="00FC4412" w:rsidRPr="001E4E7D">
        <w:rPr>
          <w:lang w:val="en-AU"/>
        </w:rPr>
        <w:t xml:space="preserve"> would allow </w:t>
      </w:r>
      <w:r w:rsidR="00DD16EB" w:rsidRPr="001E4E7D">
        <w:rPr>
          <w:lang w:val="en-AU"/>
        </w:rPr>
        <w:t>approved users</w:t>
      </w:r>
      <w:r w:rsidR="00FC4412" w:rsidRPr="001E4E7D" w:rsidDel="000A6819">
        <w:rPr>
          <w:lang w:val="en-AU"/>
        </w:rPr>
        <w:t xml:space="preserve"> </w:t>
      </w:r>
      <w:r w:rsidR="00FC4412" w:rsidRPr="001E4E7D">
        <w:rPr>
          <w:lang w:val="en-AU"/>
        </w:rPr>
        <w:t xml:space="preserve">to curate and analyse data relevant to local and national surveillance of foodborne pathogens and antimicrobial </w:t>
      </w:r>
      <w:r w:rsidR="00DD16EB" w:rsidRPr="001E4E7D">
        <w:rPr>
          <w:lang w:val="en-AU"/>
        </w:rPr>
        <w:t>resistances</w:t>
      </w:r>
      <w:r w:rsidR="004F618C">
        <w:rPr>
          <w:rStyle w:val="FootnoteReference"/>
          <w:lang w:val="en-AU"/>
        </w:rPr>
        <w:footnoteReference w:id="8"/>
      </w:r>
      <w:r w:rsidR="00FC4412" w:rsidRPr="001E4E7D">
        <w:rPr>
          <w:lang w:val="en-AU"/>
        </w:rPr>
        <w:t>.</w:t>
      </w:r>
    </w:p>
    <w:p w14:paraId="3DC8AF85" w14:textId="7895EDD7" w:rsidR="00EF3674" w:rsidRPr="001E4E7D" w:rsidRDefault="00EF3674" w:rsidP="006A4A1F">
      <w:pPr>
        <w:pStyle w:val="Heading3"/>
      </w:pPr>
      <w:r w:rsidRPr="001E4E7D">
        <w:t>Outcome 2.1</w:t>
      </w:r>
      <w:r w:rsidR="00AF7DDC">
        <w:t>—</w:t>
      </w:r>
      <w:r w:rsidRPr="001E4E7D">
        <w:t>Technology</w:t>
      </w:r>
    </w:p>
    <w:p w14:paraId="58A0B6B7" w14:textId="0AD8C37F" w:rsidR="00EF3674" w:rsidRPr="00B263B0" w:rsidRDefault="00EF3674" w:rsidP="00343A08">
      <w:pPr>
        <w:pStyle w:val="ListParagraph"/>
        <w:numPr>
          <w:ilvl w:val="0"/>
          <w:numId w:val="28"/>
        </w:numPr>
      </w:pPr>
      <w:r w:rsidRPr="00B263B0">
        <w:t xml:space="preserve">Acquire and maintain comparable sequencing instruments across </w:t>
      </w:r>
      <w:r w:rsidR="00FC737B" w:rsidRPr="00B263B0">
        <w:t>jurisdictions which</w:t>
      </w:r>
      <w:r w:rsidRPr="00B263B0">
        <w:t xml:space="preserve"> ha</w:t>
      </w:r>
      <w:r w:rsidR="00FC737B" w:rsidRPr="00B263B0">
        <w:t>ve</w:t>
      </w:r>
      <w:r w:rsidRPr="00B263B0">
        <w:t xml:space="preserve"> the flexibility to be configured </w:t>
      </w:r>
      <w:r w:rsidR="00FC737B" w:rsidRPr="00B263B0">
        <w:t>for use in the Australian setting</w:t>
      </w:r>
      <w:r w:rsidR="00AF7DDC" w:rsidRPr="00B263B0">
        <w:t>.</w:t>
      </w:r>
    </w:p>
    <w:p w14:paraId="17368955" w14:textId="49AD1624" w:rsidR="00FF709A" w:rsidRPr="00B263B0" w:rsidRDefault="00FF709A" w:rsidP="00343A08">
      <w:pPr>
        <w:pStyle w:val="ListParagraph"/>
        <w:numPr>
          <w:ilvl w:val="0"/>
          <w:numId w:val="28"/>
        </w:numPr>
      </w:pPr>
      <w:r w:rsidRPr="00B263B0">
        <w:t>Develop and maintain high</w:t>
      </w:r>
      <w:r w:rsidR="00AF7DDC" w:rsidRPr="00B263B0">
        <w:t>-</w:t>
      </w:r>
      <w:r w:rsidRPr="00B263B0">
        <w:t xml:space="preserve">performance computing infrastructure to support data storage and </w:t>
      </w:r>
      <w:r w:rsidR="00A5680B" w:rsidRPr="00B263B0">
        <w:t>sharing that can adapt to emerging</w:t>
      </w:r>
      <w:r w:rsidRPr="00B263B0">
        <w:t xml:space="preserve"> microbial genomics technologies.   </w:t>
      </w:r>
    </w:p>
    <w:p w14:paraId="42887B56" w14:textId="2774B703" w:rsidR="00B1299D" w:rsidRPr="001E4E7D" w:rsidRDefault="00686C49" w:rsidP="006A4A1F">
      <w:pPr>
        <w:pStyle w:val="Heading3"/>
      </w:pPr>
      <w:r w:rsidRPr="001E4E7D">
        <w:t xml:space="preserve">Outcome </w:t>
      </w:r>
      <w:r w:rsidR="005432D9" w:rsidRPr="001E4E7D">
        <w:t>2</w:t>
      </w:r>
      <w:r w:rsidR="00B1299D" w:rsidRPr="001E4E7D">
        <w:t>.</w:t>
      </w:r>
      <w:r w:rsidR="00EF3674" w:rsidRPr="001E4E7D">
        <w:t>2</w:t>
      </w:r>
      <w:r w:rsidR="00AF7DDC">
        <w:t>—</w:t>
      </w:r>
      <w:r w:rsidR="00B1299D" w:rsidRPr="001E4E7D">
        <w:t xml:space="preserve">Data </w:t>
      </w:r>
      <w:r w:rsidR="00AF7DDC">
        <w:t>s</w:t>
      </w:r>
      <w:r w:rsidR="00B1299D" w:rsidRPr="001E4E7D">
        <w:t>haring</w:t>
      </w:r>
    </w:p>
    <w:p w14:paraId="08F07381" w14:textId="7DB06983" w:rsidR="00CC396B" w:rsidRPr="00B263B0" w:rsidRDefault="00B1299D" w:rsidP="00343A08">
      <w:pPr>
        <w:pStyle w:val="ListParagraph"/>
        <w:numPr>
          <w:ilvl w:val="0"/>
          <w:numId w:val="29"/>
        </w:numPr>
      </w:pPr>
      <w:r w:rsidRPr="00B263B0">
        <w:t xml:space="preserve">Enable </w:t>
      </w:r>
      <w:r w:rsidR="00EF3674" w:rsidRPr="00B263B0">
        <w:t xml:space="preserve">multi-directional </w:t>
      </w:r>
      <w:r w:rsidR="007B3CE3" w:rsidRPr="00B263B0">
        <w:t>microbial genomic data</w:t>
      </w:r>
      <w:r w:rsidR="008E7BF9" w:rsidRPr="00B263B0">
        <w:t xml:space="preserve"> and critical metadata</w:t>
      </w:r>
      <w:r w:rsidR="007B3CE3" w:rsidRPr="00B263B0">
        <w:t xml:space="preserve"> sharing across and within jurisdictions</w:t>
      </w:r>
      <w:r w:rsidR="00EF3674" w:rsidRPr="00B263B0">
        <w:t xml:space="preserve">, to the </w:t>
      </w:r>
      <w:r w:rsidR="0070673F" w:rsidRPr="00B263B0">
        <w:t xml:space="preserve">Australian Government </w:t>
      </w:r>
      <w:r w:rsidR="007B3CE3" w:rsidRPr="00B263B0">
        <w:t>and internationally</w:t>
      </w:r>
      <w:r w:rsidR="00EF3674" w:rsidRPr="00B263B0">
        <w:t>, including the provision of data and/or isolates to public health laboratories from non-reference laboratories</w:t>
      </w:r>
      <w:r w:rsidR="00AF7DDC" w:rsidRPr="00B263B0">
        <w:t>.</w:t>
      </w:r>
    </w:p>
    <w:p w14:paraId="0B8BC680" w14:textId="3B3DF149" w:rsidR="00C70C10" w:rsidRPr="00B263B0" w:rsidRDefault="00C70C10" w:rsidP="00343A08">
      <w:pPr>
        <w:pStyle w:val="ListParagraph"/>
        <w:numPr>
          <w:ilvl w:val="0"/>
          <w:numId w:val="29"/>
        </w:numPr>
      </w:pPr>
      <w:r w:rsidRPr="00B263B0">
        <w:t xml:space="preserve">Develop </w:t>
      </w:r>
      <w:r w:rsidR="004663B4" w:rsidRPr="00B263B0">
        <w:t xml:space="preserve">an </w:t>
      </w:r>
      <w:r w:rsidRPr="00B263B0">
        <w:t>agreed national protocol for sharing isolates and/or genomic</w:t>
      </w:r>
      <w:r w:rsidR="0076787E" w:rsidRPr="00B263B0">
        <w:t>,</w:t>
      </w:r>
      <w:r w:rsidRPr="00B263B0">
        <w:t xml:space="preserve"> phenotypic, and epidemiological </w:t>
      </w:r>
      <w:r w:rsidR="00EF3674" w:rsidRPr="00B263B0">
        <w:t>meta</w:t>
      </w:r>
      <w:r w:rsidRPr="00B263B0">
        <w:t>data.</w:t>
      </w:r>
    </w:p>
    <w:p w14:paraId="0C4ADD8B" w14:textId="33257C9A" w:rsidR="00B1299D" w:rsidRPr="00B263B0" w:rsidRDefault="00AF7DDC" w:rsidP="00343A08">
      <w:pPr>
        <w:pStyle w:val="ListParagraph"/>
        <w:numPr>
          <w:ilvl w:val="0"/>
          <w:numId w:val="29"/>
        </w:numPr>
      </w:pPr>
      <w:r w:rsidRPr="00B263B0">
        <w:t xml:space="preserve">Ensure </w:t>
      </w:r>
      <w:r w:rsidR="008A417C" w:rsidRPr="00B263B0">
        <w:t xml:space="preserve">data sharing is compliant with the appropriate </w:t>
      </w:r>
      <w:r w:rsidR="008F7356" w:rsidRPr="00B263B0">
        <w:t xml:space="preserve">national and jurisdictional </w:t>
      </w:r>
      <w:r w:rsidR="008A417C" w:rsidRPr="00B263B0">
        <w:t>legislation and guidelines such as</w:t>
      </w:r>
      <w:r w:rsidR="004F0B1F" w:rsidRPr="00B263B0">
        <w:t xml:space="preserve"> the</w:t>
      </w:r>
      <w:r w:rsidR="008A417C" w:rsidRPr="00B263B0">
        <w:t xml:space="preserve"> Privacy Act 1988, </w:t>
      </w:r>
      <w:r w:rsidR="004F0B1F" w:rsidRPr="00B263B0">
        <w:t xml:space="preserve">the </w:t>
      </w:r>
      <w:r w:rsidR="008A417C" w:rsidRPr="00B263B0">
        <w:t>National Health Security Act 2007</w:t>
      </w:r>
      <w:r w:rsidR="005F50C4" w:rsidRPr="00B263B0">
        <w:t xml:space="preserve">, </w:t>
      </w:r>
      <w:r w:rsidR="004F0B1F" w:rsidRPr="00B263B0">
        <w:t>the</w:t>
      </w:r>
      <w:r w:rsidR="008A417C" w:rsidRPr="00B263B0">
        <w:t xml:space="preserve"> National Statement on Ethical Conduct in Human Research </w:t>
      </w:r>
      <w:r w:rsidR="00930FA5" w:rsidRPr="00B263B0">
        <w:t>(</w:t>
      </w:r>
      <w:r w:rsidR="008A417C" w:rsidRPr="00B263B0">
        <w:t>2007</w:t>
      </w:r>
      <w:r w:rsidR="00930FA5" w:rsidRPr="00B263B0">
        <w:t>)</w:t>
      </w:r>
      <w:r w:rsidR="005F50C4" w:rsidRPr="00B263B0">
        <w:t xml:space="preserve"> and</w:t>
      </w:r>
      <w:r w:rsidR="00155B85" w:rsidRPr="00B263B0">
        <w:t xml:space="preserve"> any </w:t>
      </w:r>
      <w:proofErr w:type="spellStart"/>
      <w:r w:rsidR="00155B85" w:rsidRPr="00B263B0">
        <w:t>organisational</w:t>
      </w:r>
      <w:proofErr w:type="spellEnd"/>
      <w:r w:rsidR="00155B85" w:rsidRPr="00B263B0">
        <w:t xml:space="preserve"> ethical frameworks for public health practice.</w:t>
      </w:r>
    </w:p>
    <w:p w14:paraId="2F21C416" w14:textId="1FECDE59" w:rsidR="00B1299D" w:rsidRPr="001E4E7D" w:rsidRDefault="00686C49" w:rsidP="006A4A1F">
      <w:pPr>
        <w:pStyle w:val="Heading3"/>
      </w:pPr>
      <w:r w:rsidRPr="001E4E7D">
        <w:lastRenderedPageBreak/>
        <w:t xml:space="preserve">Outcome </w:t>
      </w:r>
      <w:r w:rsidR="005432D9" w:rsidRPr="001E4E7D">
        <w:t>2</w:t>
      </w:r>
      <w:r w:rsidR="00B1299D" w:rsidRPr="001E4E7D">
        <w:t>.</w:t>
      </w:r>
      <w:r w:rsidR="00EF3674" w:rsidRPr="001E4E7D">
        <w:t>3</w:t>
      </w:r>
      <w:r w:rsidR="00AF7DDC">
        <w:t>—</w:t>
      </w:r>
      <w:r w:rsidRPr="001E4E7D">
        <w:t xml:space="preserve">Data </w:t>
      </w:r>
      <w:r w:rsidR="00AF7DDC">
        <w:t>s</w:t>
      </w:r>
      <w:r w:rsidRPr="001E4E7D">
        <w:t>torage</w:t>
      </w:r>
    </w:p>
    <w:p w14:paraId="3D6C4860" w14:textId="32A143CD" w:rsidR="00B1299D" w:rsidRPr="00B263B0" w:rsidRDefault="00B1299D" w:rsidP="00343A08">
      <w:pPr>
        <w:pStyle w:val="ListParagraph"/>
        <w:numPr>
          <w:ilvl w:val="0"/>
          <w:numId w:val="30"/>
        </w:numPr>
      </w:pPr>
      <w:r w:rsidRPr="00B263B0">
        <w:t>Develop nationally agreed standards for data collection, safe storage, data sharing, custodianship, analysis, reporting and privacy requirements</w:t>
      </w:r>
      <w:r w:rsidR="00AF7DDC" w:rsidRPr="00B263B0">
        <w:t>.</w:t>
      </w:r>
    </w:p>
    <w:p w14:paraId="5F0DF596" w14:textId="6BF603F1" w:rsidR="00C70C10" w:rsidRPr="00B263B0" w:rsidRDefault="00B1299D" w:rsidP="00343A08">
      <w:pPr>
        <w:pStyle w:val="ListParagraph"/>
        <w:numPr>
          <w:ilvl w:val="0"/>
          <w:numId w:val="30"/>
        </w:numPr>
      </w:pPr>
      <w:r w:rsidRPr="00B263B0">
        <w:t>Develop infrastructure to support secure storage of microbial genomic data</w:t>
      </w:r>
      <w:r w:rsidR="005432D9" w:rsidRPr="00B263B0">
        <w:t>.</w:t>
      </w:r>
    </w:p>
    <w:p w14:paraId="35936584" w14:textId="5C563D4E" w:rsidR="00B1299D" w:rsidRPr="001E4E7D" w:rsidRDefault="00686C49" w:rsidP="006A4A1F">
      <w:pPr>
        <w:pStyle w:val="Heading3"/>
      </w:pPr>
      <w:r w:rsidRPr="001E4E7D">
        <w:t xml:space="preserve">Outcome </w:t>
      </w:r>
      <w:r w:rsidR="005432D9" w:rsidRPr="001E4E7D">
        <w:t>2</w:t>
      </w:r>
      <w:r w:rsidR="00B1299D" w:rsidRPr="001E4E7D">
        <w:t>.</w:t>
      </w:r>
      <w:r w:rsidR="00EF3674" w:rsidRPr="001E4E7D">
        <w:t>4</w:t>
      </w:r>
      <w:r w:rsidR="00AF7DDC">
        <w:t>—</w:t>
      </w:r>
      <w:r w:rsidRPr="001E4E7D">
        <w:t xml:space="preserve">Use of </w:t>
      </w:r>
      <w:r w:rsidR="00AF7DDC">
        <w:t>d</w:t>
      </w:r>
      <w:r w:rsidRPr="001E4E7D">
        <w:t>ata</w:t>
      </w:r>
    </w:p>
    <w:p w14:paraId="72AA539D" w14:textId="71A52447" w:rsidR="00B1299D" w:rsidRPr="00B263B0" w:rsidRDefault="00B1299D" w:rsidP="00343A08">
      <w:pPr>
        <w:pStyle w:val="ListParagraph"/>
        <w:numPr>
          <w:ilvl w:val="0"/>
          <w:numId w:val="31"/>
        </w:numPr>
      </w:pPr>
      <w:r w:rsidRPr="00B263B0">
        <w:t xml:space="preserve">Agree </w:t>
      </w:r>
      <w:r w:rsidR="00A83DD4" w:rsidRPr="00B263B0">
        <w:t xml:space="preserve">upon </w:t>
      </w:r>
      <w:r w:rsidRPr="00B263B0">
        <w:t>common standards for the</w:t>
      </w:r>
      <w:r w:rsidR="002D4706" w:rsidRPr="00B263B0">
        <w:t xml:space="preserve"> public health</w:t>
      </w:r>
      <w:r w:rsidRPr="00B263B0">
        <w:t xml:space="preserve"> use of </w:t>
      </w:r>
      <w:r w:rsidR="00C44563" w:rsidRPr="00B263B0">
        <w:t>microbial genomics</w:t>
      </w:r>
      <w:r w:rsidR="00E802E3" w:rsidRPr="00B263B0">
        <w:t xml:space="preserve"> </w:t>
      </w:r>
      <w:r w:rsidRPr="00B263B0">
        <w:t>data across jurisdictions</w:t>
      </w:r>
      <w:r w:rsidR="00AF7DDC" w:rsidRPr="00B263B0">
        <w:t>.</w:t>
      </w:r>
    </w:p>
    <w:p w14:paraId="0B56A600" w14:textId="6824EF35" w:rsidR="00B1299D" w:rsidRPr="00B263B0" w:rsidRDefault="00B1299D" w:rsidP="00343A08">
      <w:pPr>
        <w:pStyle w:val="ListParagraph"/>
        <w:numPr>
          <w:ilvl w:val="0"/>
          <w:numId w:val="31"/>
        </w:numPr>
      </w:pPr>
      <w:r w:rsidRPr="00B263B0">
        <w:t xml:space="preserve">Agree </w:t>
      </w:r>
      <w:r w:rsidR="00A83DD4" w:rsidRPr="00B263B0">
        <w:t xml:space="preserve">upon </w:t>
      </w:r>
      <w:r w:rsidRPr="00B263B0">
        <w:t xml:space="preserve">common </w:t>
      </w:r>
      <w:r w:rsidR="00A56407" w:rsidRPr="00B263B0">
        <w:t xml:space="preserve">reporting standards </w:t>
      </w:r>
      <w:r w:rsidRPr="00B263B0">
        <w:t>for microbial genomics</w:t>
      </w:r>
      <w:r w:rsidR="00AF7DDC" w:rsidRPr="00B263B0">
        <w:t>.</w:t>
      </w:r>
    </w:p>
    <w:p w14:paraId="09CAC3AB" w14:textId="2ABCE5F0" w:rsidR="00C70C10" w:rsidRPr="00B263B0" w:rsidRDefault="00B1299D" w:rsidP="00343A08">
      <w:pPr>
        <w:pStyle w:val="ListParagraph"/>
        <w:numPr>
          <w:ilvl w:val="0"/>
          <w:numId w:val="31"/>
        </w:numPr>
      </w:pPr>
      <w:r w:rsidRPr="00B263B0">
        <w:t xml:space="preserve">Agree </w:t>
      </w:r>
      <w:r w:rsidR="00A83DD4" w:rsidRPr="00B263B0">
        <w:t xml:space="preserve">upon </w:t>
      </w:r>
      <w:r w:rsidRPr="00B263B0">
        <w:t>a common reporting format across laboratories and jurisdictions</w:t>
      </w:r>
      <w:r w:rsidR="00C70C10" w:rsidRPr="00B263B0">
        <w:t>.</w:t>
      </w:r>
    </w:p>
    <w:p w14:paraId="42C13E61" w14:textId="09D15768" w:rsidR="00B1299D" w:rsidRPr="001E4E7D" w:rsidRDefault="00686C49" w:rsidP="006A4A1F">
      <w:pPr>
        <w:pStyle w:val="Heading3"/>
      </w:pPr>
      <w:r w:rsidRPr="001E4E7D">
        <w:t xml:space="preserve">Outcome </w:t>
      </w:r>
      <w:r w:rsidR="005432D9" w:rsidRPr="001E4E7D">
        <w:t>2</w:t>
      </w:r>
      <w:r w:rsidR="00B1299D" w:rsidRPr="001E4E7D">
        <w:t>.</w:t>
      </w:r>
      <w:r w:rsidR="00EF3674" w:rsidRPr="001E4E7D">
        <w:t>5</w:t>
      </w:r>
      <w:r w:rsidR="00AF7DDC">
        <w:t>—</w:t>
      </w:r>
      <w:r w:rsidR="00B1299D" w:rsidRPr="001E4E7D">
        <w:t xml:space="preserve">Data </w:t>
      </w:r>
      <w:r w:rsidR="00AF7DDC">
        <w:t>g</w:t>
      </w:r>
      <w:r w:rsidR="00B1299D" w:rsidRPr="001E4E7D">
        <w:t>overnance</w:t>
      </w:r>
    </w:p>
    <w:p w14:paraId="208D037C" w14:textId="157D39D5" w:rsidR="006D60A5" w:rsidRPr="00B263B0" w:rsidRDefault="00E85622" w:rsidP="00343A08">
      <w:pPr>
        <w:pStyle w:val="ListParagraph"/>
        <w:numPr>
          <w:ilvl w:val="0"/>
          <w:numId w:val="32"/>
        </w:numPr>
      </w:pPr>
      <w:r w:rsidRPr="00B263B0">
        <w:t xml:space="preserve">Review legislation </w:t>
      </w:r>
      <w:r w:rsidR="00A56407" w:rsidRPr="00B263B0">
        <w:t xml:space="preserve">and regulation </w:t>
      </w:r>
      <w:r w:rsidRPr="00B263B0">
        <w:t>at both state and federal level</w:t>
      </w:r>
      <w:r w:rsidR="00A56407" w:rsidRPr="00B263B0">
        <w:t>s</w:t>
      </w:r>
      <w:r w:rsidRPr="00B263B0">
        <w:t xml:space="preserve"> to</w:t>
      </w:r>
      <w:r w:rsidR="00A56407" w:rsidRPr="00B263B0">
        <w:t xml:space="preserve"> </w:t>
      </w:r>
      <w:r w:rsidR="006D60A5" w:rsidRPr="00B263B0">
        <w:t xml:space="preserve">identify </w:t>
      </w:r>
      <w:r w:rsidR="00AC69CC" w:rsidRPr="00B263B0">
        <w:t xml:space="preserve">whether there are any </w:t>
      </w:r>
      <w:r w:rsidR="006D60A5" w:rsidRPr="00B263B0">
        <w:t xml:space="preserve">impediments to </w:t>
      </w:r>
      <w:r w:rsidR="009A0BC6" w:rsidRPr="00B263B0">
        <w:t>implementation of microbial genomics, particularly in relation to data sharing</w:t>
      </w:r>
      <w:r w:rsidR="00AF7DDC" w:rsidRPr="00B263B0">
        <w:t>.</w:t>
      </w:r>
    </w:p>
    <w:p w14:paraId="0A82DF1E" w14:textId="4977610A" w:rsidR="00A56407" w:rsidRPr="00B263B0" w:rsidRDefault="002E54FE" w:rsidP="00343A08">
      <w:pPr>
        <w:pStyle w:val="ListParagraph"/>
        <w:numPr>
          <w:ilvl w:val="0"/>
          <w:numId w:val="32"/>
        </w:numPr>
      </w:pPr>
      <w:r w:rsidRPr="00B263B0">
        <w:t xml:space="preserve">Ensure </w:t>
      </w:r>
      <w:r w:rsidR="00A56407" w:rsidRPr="00B263B0">
        <w:t>microbial genomics outcomes are achieved to the greatest extent possible</w:t>
      </w:r>
      <w:r w:rsidR="00AF7DDC" w:rsidRPr="00B263B0">
        <w:t>.</w:t>
      </w:r>
    </w:p>
    <w:p w14:paraId="59B62723" w14:textId="542B5C89" w:rsidR="00E85622" w:rsidRPr="00B263B0" w:rsidRDefault="00A56407" w:rsidP="00343A08">
      <w:pPr>
        <w:pStyle w:val="ListParagraph"/>
        <w:numPr>
          <w:ilvl w:val="0"/>
          <w:numId w:val="32"/>
        </w:numPr>
      </w:pPr>
      <w:r w:rsidRPr="00B263B0">
        <w:t>S</w:t>
      </w:r>
      <w:r w:rsidR="00E85622" w:rsidRPr="00B263B0">
        <w:t xml:space="preserve">upport discussions </w:t>
      </w:r>
      <w:r w:rsidRPr="00B263B0">
        <w:t xml:space="preserve">for implementation </w:t>
      </w:r>
      <w:r w:rsidR="00E85622" w:rsidRPr="00B263B0">
        <w:t>of a national governance structure</w:t>
      </w:r>
      <w:r w:rsidR="00AF7DDC" w:rsidRPr="00B263B0">
        <w:t>.</w:t>
      </w:r>
    </w:p>
    <w:p w14:paraId="3C084E1F" w14:textId="25829073" w:rsidR="00CB2491" w:rsidRPr="00B263B0" w:rsidRDefault="00B1299D" w:rsidP="00343A08">
      <w:pPr>
        <w:pStyle w:val="ListParagraph"/>
        <w:numPr>
          <w:ilvl w:val="0"/>
          <w:numId w:val="32"/>
        </w:numPr>
      </w:pPr>
      <w:r w:rsidRPr="00B263B0">
        <w:t xml:space="preserve">Ensure data </w:t>
      </w:r>
      <w:r w:rsidR="00680BAE" w:rsidRPr="00B263B0">
        <w:t xml:space="preserve">are </w:t>
      </w:r>
      <w:r w:rsidRPr="00B263B0">
        <w:t>being handled in an ethical and culturally appropriate way</w:t>
      </w:r>
      <w:r w:rsidR="00AF7DDC" w:rsidRPr="00B263B0">
        <w:t>.</w:t>
      </w:r>
      <w:r w:rsidR="005432D9" w:rsidRPr="00B263B0">
        <w:t xml:space="preserve"> </w:t>
      </w:r>
    </w:p>
    <w:p w14:paraId="25A9BE06" w14:textId="34C9A3FE" w:rsidR="00FE0037" w:rsidRPr="00B263B0" w:rsidRDefault="00CB2491" w:rsidP="00343A08">
      <w:pPr>
        <w:pStyle w:val="ListParagraph"/>
        <w:numPr>
          <w:ilvl w:val="0"/>
          <w:numId w:val="32"/>
        </w:numPr>
      </w:pPr>
      <w:r w:rsidRPr="00B263B0">
        <w:t>Ensure meaningful and appropriate recognition of data</w:t>
      </w:r>
      <w:r w:rsidR="00FE0037" w:rsidRPr="00B263B0">
        <w:t xml:space="preserve"> sources</w:t>
      </w:r>
      <w:r w:rsidRPr="00B263B0">
        <w:t xml:space="preserve"> </w:t>
      </w:r>
      <w:r w:rsidR="00FE0037" w:rsidRPr="00B263B0">
        <w:t>by</w:t>
      </w:r>
      <w:r w:rsidRPr="00B263B0">
        <w:t xml:space="preserve"> both primary and secondary users</w:t>
      </w:r>
      <w:r w:rsidR="00AF7DDC" w:rsidRPr="00B263B0">
        <w:t>.</w:t>
      </w:r>
    </w:p>
    <w:p w14:paraId="7BEBBFF2" w14:textId="3CE469FB" w:rsidR="00B1299D" w:rsidRPr="00B263B0" w:rsidRDefault="00FE0037" w:rsidP="00343A08">
      <w:pPr>
        <w:pStyle w:val="ListParagraph"/>
        <w:numPr>
          <w:ilvl w:val="0"/>
          <w:numId w:val="32"/>
        </w:numPr>
      </w:pPr>
      <w:r w:rsidRPr="00B263B0">
        <w:t>E</w:t>
      </w:r>
      <w:r w:rsidR="00DD303F" w:rsidRPr="00B263B0">
        <w:t>stablish trust</w:t>
      </w:r>
      <w:r w:rsidRPr="00B263B0">
        <w:t xml:space="preserve"> between data</w:t>
      </w:r>
      <w:r w:rsidR="00AF7DDC" w:rsidRPr="00B263B0">
        <w:t>-</w:t>
      </w:r>
      <w:r w:rsidRPr="00B263B0">
        <w:t>sharing entities</w:t>
      </w:r>
      <w:r w:rsidR="00DD303F" w:rsidRPr="00B263B0">
        <w:t xml:space="preserve"> and encourage further data sharing among active and potential providers</w:t>
      </w:r>
      <w:r w:rsidR="00AF7DDC" w:rsidRPr="00B263B0">
        <w:t>.</w:t>
      </w:r>
    </w:p>
    <w:p w14:paraId="259836BC" w14:textId="6953BDB1" w:rsidR="000C6718" w:rsidRPr="00B263B0" w:rsidRDefault="00B1299D" w:rsidP="00343A08">
      <w:pPr>
        <w:pStyle w:val="ListParagraph"/>
        <w:numPr>
          <w:ilvl w:val="0"/>
          <w:numId w:val="32"/>
        </w:numPr>
      </w:pPr>
      <w:r w:rsidRPr="00B263B0">
        <w:t>Ensure</w:t>
      </w:r>
      <w:r w:rsidR="00CB2491" w:rsidRPr="00B263B0">
        <w:t xml:space="preserve"> data</w:t>
      </w:r>
      <w:r w:rsidRPr="00B263B0">
        <w:t xml:space="preserve"> privacy and </w:t>
      </w:r>
      <w:r w:rsidR="009E5DC9" w:rsidRPr="00B263B0">
        <w:t>security is</w:t>
      </w:r>
      <w:r w:rsidRPr="00B263B0">
        <w:t xml:space="preserve"> maintained throughout the data collection, </w:t>
      </w:r>
      <w:proofErr w:type="gramStart"/>
      <w:r w:rsidRPr="00B263B0">
        <w:t>handling</w:t>
      </w:r>
      <w:proofErr w:type="gramEnd"/>
      <w:r w:rsidRPr="00B263B0">
        <w:t xml:space="preserve"> and storage process</w:t>
      </w:r>
      <w:r w:rsidR="005432D9" w:rsidRPr="00B263B0">
        <w:t>.</w:t>
      </w:r>
    </w:p>
    <w:p w14:paraId="5B788125" w14:textId="0D79373D" w:rsidR="003B02BF" w:rsidRPr="003B4AC2" w:rsidRDefault="00570403" w:rsidP="00020677">
      <w:pPr>
        <w:pStyle w:val="Style1"/>
      </w:pPr>
      <w:r w:rsidRPr="003B4AC2">
        <w:t>What does the f</w:t>
      </w:r>
      <w:r w:rsidR="003B02BF" w:rsidRPr="003B4AC2">
        <w:t>uture look like?</w:t>
      </w:r>
    </w:p>
    <w:p w14:paraId="38FF40C8" w14:textId="77777777" w:rsidR="003B02BF" w:rsidRPr="0060559B" w:rsidRDefault="009D71C2" w:rsidP="00020677">
      <w:pPr>
        <w:pStyle w:val="shadedbullets"/>
      </w:pPr>
      <w:r w:rsidRPr="003B4AC2">
        <w:t>A n</w:t>
      </w:r>
      <w:r w:rsidR="003B02BF" w:rsidRPr="003B4AC2">
        <w:t>ational data governance mechanism is in place to ensure appropriate data sharing and data use in the nationally consistent application of microbial genomics in public health practice.</w:t>
      </w:r>
    </w:p>
    <w:p w14:paraId="3365186A" w14:textId="4A6B75C0" w:rsidR="0085590C" w:rsidRPr="0060559B" w:rsidRDefault="009D71C2" w:rsidP="00020677">
      <w:pPr>
        <w:pStyle w:val="shadedbullets"/>
      </w:pPr>
      <w:r w:rsidRPr="003B4AC2">
        <w:t>Systems and IT infrastructure is</w:t>
      </w:r>
      <w:r w:rsidR="003B02BF" w:rsidRPr="003B4AC2">
        <w:t xml:space="preserve"> established to support current and future data sharing and storage requirements nationally and internationally.</w:t>
      </w:r>
      <w:r w:rsidR="00741CEC" w:rsidRPr="003B4AC2">
        <w:br w:type="page"/>
      </w:r>
    </w:p>
    <w:p w14:paraId="48667997" w14:textId="0BD28C56" w:rsidR="009D768B" w:rsidRPr="006A4A1F" w:rsidRDefault="009D768B" w:rsidP="006A4A1F">
      <w:pPr>
        <w:pStyle w:val="Heading2"/>
      </w:pPr>
      <w:bookmarkStart w:id="28" w:name="_Toc530994579"/>
      <w:bookmarkStart w:id="29" w:name="_Toc11404109"/>
      <w:r w:rsidRPr="006A4A1F">
        <w:lastRenderedPageBreak/>
        <w:t xml:space="preserve">Strategic Priority </w:t>
      </w:r>
      <w:r w:rsidR="005432D9" w:rsidRPr="006A4A1F">
        <w:t>3</w:t>
      </w:r>
      <w:r w:rsidR="00AF7DDC" w:rsidRPr="006A4A1F">
        <w:t>—</w:t>
      </w:r>
      <w:r w:rsidR="00F07371" w:rsidRPr="006A4A1F">
        <w:t xml:space="preserve">Integration into Public </w:t>
      </w:r>
      <w:r w:rsidR="005C5A07" w:rsidRPr="006A4A1F">
        <w:t>Health</w:t>
      </w:r>
      <w:bookmarkEnd w:id="28"/>
      <w:bookmarkEnd w:id="29"/>
    </w:p>
    <w:p w14:paraId="1E5382F4" w14:textId="5AA8E484" w:rsidR="00E73867" w:rsidRPr="001E4E7D" w:rsidRDefault="00E73867" w:rsidP="00E73867">
      <w:pPr>
        <w:rPr>
          <w:lang w:val="en-AU"/>
        </w:rPr>
      </w:pPr>
      <w:r w:rsidRPr="001E4E7D">
        <w:rPr>
          <w:lang w:val="en-AU"/>
        </w:rPr>
        <w:t xml:space="preserve">The main utility of </w:t>
      </w:r>
      <w:r w:rsidR="007258FD">
        <w:rPr>
          <w:lang w:val="en-AU"/>
        </w:rPr>
        <w:t>microbial</w:t>
      </w:r>
      <w:r w:rsidRPr="001E4E7D">
        <w:rPr>
          <w:lang w:val="en-AU"/>
        </w:rPr>
        <w:t xml:space="preserve"> genomics is in enhancing national and international surveillance and response to communicable diseases. </w:t>
      </w:r>
      <w:r w:rsidR="00B46BBF" w:rsidRPr="001E4E7D">
        <w:rPr>
          <w:lang w:val="en-AU"/>
        </w:rPr>
        <w:t>The use of sequencing</w:t>
      </w:r>
      <w:r w:rsidR="00C44563" w:rsidRPr="001E4E7D">
        <w:rPr>
          <w:lang w:val="en-AU"/>
        </w:rPr>
        <w:t xml:space="preserve"> d</w:t>
      </w:r>
      <w:r w:rsidRPr="001E4E7D">
        <w:rPr>
          <w:lang w:val="en-AU"/>
        </w:rPr>
        <w:t xml:space="preserve">ata </w:t>
      </w:r>
      <w:r w:rsidR="00680BAE" w:rsidRPr="001E4E7D">
        <w:rPr>
          <w:lang w:val="en-AU"/>
        </w:rPr>
        <w:t>ha</w:t>
      </w:r>
      <w:r w:rsidR="00B46BBF" w:rsidRPr="001E4E7D">
        <w:rPr>
          <w:lang w:val="en-AU"/>
        </w:rPr>
        <w:t>s</w:t>
      </w:r>
      <w:r w:rsidR="00680BAE" w:rsidRPr="001E4E7D">
        <w:rPr>
          <w:lang w:val="en-AU"/>
        </w:rPr>
        <w:t xml:space="preserve"> </w:t>
      </w:r>
      <w:r w:rsidRPr="001E4E7D">
        <w:rPr>
          <w:lang w:val="en-AU"/>
        </w:rPr>
        <w:t xml:space="preserve">the capacity to form the basis of robust public health surveillance </w:t>
      </w:r>
      <w:r w:rsidR="00D87C6E" w:rsidRPr="001E4E7D">
        <w:rPr>
          <w:lang w:val="en-AU"/>
        </w:rPr>
        <w:t>through rapid</w:t>
      </w:r>
      <w:r w:rsidR="00B46BBF" w:rsidRPr="001E4E7D">
        <w:rPr>
          <w:lang w:val="en-AU"/>
        </w:rPr>
        <w:t xml:space="preserve"> pathogen</w:t>
      </w:r>
      <w:r w:rsidR="00D87C6E" w:rsidRPr="001E4E7D">
        <w:rPr>
          <w:lang w:val="en-AU"/>
        </w:rPr>
        <w:t xml:space="preserve"> </w:t>
      </w:r>
      <w:r w:rsidR="00705F7B" w:rsidRPr="001E4E7D">
        <w:rPr>
          <w:lang w:val="en-AU"/>
        </w:rPr>
        <w:t xml:space="preserve">detection and </w:t>
      </w:r>
      <w:r w:rsidR="00D87C6E" w:rsidRPr="001E4E7D">
        <w:rPr>
          <w:lang w:val="en-AU"/>
        </w:rPr>
        <w:t>identification</w:t>
      </w:r>
      <w:r w:rsidR="00AF7DDC">
        <w:rPr>
          <w:lang w:val="en-AU"/>
        </w:rPr>
        <w:t>;</w:t>
      </w:r>
      <w:r w:rsidR="00F858D5" w:rsidRPr="001E4E7D">
        <w:rPr>
          <w:lang w:val="en-AU"/>
        </w:rPr>
        <w:t xml:space="preserve"> and monitoring </w:t>
      </w:r>
      <w:r w:rsidRPr="001E4E7D">
        <w:rPr>
          <w:lang w:val="en-AU"/>
        </w:rPr>
        <w:t>that ultimately link</w:t>
      </w:r>
      <w:r w:rsidR="00B46BBF" w:rsidRPr="001E4E7D">
        <w:rPr>
          <w:lang w:val="en-AU"/>
        </w:rPr>
        <w:t>s</w:t>
      </w:r>
      <w:r w:rsidRPr="001E4E7D">
        <w:rPr>
          <w:lang w:val="en-AU"/>
        </w:rPr>
        <w:t xml:space="preserve"> to information on clinical, demographic and exposure details.</w:t>
      </w:r>
    </w:p>
    <w:p w14:paraId="413815CF" w14:textId="69FBE71C" w:rsidR="00930FA5" w:rsidRDefault="001F5720" w:rsidP="00E73867">
      <w:pPr>
        <w:rPr>
          <w:lang w:val="en-AU"/>
        </w:rPr>
      </w:pPr>
      <w:r w:rsidRPr="001E4E7D">
        <w:rPr>
          <w:lang w:val="en-AU"/>
        </w:rPr>
        <w:t>T</w:t>
      </w:r>
      <w:r w:rsidR="00E73867" w:rsidRPr="001E4E7D">
        <w:rPr>
          <w:lang w:val="en-AU"/>
        </w:rPr>
        <w:t>o achieve maximal public health impact, it</w:t>
      </w:r>
      <w:r w:rsidR="00B55C8B" w:rsidRPr="001E4E7D">
        <w:rPr>
          <w:lang w:val="en-AU"/>
        </w:rPr>
        <w:t xml:space="preserve"> is critical that genomic data </w:t>
      </w:r>
      <w:r w:rsidR="00680BAE" w:rsidRPr="001E4E7D">
        <w:rPr>
          <w:lang w:val="en-AU"/>
        </w:rPr>
        <w:t xml:space="preserve">are </w:t>
      </w:r>
      <w:r w:rsidR="00E73867" w:rsidRPr="001E4E7D">
        <w:rPr>
          <w:lang w:val="en-AU"/>
        </w:rPr>
        <w:t xml:space="preserve">appropriately linked to epidemiological and clinical data and that results from genomic data are rapidly disseminated back to ‘end users’ or even directly accessible. </w:t>
      </w:r>
    </w:p>
    <w:p w14:paraId="5463FE30" w14:textId="6C98BE6D" w:rsidR="00E73867" w:rsidRPr="001E4E7D" w:rsidRDefault="00E73867" w:rsidP="00E73867">
      <w:pPr>
        <w:rPr>
          <w:lang w:val="en-AU"/>
        </w:rPr>
      </w:pPr>
      <w:r w:rsidRPr="001E4E7D">
        <w:rPr>
          <w:lang w:val="en-AU"/>
        </w:rPr>
        <w:t>Conceptually, this is directly aligned with several of the key outcomes in the National Framework f</w:t>
      </w:r>
      <w:r w:rsidR="007258FD">
        <w:rPr>
          <w:lang w:val="en-AU"/>
        </w:rPr>
        <w:t xml:space="preserve">or Communicable Disease Control, </w:t>
      </w:r>
      <w:proofErr w:type="gramStart"/>
      <w:r w:rsidR="007258FD">
        <w:rPr>
          <w:lang w:val="en-AU"/>
        </w:rPr>
        <w:t>however</w:t>
      </w:r>
      <w:proofErr w:type="gramEnd"/>
      <w:r w:rsidR="007258FD">
        <w:rPr>
          <w:lang w:val="en-AU"/>
        </w:rPr>
        <w:t xml:space="preserve"> </w:t>
      </w:r>
      <w:r w:rsidRPr="001E4E7D">
        <w:rPr>
          <w:lang w:val="en-AU"/>
        </w:rPr>
        <w:t>will require strategic coordination and collaboration between existing groups and networks.</w:t>
      </w:r>
    </w:p>
    <w:p w14:paraId="02463FC1" w14:textId="2E655B27" w:rsidR="00D12921" w:rsidRPr="001E4E7D" w:rsidRDefault="00CB628C" w:rsidP="00E73867">
      <w:pPr>
        <w:rPr>
          <w:lang w:val="en-AU"/>
        </w:rPr>
      </w:pPr>
      <w:r w:rsidRPr="001E4E7D">
        <w:rPr>
          <w:lang w:val="en-AU"/>
        </w:rPr>
        <w:t xml:space="preserve">Given the vast amount of </w:t>
      </w:r>
      <w:r w:rsidR="0020219E" w:rsidRPr="001E4E7D">
        <w:rPr>
          <w:lang w:val="en-AU"/>
        </w:rPr>
        <w:t xml:space="preserve">useful </w:t>
      </w:r>
      <w:r w:rsidR="00C44563" w:rsidRPr="001E4E7D">
        <w:rPr>
          <w:lang w:val="en-AU"/>
        </w:rPr>
        <w:t>data</w:t>
      </w:r>
      <w:r w:rsidR="0020219E" w:rsidRPr="001E4E7D">
        <w:rPr>
          <w:lang w:val="en-AU"/>
        </w:rPr>
        <w:t xml:space="preserve"> that </w:t>
      </w:r>
      <w:r w:rsidR="00C44563" w:rsidRPr="001E4E7D">
        <w:rPr>
          <w:lang w:val="en-AU"/>
        </w:rPr>
        <w:t>microbial genomics</w:t>
      </w:r>
      <w:r w:rsidR="0020219E" w:rsidRPr="001E4E7D">
        <w:rPr>
          <w:lang w:val="en-AU"/>
        </w:rPr>
        <w:t xml:space="preserve"> generates (related to pathogen transmission</w:t>
      </w:r>
      <w:r w:rsidR="00930FA5">
        <w:rPr>
          <w:lang w:val="en-AU"/>
        </w:rPr>
        <w:t>,</w:t>
      </w:r>
      <w:r w:rsidR="0020219E" w:rsidRPr="001E4E7D">
        <w:rPr>
          <w:lang w:val="en-AU"/>
        </w:rPr>
        <w:t xml:space="preserve"> resistance</w:t>
      </w:r>
      <w:r w:rsidR="00930FA5">
        <w:rPr>
          <w:lang w:val="en-AU"/>
        </w:rPr>
        <w:t>,</w:t>
      </w:r>
      <w:r w:rsidR="0020219E" w:rsidRPr="001E4E7D">
        <w:rPr>
          <w:lang w:val="en-AU"/>
        </w:rPr>
        <w:t xml:space="preserve"> </w:t>
      </w:r>
      <w:proofErr w:type="gramStart"/>
      <w:r w:rsidR="0020219E" w:rsidRPr="001E4E7D">
        <w:rPr>
          <w:lang w:val="en-AU"/>
        </w:rPr>
        <w:t>virulence</w:t>
      </w:r>
      <w:proofErr w:type="gramEnd"/>
      <w:r w:rsidR="0020219E" w:rsidRPr="001E4E7D">
        <w:rPr>
          <w:lang w:val="en-AU"/>
        </w:rPr>
        <w:t xml:space="preserve"> and evolution)</w:t>
      </w:r>
      <w:r w:rsidR="00C9194D" w:rsidRPr="001E4E7D">
        <w:rPr>
          <w:lang w:val="en-AU"/>
        </w:rPr>
        <w:t xml:space="preserve"> and the increasing popularity of culture</w:t>
      </w:r>
      <w:r w:rsidR="00AF7DDC">
        <w:rPr>
          <w:lang w:val="en-AU"/>
        </w:rPr>
        <w:t>-</w:t>
      </w:r>
      <w:r w:rsidR="00C9194D" w:rsidRPr="001E4E7D">
        <w:rPr>
          <w:lang w:val="en-AU"/>
        </w:rPr>
        <w:t xml:space="preserve">independent diagnostic tests in clinical laboratories and </w:t>
      </w:r>
      <w:r w:rsidR="00C9194D" w:rsidRPr="00930FA5">
        <w:rPr>
          <w:lang w:val="en-AU"/>
        </w:rPr>
        <w:t>its</w:t>
      </w:r>
      <w:r w:rsidR="00C9194D" w:rsidRPr="001E4E7D">
        <w:rPr>
          <w:lang w:val="en-AU"/>
        </w:rPr>
        <w:t xml:space="preserve"> potential impact on laboratory-based typing, </w:t>
      </w:r>
      <w:r w:rsidR="00B03323" w:rsidRPr="001E4E7D">
        <w:rPr>
          <w:lang w:val="en-AU"/>
        </w:rPr>
        <w:t>microbial genomics sits directly at the interface between clinical epidemiological surveillance and laboratory-based surveillance</w:t>
      </w:r>
      <w:r w:rsidR="00D12921" w:rsidRPr="001E4E7D">
        <w:rPr>
          <w:lang w:val="en-AU"/>
        </w:rPr>
        <w:t>. As such, it is critical that microbial genomics is integrated into existing epidemiological networks</w:t>
      </w:r>
      <w:r w:rsidR="00AF7DDC">
        <w:rPr>
          <w:lang w:val="en-AU"/>
        </w:rPr>
        <w:t>,</w:t>
      </w:r>
      <w:r w:rsidR="00C9194D" w:rsidRPr="001E4E7D">
        <w:rPr>
          <w:lang w:val="en-AU"/>
        </w:rPr>
        <w:t xml:space="preserve"> </w:t>
      </w:r>
      <w:r w:rsidR="00D12921" w:rsidRPr="001E4E7D">
        <w:rPr>
          <w:lang w:val="en-AU"/>
        </w:rPr>
        <w:t xml:space="preserve">as this </w:t>
      </w:r>
      <w:r w:rsidR="00F65DF8" w:rsidRPr="001E4E7D">
        <w:rPr>
          <w:lang w:val="en-AU"/>
        </w:rPr>
        <w:t xml:space="preserve">would better </w:t>
      </w:r>
      <w:r w:rsidR="00D12921" w:rsidRPr="001E4E7D">
        <w:rPr>
          <w:lang w:val="en-AU"/>
        </w:rPr>
        <w:t>enable:</w:t>
      </w:r>
    </w:p>
    <w:p w14:paraId="5C087853" w14:textId="3D5F3EAB" w:rsidR="00D525EC" w:rsidRPr="00B263B0" w:rsidRDefault="00D12921" w:rsidP="00343A08">
      <w:pPr>
        <w:pStyle w:val="ListParagraph"/>
        <w:numPr>
          <w:ilvl w:val="0"/>
          <w:numId w:val="22"/>
        </w:numPr>
      </w:pPr>
      <w:r w:rsidRPr="00B263B0">
        <w:t>proactive and coordinated gathering and sharing of information</w:t>
      </w:r>
    </w:p>
    <w:p w14:paraId="4BFCDE3F" w14:textId="48B961C0" w:rsidR="006F4300" w:rsidRPr="00B263B0" w:rsidRDefault="006F4300" w:rsidP="00343A08">
      <w:pPr>
        <w:pStyle w:val="ListParagraph"/>
        <w:numPr>
          <w:ilvl w:val="0"/>
          <w:numId w:val="22"/>
        </w:numPr>
      </w:pPr>
      <w:r w:rsidRPr="00B263B0">
        <w:t>detection and rapid response to disease outbreaks</w:t>
      </w:r>
    </w:p>
    <w:p w14:paraId="3EE6FC6A" w14:textId="29F76B4B" w:rsidR="006F4300" w:rsidRPr="00B263B0" w:rsidRDefault="006F4300" w:rsidP="00343A08">
      <w:pPr>
        <w:pStyle w:val="ListParagraph"/>
        <w:numPr>
          <w:ilvl w:val="0"/>
          <w:numId w:val="22"/>
        </w:numPr>
      </w:pPr>
      <w:r w:rsidRPr="00B263B0">
        <w:t>identification of disease clusters</w:t>
      </w:r>
    </w:p>
    <w:p w14:paraId="3E6E4D11" w14:textId="0914E8E1" w:rsidR="001F5720" w:rsidRPr="00B263B0" w:rsidRDefault="001F5720" w:rsidP="00343A08">
      <w:pPr>
        <w:pStyle w:val="ListParagraph"/>
        <w:numPr>
          <w:ilvl w:val="0"/>
          <w:numId w:val="22"/>
        </w:numPr>
      </w:pPr>
      <w:r w:rsidRPr="00B263B0">
        <w:t>accurate and rapid source identification of food</w:t>
      </w:r>
      <w:r w:rsidR="005D0BF0" w:rsidRPr="00B263B0">
        <w:t>borne</w:t>
      </w:r>
      <w:r w:rsidRPr="00B263B0">
        <w:t xml:space="preserve"> and waterborne outbreaks</w:t>
      </w:r>
    </w:p>
    <w:p w14:paraId="288F67DC" w14:textId="14FAD9F2" w:rsidR="00CB628C" w:rsidRPr="00B263B0" w:rsidRDefault="000B2047" w:rsidP="00343A08">
      <w:pPr>
        <w:pStyle w:val="ListParagraph"/>
        <w:numPr>
          <w:ilvl w:val="0"/>
          <w:numId w:val="22"/>
        </w:numPr>
      </w:pPr>
      <w:r w:rsidRPr="00B263B0">
        <w:t>accurate and rapid source attribution of food</w:t>
      </w:r>
      <w:r w:rsidR="005D0BF0" w:rsidRPr="00B263B0">
        <w:t>borne</w:t>
      </w:r>
      <w:r w:rsidRPr="00B263B0">
        <w:t xml:space="preserve"> and waterborne outbreaks</w:t>
      </w:r>
    </w:p>
    <w:p w14:paraId="20901EDE" w14:textId="130A43A8" w:rsidR="000B2047" w:rsidRPr="00B263B0" w:rsidRDefault="00796D4D" w:rsidP="00343A08">
      <w:pPr>
        <w:pStyle w:val="ListParagraph"/>
        <w:numPr>
          <w:ilvl w:val="0"/>
          <w:numId w:val="22"/>
        </w:numPr>
      </w:pPr>
      <w:r w:rsidRPr="00B263B0">
        <w:t xml:space="preserve">rapid detection and </w:t>
      </w:r>
      <w:proofErr w:type="spellStart"/>
      <w:r w:rsidRPr="00B263B0">
        <w:t>characterisation</w:t>
      </w:r>
      <w:proofErr w:type="spellEnd"/>
      <w:r w:rsidRPr="00B263B0">
        <w:t xml:space="preserve"> of emerging pathogens or new mechanisms of antibiotic resistance</w:t>
      </w:r>
      <w:r w:rsidR="00C329E0" w:rsidRPr="00B263B0">
        <w:t>.</w:t>
      </w:r>
    </w:p>
    <w:p w14:paraId="28AE2E9B" w14:textId="3A9D37CA" w:rsidR="004D2C5E" w:rsidRPr="001E4E7D" w:rsidRDefault="00EB7529" w:rsidP="006A4A1F">
      <w:pPr>
        <w:pStyle w:val="Heading3"/>
      </w:pPr>
      <w:r w:rsidRPr="001E4E7D">
        <w:t xml:space="preserve">Outcome </w:t>
      </w:r>
      <w:r w:rsidR="005432D9" w:rsidRPr="001E4E7D">
        <w:t>3</w:t>
      </w:r>
      <w:r w:rsidR="004D2C5E" w:rsidRPr="001E4E7D">
        <w:t>.</w:t>
      </w:r>
      <w:r w:rsidR="00AF7DDC" w:rsidRPr="001E4E7D">
        <w:t>1</w:t>
      </w:r>
      <w:r w:rsidR="00AF7DDC">
        <w:t>—</w:t>
      </w:r>
      <w:r w:rsidR="004D2C5E" w:rsidRPr="001E4E7D">
        <w:t>Integrat</w:t>
      </w:r>
      <w:r w:rsidR="004F3B62" w:rsidRPr="001E4E7D">
        <w:t xml:space="preserve">ion of </w:t>
      </w:r>
      <w:r w:rsidR="004D2C5E" w:rsidRPr="001E4E7D">
        <w:t xml:space="preserve">microbial </w:t>
      </w:r>
      <w:r w:rsidR="00C44563" w:rsidRPr="001E4E7D">
        <w:t>genomics</w:t>
      </w:r>
      <w:r w:rsidR="004D2C5E" w:rsidRPr="001E4E7D">
        <w:t xml:space="preserve"> data </w:t>
      </w:r>
      <w:r w:rsidR="006258FF" w:rsidRPr="001E4E7D">
        <w:t>into</w:t>
      </w:r>
      <w:r w:rsidR="004D2C5E" w:rsidRPr="001E4E7D">
        <w:t xml:space="preserve"> e</w:t>
      </w:r>
      <w:r w:rsidR="00B2191A" w:rsidRPr="001E4E7D">
        <w:t>pidemiological</w:t>
      </w:r>
      <w:r w:rsidR="004F3B62" w:rsidRPr="001E4E7D">
        <w:t xml:space="preserve"> systems</w:t>
      </w:r>
    </w:p>
    <w:p w14:paraId="3D3EC281" w14:textId="74595CF1" w:rsidR="004D2C5E" w:rsidRPr="00B263B0" w:rsidRDefault="00705F7B" w:rsidP="00343A08">
      <w:pPr>
        <w:pStyle w:val="ListParagraph"/>
        <w:numPr>
          <w:ilvl w:val="0"/>
          <w:numId w:val="21"/>
        </w:numPr>
      </w:pPr>
      <w:r w:rsidRPr="00B263B0">
        <w:t xml:space="preserve">Facilitate </w:t>
      </w:r>
      <w:r w:rsidR="00B2191A" w:rsidRPr="00B263B0">
        <w:t>i</w:t>
      </w:r>
      <w:r w:rsidR="000A4A67" w:rsidRPr="00B263B0">
        <w:t>ntegration into e</w:t>
      </w:r>
      <w:r w:rsidR="004D2C5E" w:rsidRPr="00B263B0">
        <w:t>pide</w:t>
      </w:r>
      <w:r w:rsidR="000A4A67" w:rsidRPr="00B263B0">
        <w:t>miological</w:t>
      </w:r>
      <w:r w:rsidR="00C70C10" w:rsidRPr="00B263B0">
        <w:t xml:space="preserve"> and </w:t>
      </w:r>
      <w:r w:rsidR="00FC6EB6" w:rsidRPr="00B263B0">
        <w:t xml:space="preserve">antimicrobial resistance </w:t>
      </w:r>
      <w:r w:rsidR="000A4A67" w:rsidRPr="00B263B0">
        <w:t>surveillance systems</w:t>
      </w:r>
      <w:r w:rsidR="00AF7DDC" w:rsidRPr="00B263B0">
        <w:t>.</w:t>
      </w:r>
    </w:p>
    <w:p w14:paraId="2BB8B2AB" w14:textId="57586C95" w:rsidR="004D2C5E" w:rsidRPr="00B263B0" w:rsidRDefault="00CB2491" w:rsidP="00343A08">
      <w:pPr>
        <w:pStyle w:val="ListParagraph"/>
        <w:numPr>
          <w:ilvl w:val="0"/>
          <w:numId w:val="21"/>
        </w:numPr>
      </w:pPr>
      <w:r w:rsidRPr="00B263B0">
        <w:t>Facilitate</w:t>
      </w:r>
      <w:r w:rsidR="00B2191A" w:rsidRPr="00B263B0">
        <w:t xml:space="preserve"> i</w:t>
      </w:r>
      <w:r w:rsidR="000A4A67" w:rsidRPr="00B263B0">
        <w:t>ntegration into l</w:t>
      </w:r>
      <w:r w:rsidR="004D2C5E" w:rsidRPr="00B263B0">
        <w:t>aboratory information systems</w:t>
      </w:r>
      <w:r w:rsidR="00AF7DDC" w:rsidRPr="00B263B0">
        <w:t>.</w:t>
      </w:r>
    </w:p>
    <w:p w14:paraId="67AB21DC" w14:textId="455AB0C8" w:rsidR="004D2C5E" w:rsidRPr="00B263B0" w:rsidRDefault="00705F7B" w:rsidP="00343A08">
      <w:pPr>
        <w:pStyle w:val="ListParagraph"/>
        <w:numPr>
          <w:ilvl w:val="0"/>
          <w:numId w:val="21"/>
        </w:numPr>
      </w:pPr>
      <w:r w:rsidRPr="00B263B0">
        <w:t xml:space="preserve">Facilitate </w:t>
      </w:r>
      <w:r w:rsidR="00B2191A" w:rsidRPr="00B263B0">
        <w:t xml:space="preserve">integration </w:t>
      </w:r>
      <w:r w:rsidR="000A4A67" w:rsidRPr="00B263B0">
        <w:t>into f</w:t>
      </w:r>
      <w:r w:rsidR="006258FF" w:rsidRPr="00B263B0">
        <w:t>ood safety and regulatory sector arrangements</w:t>
      </w:r>
      <w:r w:rsidR="00AF7DDC" w:rsidRPr="00B263B0">
        <w:t>.</w:t>
      </w:r>
    </w:p>
    <w:p w14:paraId="727C4F09" w14:textId="0C444C31" w:rsidR="00B46BBF" w:rsidRPr="00B263B0" w:rsidRDefault="00CB2491" w:rsidP="00343A08">
      <w:pPr>
        <w:pStyle w:val="ListParagraph"/>
        <w:numPr>
          <w:ilvl w:val="0"/>
          <w:numId w:val="21"/>
        </w:numPr>
      </w:pPr>
      <w:r w:rsidRPr="00B263B0">
        <w:t>Facilitate</w:t>
      </w:r>
      <w:r w:rsidR="00B2191A" w:rsidRPr="00B263B0">
        <w:t xml:space="preserve"> i</w:t>
      </w:r>
      <w:r w:rsidR="000A4A67" w:rsidRPr="00B263B0">
        <w:t>ntegration into a</w:t>
      </w:r>
      <w:r w:rsidR="006258FF" w:rsidRPr="00B263B0">
        <w:t>nimal health sector arrangements.</w:t>
      </w:r>
    </w:p>
    <w:p w14:paraId="2796D216" w14:textId="49C92CE4" w:rsidR="006258FF" w:rsidRPr="001E4E7D" w:rsidRDefault="004F3B62" w:rsidP="006A4A1F">
      <w:pPr>
        <w:pStyle w:val="Heading3"/>
      </w:pPr>
      <w:r w:rsidRPr="001E4E7D">
        <w:t xml:space="preserve">Outcome </w:t>
      </w:r>
      <w:r w:rsidR="005432D9" w:rsidRPr="001E4E7D">
        <w:t>3</w:t>
      </w:r>
      <w:r w:rsidR="000C48E6" w:rsidRPr="001E4E7D">
        <w:t>.</w:t>
      </w:r>
      <w:r w:rsidR="00AF7DDC" w:rsidRPr="001E4E7D">
        <w:t>2</w:t>
      </w:r>
      <w:r w:rsidR="00AF7DDC">
        <w:t>—</w:t>
      </w:r>
      <w:r w:rsidR="000C48E6" w:rsidRPr="001E4E7D">
        <w:t>Identif</w:t>
      </w:r>
      <w:r w:rsidRPr="001E4E7D">
        <w:t>ication of priority organisms</w:t>
      </w:r>
    </w:p>
    <w:p w14:paraId="25914179" w14:textId="166E2D7F" w:rsidR="009A0BC6" w:rsidRPr="00B263B0" w:rsidRDefault="009A0BC6" w:rsidP="00343A08">
      <w:pPr>
        <w:pStyle w:val="ListParagraph"/>
        <w:numPr>
          <w:ilvl w:val="0"/>
          <w:numId w:val="20"/>
        </w:numPr>
      </w:pPr>
      <w:r w:rsidRPr="00B263B0">
        <w:t xml:space="preserve">Determine </w:t>
      </w:r>
      <w:r w:rsidR="00382C25" w:rsidRPr="00B263B0">
        <w:t xml:space="preserve">a list of </w:t>
      </w:r>
      <w:r w:rsidRPr="00B263B0">
        <w:t xml:space="preserve">priority organisms through consultation and collaboration with PHLN, ABLN, CDNA, </w:t>
      </w:r>
      <w:r w:rsidR="007953A7" w:rsidRPr="00B263B0">
        <w:t>CDGN,</w:t>
      </w:r>
      <w:r w:rsidR="0069145E" w:rsidRPr="00B263B0">
        <w:t xml:space="preserve"> </w:t>
      </w:r>
      <w:r w:rsidRPr="00B263B0">
        <w:t xml:space="preserve">AHPPC, </w:t>
      </w:r>
      <w:r w:rsidR="007265CB" w:rsidRPr="00B263B0">
        <w:t>the Australian Strategic and Technical Advisory Group on AMR</w:t>
      </w:r>
      <w:r w:rsidRPr="00B263B0">
        <w:t xml:space="preserve">, </w:t>
      </w:r>
      <w:proofErr w:type="spellStart"/>
      <w:r w:rsidRPr="00B263B0">
        <w:t>OzFoodNet</w:t>
      </w:r>
      <w:proofErr w:type="spellEnd"/>
      <w:r w:rsidRPr="00B263B0">
        <w:t xml:space="preserve">, the Australian </w:t>
      </w:r>
      <w:r w:rsidR="00AF7DDC" w:rsidRPr="00B263B0">
        <w:t>i</w:t>
      </w:r>
      <w:r w:rsidRPr="00B263B0">
        <w:t xml:space="preserve">ntelligence </w:t>
      </w:r>
      <w:r w:rsidR="00AF7DDC" w:rsidRPr="00B263B0">
        <w:t>c</w:t>
      </w:r>
      <w:r w:rsidRPr="00B263B0">
        <w:t>ommunity</w:t>
      </w:r>
      <w:r w:rsidR="00382C25" w:rsidRPr="00B263B0">
        <w:t xml:space="preserve">, research </w:t>
      </w:r>
      <w:proofErr w:type="spellStart"/>
      <w:r w:rsidR="00382C25" w:rsidRPr="00B263B0">
        <w:t>organisations</w:t>
      </w:r>
      <w:proofErr w:type="spellEnd"/>
      <w:r w:rsidRPr="00B263B0">
        <w:t xml:space="preserve"> and other relevant stakeholders to identify where sequencing provides</w:t>
      </w:r>
      <w:r w:rsidR="00382C25" w:rsidRPr="00B263B0">
        <w:t xml:space="preserve"> an</w:t>
      </w:r>
      <w:r w:rsidRPr="00B263B0">
        <w:t xml:space="preserve"> enhanced public health benefit over existing laboratory methodologies</w:t>
      </w:r>
      <w:r w:rsidR="00AF7DDC" w:rsidRPr="00B263B0">
        <w:t>.</w:t>
      </w:r>
    </w:p>
    <w:p w14:paraId="600659BA" w14:textId="565A8FFF" w:rsidR="00AA6C10" w:rsidRPr="00B263B0" w:rsidRDefault="00AA6C10" w:rsidP="00343A08">
      <w:pPr>
        <w:pStyle w:val="ListParagraph"/>
        <w:numPr>
          <w:ilvl w:val="0"/>
          <w:numId w:val="20"/>
        </w:numPr>
      </w:pPr>
      <w:r w:rsidRPr="00B263B0">
        <w:t xml:space="preserve">Facilitate the rapid detection and </w:t>
      </w:r>
      <w:proofErr w:type="spellStart"/>
      <w:r w:rsidRPr="00B263B0">
        <w:t>characterisation</w:t>
      </w:r>
      <w:proofErr w:type="spellEnd"/>
      <w:r w:rsidRPr="00B263B0">
        <w:t xml:space="preserve"> of emerging and/or newly imported pathogens and other bio</w:t>
      </w:r>
      <w:r w:rsidR="00F97C40" w:rsidRPr="00B263B0">
        <w:t>-</w:t>
      </w:r>
      <w:r w:rsidRPr="00B263B0">
        <w:t>threats</w:t>
      </w:r>
      <w:r w:rsidR="00AF7DDC" w:rsidRPr="00B263B0">
        <w:t>.</w:t>
      </w:r>
    </w:p>
    <w:p w14:paraId="6EAD1633" w14:textId="0C583183" w:rsidR="002D36A3" w:rsidRPr="00B263B0" w:rsidRDefault="004F3B62" w:rsidP="00343A08">
      <w:pPr>
        <w:pStyle w:val="ListParagraph"/>
        <w:numPr>
          <w:ilvl w:val="0"/>
          <w:numId w:val="20"/>
        </w:numPr>
      </w:pPr>
      <w:r w:rsidRPr="00B263B0">
        <w:lastRenderedPageBreak/>
        <w:t>I</w:t>
      </w:r>
      <w:r w:rsidR="000C48E6" w:rsidRPr="00B263B0">
        <w:t xml:space="preserve">mprove knowledge </w:t>
      </w:r>
      <w:r w:rsidR="00F97C40" w:rsidRPr="00B263B0">
        <w:t xml:space="preserve">on </w:t>
      </w:r>
      <w:r w:rsidR="00E849CE" w:rsidRPr="00B263B0">
        <w:t xml:space="preserve">what type of </w:t>
      </w:r>
      <w:r w:rsidR="00C44563" w:rsidRPr="00B263B0">
        <w:t>microbial genomics</w:t>
      </w:r>
      <w:r w:rsidR="000C48E6" w:rsidRPr="00B263B0">
        <w:t xml:space="preserve"> </w:t>
      </w:r>
      <w:r w:rsidR="00E849CE" w:rsidRPr="00B263B0">
        <w:t>information improves</w:t>
      </w:r>
      <w:r w:rsidR="000C48E6" w:rsidRPr="00B263B0">
        <w:t xml:space="preserve"> public health </w:t>
      </w:r>
      <w:r w:rsidR="00E849CE" w:rsidRPr="00B263B0">
        <w:t xml:space="preserve">disease </w:t>
      </w:r>
      <w:r w:rsidR="000C48E6" w:rsidRPr="00B263B0">
        <w:t>control and response</w:t>
      </w:r>
      <w:r w:rsidR="00E849CE" w:rsidRPr="00B263B0">
        <w:t xml:space="preserve"> and how this is applied</w:t>
      </w:r>
      <w:r w:rsidR="009A0BC6" w:rsidRPr="00B263B0">
        <w:t xml:space="preserve"> in relation to priority organisms</w:t>
      </w:r>
      <w:r w:rsidR="00AA6C10" w:rsidRPr="00B263B0">
        <w:t>, particularly its role in maintaining national health security and biosecurity</w:t>
      </w:r>
      <w:r w:rsidR="00AF7DDC" w:rsidRPr="00B263B0">
        <w:t>.</w:t>
      </w:r>
    </w:p>
    <w:p w14:paraId="79197CB5" w14:textId="18A4E32E" w:rsidR="00B46BBF" w:rsidRPr="00B263B0" w:rsidRDefault="002D36A3" w:rsidP="00343A08">
      <w:pPr>
        <w:pStyle w:val="ListParagraph"/>
        <w:numPr>
          <w:ilvl w:val="0"/>
          <w:numId w:val="20"/>
        </w:numPr>
      </w:pPr>
      <w:r w:rsidRPr="00B263B0">
        <w:t>Facilitate and encourage private microbiology laboratories to share microbial genomics</w:t>
      </w:r>
      <w:r w:rsidR="00F97C40" w:rsidRPr="00B263B0">
        <w:t xml:space="preserve"> </w:t>
      </w:r>
      <w:r w:rsidRPr="00B263B0">
        <w:t>related data for public health and surveillance purposes</w:t>
      </w:r>
      <w:r w:rsidR="009A0BC6" w:rsidRPr="00B263B0">
        <w:t xml:space="preserve"> for priority organisms.</w:t>
      </w:r>
    </w:p>
    <w:p w14:paraId="5661E07B" w14:textId="4A640F29" w:rsidR="00DE1C22" w:rsidRPr="001E4E7D" w:rsidRDefault="00DE1C22" w:rsidP="006A4A1F">
      <w:pPr>
        <w:pStyle w:val="Heading3"/>
      </w:pPr>
      <w:r w:rsidRPr="001E4E7D">
        <w:t>Outcome 3.</w:t>
      </w:r>
      <w:r w:rsidR="00AF7DDC" w:rsidRPr="001E4E7D">
        <w:t>3</w:t>
      </w:r>
      <w:r w:rsidR="00AF7DDC">
        <w:t>—</w:t>
      </w:r>
      <w:r w:rsidR="009703CC" w:rsidRPr="001E4E7D">
        <w:t xml:space="preserve">Prioritisation of </w:t>
      </w:r>
      <w:r w:rsidR="00AA6C10" w:rsidRPr="001E4E7D">
        <w:t xml:space="preserve">public health </w:t>
      </w:r>
      <w:r w:rsidR="009703CC" w:rsidRPr="001E4E7D">
        <w:t>microbial genomics research</w:t>
      </w:r>
    </w:p>
    <w:p w14:paraId="03EDAF15" w14:textId="69FE6CC9" w:rsidR="00DE1C22" w:rsidRPr="00B263B0" w:rsidRDefault="00DE1C22" w:rsidP="00343A08">
      <w:pPr>
        <w:pStyle w:val="ListParagraph"/>
        <w:numPr>
          <w:ilvl w:val="0"/>
          <w:numId w:val="19"/>
        </w:numPr>
      </w:pPr>
      <w:r w:rsidRPr="00B263B0">
        <w:t>Enhance communication</w:t>
      </w:r>
      <w:r w:rsidR="009703CC" w:rsidRPr="00B263B0">
        <w:t xml:space="preserve"> </w:t>
      </w:r>
      <w:r w:rsidRPr="00B263B0">
        <w:t>with microbial genomics researchers to identify gaps for improvement in disease control</w:t>
      </w:r>
      <w:r w:rsidR="009703CC" w:rsidRPr="00B263B0">
        <w:t xml:space="preserve"> for public health purposes</w:t>
      </w:r>
      <w:r w:rsidR="00AF7DDC" w:rsidRPr="00B263B0">
        <w:t>.</w:t>
      </w:r>
    </w:p>
    <w:p w14:paraId="50627313" w14:textId="497DEA9C" w:rsidR="00DE1C22" w:rsidRPr="00B263B0" w:rsidRDefault="00AF7DDC" w:rsidP="00343A08">
      <w:pPr>
        <w:pStyle w:val="ListParagraph"/>
        <w:numPr>
          <w:ilvl w:val="0"/>
          <w:numId w:val="19"/>
        </w:numPr>
      </w:pPr>
      <w:proofErr w:type="spellStart"/>
      <w:r w:rsidRPr="00B263B0">
        <w:t>Maximise</w:t>
      </w:r>
      <w:proofErr w:type="spellEnd"/>
      <w:r w:rsidRPr="00B263B0">
        <w:t xml:space="preserve"> m</w:t>
      </w:r>
      <w:r w:rsidR="009703CC" w:rsidRPr="00B263B0">
        <w:t>icrobial genomics r</w:t>
      </w:r>
      <w:r w:rsidR="00DE1C22" w:rsidRPr="00B263B0">
        <w:t>esearch opportunities to enhance public health outcomes</w:t>
      </w:r>
      <w:r w:rsidRPr="00B263B0">
        <w:t>.</w:t>
      </w:r>
    </w:p>
    <w:p w14:paraId="5BA4D4E7" w14:textId="3950D9FA" w:rsidR="00570403" w:rsidRPr="00B263B0" w:rsidRDefault="00AF7DDC" w:rsidP="00343A08">
      <w:pPr>
        <w:pStyle w:val="ListParagraph"/>
        <w:numPr>
          <w:ilvl w:val="0"/>
          <w:numId w:val="19"/>
        </w:numPr>
      </w:pPr>
      <w:r w:rsidRPr="00B263B0">
        <w:t>Ensure e</w:t>
      </w:r>
      <w:r w:rsidR="00DE1C22" w:rsidRPr="00B263B0">
        <w:t>arly identification of translational research priorities in microbial genomics.</w:t>
      </w:r>
    </w:p>
    <w:p w14:paraId="5D889322" w14:textId="0EC6B208" w:rsidR="00570403" w:rsidRPr="00ED4544" w:rsidRDefault="00570403" w:rsidP="00020677">
      <w:pPr>
        <w:pStyle w:val="Style1"/>
      </w:pPr>
      <w:r w:rsidRPr="00ED4544">
        <w:t>What does the future look like?</w:t>
      </w:r>
    </w:p>
    <w:p w14:paraId="5B816ACC" w14:textId="428C9AED" w:rsidR="00570403" w:rsidRPr="00020677" w:rsidRDefault="00570403" w:rsidP="00020677">
      <w:pPr>
        <w:pStyle w:val="shadedbullets"/>
      </w:pPr>
      <w:r w:rsidRPr="00ED4544">
        <w:t xml:space="preserve">Microbial genomics is </w:t>
      </w:r>
      <w:r w:rsidR="008F561A" w:rsidRPr="00ED4544">
        <w:t>fully</w:t>
      </w:r>
      <w:r w:rsidRPr="00ED4544">
        <w:t xml:space="preserve"> </w:t>
      </w:r>
      <w:r w:rsidRPr="00020677">
        <w:t>integrated into national public health practice.</w:t>
      </w:r>
    </w:p>
    <w:p w14:paraId="0EEB0016" w14:textId="77777777" w:rsidR="00570403" w:rsidRPr="00020677" w:rsidRDefault="00570403" w:rsidP="00020677">
      <w:pPr>
        <w:pStyle w:val="shadedbullets"/>
      </w:pPr>
      <w:r w:rsidRPr="00020677">
        <w:t xml:space="preserve">There is evidence </w:t>
      </w:r>
      <w:r w:rsidR="00705F7B" w:rsidRPr="00020677">
        <w:t xml:space="preserve">from Australia </w:t>
      </w:r>
      <w:r w:rsidRPr="00020677">
        <w:t>that microbial genomics has contributed to improvements in the detection of outbreaks and enabled timely response.</w:t>
      </w:r>
    </w:p>
    <w:p w14:paraId="686EF5A6" w14:textId="5F1CBADE" w:rsidR="00741CEC" w:rsidRPr="0060559B" w:rsidRDefault="00570403" w:rsidP="00020677">
      <w:pPr>
        <w:pStyle w:val="shadedbullets"/>
      </w:pPr>
      <w:r w:rsidRPr="00020677">
        <w:t>There is greater</w:t>
      </w:r>
      <w:r w:rsidR="002924A2" w:rsidRPr="00020677">
        <w:t xml:space="preserve"> systematic</w:t>
      </w:r>
      <w:r w:rsidRPr="00020677">
        <w:t xml:space="preserve"> collaboration with researchers</w:t>
      </w:r>
      <w:r w:rsidR="008F561A" w:rsidRPr="00020677">
        <w:t xml:space="preserve"> and a process</w:t>
      </w:r>
      <w:r w:rsidRPr="00020677">
        <w:t xml:space="preserve"> to </w:t>
      </w:r>
      <w:r w:rsidR="009D71C2" w:rsidRPr="00020677">
        <w:t>maximis</w:t>
      </w:r>
      <w:r w:rsidRPr="00020677">
        <w:t>e opportunities for improvement and expansion in</w:t>
      </w:r>
      <w:r w:rsidRPr="00ED4544">
        <w:t xml:space="preserve"> the application of microbial genomics.</w:t>
      </w:r>
      <w:r w:rsidR="00741CEC" w:rsidRPr="0060559B">
        <w:br w:type="page"/>
      </w:r>
    </w:p>
    <w:p w14:paraId="03D2E136" w14:textId="536F7362" w:rsidR="00D1263D" w:rsidRPr="006A4A1F" w:rsidRDefault="00D1263D" w:rsidP="006A4A1F">
      <w:pPr>
        <w:pStyle w:val="Heading2"/>
      </w:pPr>
      <w:bookmarkStart w:id="30" w:name="_Toc530994580"/>
      <w:bookmarkStart w:id="31" w:name="_Toc11404110"/>
      <w:r w:rsidRPr="006A4A1F">
        <w:lastRenderedPageBreak/>
        <w:t xml:space="preserve">Strategic Priority </w:t>
      </w:r>
      <w:r w:rsidR="005432D9" w:rsidRPr="006A4A1F">
        <w:t>4</w:t>
      </w:r>
      <w:r w:rsidR="00AF7DDC" w:rsidRPr="006A4A1F">
        <w:t>—</w:t>
      </w:r>
      <w:r w:rsidR="00F03528" w:rsidRPr="006A4A1F">
        <w:t>Access</w:t>
      </w:r>
      <w:r w:rsidR="0031655B" w:rsidRPr="006A4A1F">
        <w:t xml:space="preserve"> and Workforce</w:t>
      </w:r>
      <w:bookmarkEnd w:id="30"/>
      <w:bookmarkEnd w:id="31"/>
    </w:p>
    <w:p w14:paraId="4C168A6A" w14:textId="0E3F3602" w:rsidR="009C797E" w:rsidRPr="001E4E7D" w:rsidRDefault="009C797E" w:rsidP="003A6646">
      <w:pPr>
        <w:rPr>
          <w:lang w:val="en-AU"/>
        </w:rPr>
      </w:pPr>
      <w:r w:rsidRPr="001E4E7D">
        <w:rPr>
          <w:lang w:val="en-AU"/>
        </w:rPr>
        <w:t xml:space="preserve">Currently, public health microbiology services are provided by </w:t>
      </w:r>
      <w:r w:rsidR="00211FEA" w:rsidRPr="001E4E7D">
        <w:rPr>
          <w:lang w:val="en-AU"/>
        </w:rPr>
        <w:t>public health laboratories</w:t>
      </w:r>
      <w:r w:rsidRPr="001E4E7D">
        <w:rPr>
          <w:lang w:val="en-AU"/>
        </w:rPr>
        <w:t xml:space="preserve"> through a network of jurisdictional specialist microbiology laboratories. These </w:t>
      </w:r>
      <w:r w:rsidR="00BC7CB6" w:rsidRPr="001E4E7D">
        <w:rPr>
          <w:lang w:val="en-AU"/>
        </w:rPr>
        <w:t>public health laboratories</w:t>
      </w:r>
      <w:r w:rsidRPr="001E4E7D">
        <w:rPr>
          <w:lang w:val="en-AU"/>
        </w:rPr>
        <w:t xml:space="preserve"> are either dedicated specialist (reference) facilities or </w:t>
      </w:r>
      <w:r w:rsidRPr="00F97C40">
        <w:rPr>
          <w:lang w:val="en-AU"/>
        </w:rPr>
        <w:t>are co-located within</w:t>
      </w:r>
      <w:r w:rsidRPr="001E4E7D">
        <w:rPr>
          <w:lang w:val="en-AU"/>
        </w:rPr>
        <w:t xml:space="preserve"> hospital-based facilities.</w:t>
      </w:r>
      <w:r w:rsidR="005E253E" w:rsidRPr="001E4E7D">
        <w:rPr>
          <w:lang w:val="en-AU"/>
        </w:rPr>
        <w:t xml:space="preserve"> Depending on jurisdictional size and capacity, </w:t>
      </w:r>
      <w:r w:rsidR="00BC7CB6" w:rsidRPr="001E4E7D">
        <w:rPr>
          <w:lang w:val="en-AU"/>
        </w:rPr>
        <w:t>public health laboratories</w:t>
      </w:r>
      <w:r w:rsidR="005E253E" w:rsidRPr="001E4E7D">
        <w:rPr>
          <w:lang w:val="en-AU"/>
        </w:rPr>
        <w:t xml:space="preserve"> provide a range of specialist functions</w:t>
      </w:r>
      <w:r w:rsidR="00AC1552">
        <w:rPr>
          <w:lang w:val="en-AU"/>
        </w:rPr>
        <w:t>,</w:t>
      </w:r>
      <w:r w:rsidR="005E253E" w:rsidRPr="001E4E7D">
        <w:rPr>
          <w:lang w:val="en-AU"/>
        </w:rPr>
        <w:t xml:space="preserve"> including:</w:t>
      </w:r>
    </w:p>
    <w:p w14:paraId="17C8EE62" w14:textId="5C462484" w:rsidR="005E253E" w:rsidRPr="001E4E7D" w:rsidRDefault="00AC1552" w:rsidP="00343A08">
      <w:pPr>
        <w:pStyle w:val="ListParagraph"/>
        <w:numPr>
          <w:ilvl w:val="0"/>
          <w:numId w:val="6"/>
        </w:numPr>
        <w:rPr>
          <w:lang w:val="en-AU"/>
        </w:rPr>
      </w:pPr>
      <w:r>
        <w:rPr>
          <w:lang w:val="en-AU"/>
        </w:rPr>
        <w:t>d</w:t>
      </w:r>
      <w:r w:rsidR="005E253E" w:rsidRPr="001E4E7D">
        <w:rPr>
          <w:lang w:val="en-AU"/>
        </w:rPr>
        <w:t xml:space="preserve">etailed typing </w:t>
      </w:r>
      <w:r w:rsidR="007258FD" w:rsidRPr="007258FD">
        <w:rPr>
          <w:lang w:val="en-AU"/>
        </w:rPr>
        <w:t>and characterisation</w:t>
      </w:r>
      <w:r w:rsidR="007258FD">
        <w:rPr>
          <w:lang w:val="en-AU"/>
        </w:rPr>
        <w:t xml:space="preserve"> </w:t>
      </w:r>
      <w:r w:rsidR="005E253E" w:rsidRPr="001E4E7D">
        <w:rPr>
          <w:lang w:val="en-AU"/>
        </w:rPr>
        <w:t>of communicable disease pathogens, underpinning national surveillance for communicable diseases</w:t>
      </w:r>
    </w:p>
    <w:p w14:paraId="126DF255" w14:textId="4845F06F" w:rsidR="005E253E" w:rsidRPr="001E4E7D" w:rsidRDefault="00AC1552" w:rsidP="00343A08">
      <w:pPr>
        <w:pStyle w:val="ListParagraph"/>
        <w:numPr>
          <w:ilvl w:val="0"/>
          <w:numId w:val="6"/>
        </w:numPr>
        <w:rPr>
          <w:lang w:val="en-AU"/>
        </w:rPr>
      </w:pPr>
      <w:r>
        <w:rPr>
          <w:lang w:val="en-AU"/>
        </w:rPr>
        <w:t>l</w:t>
      </w:r>
      <w:r w:rsidR="005E253E" w:rsidRPr="001E4E7D">
        <w:rPr>
          <w:lang w:val="en-AU"/>
        </w:rPr>
        <w:t>aboratory contribution to outbreak investigation</w:t>
      </w:r>
    </w:p>
    <w:p w14:paraId="1EF65A5B" w14:textId="7936F3D6" w:rsidR="005E253E" w:rsidRPr="001E4E7D" w:rsidRDefault="00AC1552" w:rsidP="00343A08">
      <w:pPr>
        <w:pStyle w:val="ListParagraph"/>
        <w:numPr>
          <w:ilvl w:val="0"/>
          <w:numId w:val="6"/>
        </w:numPr>
        <w:rPr>
          <w:lang w:val="en-AU"/>
        </w:rPr>
      </w:pPr>
      <w:r>
        <w:rPr>
          <w:lang w:val="en-AU"/>
        </w:rPr>
        <w:t>s</w:t>
      </w:r>
      <w:r w:rsidR="005E253E" w:rsidRPr="001E4E7D">
        <w:rPr>
          <w:lang w:val="en-AU"/>
        </w:rPr>
        <w:t xml:space="preserve">pecialised reference </w:t>
      </w:r>
      <w:r w:rsidR="00AF4087" w:rsidRPr="001E4E7D">
        <w:rPr>
          <w:lang w:val="en-AU"/>
        </w:rPr>
        <w:t>diagnostics</w:t>
      </w:r>
      <w:r w:rsidR="005E253E" w:rsidRPr="001E4E7D">
        <w:rPr>
          <w:lang w:val="en-AU"/>
        </w:rPr>
        <w:t xml:space="preserve"> and confirmatory testing</w:t>
      </w:r>
    </w:p>
    <w:p w14:paraId="6BF526BA" w14:textId="6BF2A7CA" w:rsidR="005E253E" w:rsidRPr="001E4E7D" w:rsidRDefault="00AC1552" w:rsidP="00343A08">
      <w:pPr>
        <w:pStyle w:val="ListParagraph"/>
        <w:numPr>
          <w:ilvl w:val="0"/>
          <w:numId w:val="6"/>
        </w:numPr>
        <w:rPr>
          <w:lang w:val="en-AU"/>
        </w:rPr>
      </w:pPr>
      <w:r>
        <w:rPr>
          <w:lang w:val="en-AU"/>
        </w:rPr>
        <w:t>p</w:t>
      </w:r>
      <w:r w:rsidR="005E253E" w:rsidRPr="001E4E7D">
        <w:rPr>
          <w:lang w:val="en-AU"/>
        </w:rPr>
        <w:t>rovision of scientific advice to public health networks and authorities</w:t>
      </w:r>
    </w:p>
    <w:p w14:paraId="36DBAD53" w14:textId="1B2FD6A8" w:rsidR="005E253E" w:rsidRPr="001E4E7D" w:rsidRDefault="00AC1552" w:rsidP="00343A08">
      <w:pPr>
        <w:pStyle w:val="ListParagraph"/>
        <w:numPr>
          <w:ilvl w:val="0"/>
          <w:numId w:val="6"/>
        </w:numPr>
        <w:rPr>
          <w:lang w:val="en-AU"/>
        </w:rPr>
      </w:pPr>
      <w:r>
        <w:rPr>
          <w:lang w:val="en-AU"/>
        </w:rPr>
        <w:t>s</w:t>
      </w:r>
      <w:r w:rsidR="00AF4087" w:rsidRPr="001E4E7D">
        <w:rPr>
          <w:lang w:val="en-AU"/>
        </w:rPr>
        <w:t>tate-based and national leadership in standardising the diagnosis and laboratory-based surveillance of communicable disease</w:t>
      </w:r>
    </w:p>
    <w:p w14:paraId="06B18FDE" w14:textId="507141A0" w:rsidR="00AF4087" w:rsidRPr="006A4A1F" w:rsidRDefault="00AC1552" w:rsidP="00343A08">
      <w:pPr>
        <w:pStyle w:val="ListParagraph"/>
        <w:numPr>
          <w:ilvl w:val="0"/>
          <w:numId w:val="6"/>
        </w:numPr>
        <w:rPr>
          <w:lang w:val="en-AU"/>
        </w:rPr>
      </w:pPr>
      <w:r>
        <w:rPr>
          <w:lang w:val="en-AU"/>
        </w:rPr>
        <w:t>i</w:t>
      </w:r>
      <w:r w:rsidR="00AF4087" w:rsidRPr="001E4E7D">
        <w:rPr>
          <w:lang w:val="en-AU"/>
        </w:rPr>
        <w:t>dentif</w:t>
      </w:r>
      <w:r w:rsidR="00BC7CB6" w:rsidRPr="001E4E7D">
        <w:rPr>
          <w:lang w:val="en-AU"/>
        </w:rPr>
        <w:t>ication</w:t>
      </w:r>
      <w:r w:rsidR="00AF4087" w:rsidRPr="001E4E7D">
        <w:rPr>
          <w:lang w:val="en-AU"/>
        </w:rPr>
        <w:t xml:space="preserve"> and appl</w:t>
      </w:r>
      <w:r w:rsidR="00BC7CB6" w:rsidRPr="001E4E7D">
        <w:rPr>
          <w:lang w:val="en-AU"/>
        </w:rPr>
        <w:t>ication of</w:t>
      </w:r>
      <w:r w:rsidR="00AF4087" w:rsidRPr="001E4E7D">
        <w:rPr>
          <w:lang w:val="en-AU"/>
        </w:rPr>
        <w:t xml:space="preserve"> new technological and scientific developments to public health microbiology practice</w:t>
      </w:r>
      <w:r w:rsidR="005432D9" w:rsidRPr="001E4E7D">
        <w:rPr>
          <w:lang w:val="en-AU"/>
        </w:rPr>
        <w:t>.</w:t>
      </w:r>
    </w:p>
    <w:p w14:paraId="64E8D924" w14:textId="7A8C4616" w:rsidR="003A6646" w:rsidRPr="001E4E7D" w:rsidRDefault="007258FD" w:rsidP="007258FD">
      <w:pPr>
        <w:rPr>
          <w:lang w:val="en-AU"/>
        </w:rPr>
      </w:pPr>
      <w:r w:rsidRPr="007258FD">
        <w:rPr>
          <w:lang w:val="en-AU"/>
        </w:rPr>
        <w:t>There is varying capacity and</w:t>
      </w:r>
      <w:r>
        <w:rPr>
          <w:lang w:val="en-AU"/>
        </w:rPr>
        <w:t xml:space="preserve"> </w:t>
      </w:r>
      <w:r w:rsidRPr="007258FD">
        <w:rPr>
          <w:lang w:val="en-AU"/>
        </w:rPr>
        <w:t xml:space="preserve">capability across jurisdictions </w:t>
      </w:r>
      <w:proofErr w:type="gramStart"/>
      <w:r w:rsidRPr="007258FD">
        <w:rPr>
          <w:lang w:val="en-AU"/>
        </w:rPr>
        <w:t>with regard to</w:t>
      </w:r>
      <w:proofErr w:type="gramEnd"/>
      <w:r w:rsidRPr="007258FD">
        <w:rPr>
          <w:lang w:val="en-AU"/>
        </w:rPr>
        <w:t xml:space="preserve"> the introduction and implementation of microbial</w:t>
      </w:r>
      <w:r>
        <w:rPr>
          <w:lang w:val="en-AU"/>
        </w:rPr>
        <w:t xml:space="preserve"> </w:t>
      </w:r>
      <w:r w:rsidRPr="007258FD">
        <w:rPr>
          <w:lang w:val="en-AU"/>
        </w:rPr>
        <w:t>genomics in public health laboratories</w:t>
      </w:r>
      <w:r w:rsidR="00CC5B03" w:rsidRPr="001E4E7D">
        <w:rPr>
          <w:lang w:val="en-AU"/>
        </w:rPr>
        <w:t>.</w:t>
      </w:r>
      <w:r w:rsidR="00AF4087" w:rsidRPr="001E4E7D">
        <w:rPr>
          <w:lang w:val="en-AU"/>
        </w:rPr>
        <w:t xml:space="preserve"> </w:t>
      </w:r>
      <w:r w:rsidR="00CB2491" w:rsidRPr="001E4E7D">
        <w:rPr>
          <w:lang w:val="en-AU"/>
        </w:rPr>
        <w:t>The implementation of microbial genomics services requires access to high</w:t>
      </w:r>
      <w:r w:rsidR="00AC1552">
        <w:rPr>
          <w:lang w:val="en-AU"/>
        </w:rPr>
        <w:t>-</w:t>
      </w:r>
      <w:r w:rsidR="00CB2491" w:rsidRPr="001E4E7D">
        <w:rPr>
          <w:lang w:val="en-AU"/>
        </w:rPr>
        <w:t>performance computing infrastructure</w:t>
      </w:r>
      <w:r w:rsidR="00F97C40">
        <w:rPr>
          <w:lang w:val="en-AU"/>
        </w:rPr>
        <w:t>, and m</w:t>
      </w:r>
      <w:r w:rsidR="00CB2491" w:rsidRPr="001E4E7D">
        <w:rPr>
          <w:lang w:val="en-AU"/>
        </w:rPr>
        <w:t>any diagnostic and reference laboratories</w:t>
      </w:r>
      <w:r w:rsidR="00F97C40">
        <w:rPr>
          <w:lang w:val="en-AU"/>
        </w:rPr>
        <w:t xml:space="preserve"> may not have this access</w:t>
      </w:r>
      <w:r w:rsidR="00CB2491" w:rsidRPr="001E4E7D">
        <w:rPr>
          <w:lang w:val="en-AU"/>
        </w:rPr>
        <w:t xml:space="preserve">. </w:t>
      </w:r>
      <w:r w:rsidR="00CC5B03" w:rsidRPr="001E4E7D">
        <w:rPr>
          <w:lang w:val="en-AU"/>
        </w:rPr>
        <w:t>At present</w:t>
      </w:r>
      <w:r w:rsidR="00AC1552">
        <w:rPr>
          <w:lang w:val="en-AU"/>
        </w:rPr>
        <w:t>,</w:t>
      </w:r>
      <w:r w:rsidR="00CC5B03" w:rsidRPr="001E4E7D">
        <w:rPr>
          <w:lang w:val="en-AU"/>
        </w:rPr>
        <w:t xml:space="preserve"> </w:t>
      </w:r>
      <w:r w:rsidR="003A6646" w:rsidRPr="001E4E7D">
        <w:rPr>
          <w:lang w:val="en-AU"/>
        </w:rPr>
        <w:t xml:space="preserve">three jurisdictions </w:t>
      </w:r>
      <w:r w:rsidR="00CC5B03" w:rsidRPr="001E4E7D">
        <w:rPr>
          <w:lang w:val="en-AU"/>
        </w:rPr>
        <w:t xml:space="preserve">have been </w:t>
      </w:r>
      <w:r w:rsidR="003A6646" w:rsidRPr="001E4E7D">
        <w:rPr>
          <w:lang w:val="en-AU"/>
        </w:rPr>
        <w:t xml:space="preserve">identified as performing </w:t>
      </w:r>
      <w:r w:rsidR="00C44563" w:rsidRPr="001E4E7D">
        <w:rPr>
          <w:lang w:val="en-AU"/>
        </w:rPr>
        <w:t>microbial genomics</w:t>
      </w:r>
      <w:r w:rsidR="003A6646" w:rsidRPr="001E4E7D">
        <w:rPr>
          <w:lang w:val="en-AU"/>
        </w:rPr>
        <w:t xml:space="preserve"> as part of routine public health microbiology activities</w:t>
      </w:r>
      <w:r w:rsidR="00B46BBF" w:rsidRPr="001E4E7D">
        <w:rPr>
          <w:lang w:val="en-AU"/>
        </w:rPr>
        <w:t xml:space="preserve"> for specific pathogens</w:t>
      </w:r>
      <w:r w:rsidR="00127399" w:rsidRPr="001E4E7D">
        <w:rPr>
          <w:lang w:val="en-AU"/>
        </w:rPr>
        <w:t xml:space="preserve"> and are the most developed in terms of capability, capacity and experience</w:t>
      </w:r>
      <w:r w:rsidR="003A6646" w:rsidRPr="001E4E7D">
        <w:rPr>
          <w:lang w:val="en-AU"/>
        </w:rPr>
        <w:t xml:space="preserve"> (</w:t>
      </w:r>
      <w:r w:rsidR="00AC1552">
        <w:rPr>
          <w:lang w:val="en-AU"/>
        </w:rPr>
        <w:t>Victoria</w:t>
      </w:r>
      <w:r w:rsidR="003A6646" w:rsidRPr="001E4E7D">
        <w:rPr>
          <w:lang w:val="en-AU"/>
        </w:rPr>
        <w:t xml:space="preserve">, </w:t>
      </w:r>
      <w:r w:rsidR="00AC1552">
        <w:rPr>
          <w:lang w:val="en-AU"/>
        </w:rPr>
        <w:t>New South Wales and Queensland</w:t>
      </w:r>
      <w:r w:rsidR="003A6646" w:rsidRPr="001E4E7D">
        <w:rPr>
          <w:lang w:val="en-AU"/>
        </w:rPr>
        <w:t>).</w:t>
      </w:r>
      <w:r w:rsidR="00B46BBF" w:rsidRPr="001E4E7D">
        <w:rPr>
          <w:lang w:val="en-AU"/>
        </w:rPr>
        <w:t xml:space="preserve"> This is </w:t>
      </w:r>
      <w:r w:rsidR="00F97C40">
        <w:rPr>
          <w:lang w:val="en-AU"/>
        </w:rPr>
        <w:t xml:space="preserve">probably </w:t>
      </w:r>
      <w:r w:rsidR="00B46BBF" w:rsidRPr="001E4E7D">
        <w:rPr>
          <w:lang w:val="en-AU"/>
        </w:rPr>
        <w:t>due in part to initial demand.</w:t>
      </w:r>
      <w:r w:rsidR="003A6646" w:rsidRPr="001E4E7D">
        <w:rPr>
          <w:lang w:val="en-AU"/>
        </w:rPr>
        <w:t xml:space="preserve"> </w:t>
      </w:r>
    </w:p>
    <w:p w14:paraId="3128833E" w14:textId="6DB4A220" w:rsidR="00116D8E" w:rsidRPr="001E4E7D" w:rsidRDefault="00116D8E" w:rsidP="003A6646">
      <w:pPr>
        <w:rPr>
          <w:lang w:val="en-AU"/>
        </w:rPr>
      </w:pPr>
      <w:r w:rsidRPr="001E4E7D">
        <w:rPr>
          <w:lang w:val="en-AU"/>
        </w:rPr>
        <w:t>The emergence of portable sequencing platforms and decentralised molecular diagnostic testing will challenge the trad</w:t>
      </w:r>
      <w:r w:rsidR="008F2B24" w:rsidRPr="001E4E7D">
        <w:rPr>
          <w:lang w:val="en-AU"/>
        </w:rPr>
        <w:t>i</w:t>
      </w:r>
      <w:r w:rsidRPr="001E4E7D">
        <w:rPr>
          <w:lang w:val="en-AU"/>
        </w:rPr>
        <w:t xml:space="preserve">tional model of clinical sample referral to public health laboratories for specialist typing </w:t>
      </w:r>
      <w:r w:rsidR="007258FD" w:rsidRPr="007258FD">
        <w:rPr>
          <w:lang w:val="en-AU"/>
        </w:rPr>
        <w:t>and characterisation</w:t>
      </w:r>
      <w:r w:rsidR="007258FD">
        <w:rPr>
          <w:lang w:val="en-AU"/>
        </w:rPr>
        <w:t xml:space="preserve"> </w:t>
      </w:r>
      <w:r w:rsidRPr="001E4E7D">
        <w:rPr>
          <w:lang w:val="en-AU"/>
        </w:rPr>
        <w:t>as part of surveillance activities. Common protocols and collaboration between the clinical and public health laboratories will be key to ensur</w:t>
      </w:r>
      <w:r w:rsidR="006F7736">
        <w:rPr>
          <w:lang w:val="en-AU"/>
        </w:rPr>
        <w:t>ing</w:t>
      </w:r>
      <w:r w:rsidRPr="001E4E7D">
        <w:rPr>
          <w:lang w:val="en-AU"/>
        </w:rPr>
        <w:t xml:space="preserve"> quality and portability of </w:t>
      </w:r>
      <w:r w:rsidR="007258FD">
        <w:rPr>
          <w:lang w:val="en-AU"/>
        </w:rPr>
        <w:t>genomic</w:t>
      </w:r>
      <w:r w:rsidRPr="001E4E7D">
        <w:rPr>
          <w:lang w:val="en-AU"/>
        </w:rPr>
        <w:t xml:space="preserve"> data across integrated laboratory information systems for surveillance purposes.</w:t>
      </w:r>
    </w:p>
    <w:p w14:paraId="764C3B43" w14:textId="191CE897" w:rsidR="00116D8E" w:rsidRPr="001E4E7D" w:rsidRDefault="006F760E" w:rsidP="003A6646">
      <w:pPr>
        <w:rPr>
          <w:lang w:val="en-AU"/>
        </w:rPr>
      </w:pPr>
      <w:r>
        <w:rPr>
          <w:lang w:val="en-AU"/>
        </w:rPr>
        <w:t>A</w:t>
      </w:r>
      <w:r w:rsidR="00116D8E" w:rsidRPr="001E4E7D">
        <w:rPr>
          <w:lang w:val="en-AU"/>
        </w:rPr>
        <w:t xml:space="preserve"> growing number of pathology providers in public and private sectors are considering different models of genomics testing for hospital infection control and antimicrobial stewardship.</w:t>
      </w:r>
    </w:p>
    <w:p w14:paraId="09CAB940" w14:textId="09BDB186" w:rsidR="002256FC" w:rsidRPr="006A4A1F" w:rsidRDefault="00EB7529" w:rsidP="006A4A1F">
      <w:pPr>
        <w:pStyle w:val="Heading3"/>
      </w:pPr>
      <w:r w:rsidRPr="006A4A1F">
        <w:t xml:space="preserve">Outcome </w:t>
      </w:r>
      <w:r w:rsidR="005432D9" w:rsidRPr="006A4A1F">
        <w:t>4</w:t>
      </w:r>
      <w:r w:rsidRPr="006A4A1F">
        <w:t>.1</w:t>
      </w:r>
      <w:r w:rsidR="006F7736" w:rsidRPr="006A4A1F">
        <w:t>—</w:t>
      </w:r>
      <w:r w:rsidR="00BC7CB6" w:rsidRPr="006A4A1F">
        <w:t xml:space="preserve">Enhanced </w:t>
      </w:r>
      <w:r w:rsidR="006F7736" w:rsidRPr="006A4A1F">
        <w:t>c</w:t>
      </w:r>
      <w:r w:rsidRPr="006A4A1F">
        <w:t xml:space="preserve">apacity and </w:t>
      </w:r>
      <w:r w:rsidR="006F7736" w:rsidRPr="006A4A1F">
        <w:t>c</w:t>
      </w:r>
      <w:r w:rsidRPr="006A4A1F">
        <w:t>apability</w:t>
      </w:r>
    </w:p>
    <w:p w14:paraId="4131833F" w14:textId="353D39CE" w:rsidR="002256FC" w:rsidRPr="001E4E7D" w:rsidRDefault="00391B39" w:rsidP="00343A08">
      <w:pPr>
        <w:pStyle w:val="ListParagraph"/>
        <w:numPr>
          <w:ilvl w:val="0"/>
          <w:numId w:val="2"/>
        </w:numPr>
        <w:rPr>
          <w:lang w:val="en-AU"/>
        </w:rPr>
      </w:pPr>
      <w:r w:rsidRPr="001E4E7D">
        <w:rPr>
          <w:lang w:val="en-AU"/>
        </w:rPr>
        <w:t>Assess,</w:t>
      </w:r>
      <w:r w:rsidR="00116D8E" w:rsidRPr="001E4E7D">
        <w:rPr>
          <w:lang w:val="en-AU"/>
        </w:rPr>
        <w:t xml:space="preserve"> foster,</w:t>
      </w:r>
      <w:r w:rsidRPr="001E4E7D">
        <w:rPr>
          <w:lang w:val="en-AU"/>
        </w:rPr>
        <w:t xml:space="preserve"> establish and maintain national</w:t>
      </w:r>
      <w:r w:rsidR="00BC7CB6" w:rsidRPr="001E4E7D">
        <w:rPr>
          <w:lang w:val="en-AU"/>
        </w:rPr>
        <w:t xml:space="preserve"> microbial genomics capacity and</w:t>
      </w:r>
      <w:r w:rsidRPr="001E4E7D">
        <w:rPr>
          <w:lang w:val="en-AU"/>
        </w:rPr>
        <w:t xml:space="preserve"> capability</w:t>
      </w:r>
      <w:r w:rsidR="006F7736">
        <w:rPr>
          <w:lang w:val="en-AU"/>
        </w:rPr>
        <w:t>.</w:t>
      </w:r>
    </w:p>
    <w:p w14:paraId="360FEA9E" w14:textId="49D0E465" w:rsidR="00B46BBF" w:rsidRPr="001E4E7D" w:rsidRDefault="00BC7CB6" w:rsidP="00343A08">
      <w:pPr>
        <w:pStyle w:val="ListParagraph"/>
        <w:numPr>
          <w:ilvl w:val="0"/>
          <w:numId w:val="2"/>
        </w:numPr>
        <w:rPr>
          <w:lang w:val="en-AU"/>
        </w:rPr>
      </w:pPr>
      <w:r w:rsidRPr="001E4E7D">
        <w:rPr>
          <w:lang w:val="en-AU"/>
        </w:rPr>
        <w:t>Ensure e</w:t>
      </w:r>
      <w:r w:rsidR="00391B39" w:rsidRPr="001E4E7D">
        <w:rPr>
          <w:lang w:val="en-AU"/>
        </w:rPr>
        <w:t>quitable acce</w:t>
      </w:r>
      <w:r w:rsidR="00F746D0" w:rsidRPr="001E4E7D">
        <w:rPr>
          <w:lang w:val="en-AU"/>
        </w:rPr>
        <w:t xml:space="preserve">ss </w:t>
      </w:r>
      <w:r w:rsidR="007F48E4" w:rsidRPr="001E4E7D">
        <w:rPr>
          <w:lang w:val="en-AU"/>
        </w:rPr>
        <w:t>to capability</w:t>
      </w:r>
      <w:r w:rsidR="006F7736">
        <w:rPr>
          <w:lang w:val="en-AU"/>
        </w:rPr>
        <w:t>,</w:t>
      </w:r>
      <w:r w:rsidR="008F2B24" w:rsidRPr="001E4E7D">
        <w:rPr>
          <w:lang w:val="en-AU"/>
        </w:rPr>
        <w:t xml:space="preserve"> including high</w:t>
      </w:r>
      <w:r w:rsidR="006F7736">
        <w:rPr>
          <w:lang w:val="en-AU"/>
        </w:rPr>
        <w:t>-</w:t>
      </w:r>
      <w:r w:rsidR="008F2B24" w:rsidRPr="001E4E7D">
        <w:rPr>
          <w:lang w:val="en-AU"/>
        </w:rPr>
        <w:t>performance</w:t>
      </w:r>
      <w:r w:rsidR="00B46BBF" w:rsidRPr="001E4E7D">
        <w:rPr>
          <w:lang w:val="en-AU"/>
        </w:rPr>
        <w:t xml:space="preserve"> computing</w:t>
      </w:r>
      <w:r w:rsidR="008F2B24" w:rsidRPr="001E4E7D">
        <w:rPr>
          <w:lang w:val="en-AU"/>
        </w:rPr>
        <w:t xml:space="preserve"> infrastructure</w:t>
      </w:r>
      <w:r w:rsidR="006F7736">
        <w:rPr>
          <w:lang w:val="en-AU"/>
        </w:rPr>
        <w:t xml:space="preserve">, </w:t>
      </w:r>
      <w:r w:rsidR="006F7736" w:rsidRPr="001E4E7D">
        <w:rPr>
          <w:lang w:val="en-AU"/>
        </w:rPr>
        <w:t>for all jurisdictions</w:t>
      </w:r>
      <w:r w:rsidR="006F7736">
        <w:rPr>
          <w:lang w:val="en-AU"/>
        </w:rPr>
        <w:t>.</w:t>
      </w:r>
    </w:p>
    <w:p w14:paraId="2384EE2A" w14:textId="675C1F10" w:rsidR="00391B39" w:rsidRPr="001E4E7D" w:rsidRDefault="00B46BBF" w:rsidP="00343A08">
      <w:pPr>
        <w:pStyle w:val="ListParagraph"/>
        <w:numPr>
          <w:ilvl w:val="0"/>
          <w:numId w:val="2"/>
        </w:numPr>
        <w:rPr>
          <w:lang w:val="en-AU"/>
        </w:rPr>
      </w:pPr>
      <w:r w:rsidRPr="001E4E7D">
        <w:rPr>
          <w:lang w:val="en-AU"/>
        </w:rPr>
        <w:t>Develop bioinformatics expertise, noting that this cannot be generalised across organism types</w:t>
      </w:r>
      <w:r w:rsidR="006F7736">
        <w:rPr>
          <w:lang w:val="en-AU"/>
        </w:rPr>
        <w:t>.</w:t>
      </w:r>
    </w:p>
    <w:p w14:paraId="3DB198C6" w14:textId="77777777" w:rsidR="00F746D0" w:rsidRPr="001E4E7D" w:rsidRDefault="00BC7CB6" w:rsidP="00343A08">
      <w:pPr>
        <w:pStyle w:val="ListParagraph"/>
        <w:numPr>
          <w:ilvl w:val="0"/>
          <w:numId w:val="2"/>
        </w:numPr>
        <w:rPr>
          <w:lang w:val="en-AU"/>
        </w:rPr>
      </w:pPr>
      <w:r w:rsidRPr="001E4E7D">
        <w:rPr>
          <w:lang w:val="en-AU"/>
        </w:rPr>
        <w:t>Maintain and build upon e</w:t>
      </w:r>
      <w:r w:rsidR="00F746D0" w:rsidRPr="001E4E7D">
        <w:rPr>
          <w:lang w:val="en-AU"/>
        </w:rPr>
        <w:t>ngage</w:t>
      </w:r>
      <w:r w:rsidRPr="001E4E7D">
        <w:rPr>
          <w:lang w:val="en-AU"/>
        </w:rPr>
        <w:t>ment</w:t>
      </w:r>
      <w:r w:rsidR="00F746D0" w:rsidRPr="001E4E7D">
        <w:rPr>
          <w:lang w:val="en-AU"/>
        </w:rPr>
        <w:t xml:space="preserve"> with private laboratories</w:t>
      </w:r>
      <w:r w:rsidR="005432D9" w:rsidRPr="001E4E7D">
        <w:rPr>
          <w:lang w:val="en-AU"/>
        </w:rPr>
        <w:t>.</w:t>
      </w:r>
    </w:p>
    <w:p w14:paraId="613EC3C3" w14:textId="6C97FB16" w:rsidR="00F746D0" w:rsidRPr="001E4E7D" w:rsidRDefault="00EB7529" w:rsidP="006A4A1F">
      <w:pPr>
        <w:pStyle w:val="Heading3"/>
      </w:pPr>
      <w:r w:rsidRPr="001E4E7D">
        <w:t xml:space="preserve">Outcome </w:t>
      </w:r>
      <w:r w:rsidR="005432D9" w:rsidRPr="001E4E7D">
        <w:t>4</w:t>
      </w:r>
      <w:r w:rsidR="008F0703" w:rsidRPr="001E4E7D">
        <w:t>.2</w:t>
      </w:r>
      <w:r w:rsidR="006F7736">
        <w:t>—</w:t>
      </w:r>
      <w:r w:rsidR="00BC7CB6" w:rsidRPr="001E4E7D">
        <w:t>Standardised microbial genomics e</w:t>
      </w:r>
      <w:r w:rsidR="008F0703" w:rsidRPr="001E4E7D">
        <w:t>quipment and expertise</w:t>
      </w:r>
    </w:p>
    <w:p w14:paraId="3FE8F5E4" w14:textId="70FCD22E" w:rsidR="008F0703" w:rsidRPr="001E4E7D" w:rsidRDefault="00B1060A" w:rsidP="00343A08">
      <w:pPr>
        <w:pStyle w:val="ListParagraph"/>
        <w:numPr>
          <w:ilvl w:val="0"/>
          <w:numId w:val="3"/>
        </w:numPr>
        <w:rPr>
          <w:lang w:val="en-AU"/>
        </w:rPr>
      </w:pPr>
      <w:r w:rsidRPr="001E4E7D">
        <w:rPr>
          <w:lang w:val="en-AU"/>
        </w:rPr>
        <w:t xml:space="preserve">Maintain </w:t>
      </w:r>
      <w:r w:rsidR="0031655B" w:rsidRPr="001E4E7D">
        <w:rPr>
          <w:lang w:val="en-AU"/>
        </w:rPr>
        <w:t>comparable instrumentation across jurisdictions</w:t>
      </w:r>
      <w:r w:rsidR="006F7736">
        <w:rPr>
          <w:lang w:val="en-AU"/>
        </w:rPr>
        <w:t>.</w:t>
      </w:r>
    </w:p>
    <w:p w14:paraId="672E14CD" w14:textId="77777777" w:rsidR="0031655B" w:rsidRPr="001E4E7D" w:rsidRDefault="0031655B" w:rsidP="00343A08">
      <w:pPr>
        <w:pStyle w:val="ListParagraph"/>
        <w:numPr>
          <w:ilvl w:val="0"/>
          <w:numId w:val="3"/>
        </w:numPr>
        <w:rPr>
          <w:lang w:val="en-AU"/>
        </w:rPr>
      </w:pPr>
      <w:r w:rsidRPr="001E4E7D">
        <w:rPr>
          <w:lang w:val="en-AU"/>
        </w:rPr>
        <w:lastRenderedPageBreak/>
        <w:t>Maintain comparable levels of expertise across j</w:t>
      </w:r>
      <w:r w:rsidR="003D1FEB" w:rsidRPr="001E4E7D">
        <w:rPr>
          <w:lang w:val="en-AU"/>
        </w:rPr>
        <w:t>urisdictions</w:t>
      </w:r>
      <w:r w:rsidR="005432D9" w:rsidRPr="001E4E7D">
        <w:rPr>
          <w:lang w:val="en-AU"/>
        </w:rPr>
        <w:t>.</w:t>
      </w:r>
    </w:p>
    <w:p w14:paraId="6DE0E8AB" w14:textId="52B71854" w:rsidR="00D57C4E" w:rsidRPr="001E4E7D" w:rsidRDefault="00EB7529" w:rsidP="006A4A1F">
      <w:pPr>
        <w:pStyle w:val="Heading3"/>
      </w:pPr>
      <w:r w:rsidRPr="001E4E7D">
        <w:t xml:space="preserve">Outcome </w:t>
      </w:r>
      <w:r w:rsidR="005432D9" w:rsidRPr="001E4E7D">
        <w:t>4</w:t>
      </w:r>
      <w:r w:rsidR="00D57C4E" w:rsidRPr="001E4E7D">
        <w:t>.3</w:t>
      </w:r>
      <w:r w:rsidR="006F7736">
        <w:t>—</w:t>
      </w:r>
      <w:r w:rsidR="007F48E4" w:rsidRPr="001E4E7D">
        <w:t xml:space="preserve">Encourage </w:t>
      </w:r>
      <w:r w:rsidR="006F7736">
        <w:t>i</w:t>
      </w:r>
      <w:r w:rsidR="007D110E" w:rsidRPr="001E4E7D">
        <w:t>nnovation</w:t>
      </w:r>
    </w:p>
    <w:p w14:paraId="684ACD0C" w14:textId="3BC7BC1B" w:rsidR="006C7B02" w:rsidRPr="001E4E7D" w:rsidRDefault="007D110E" w:rsidP="00343A08">
      <w:pPr>
        <w:pStyle w:val="ListParagraph"/>
        <w:numPr>
          <w:ilvl w:val="0"/>
          <w:numId w:val="5"/>
        </w:numPr>
        <w:rPr>
          <w:lang w:val="en-AU"/>
        </w:rPr>
      </w:pPr>
      <w:r w:rsidRPr="001E4E7D">
        <w:rPr>
          <w:lang w:val="en-AU"/>
        </w:rPr>
        <w:t xml:space="preserve">Promote </w:t>
      </w:r>
      <w:r w:rsidR="00B2191A" w:rsidRPr="001E4E7D">
        <w:rPr>
          <w:lang w:val="en-AU"/>
        </w:rPr>
        <w:t>national</w:t>
      </w:r>
      <w:r w:rsidR="008E7BF9" w:rsidRPr="001E4E7D">
        <w:rPr>
          <w:lang w:val="en-AU"/>
        </w:rPr>
        <w:t xml:space="preserve"> and international</w:t>
      </w:r>
      <w:r w:rsidR="00B2191A" w:rsidRPr="001E4E7D">
        <w:rPr>
          <w:lang w:val="en-AU"/>
        </w:rPr>
        <w:t xml:space="preserve"> </w:t>
      </w:r>
      <w:r w:rsidRPr="001E4E7D">
        <w:rPr>
          <w:lang w:val="en-AU"/>
        </w:rPr>
        <w:t>collaboration an</w:t>
      </w:r>
      <w:r w:rsidR="00B2191A" w:rsidRPr="001E4E7D">
        <w:rPr>
          <w:lang w:val="en-AU"/>
        </w:rPr>
        <w:t>d innovation across laboratories, public health units and academia</w:t>
      </w:r>
      <w:r w:rsidRPr="001E4E7D">
        <w:rPr>
          <w:lang w:val="en-AU"/>
        </w:rPr>
        <w:t xml:space="preserve"> to keep pace with advances in </w:t>
      </w:r>
      <w:r w:rsidR="007F48E4" w:rsidRPr="001E4E7D">
        <w:rPr>
          <w:lang w:val="en-AU"/>
        </w:rPr>
        <w:t xml:space="preserve">microbial genomics </w:t>
      </w:r>
      <w:r w:rsidRPr="001E4E7D">
        <w:rPr>
          <w:lang w:val="en-AU"/>
        </w:rPr>
        <w:t>technology</w:t>
      </w:r>
      <w:r w:rsidR="008E7BF9" w:rsidRPr="001E4E7D">
        <w:rPr>
          <w:lang w:val="en-AU"/>
        </w:rPr>
        <w:t>, including non-culture</w:t>
      </w:r>
      <w:r w:rsidR="006F7736">
        <w:rPr>
          <w:lang w:val="en-AU"/>
        </w:rPr>
        <w:t>-</w:t>
      </w:r>
      <w:r w:rsidR="008E7BF9" w:rsidRPr="001E4E7D">
        <w:rPr>
          <w:lang w:val="en-AU"/>
        </w:rPr>
        <w:t>based approaches</w:t>
      </w:r>
      <w:r w:rsidR="00F97C40">
        <w:rPr>
          <w:lang w:val="en-AU"/>
        </w:rPr>
        <w:t>,</w:t>
      </w:r>
      <w:r w:rsidR="008E7BF9" w:rsidRPr="001E4E7D">
        <w:rPr>
          <w:lang w:val="en-AU"/>
        </w:rPr>
        <w:t xml:space="preserve"> in future</w:t>
      </w:r>
      <w:r w:rsidR="005432D9" w:rsidRPr="001E4E7D">
        <w:rPr>
          <w:lang w:val="en-AU"/>
        </w:rPr>
        <w:t>.</w:t>
      </w:r>
    </w:p>
    <w:p w14:paraId="18A938FA" w14:textId="4FF8C35B" w:rsidR="00DE3929" w:rsidRPr="00ED4544" w:rsidRDefault="00DE3929" w:rsidP="006A4A1F">
      <w:pPr>
        <w:pStyle w:val="Heading3"/>
      </w:pPr>
      <w:r w:rsidRPr="00ED4544">
        <w:t>Outcome 4.4</w:t>
      </w:r>
      <w:r w:rsidR="006F7736">
        <w:t>—</w:t>
      </w:r>
      <w:r w:rsidRPr="00ED4544">
        <w:t xml:space="preserve">Workforce </w:t>
      </w:r>
      <w:r w:rsidR="006F7736">
        <w:t>d</w:t>
      </w:r>
      <w:r w:rsidRPr="00ED4544">
        <w:t>evelopment</w:t>
      </w:r>
    </w:p>
    <w:p w14:paraId="2EFB8CB6" w14:textId="4615D24C" w:rsidR="002020B6" w:rsidRPr="0060559B" w:rsidRDefault="00F8405C" w:rsidP="00343A08">
      <w:pPr>
        <w:pStyle w:val="ListParagraph"/>
        <w:numPr>
          <w:ilvl w:val="0"/>
          <w:numId w:val="17"/>
        </w:numPr>
      </w:pPr>
      <w:r w:rsidRPr="0060559B">
        <w:t>Promote e</w:t>
      </w:r>
      <w:r w:rsidR="002020B6" w:rsidRPr="0060559B">
        <w:t>stablish</w:t>
      </w:r>
      <w:r w:rsidRPr="0060559B">
        <w:t>ment</w:t>
      </w:r>
      <w:r w:rsidR="002020B6" w:rsidRPr="0060559B">
        <w:t>, improve</w:t>
      </w:r>
      <w:r w:rsidRPr="0060559B">
        <w:t>ment and maintenance</w:t>
      </w:r>
      <w:r w:rsidR="002020B6" w:rsidRPr="0060559B">
        <w:t xml:space="preserve"> </w:t>
      </w:r>
      <w:r w:rsidRPr="0060559B">
        <w:t xml:space="preserve">of </w:t>
      </w:r>
      <w:r w:rsidR="002020B6" w:rsidRPr="0060559B">
        <w:t xml:space="preserve">genomics literacy and </w:t>
      </w:r>
      <w:r w:rsidRPr="0060559B">
        <w:t xml:space="preserve">related skills </w:t>
      </w:r>
      <w:r w:rsidR="00EE281A" w:rsidRPr="0060559B">
        <w:t xml:space="preserve">in both laboratory and non-laboratory </w:t>
      </w:r>
      <w:r w:rsidR="00F20314" w:rsidRPr="0060559B">
        <w:t>settings</w:t>
      </w:r>
      <w:r w:rsidR="00BD4D26" w:rsidRPr="0060559B">
        <w:t xml:space="preserve"> (</w:t>
      </w:r>
      <w:r w:rsidR="006F7736" w:rsidRPr="0060559B">
        <w:t xml:space="preserve">for example, </w:t>
      </w:r>
      <w:r w:rsidR="00BD4D26" w:rsidRPr="0060559B">
        <w:t>public health clinicians</w:t>
      </w:r>
      <w:r w:rsidR="006F7736" w:rsidRPr="0060559B">
        <w:t xml:space="preserve"> and </w:t>
      </w:r>
      <w:r w:rsidR="00BD4D26" w:rsidRPr="0060559B">
        <w:t>epidemiologists)</w:t>
      </w:r>
      <w:r w:rsidR="00EE281A" w:rsidRPr="0060559B">
        <w:t xml:space="preserve"> </w:t>
      </w:r>
      <w:r w:rsidR="002020B6" w:rsidRPr="0060559B">
        <w:t xml:space="preserve">through </w:t>
      </w:r>
      <w:r w:rsidRPr="0060559B">
        <w:t xml:space="preserve">microbial </w:t>
      </w:r>
      <w:r w:rsidR="002020B6" w:rsidRPr="0060559B">
        <w:t>genomic</w:t>
      </w:r>
      <w:r w:rsidRPr="0060559B">
        <w:t>s</w:t>
      </w:r>
      <w:r w:rsidR="002020B6" w:rsidRPr="0060559B">
        <w:t xml:space="preserve"> education</w:t>
      </w:r>
      <w:r w:rsidRPr="0060559B">
        <w:t>,</w:t>
      </w:r>
      <w:r w:rsidR="002020B6" w:rsidRPr="0060559B">
        <w:t xml:space="preserve"> </w:t>
      </w:r>
      <w:proofErr w:type="gramStart"/>
      <w:r w:rsidR="002020B6" w:rsidRPr="0060559B">
        <w:t>training</w:t>
      </w:r>
      <w:proofErr w:type="gramEnd"/>
      <w:r w:rsidRPr="0060559B">
        <w:t xml:space="preserve"> and quality assurance</w:t>
      </w:r>
      <w:r w:rsidR="006F7736" w:rsidRPr="0060559B">
        <w:t>.</w:t>
      </w:r>
    </w:p>
    <w:p w14:paraId="0351FD4F" w14:textId="3AAE3C99" w:rsidR="002020B6" w:rsidRPr="0060559B" w:rsidRDefault="00F8405C" w:rsidP="00343A08">
      <w:pPr>
        <w:pStyle w:val="ListParagraph"/>
        <w:numPr>
          <w:ilvl w:val="0"/>
          <w:numId w:val="17"/>
        </w:numPr>
      </w:pPr>
      <w:r w:rsidRPr="0060559B">
        <w:t>Promote</w:t>
      </w:r>
      <w:r w:rsidR="002020B6" w:rsidRPr="0060559B">
        <w:t xml:space="preserve"> workforce </w:t>
      </w:r>
      <w:r w:rsidRPr="0060559B">
        <w:t xml:space="preserve">training </w:t>
      </w:r>
      <w:r w:rsidR="002020B6" w:rsidRPr="0060559B">
        <w:t xml:space="preserve">strategies and planning to ensure </w:t>
      </w:r>
      <w:r w:rsidRPr="0060559B">
        <w:t xml:space="preserve">consistent and </w:t>
      </w:r>
      <w:r w:rsidR="002020B6" w:rsidRPr="0060559B">
        <w:t>equ</w:t>
      </w:r>
      <w:r w:rsidR="00EE281A" w:rsidRPr="0060559B">
        <w:t>al</w:t>
      </w:r>
      <w:r w:rsidR="002020B6" w:rsidRPr="0060559B">
        <w:t xml:space="preserve"> access to upskilling opportunities across </w:t>
      </w:r>
      <w:r w:rsidRPr="0060559B">
        <w:t>jurisdictions</w:t>
      </w:r>
      <w:r w:rsidR="00EE281A" w:rsidRPr="0060559B">
        <w:t xml:space="preserve"> and microbiology service providers</w:t>
      </w:r>
      <w:r w:rsidR="006F7736" w:rsidRPr="0060559B">
        <w:t>.</w:t>
      </w:r>
    </w:p>
    <w:p w14:paraId="7B6F7558" w14:textId="175BD16B" w:rsidR="00570403" w:rsidRPr="0060559B" w:rsidRDefault="00F8405C" w:rsidP="00343A08">
      <w:pPr>
        <w:pStyle w:val="ListParagraph"/>
        <w:numPr>
          <w:ilvl w:val="0"/>
          <w:numId w:val="17"/>
        </w:numPr>
      </w:pPr>
      <w:r w:rsidRPr="0060559B">
        <w:t>Facilitate</w:t>
      </w:r>
      <w:r w:rsidR="002020B6" w:rsidRPr="0060559B">
        <w:t xml:space="preserve"> collaboration, partnerships and networks</w:t>
      </w:r>
      <w:r w:rsidR="00F20314" w:rsidRPr="0060559B">
        <w:t xml:space="preserve"> between professional colleges and societies</w:t>
      </w:r>
      <w:r w:rsidR="002020B6" w:rsidRPr="0060559B">
        <w:t xml:space="preserve"> to promote and support the sharing of knowledge.</w:t>
      </w:r>
    </w:p>
    <w:p w14:paraId="55EB4A09" w14:textId="2CC82141" w:rsidR="00570403" w:rsidRPr="00ED4544" w:rsidRDefault="00570403" w:rsidP="00020677">
      <w:pPr>
        <w:pStyle w:val="Style1"/>
      </w:pPr>
      <w:r w:rsidRPr="00ED4544">
        <w:t>What does the future look like?</w:t>
      </w:r>
    </w:p>
    <w:p w14:paraId="3E8431BB" w14:textId="0465F294" w:rsidR="00570403" w:rsidRPr="0060559B" w:rsidRDefault="00570403" w:rsidP="00020677">
      <w:pPr>
        <w:pStyle w:val="shadedbullets"/>
      </w:pPr>
      <w:r w:rsidRPr="00ED4544">
        <w:t xml:space="preserve">A </w:t>
      </w:r>
      <w:r w:rsidR="00AB5314" w:rsidRPr="00ED4544">
        <w:t xml:space="preserve">robust, </w:t>
      </w:r>
      <w:r w:rsidR="001F5720" w:rsidRPr="00ED4544">
        <w:t>sustainable</w:t>
      </w:r>
      <w:r w:rsidR="00AB5314" w:rsidRPr="00ED4544">
        <w:t xml:space="preserve"> </w:t>
      </w:r>
      <w:r w:rsidRPr="00ED4544">
        <w:t>national microbial genomics capacity and capability has been established to meet public health need.</w:t>
      </w:r>
    </w:p>
    <w:p w14:paraId="7074B370" w14:textId="5977C8C6" w:rsidR="00570403" w:rsidRPr="0060559B" w:rsidRDefault="00570403" w:rsidP="00020677">
      <w:pPr>
        <w:pStyle w:val="shadedbullets"/>
      </w:pPr>
      <w:r w:rsidRPr="00ED4544">
        <w:t xml:space="preserve">Capacity and capability </w:t>
      </w:r>
      <w:proofErr w:type="gramStart"/>
      <w:r w:rsidRPr="00ED4544">
        <w:t>is</w:t>
      </w:r>
      <w:proofErr w:type="gramEnd"/>
      <w:r w:rsidRPr="00ED4544">
        <w:t xml:space="preserve"> well supported and will be maintained through national standardisation of equipment and levels of required expertise and workforce development.</w:t>
      </w:r>
    </w:p>
    <w:p w14:paraId="4814CE17" w14:textId="77777777" w:rsidR="009D71C2" w:rsidRPr="0060559B" w:rsidRDefault="00570403" w:rsidP="00020677">
      <w:pPr>
        <w:pStyle w:val="shadedbullets"/>
      </w:pPr>
      <w:r w:rsidRPr="00ED4544">
        <w:t>Microbial genomics literacy is maintained across all relevant stakeholders and there is national support for innovation.</w:t>
      </w:r>
    </w:p>
    <w:p w14:paraId="0AA8FC02" w14:textId="1FB3ADAB" w:rsidR="00702CDC" w:rsidRPr="0060559B" w:rsidRDefault="00702CDC" w:rsidP="0060559B">
      <w:pPr>
        <w:pStyle w:val="shadedbullets"/>
      </w:pPr>
      <w:r w:rsidRPr="002813B2">
        <w:t>The genomics workforce is supported throughout all stages of their careers, building a well-trained and microbial genomics literate workforce to meet the increasing demand for genomics services in Australia.</w:t>
      </w:r>
    </w:p>
    <w:p w14:paraId="613332AD" w14:textId="024EAF9C" w:rsidR="00741CEC" w:rsidRPr="006A4A1F" w:rsidRDefault="00741CEC" w:rsidP="006A4A1F">
      <w:r w:rsidRPr="006A4A1F">
        <w:br w:type="page"/>
      </w:r>
    </w:p>
    <w:p w14:paraId="042C0D63" w14:textId="2694411B" w:rsidR="006C7B02" w:rsidRPr="006A4A1F" w:rsidRDefault="006C7B02" w:rsidP="006A4A1F">
      <w:pPr>
        <w:pStyle w:val="Heading2"/>
      </w:pPr>
      <w:bookmarkStart w:id="32" w:name="_Toc530994581"/>
      <w:bookmarkStart w:id="33" w:name="_Toc11404111"/>
      <w:r w:rsidRPr="006A4A1F">
        <w:lastRenderedPageBreak/>
        <w:t xml:space="preserve">Strategic Priority </w:t>
      </w:r>
      <w:r w:rsidR="005432D9" w:rsidRPr="006A4A1F">
        <w:t>5</w:t>
      </w:r>
      <w:r w:rsidR="006F7736" w:rsidRPr="006A4A1F">
        <w:t>—</w:t>
      </w:r>
      <w:r w:rsidR="00F03528" w:rsidRPr="006A4A1F">
        <w:t>Financing</w:t>
      </w:r>
      <w:bookmarkEnd w:id="32"/>
      <w:bookmarkEnd w:id="33"/>
    </w:p>
    <w:p w14:paraId="290A5014" w14:textId="575DF47A" w:rsidR="006976D0" w:rsidRPr="001E4E7D" w:rsidRDefault="00742B5C" w:rsidP="0043604D">
      <w:pPr>
        <w:rPr>
          <w:lang w:val="en-AU"/>
        </w:rPr>
      </w:pPr>
      <w:r w:rsidRPr="001E4E7D">
        <w:rPr>
          <w:lang w:val="en-AU"/>
        </w:rPr>
        <w:t>Public health laboratories</w:t>
      </w:r>
      <w:r w:rsidR="00CC3DD7" w:rsidRPr="001E4E7D">
        <w:rPr>
          <w:lang w:val="en-AU"/>
        </w:rPr>
        <w:t xml:space="preserve"> </w:t>
      </w:r>
      <w:r w:rsidRPr="001E4E7D">
        <w:rPr>
          <w:lang w:val="en-AU"/>
        </w:rPr>
        <w:t xml:space="preserve">have identified </w:t>
      </w:r>
      <w:r w:rsidR="00CC3DD7" w:rsidRPr="001E4E7D">
        <w:rPr>
          <w:lang w:val="en-AU"/>
        </w:rPr>
        <w:t xml:space="preserve">common challenges to the routine implementation of </w:t>
      </w:r>
      <w:r w:rsidRPr="001E4E7D">
        <w:rPr>
          <w:lang w:val="en-AU"/>
        </w:rPr>
        <w:t>microbial genomics</w:t>
      </w:r>
      <w:r w:rsidR="00CC3DD7" w:rsidRPr="001E4E7D">
        <w:rPr>
          <w:lang w:val="en-AU"/>
        </w:rPr>
        <w:t xml:space="preserve"> in their laboratories. These include:</w:t>
      </w:r>
    </w:p>
    <w:p w14:paraId="0BAEE330" w14:textId="41B4D496" w:rsidR="00CC3DD7" w:rsidRPr="001E4E7D" w:rsidRDefault="006F7736" w:rsidP="00343A08">
      <w:pPr>
        <w:pStyle w:val="ListParagraph"/>
        <w:numPr>
          <w:ilvl w:val="0"/>
          <w:numId w:val="5"/>
        </w:numPr>
        <w:rPr>
          <w:lang w:val="en-AU"/>
        </w:rPr>
      </w:pPr>
      <w:r>
        <w:rPr>
          <w:lang w:val="en-AU"/>
        </w:rPr>
        <w:t>l</w:t>
      </w:r>
      <w:r w:rsidR="00CC3DD7" w:rsidRPr="001E4E7D">
        <w:rPr>
          <w:lang w:val="en-AU"/>
        </w:rPr>
        <w:t>ack of sustain</w:t>
      </w:r>
      <w:r w:rsidR="00742B5C" w:rsidRPr="001E4E7D">
        <w:rPr>
          <w:lang w:val="en-AU"/>
        </w:rPr>
        <w:t>a</w:t>
      </w:r>
      <w:r w:rsidR="00CC3DD7" w:rsidRPr="001E4E7D">
        <w:rPr>
          <w:lang w:val="en-AU"/>
        </w:rPr>
        <w:t xml:space="preserve">ble funding for initiating and maintaining a </w:t>
      </w:r>
      <w:r w:rsidR="00C44563" w:rsidRPr="001E4E7D">
        <w:rPr>
          <w:lang w:val="en-AU"/>
        </w:rPr>
        <w:t>microbial genomics</w:t>
      </w:r>
      <w:r w:rsidR="00CC3DD7" w:rsidRPr="001E4E7D">
        <w:rPr>
          <w:lang w:val="en-AU"/>
        </w:rPr>
        <w:t xml:space="preserve"> service in </w:t>
      </w:r>
      <w:r w:rsidR="00742B5C" w:rsidRPr="001E4E7D">
        <w:rPr>
          <w:lang w:val="en-AU"/>
        </w:rPr>
        <w:t>public health laboratories</w:t>
      </w:r>
      <w:r>
        <w:rPr>
          <w:lang w:val="en-AU"/>
        </w:rPr>
        <w:t>, p</w:t>
      </w:r>
      <w:r w:rsidR="00CC3DD7" w:rsidRPr="001E4E7D">
        <w:rPr>
          <w:lang w:val="en-AU"/>
        </w:rPr>
        <w:t xml:space="preserve">articularly in </w:t>
      </w:r>
      <w:r>
        <w:rPr>
          <w:lang w:val="en-AU"/>
        </w:rPr>
        <w:t xml:space="preserve">those that </w:t>
      </w:r>
      <w:r w:rsidR="00742B5C" w:rsidRPr="001E4E7D">
        <w:rPr>
          <w:lang w:val="en-AU"/>
        </w:rPr>
        <w:t>receive</w:t>
      </w:r>
      <w:r w:rsidR="00CC3DD7" w:rsidRPr="001E4E7D">
        <w:rPr>
          <w:lang w:val="en-AU"/>
        </w:rPr>
        <w:t xml:space="preserve"> relatively low specimen numbers</w:t>
      </w:r>
    </w:p>
    <w:p w14:paraId="4F4E6CB2" w14:textId="76238A01" w:rsidR="00DE2128" w:rsidRPr="001E4E7D" w:rsidRDefault="006F7736" w:rsidP="00343A08">
      <w:pPr>
        <w:pStyle w:val="ListParagraph"/>
        <w:numPr>
          <w:ilvl w:val="0"/>
          <w:numId w:val="5"/>
        </w:numPr>
        <w:rPr>
          <w:lang w:val="en-AU"/>
        </w:rPr>
      </w:pPr>
      <w:r>
        <w:rPr>
          <w:lang w:val="en-AU"/>
        </w:rPr>
        <w:t>l</w:t>
      </w:r>
      <w:r w:rsidR="00CC3DD7" w:rsidRPr="001E4E7D">
        <w:rPr>
          <w:lang w:val="en-AU"/>
        </w:rPr>
        <w:t>imi</w:t>
      </w:r>
      <w:r w:rsidR="00DE2128" w:rsidRPr="001E4E7D">
        <w:rPr>
          <w:lang w:val="en-AU"/>
        </w:rPr>
        <w:t>t</w:t>
      </w:r>
      <w:r w:rsidR="00CC3DD7" w:rsidRPr="001E4E7D">
        <w:rPr>
          <w:lang w:val="en-AU"/>
        </w:rPr>
        <w:t>ed</w:t>
      </w:r>
      <w:r w:rsidR="00DE2128" w:rsidRPr="001E4E7D">
        <w:rPr>
          <w:lang w:val="en-AU"/>
        </w:rPr>
        <w:t xml:space="preserve"> bioinformatics expertise in some jurisdictions</w:t>
      </w:r>
    </w:p>
    <w:p w14:paraId="0EACD4B7" w14:textId="68BBE8FF" w:rsidR="00DE2128" w:rsidRPr="001E4E7D" w:rsidRDefault="006F7736" w:rsidP="00343A08">
      <w:pPr>
        <w:pStyle w:val="ListParagraph"/>
        <w:numPr>
          <w:ilvl w:val="0"/>
          <w:numId w:val="5"/>
        </w:numPr>
        <w:rPr>
          <w:lang w:val="en-AU"/>
        </w:rPr>
      </w:pPr>
      <w:r>
        <w:rPr>
          <w:lang w:val="en-AU"/>
        </w:rPr>
        <w:t>l</w:t>
      </w:r>
      <w:r w:rsidR="00DE2128" w:rsidRPr="001E4E7D">
        <w:rPr>
          <w:lang w:val="en-AU"/>
        </w:rPr>
        <w:t>imited infrastructure in some jurisdictions in relation</w:t>
      </w:r>
      <w:r w:rsidR="00116D8E" w:rsidRPr="001E4E7D">
        <w:rPr>
          <w:lang w:val="en-AU"/>
        </w:rPr>
        <w:t xml:space="preserve"> to sequencing</w:t>
      </w:r>
      <w:r w:rsidR="007258FD">
        <w:rPr>
          <w:lang w:val="en-AU"/>
        </w:rPr>
        <w:t>,</w:t>
      </w:r>
      <w:r w:rsidR="00DE2128" w:rsidRPr="001E4E7D">
        <w:rPr>
          <w:lang w:val="en-AU"/>
        </w:rPr>
        <w:t xml:space="preserve"> data storage and computational capacity</w:t>
      </w:r>
    </w:p>
    <w:p w14:paraId="1769211D" w14:textId="3D6BBF8A" w:rsidR="00DE2128" w:rsidRPr="001E4E7D" w:rsidRDefault="006F7736" w:rsidP="00343A08">
      <w:pPr>
        <w:pStyle w:val="ListParagraph"/>
        <w:numPr>
          <w:ilvl w:val="0"/>
          <w:numId w:val="5"/>
        </w:numPr>
        <w:rPr>
          <w:lang w:val="en-AU"/>
        </w:rPr>
      </w:pPr>
      <w:r>
        <w:rPr>
          <w:lang w:val="en-AU"/>
        </w:rPr>
        <w:t>l</w:t>
      </w:r>
      <w:r w:rsidR="00742B5C" w:rsidRPr="001E4E7D">
        <w:rPr>
          <w:lang w:val="en-AU"/>
        </w:rPr>
        <w:t>ack of</w:t>
      </w:r>
      <w:r w:rsidR="00DE2128" w:rsidRPr="001E4E7D">
        <w:rPr>
          <w:lang w:val="en-AU"/>
        </w:rPr>
        <w:t xml:space="preserve"> standardisation of bioinformatics analysis between jurisdictions</w:t>
      </w:r>
    </w:p>
    <w:p w14:paraId="1544F165" w14:textId="26ECD4B7" w:rsidR="00A97963" w:rsidRPr="006A4A1F" w:rsidRDefault="006F7736" w:rsidP="00343A08">
      <w:pPr>
        <w:pStyle w:val="ListParagraph"/>
        <w:numPr>
          <w:ilvl w:val="0"/>
          <w:numId w:val="5"/>
        </w:numPr>
        <w:rPr>
          <w:lang w:val="en-AU"/>
        </w:rPr>
      </w:pPr>
      <w:r>
        <w:rPr>
          <w:lang w:val="en-AU"/>
        </w:rPr>
        <w:t>l</w:t>
      </w:r>
      <w:r w:rsidR="00742B5C" w:rsidRPr="001E4E7D">
        <w:rPr>
          <w:lang w:val="en-AU"/>
        </w:rPr>
        <w:t xml:space="preserve">ack of </w:t>
      </w:r>
      <w:r w:rsidR="00DE2128" w:rsidRPr="001E4E7D">
        <w:rPr>
          <w:lang w:val="en-AU"/>
        </w:rPr>
        <w:t>coordination of genomics activities at a national level</w:t>
      </w:r>
      <w:r w:rsidR="00742B5C" w:rsidRPr="001E4E7D">
        <w:rPr>
          <w:lang w:val="en-AU"/>
        </w:rPr>
        <w:t>.</w:t>
      </w:r>
    </w:p>
    <w:p w14:paraId="10ED6FAF" w14:textId="1EF48D79" w:rsidR="00CC3DD7" w:rsidRPr="0060559B" w:rsidRDefault="00A97963" w:rsidP="0060559B">
      <w:r w:rsidRPr="0060559B">
        <w:t>Sustainable fund</w:t>
      </w:r>
      <w:r w:rsidR="002B53B9" w:rsidRPr="0060559B">
        <w:t xml:space="preserve">ing is essential for the success of a nationally consistent and comprehensive </w:t>
      </w:r>
      <w:r w:rsidR="008C31BB" w:rsidRPr="0060559B">
        <w:t xml:space="preserve">microbial </w:t>
      </w:r>
      <w:r w:rsidR="002B53B9" w:rsidRPr="0060559B">
        <w:t xml:space="preserve">genomics program. </w:t>
      </w:r>
      <w:r w:rsidR="00742B5C" w:rsidRPr="0060559B">
        <w:t>In May 2018, the Australian Government announced an investment of $500 million over 10 years for an Australian Genomics Mission under the Medical Research Future Fund</w:t>
      </w:r>
      <w:r w:rsidR="005912AC" w:rsidRPr="0060559B">
        <w:t>.</w:t>
      </w:r>
      <w:r w:rsidR="00742B5C" w:rsidRPr="0060559B">
        <w:t xml:space="preserve"> </w:t>
      </w:r>
      <w:r w:rsidR="005912AC" w:rsidRPr="0060559B">
        <w:t xml:space="preserve">The Australian Genomics Mission will </w:t>
      </w:r>
      <w:r w:rsidR="00742B5C" w:rsidRPr="0060559B">
        <w:t xml:space="preserve">help </w:t>
      </w:r>
      <w:r w:rsidR="005912AC" w:rsidRPr="0060559B">
        <w:t xml:space="preserve">to </w:t>
      </w:r>
      <w:r w:rsidR="00742B5C" w:rsidRPr="0060559B">
        <w:t xml:space="preserve">save or transform the lives of more than 200,000 Australians through research </w:t>
      </w:r>
      <w:r w:rsidR="005912AC" w:rsidRPr="0060559B">
        <w:t xml:space="preserve">on </w:t>
      </w:r>
      <w:r w:rsidR="00742B5C" w:rsidRPr="0060559B">
        <w:t xml:space="preserve">better testing, </w:t>
      </w:r>
      <w:proofErr w:type="gramStart"/>
      <w:r w:rsidR="00742B5C" w:rsidRPr="0060559B">
        <w:t>diagnosis</w:t>
      </w:r>
      <w:proofErr w:type="gramEnd"/>
      <w:r w:rsidR="00742B5C" w:rsidRPr="0060559B">
        <w:t xml:space="preserve"> and treatment. The </w:t>
      </w:r>
      <w:r w:rsidR="004127BB" w:rsidRPr="0060559B">
        <w:t xml:space="preserve">initial </w:t>
      </w:r>
      <w:r w:rsidR="00742B5C" w:rsidRPr="0060559B">
        <w:t xml:space="preserve">focus of the </w:t>
      </w:r>
      <w:r w:rsidR="006F7736" w:rsidRPr="0060559B">
        <w:t xml:space="preserve">Australian Genomics </w:t>
      </w:r>
      <w:r w:rsidR="00742B5C" w:rsidRPr="0060559B">
        <w:t xml:space="preserve">Mission </w:t>
      </w:r>
      <w:r w:rsidR="00EC4B8F" w:rsidRPr="0060559B">
        <w:t>i</w:t>
      </w:r>
      <w:r w:rsidR="004127BB" w:rsidRPr="0060559B">
        <w:t xml:space="preserve">s on </w:t>
      </w:r>
      <w:r w:rsidR="00742B5C" w:rsidRPr="0060559B">
        <w:t>human health genomics</w:t>
      </w:r>
      <w:r w:rsidR="006F7736" w:rsidRPr="0060559B">
        <w:t>;</w:t>
      </w:r>
      <w:r w:rsidR="00FF2016" w:rsidRPr="0060559B">
        <w:t xml:space="preserve"> </w:t>
      </w:r>
      <w:r w:rsidR="00EC4B8F" w:rsidRPr="0060559B">
        <w:t>however</w:t>
      </w:r>
      <w:r w:rsidR="006F7736" w:rsidRPr="0060559B">
        <w:t>,</w:t>
      </w:r>
      <w:r w:rsidR="00EC4B8F" w:rsidRPr="0060559B">
        <w:t xml:space="preserve"> submissions related to microbial genomics will be invited and considered from a translational research perspective</w:t>
      </w:r>
      <w:r w:rsidR="004127BB" w:rsidRPr="0060559B">
        <w:t>.</w:t>
      </w:r>
    </w:p>
    <w:p w14:paraId="26723C61" w14:textId="5AB93B82" w:rsidR="00116D8E" w:rsidRPr="0060559B" w:rsidRDefault="00116D8E" w:rsidP="0060559B">
      <w:r w:rsidRPr="0060559B">
        <w:t xml:space="preserve">While the added value of microbial genomic services for public health has been </w:t>
      </w:r>
      <w:proofErr w:type="spellStart"/>
      <w:r w:rsidRPr="0060559B">
        <w:t>recognised</w:t>
      </w:r>
      <w:proofErr w:type="spellEnd"/>
      <w:r w:rsidRPr="0060559B">
        <w:t xml:space="preserve">, the value reimbursement models remain underdeveloped. The central funding arrangements employed by the US CDC and PHE may not be fully applicable in Australia. Agreement needs to be reached between clinical and public health services </w:t>
      </w:r>
      <w:proofErr w:type="gramStart"/>
      <w:r w:rsidRPr="0060559B">
        <w:t>with regard to</w:t>
      </w:r>
      <w:proofErr w:type="gramEnd"/>
      <w:r w:rsidRPr="0060559B">
        <w:t xml:space="preserve"> funding for service development and delivery where the </w:t>
      </w:r>
      <w:r w:rsidR="007258FD" w:rsidRPr="0060559B">
        <w:t>microbial</w:t>
      </w:r>
      <w:r w:rsidRPr="0060559B">
        <w:t xml:space="preserve"> genomics services have a dual clinical and public health benefit</w:t>
      </w:r>
      <w:r w:rsidR="006F7736" w:rsidRPr="0060559B">
        <w:t xml:space="preserve">—for example, </w:t>
      </w:r>
      <w:r w:rsidRPr="0060559B">
        <w:t>drug resistance and antimicrobial stewardship.</w:t>
      </w:r>
    </w:p>
    <w:p w14:paraId="4AD5106D" w14:textId="3DF8EE2D" w:rsidR="0043604D" w:rsidRPr="001E4E7D" w:rsidRDefault="00EB7529" w:rsidP="006A4A1F">
      <w:pPr>
        <w:pStyle w:val="Heading3"/>
      </w:pPr>
      <w:r w:rsidRPr="001E4E7D">
        <w:t xml:space="preserve">Outcome </w:t>
      </w:r>
      <w:r w:rsidR="005432D9" w:rsidRPr="001E4E7D">
        <w:t>5</w:t>
      </w:r>
      <w:r w:rsidR="000D3DDA" w:rsidRPr="001E4E7D">
        <w:t>.1</w:t>
      </w:r>
      <w:r w:rsidR="006F7736">
        <w:t>—</w:t>
      </w:r>
      <w:r w:rsidRPr="001E4E7D">
        <w:t>Establishment of a sustainable funding model</w:t>
      </w:r>
    </w:p>
    <w:p w14:paraId="6AE3FD30" w14:textId="114EDDE6" w:rsidR="000D3DDA" w:rsidRPr="001E4E7D" w:rsidRDefault="00EB7529" w:rsidP="00343A08">
      <w:pPr>
        <w:pStyle w:val="ListParagraph"/>
        <w:numPr>
          <w:ilvl w:val="0"/>
          <w:numId w:val="4"/>
        </w:numPr>
        <w:rPr>
          <w:lang w:val="en-AU"/>
        </w:rPr>
      </w:pPr>
      <w:r w:rsidRPr="001E4E7D">
        <w:rPr>
          <w:lang w:val="en-AU"/>
        </w:rPr>
        <w:t>Develop a sustainable funding model in</w:t>
      </w:r>
      <w:r w:rsidR="007D3C22">
        <w:rPr>
          <w:lang w:val="en-AU"/>
        </w:rPr>
        <w:t>volving a</w:t>
      </w:r>
      <w:r w:rsidRPr="001E4E7D">
        <w:rPr>
          <w:lang w:val="en-AU"/>
        </w:rPr>
        <w:t xml:space="preserve"> </w:t>
      </w:r>
      <w:r w:rsidR="000D3DDA" w:rsidRPr="001E4E7D">
        <w:rPr>
          <w:lang w:val="en-AU"/>
        </w:rPr>
        <w:t xml:space="preserve">partnership </w:t>
      </w:r>
      <w:r w:rsidR="007D3C22">
        <w:rPr>
          <w:lang w:val="en-AU"/>
        </w:rPr>
        <w:t>between</w:t>
      </w:r>
      <w:r w:rsidR="000D3DDA" w:rsidRPr="001E4E7D">
        <w:rPr>
          <w:lang w:val="en-AU"/>
        </w:rPr>
        <w:t xml:space="preserve"> </w:t>
      </w:r>
      <w:r w:rsidR="005912AC">
        <w:rPr>
          <w:lang w:val="en-AU"/>
        </w:rPr>
        <w:t xml:space="preserve">the Australian Government and the </w:t>
      </w:r>
      <w:r w:rsidR="006F7736">
        <w:rPr>
          <w:lang w:val="en-AU"/>
        </w:rPr>
        <w:t>s</w:t>
      </w:r>
      <w:r w:rsidRPr="001E4E7D">
        <w:rPr>
          <w:lang w:val="en-AU"/>
        </w:rPr>
        <w:t xml:space="preserve">tates and </w:t>
      </w:r>
      <w:r w:rsidR="006F7736">
        <w:rPr>
          <w:lang w:val="en-AU"/>
        </w:rPr>
        <w:t>t</w:t>
      </w:r>
      <w:r w:rsidRPr="001E4E7D">
        <w:rPr>
          <w:lang w:val="en-AU"/>
        </w:rPr>
        <w:t>erritories</w:t>
      </w:r>
      <w:r w:rsidR="006F7736">
        <w:rPr>
          <w:lang w:val="en-AU"/>
        </w:rPr>
        <w:t>.</w:t>
      </w:r>
    </w:p>
    <w:p w14:paraId="4775013D" w14:textId="56FFF4CF" w:rsidR="000133E2" w:rsidRPr="001E4E7D" w:rsidRDefault="00742B5C" w:rsidP="00343A08">
      <w:pPr>
        <w:pStyle w:val="ListParagraph"/>
        <w:numPr>
          <w:ilvl w:val="0"/>
          <w:numId w:val="4"/>
        </w:numPr>
        <w:rPr>
          <w:lang w:val="en-AU"/>
        </w:rPr>
      </w:pPr>
      <w:r w:rsidRPr="001E4E7D">
        <w:rPr>
          <w:lang w:val="en-AU"/>
        </w:rPr>
        <w:t>Improve</w:t>
      </w:r>
      <w:r w:rsidR="000D3DDA" w:rsidRPr="001E4E7D">
        <w:rPr>
          <w:lang w:val="en-AU"/>
        </w:rPr>
        <w:t xml:space="preserve"> flexibility to keep pace with advances in technology and the expanding role of </w:t>
      </w:r>
      <w:r w:rsidR="00C44563" w:rsidRPr="001E4E7D">
        <w:rPr>
          <w:lang w:val="en-AU"/>
        </w:rPr>
        <w:t>microbial genomics</w:t>
      </w:r>
      <w:r w:rsidR="00EB7529" w:rsidRPr="001E4E7D">
        <w:rPr>
          <w:lang w:val="en-AU"/>
        </w:rPr>
        <w:t>.</w:t>
      </w:r>
    </w:p>
    <w:p w14:paraId="728F52B4" w14:textId="2705C22C" w:rsidR="000D3DDA" w:rsidRPr="001E4E7D" w:rsidRDefault="000133E2" w:rsidP="006A4A1F">
      <w:pPr>
        <w:pStyle w:val="Heading3"/>
      </w:pPr>
      <w:r w:rsidRPr="001E4E7D">
        <w:t>Outcome 5.2</w:t>
      </w:r>
      <w:r w:rsidR="006F7736">
        <w:t>—</w:t>
      </w:r>
      <w:r w:rsidRPr="001E4E7D">
        <w:t>Establishment of cost-effectiveness</w:t>
      </w:r>
    </w:p>
    <w:p w14:paraId="7F64AC36" w14:textId="2B946BCB" w:rsidR="000133E2" w:rsidRPr="001E4E7D" w:rsidRDefault="000133E2" w:rsidP="00343A08">
      <w:pPr>
        <w:pStyle w:val="ListParagraph"/>
        <w:numPr>
          <w:ilvl w:val="0"/>
          <w:numId w:val="10"/>
        </w:numPr>
        <w:rPr>
          <w:lang w:val="en-AU"/>
        </w:rPr>
      </w:pPr>
      <w:r w:rsidRPr="001E4E7D">
        <w:rPr>
          <w:lang w:val="en-AU"/>
        </w:rPr>
        <w:t>Ensure the cost of introducing</w:t>
      </w:r>
      <w:r w:rsidR="00B01AEE" w:rsidRPr="001E4E7D">
        <w:rPr>
          <w:lang w:val="en-AU"/>
        </w:rPr>
        <w:t xml:space="preserve"> and maintaining</w:t>
      </w:r>
      <w:r w:rsidRPr="001E4E7D">
        <w:rPr>
          <w:lang w:val="en-AU"/>
        </w:rPr>
        <w:t xml:space="preserve"> microbial genomic technology </w:t>
      </w:r>
      <w:r w:rsidR="00B46BBF" w:rsidRPr="001E4E7D">
        <w:rPr>
          <w:lang w:val="en-AU"/>
        </w:rPr>
        <w:t>results in savings accrued from improvement in patient care and replacement of existing</w:t>
      </w:r>
      <w:r w:rsidR="003F0295" w:rsidRPr="001E4E7D">
        <w:rPr>
          <w:lang w:val="en-AU"/>
        </w:rPr>
        <w:t xml:space="preserve"> technologies. Initial implementation will result in a short-term increase in costs while development of new workflow</w:t>
      </w:r>
      <w:r w:rsidR="00B46BBF" w:rsidRPr="001E4E7D">
        <w:rPr>
          <w:lang w:val="en-AU"/>
        </w:rPr>
        <w:t xml:space="preserve"> </w:t>
      </w:r>
      <w:r w:rsidR="003F0295" w:rsidRPr="001E4E7D">
        <w:rPr>
          <w:lang w:val="en-AU"/>
        </w:rPr>
        <w:t>processes and replacement of outdated testing methods occur.</w:t>
      </w:r>
    </w:p>
    <w:p w14:paraId="40F32947" w14:textId="4B2CA9CB" w:rsidR="00570403" w:rsidRPr="005E2DDE" w:rsidRDefault="00570403" w:rsidP="00020677">
      <w:pPr>
        <w:pStyle w:val="Style1"/>
      </w:pPr>
      <w:r w:rsidRPr="005E2DDE">
        <w:t>What does the future look like?</w:t>
      </w:r>
    </w:p>
    <w:p w14:paraId="214389B1" w14:textId="7132D052" w:rsidR="00812CC2" w:rsidRPr="0060559B" w:rsidRDefault="00570403" w:rsidP="00020677">
      <w:pPr>
        <w:pStyle w:val="shadedbullets"/>
      </w:pPr>
      <w:r w:rsidRPr="005E2DDE">
        <w:t>A sustainable funding model has been established, linked to broader public health laboratory testing, outbreak investigation and public health response.</w:t>
      </w:r>
    </w:p>
    <w:p w14:paraId="08D664C3" w14:textId="72145CAA" w:rsidR="00D158DE" w:rsidRPr="0060559B" w:rsidRDefault="00570403" w:rsidP="00020677">
      <w:pPr>
        <w:pStyle w:val="shadedbullets"/>
      </w:pPr>
      <w:r w:rsidRPr="005E2DDE">
        <w:t xml:space="preserve">The funding model is </w:t>
      </w:r>
      <w:r w:rsidRPr="005912AC">
        <w:t xml:space="preserve">agile </w:t>
      </w:r>
      <w:r w:rsidR="005912AC" w:rsidRPr="00AF1822">
        <w:t xml:space="preserve">so it can </w:t>
      </w:r>
      <w:r w:rsidRPr="005912AC">
        <w:t>respond</w:t>
      </w:r>
      <w:r w:rsidRPr="005E2DDE">
        <w:t xml:space="preserve"> to emerging technologies and expanding application of microbial genomics to public health.</w:t>
      </w:r>
      <w:r w:rsidR="00741CEC" w:rsidRPr="005E2DDE">
        <w:br w:type="page"/>
      </w:r>
    </w:p>
    <w:p w14:paraId="23E4457D" w14:textId="7C71BDE5" w:rsidR="009C22F2" w:rsidRPr="001E4E7D" w:rsidRDefault="009C22F2" w:rsidP="00873325">
      <w:pPr>
        <w:pStyle w:val="Heading1"/>
        <w:rPr>
          <w:lang w:val="en-AU" w:eastAsia="en-AU"/>
        </w:rPr>
      </w:pPr>
      <w:bookmarkStart w:id="34" w:name="_Toc530994582"/>
      <w:bookmarkStart w:id="35" w:name="_Toc11404112"/>
      <w:r w:rsidRPr="001E4E7D">
        <w:rPr>
          <w:lang w:val="en-AU" w:eastAsia="en-AU"/>
        </w:rPr>
        <w:lastRenderedPageBreak/>
        <w:t>I</w:t>
      </w:r>
      <w:r w:rsidR="0094077E" w:rsidRPr="001E4E7D">
        <w:rPr>
          <w:lang w:val="en-AU" w:eastAsia="en-AU"/>
        </w:rPr>
        <w:t xml:space="preserve">mplementing the </w:t>
      </w:r>
      <w:r w:rsidR="006F7736">
        <w:rPr>
          <w:lang w:val="en-AU" w:eastAsia="en-AU"/>
        </w:rPr>
        <w:t>f</w:t>
      </w:r>
      <w:r w:rsidR="0094077E" w:rsidRPr="001E4E7D">
        <w:rPr>
          <w:lang w:val="en-AU" w:eastAsia="en-AU"/>
        </w:rPr>
        <w:t>ramework</w:t>
      </w:r>
      <w:bookmarkEnd w:id="34"/>
      <w:bookmarkEnd w:id="35"/>
    </w:p>
    <w:p w14:paraId="074A8C2E" w14:textId="545E0233" w:rsidR="009C22F2" w:rsidRPr="00B263B0" w:rsidRDefault="009C22F2" w:rsidP="00B263B0">
      <w:r w:rsidRPr="00B263B0">
        <w:t xml:space="preserve">The National Microbial Genomics Framework sets out how the </w:t>
      </w:r>
      <w:r w:rsidR="006F7736" w:rsidRPr="00B263B0">
        <w:t xml:space="preserve">Australian Government </w:t>
      </w:r>
      <w:r w:rsidRPr="00B263B0">
        <w:t xml:space="preserve">and </w:t>
      </w:r>
      <w:r w:rsidR="005912AC" w:rsidRPr="00B263B0">
        <w:t xml:space="preserve">the </w:t>
      </w:r>
      <w:r w:rsidRPr="00B263B0">
        <w:t>states and territories will work collaboratively to integrate microbial genomic approaches into health</w:t>
      </w:r>
      <w:r w:rsidR="005912AC" w:rsidRPr="00B263B0">
        <w:t xml:space="preserve"> </w:t>
      </w:r>
      <w:r w:rsidRPr="00B263B0">
        <w:t xml:space="preserve">care over time. While the policy </w:t>
      </w:r>
      <w:r w:rsidR="006F7736" w:rsidRPr="00B263B0">
        <w:t>f</w:t>
      </w:r>
      <w:r w:rsidRPr="00B263B0">
        <w:t xml:space="preserve">ramework outlines an agreed national approach to policy, </w:t>
      </w:r>
      <w:proofErr w:type="gramStart"/>
      <w:r w:rsidRPr="00B263B0">
        <w:t>regulat</w:t>
      </w:r>
      <w:r w:rsidR="00E53449" w:rsidRPr="00B263B0">
        <w:t>ion</w:t>
      </w:r>
      <w:proofErr w:type="gramEnd"/>
      <w:r w:rsidRPr="00B263B0">
        <w:t xml:space="preserve"> and funding for </w:t>
      </w:r>
      <w:r w:rsidR="00E53449" w:rsidRPr="00B263B0">
        <w:t xml:space="preserve">microbial </w:t>
      </w:r>
      <w:r w:rsidRPr="00B263B0">
        <w:t xml:space="preserve">genomics, it does not identify all of the specific actions needed to take the </w:t>
      </w:r>
      <w:r w:rsidR="006F7736" w:rsidRPr="00B263B0">
        <w:t>f</w:t>
      </w:r>
      <w:r w:rsidRPr="00B263B0">
        <w:t>ramework forward.</w:t>
      </w:r>
    </w:p>
    <w:p w14:paraId="0E36632D" w14:textId="09DA871F" w:rsidR="009C22F2" w:rsidRPr="00B263B0" w:rsidRDefault="00EC6406" w:rsidP="00B263B0">
      <w:r w:rsidRPr="00B263B0">
        <w:t xml:space="preserve">Following endorsement of the </w:t>
      </w:r>
      <w:r w:rsidR="006F7736" w:rsidRPr="00B263B0">
        <w:t>f</w:t>
      </w:r>
      <w:r w:rsidRPr="00B263B0">
        <w:t>ramework</w:t>
      </w:r>
      <w:r w:rsidR="006F7736" w:rsidRPr="00B263B0">
        <w:t>,</w:t>
      </w:r>
      <w:r w:rsidRPr="00B263B0">
        <w:t xml:space="preserve"> </w:t>
      </w:r>
      <w:r w:rsidR="009C22F2" w:rsidRPr="00B263B0">
        <w:t>a</w:t>
      </w:r>
      <w:r w:rsidR="00862064" w:rsidRPr="00B263B0">
        <w:t>n</w:t>
      </w:r>
      <w:r w:rsidR="009C22F2" w:rsidRPr="00B263B0">
        <w:t xml:space="preserve"> implementation plan</w:t>
      </w:r>
      <w:r w:rsidR="00862064" w:rsidRPr="00B263B0">
        <w:t xml:space="preserve"> will</w:t>
      </w:r>
      <w:r w:rsidRPr="00B263B0">
        <w:t xml:space="preserve"> be </w:t>
      </w:r>
      <w:r w:rsidR="00186BD0" w:rsidRPr="00B263B0">
        <w:t>developed</w:t>
      </w:r>
      <w:r w:rsidRPr="00B263B0">
        <w:t xml:space="preserve"> </w:t>
      </w:r>
      <w:r w:rsidR="009C22F2" w:rsidRPr="00B263B0">
        <w:t>to identify actions, responsibilities</w:t>
      </w:r>
      <w:r w:rsidR="00862064" w:rsidRPr="00B263B0">
        <w:t xml:space="preserve">, </w:t>
      </w:r>
      <w:r w:rsidR="009C22F2" w:rsidRPr="00B263B0">
        <w:t>time</w:t>
      </w:r>
      <w:r w:rsidR="005912AC" w:rsidRPr="00B263B0">
        <w:t xml:space="preserve"> </w:t>
      </w:r>
      <w:r w:rsidR="009C22F2" w:rsidRPr="00B263B0">
        <w:t>frames</w:t>
      </w:r>
      <w:r w:rsidR="00862064" w:rsidRPr="00B263B0">
        <w:t xml:space="preserve">, </w:t>
      </w:r>
      <w:proofErr w:type="gramStart"/>
      <w:r w:rsidR="00862064" w:rsidRPr="00B263B0">
        <w:t>priorities</w:t>
      </w:r>
      <w:proofErr w:type="gramEnd"/>
      <w:r w:rsidR="00862064" w:rsidRPr="00B263B0">
        <w:t xml:space="preserve"> and resourcing.</w:t>
      </w:r>
      <w:r w:rsidR="009C22F2" w:rsidRPr="00B263B0">
        <w:t xml:space="preserve"> An implementation plan </w:t>
      </w:r>
      <w:r w:rsidR="00862064" w:rsidRPr="00B263B0">
        <w:t>will</w:t>
      </w:r>
      <w:r w:rsidR="009C22F2" w:rsidRPr="00B263B0">
        <w:t xml:space="preserve"> be a key tool to measure the progress and success of the </w:t>
      </w:r>
      <w:r w:rsidR="006F7736" w:rsidRPr="00B263B0">
        <w:t>f</w:t>
      </w:r>
      <w:r w:rsidR="009C22F2" w:rsidRPr="00B263B0">
        <w:t>ramework</w:t>
      </w:r>
      <w:r w:rsidR="00315122" w:rsidRPr="00B263B0">
        <w:t xml:space="preserve"> and allow </w:t>
      </w:r>
      <w:r w:rsidR="00C4516F" w:rsidRPr="00B263B0">
        <w:t>for the monitoring of</w:t>
      </w:r>
      <w:r w:rsidR="000B1FFE" w:rsidRPr="00B263B0">
        <w:t xml:space="preserve"> national and</w:t>
      </w:r>
      <w:r w:rsidR="00C4516F" w:rsidRPr="00B263B0">
        <w:t xml:space="preserve"> </w:t>
      </w:r>
      <w:r w:rsidR="00315122" w:rsidRPr="00B263B0">
        <w:t>jurisdiction</w:t>
      </w:r>
      <w:r w:rsidR="00C4516F" w:rsidRPr="00B263B0">
        <w:t>al</w:t>
      </w:r>
      <w:r w:rsidR="00315122" w:rsidRPr="00B263B0">
        <w:t xml:space="preserve"> progress against activities and milestones outlined.</w:t>
      </w:r>
    </w:p>
    <w:p w14:paraId="0285048B" w14:textId="6C053CD7" w:rsidR="00D03BD8" w:rsidRPr="001E4E7D" w:rsidRDefault="00894065" w:rsidP="00B263B0">
      <w:pPr>
        <w:rPr>
          <w:lang w:val="en-AU"/>
        </w:rPr>
      </w:pPr>
      <w:r w:rsidRPr="00B263B0">
        <w:t xml:space="preserve">It is intended that </w:t>
      </w:r>
      <w:r w:rsidR="005912AC" w:rsidRPr="00B263B0">
        <w:t xml:space="preserve">every three years </w:t>
      </w:r>
      <w:r w:rsidRPr="00B263B0">
        <w:t xml:space="preserve">the </w:t>
      </w:r>
      <w:r w:rsidR="006F7736" w:rsidRPr="00B263B0">
        <w:t xml:space="preserve">Australian Government </w:t>
      </w:r>
      <w:r w:rsidRPr="00B263B0">
        <w:t xml:space="preserve">and </w:t>
      </w:r>
      <w:r w:rsidR="005912AC" w:rsidRPr="00B263B0">
        <w:t xml:space="preserve">the </w:t>
      </w:r>
      <w:r w:rsidRPr="00B263B0">
        <w:t xml:space="preserve">states and territories </w:t>
      </w:r>
      <w:r w:rsidR="006F7736" w:rsidRPr="00B263B0">
        <w:t xml:space="preserve">will </w:t>
      </w:r>
      <w:r w:rsidRPr="00B263B0">
        <w:t xml:space="preserve">evaluate the </w:t>
      </w:r>
      <w:r w:rsidR="00690484" w:rsidRPr="00B263B0">
        <w:t xml:space="preserve">activity outcomes described in </w:t>
      </w:r>
      <w:r w:rsidRPr="00B263B0">
        <w:t xml:space="preserve">the </w:t>
      </w:r>
      <w:r w:rsidR="006F7736" w:rsidRPr="00B263B0">
        <w:t>f</w:t>
      </w:r>
      <w:r w:rsidRPr="00B263B0">
        <w:t>ramework and implementation plan, including the cost-effectiveness</w:t>
      </w:r>
      <w:r w:rsidR="00690484" w:rsidRPr="00B263B0">
        <w:t xml:space="preserve">, </w:t>
      </w:r>
      <w:r w:rsidR="000B33E1" w:rsidRPr="00B263B0">
        <w:t xml:space="preserve">key achievements, </w:t>
      </w:r>
      <w:proofErr w:type="gramStart"/>
      <w:r w:rsidRPr="00B263B0">
        <w:t>sustainability</w:t>
      </w:r>
      <w:proofErr w:type="gramEnd"/>
      <w:r w:rsidR="000B33E1" w:rsidRPr="00B263B0">
        <w:t xml:space="preserve"> and challenges</w:t>
      </w:r>
      <w:r w:rsidRPr="00B263B0">
        <w:t xml:space="preserve"> of </w:t>
      </w:r>
      <w:r w:rsidR="00690484" w:rsidRPr="00B263B0">
        <w:t>integrating</w:t>
      </w:r>
      <w:r w:rsidRPr="00B263B0">
        <w:t xml:space="preserve"> microbial genomics </w:t>
      </w:r>
      <w:r w:rsidR="00690484" w:rsidRPr="00B263B0">
        <w:t>into</w:t>
      </w:r>
      <w:r w:rsidRPr="00B263B0">
        <w:t xml:space="preserve"> the</w:t>
      </w:r>
      <w:r w:rsidR="007258FD" w:rsidRPr="00B263B0">
        <w:t xml:space="preserve"> Australian</w:t>
      </w:r>
      <w:r w:rsidRPr="00B263B0">
        <w:t xml:space="preserve"> public health system.</w:t>
      </w:r>
    </w:p>
    <w:sectPr w:rsidR="00D03BD8" w:rsidRPr="001E4E7D" w:rsidSect="009A3902">
      <w:footerReference w:type="default" r:id="rId14"/>
      <w:pgSz w:w="11906" w:h="16838"/>
      <w:pgMar w:top="964" w:right="1418" w:bottom="1276" w:left="1418" w:header="567"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977C" w14:textId="77777777" w:rsidR="00E50632" w:rsidRDefault="00E50632" w:rsidP="00A200D9">
      <w:r>
        <w:separator/>
      </w:r>
    </w:p>
  </w:endnote>
  <w:endnote w:type="continuationSeparator" w:id="0">
    <w:p w14:paraId="4E9486B4" w14:textId="77777777" w:rsidR="00E50632" w:rsidRDefault="00E50632" w:rsidP="00A2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EE96" w14:textId="2B01BE3C" w:rsidR="00E50632" w:rsidRDefault="00E50632">
    <w:pPr>
      <w:pStyle w:val="Footer"/>
      <w:jc w:val="right"/>
    </w:pPr>
  </w:p>
  <w:p w14:paraId="6787B728" w14:textId="77777777" w:rsidR="00E50632" w:rsidRPr="009415A5" w:rsidRDefault="00E50632" w:rsidP="0094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800640"/>
      <w:docPartObj>
        <w:docPartGallery w:val="Page Numbers (Bottom of Page)"/>
        <w:docPartUnique/>
      </w:docPartObj>
    </w:sdtPr>
    <w:sdtEndPr>
      <w:rPr>
        <w:noProof/>
      </w:rPr>
    </w:sdtEndPr>
    <w:sdtContent>
      <w:p w14:paraId="57D5DD26" w14:textId="185133E6" w:rsidR="00E50632" w:rsidRDefault="00E50632">
        <w:pPr>
          <w:pStyle w:val="Footer"/>
          <w:jc w:val="right"/>
        </w:pPr>
      </w:p>
    </w:sdtContent>
  </w:sdt>
  <w:p w14:paraId="0FECE0B9" w14:textId="77777777" w:rsidR="00E50632" w:rsidRDefault="00E50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253821"/>
      <w:docPartObj>
        <w:docPartGallery w:val="Page Numbers (Bottom of Page)"/>
        <w:docPartUnique/>
      </w:docPartObj>
    </w:sdtPr>
    <w:sdtEndPr>
      <w:rPr>
        <w:noProof/>
      </w:rPr>
    </w:sdtEndPr>
    <w:sdtContent>
      <w:p w14:paraId="66EB464A" w14:textId="37B5A86F" w:rsidR="00E50632" w:rsidRDefault="00E506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F46C22" w14:textId="77777777" w:rsidR="00E50632" w:rsidRDefault="00E506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456696"/>
      <w:docPartObj>
        <w:docPartGallery w:val="Page Numbers (Bottom of Page)"/>
        <w:docPartUnique/>
      </w:docPartObj>
    </w:sdtPr>
    <w:sdtEndPr>
      <w:rPr>
        <w:noProof/>
      </w:rPr>
    </w:sdtEndPr>
    <w:sdtContent>
      <w:p w14:paraId="450E6E42" w14:textId="55F426FD" w:rsidR="00E50632" w:rsidRDefault="00E50632">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55A8A68D" w14:textId="77777777" w:rsidR="00E50632" w:rsidRPr="009415A5" w:rsidRDefault="00E50632" w:rsidP="0094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1405D" w14:textId="77777777" w:rsidR="00E50632" w:rsidRDefault="00E50632" w:rsidP="00A200D9">
      <w:r>
        <w:separator/>
      </w:r>
    </w:p>
  </w:footnote>
  <w:footnote w:type="continuationSeparator" w:id="0">
    <w:p w14:paraId="21E7C94C" w14:textId="77777777" w:rsidR="00E50632" w:rsidRDefault="00E50632" w:rsidP="00A200D9">
      <w:r>
        <w:continuationSeparator/>
      </w:r>
    </w:p>
  </w:footnote>
  <w:footnote w:id="1">
    <w:p w14:paraId="087392CC" w14:textId="63E7EB92" w:rsidR="00E50632" w:rsidRPr="000B023A" w:rsidRDefault="00E50632">
      <w:pPr>
        <w:pStyle w:val="FootnoteText"/>
        <w:rPr>
          <w:lang w:val="en-AU"/>
        </w:rPr>
      </w:pPr>
      <w:r>
        <w:rPr>
          <w:rStyle w:val="FootnoteReference"/>
        </w:rPr>
        <w:footnoteRef/>
      </w:r>
      <w:r>
        <w:t xml:space="preserve"> </w:t>
      </w:r>
      <w:r w:rsidRPr="000B023A">
        <w:rPr>
          <w:sz w:val="16"/>
          <w:szCs w:val="16"/>
        </w:rPr>
        <w:t xml:space="preserve">Public Health Genomics Foundation (2014), </w:t>
      </w:r>
      <w:r w:rsidRPr="000B023A">
        <w:rPr>
          <w:sz w:val="16"/>
          <w:szCs w:val="16"/>
          <w:lang w:val="en-AU"/>
        </w:rPr>
        <w:t>Beating the bugs: the pathogen genomics revolution: http://www.phgfoundation.org/briefing/beating-the-bugs-the-pathogen-genomics-revolution</w:t>
      </w:r>
      <w:r>
        <w:rPr>
          <w:sz w:val="16"/>
          <w:szCs w:val="16"/>
          <w:lang w:val="en-AU"/>
        </w:rPr>
        <w:t>.</w:t>
      </w:r>
    </w:p>
  </w:footnote>
  <w:footnote w:id="2">
    <w:p w14:paraId="57BB4E9A" w14:textId="73D0309B" w:rsidR="00E50632" w:rsidRPr="009F61AC" w:rsidRDefault="00E50632">
      <w:pPr>
        <w:pStyle w:val="FootnoteText"/>
        <w:rPr>
          <w:lang w:val="en-AU"/>
        </w:rPr>
      </w:pPr>
      <w:r>
        <w:rPr>
          <w:rStyle w:val="FootnoteReference"/>
        </w:rPr>
        <w:footnoteRef/>
      </w:r>
      <w:r>
        <w:t xml:space="preserve"> </w:t>
      </w:r>
      <w:r w:rsidRPr="00840BE5">
        <w:rPr>
          <w:sz w:val="16"/>
          <w:szCs w:val="16"/>
          <w:lang w:val="en-AU"/>
        </w:rPr>
        <w:t>Grant et al. (2018), ‘Implementing pathogen genomics: A case study’, Public Health England.</w:t>
      </w:r>
    </w:p>
  </w:footnote>
  <w:footnote w:id="3">
    <w:p w14:paraId="6F088E62" w14:textId="15F00E61" w:rsidR="00E50632" w:rsidRPr="009F61AC" w:rsidRDefault="00E50632" w:rsidP="008B45F9">
      <w:pPr>
        <w:pStyle w:val="FootnoteText"/>
        <w:rPr>
          <w:lang w:val="en-AU"/>
        </w:rPr>
      </w:pPr>
      <w:r>
        <w:rPr>
          <w:rStyle w:val="FootnoteReference"/>
        </w:rPr>
        <w:footnoteRef/>
      </w:r>
      <w:r>
        <w:t xml:space="preserve"> </w:t>
      </w:r>
      <w:r w:rsidRPr="00840BE5">
        <w:rPr>
          <w:sz w:val="16"/>
          <w:szCs w:val="16"/>
          <w:lang w:val="en-AU"/>
        </w:rPr>
        <w:t xml:space="preserve">Inns et al. (2015), ‘A multi-country Salmonella Enteritidis phage type 14b outbreak associated with eggs from a German producer: </w:t>
      </w:r>
      <w:r>
        <w:rPr>
          <w:sz w:val="16"/>
          <w:szCs w:val="16"/>
          <w:lang w:val="en-AU"/>
        </w:rPr>
        <w:t>“</w:t>
      </w:r>
      <w:r w:rsidRPr="00840BE5">
        <w:rPr>
          <w:sz w:val="16"/>
          <w:szCs w:val="16"/>
          <w:lang w:val="en-AU"/>
        </w:rPr>
        <w:t>near real-time</w:t>
      </w:r>
      <w:r>
        <w:rPr>
          <w:sz w:val="16"/>
          <w:szCs w:val="16"/>
          <w:lang w:val="en-AU"/>
        </w:rPr>
        <w:t>”</w:t>
      </w:r>
      <w:r w:rsidRPr="00840BE5">
        <w:rPr>
          <w:sz w:val="16"/>
          <w:szCs w:val="16"/>
          <w:lang w:val="en-AU"/>
        </w:rPr>
        <w:t xml:space="preserve"> application of whole genome sequencing and food chain investigations, United Kingdom, May to September 2014’</w:t>
      </w:r>
      <w:r>
        <w:rPr>
          <w:sz w:val="16"/>
          <w:szCs w:val="16"/>
          <w:lang w:val="en-AU"/>
        </w:rPr>
        <w:t>.</w:t>
      </w:r>
      <w:r w:rsidRPr="00840BE5">
        <w:rPr>
          <w:sz w:val="16"/>
          <w:szCs w:val="16"/>
          <w:lang w:val="en-AU"/>
        </w:rPr>
        <w:t xml:space="preserve"> </w:t>
      </w:r>
      <w:proofErr w:type="spellStart"/>
      <w:r w:rsidRPr="00840BE5">
        <w:rPr>
          <w:sz w:val="16"/>
          <w:szCs w:val="16"/>
          <w:lang w:val="en-AU"/>
        </w:rPr>
        <w:t>EuroSurveillance</w:t>
      </w:r>
      <w:proofErr w:type="spellEnd"/>
      <w:r w:rsidRPr="00840BE5">
        <w:rPr>
          <w:sz w:val="16"/>
          <w:szCs w:val="16"/>
          <w:lang w:val="en-AU"/>
        </w:rPr>
        <w:t>,</w:t>
      </w:r>
      <w:r>
        <w:rPr>
          <w:sz w:val="16"/>
          <w:szCs w:val="16"/>
          <w:lang w:val="en-AU"/>
        </w:rPr>
        <w:t xml:space="preserve"> </w:t>
      </w:r>
      <w:r w:rsidRPr="00840BE5">
        <w:rPr>
          <w:sz w:val="16"/>
          <w:szCs w:val="16"/>
          <w:lang w:val="en-AU"/>
        </w:rPr>
        <w:t>Volume 20, Issue 16.</w:t>
      </w:r>
    </w:p>
  </w:footnote>
  <w:footnote w:id="4">
    <w:p w14:paraId="681B500B" w14:textId="39606260" w:rsidR="00E50632" w:rsidRPr="009F61AC" w:rsidRDefault="00E50632">
      <w:pPr>
        <w:pStyle w:val="FootnoteText"/>
        <w:rPr>
          <w:lang w:val="en-AU"/>
        </w:rPr>
      </w:pPr>
      <w:r>
        <w:rPr>
          <w:rStyle w:val="FootnoteReference"/>
        </w:rPr>
        <w:footnoteRef/>
      </w:r>
      <w:r>
        <w:t xml:space="preserve"> </w:t>
      </w:r>
      <w:proofErr w:type="spellStart"/>
      <w:r w:rsidRPr="00840BE5">
        <w:rPr>
          <w:sz w:val="16"/>
          <w:szCs w:val="16"/>
          <w:lang w:val="en-AU"/>
        </w:rPr>
        <w:t>Köser</w:t>
      </w:r>
      <w:proofErr w:type="spellEnd"/>
      <w:r w:rsidRPr="00840BE5">
        <w:rPr>
          <w:sz w:val="16"/>
          <w:szCs w:val="16"/>
          <w:lang w:val="en-AU"/>
        </w:rPr>
        <w:t xml:space="preserve"> et al. (2012), ‘Routine Use of Microbial Whole Genome Sequencing in Diagnostic and Public Health Microbiology’. </w:t>
      </w:r>
      <w:proofErr w:type="spellStart"/>
      <w:r w:rsidRPr="00840BE5">
        <w:rPr>
          <w:sz w:val="16"/>
          <w:szCs w:val="16"/>
          <w:lang w:val="en-AU"/>
        </w:rPr>
        <w:t>PLoS</w:t>
      </w:r>
      <w:proofErr w:type="spellEnd"/>
      <w:r w:rsidRPr="00840BE5">
        <w:rPr>
          <w:sz w:val="16"/>
          <w:szCs w:val="16"/>
          <w:lang w:val="en-AU"/>
        </w:rPr>
        <w:t xml:space="preserve"> Pathogens, Volume 8, Issue 8, p</w:t>
      </w:r>
      <w:r>
        <w:rPr>
          <w:sz w:val="16"/>
          <w:szCs w:val="16"/>
          <w:lang w:val="en-AU"/>
        </w:rPr>
        <w:t>.</w:t>
      </w:r>
      <w:r w:rsidRPr="00840BE5">
        <w:rPr>
          <w:sz w:val="16"/>
          <w:szCs w:val="16"/>
          <w:lang w:val="en-AU"/>
        </w:rPr>
        <w:t xml:space="preserve"> 1.</w:t>
      </w:r>
    </w:p>
  </w:footnote>
  <w:footnote w:id="5">
    <w:p w14:paraId="3F21842A" w14:textId="635294C4" w:rsidR="00E50632" w:rsidRPr="009F61AC" w:rsidRDefault="00E50632">
      <w:pPr>
        <w:pStyle w:val="FootnoteText"/>
        <w:rPr>
          <w:lang w:val="en-AU"/>
        </w:rPr>
      </w:pPr>
      <w:r>
        <w:rPr>
          <w:rStyle w:val="FootnoteReference"/>
        </w:rPr>
        <w:footnoteRef/>
      </w:r>
      <w:r>
        <w:t xml:space="preserve"> </w:t>
      </w:r>
      <w:proofErr w:type="spellStart"/>
      <w:r w:rsidRPr="00840BE5">
        <w:rPr>
          <w:sz w:val="16"/>
          <w:szCs w:val="16"/>
          <w:lang w:val="en-AU"/>
        </w:rPr>
        <w:t>Kwong</w:t>
      </w:r>
      <w:proofErr w:type="spellEnd"/>
      <w:r w:rsidRPr="00840BE5">
        <w:rPr>
          <w:sz w:val="16"/>
          <w:szCs w:val="16"/>
          <w:lang w:val="en-AU"/>
        </w:rPr>
        <w:t xml:space="preserve"> et al. (2016), ‘Prospective Whole-Genome Sequencing Enhances National Surveillance of Listeria monocytogenes’</w:t>
      </w:r>
      <w:r>
        <w:rPr>
          <w:sz w:val="16"/>
          <w:szCs w:val="16"/>
          <w:lang w:val="en-AU"/>
        </w:rPr>
        <w:t>.</w:t>
      </w:r>
      <w:r w:rsidRPr="00840BE5">
        <w:rPr>
          <w:sz w:val="16"/>
          <w:szCs w:val="16"/>
          <w:lang w:val="en-AU"/>
        </w:rPr>
        <w:t xml:space="preserve"> Journal of Clinical Microbiology</w:t>
      </w:r>
      <w:r>
        <w:rPr>
          <w:sz w:val="16"/>
          <w:szCs w:val="16"/>
          <w:lang w:val="en-AU"/>
        </w:rPr>
        <w:t>,</w:t>
      </w:r>
      <w:r w:rsidRPr="00840BE5">
        <w:rPr>
          <w:sz w:val="16"/>
          <w:szCs w:val="16"/>
          <w:lang w:val="en-AU"/>
        </w:rPr>
        <w:t xml:space="preserve"> Volume 54, Issue 2, pp</w:t>
      </w:r>
      <w:r>
        <w:rPr>
          <w:sz w:val="16"/>
          <w:szCs w:val="16"/>
          <w:lang w:val="en-AU"/>
        </w:rPr>
        <w:t xml:space="preserve"> </w:t>
      </w:r>
      <w:r w:rsidRPr="00840BE5">
        <w:rPr>
          <w:sz w:val="16"/>
          <w:szCs w:val="16"/>
          <w:lang w:val="en-AU"/>
        </w:rPr>
        <w:t>333</w:t>
      </w:r>
      <w:r>
        <w:rPr>
          <w:sz w:val="16"/>
          <w:szCs w:val="16"/>
          <w:lang w:val="en-AU"/>
        </w:rPr>
        <w:t>–</w:t>
      </w:r>
      <w:r w:rsidRPr="00840BE5">
        <w:rPr>
          <w:sz w:val="16"/>
          <w:szCs w:val="16"/>
          <w:lang w:val="en-AU"/>
        </w:rPr>
        <w:t>342.</w:t>
      </w:r>
    </w:p>
  </w:footnote>
  <w:footnote w:id="6">
    <w:p w14:paraId="6A04B09F" w14:textId="1CC824FC" w:rsidR="00E50632" w:rsidRPr="001E5922" w:rsidRDefault="00E50632" w:rsidP="008B45F9">
      <w:pPr>
        <w:pStyle w:val="FootnoteText"/>
        <w:rPr>
          <w:lang w:val="en-AU"/>
        </w:rPr>
      </w:pPr>
      <w:r>
        <w:rPr>
          <w:rStyle w:val="FootnoteReference"/>
        </w:rPr>
        <w:footnoteRef/>
      </w:r>
      <w:r>
        <w:t xml:space="preserve"> </w:t>
      </w:r>
      <w:r w:rsidRPr="00840BE5">
        <w:rPr>
          <w:sz w:val="16"/>
          <w:szCs w:val="16"/>
          <w:lang w:val="en-AU"/>
        </w:rPr>
        <w:t xml:space="preserve">Australian Government Department of Health, </w:t>
      </w:r>
      <w:r>
        <w:rPr>
          <w:sz w:val="16"/>
          <w:szCs w:val="16"/>
          <w:lang w:val="en-AU"/>
        </w:rPr>
        <w:t xml:space="preserve">Annual Report </w:t>
      </w:r>
      <w:r w:rsidRPr="00840BE5">
        <w:rPr>
          <w:sz w:val="16"/>
          <w:szCs w:val="16"/>
          <w:lang w:val="en-AU"/>
        </w:rPr>
        <w:t>2016</w:t>
      </w:r>
      <w:r>
        <w:rPr>
          <w:sz w:val="16"/>
          <w:szCs w:val="16"/>
          <w:lang w:val="en-AU"/>
        </w:rPr>
        <w:t>–</w:t>
      </w:r>
      <w:r w:rsidRPr="00840BE5">
        <w:rPr>
          <w:sz w:val="16"/>
          <w:szCs w:val="16"/>
          <w:lang w:val="en-AU"/>
        </w:rPr>
        <w:t>2017.</w:t>
      </w:r>
      <w:r>
        <w:rPr>
          <w:lang w:val="en-AU"/>
        </w:rPr>
        <w:t xml:space="preserve"> </w:t>
      </w:r>
    </w:p>
  </w:footnote>
  <w:footnote w:id="7">
    <w:p w14:paraId="77F0C3C2" w14:textId="0A48B481" w:rsidR="00E50632" w:rsidRPr="009F61AC" w:rsidRDefault="00E50632">
      <w:pPr>
        <w:pStyle w:val="FootnoteText"/>
        <w:rPr>
          <w:lang w:val="en-AU"/>
        </w:rPr>
      </w:pPr>
      <w:r>
        <w:rPr>
          <w:rStyle w:val="FootnoteReference"/>
        </w:rPr>
        <w:footnoteRef/>
      </w:r>
      <w:r>
        <w:t xml:space="preserve"> </w:t>
      </w:r>
      <w:r w:rsidRPr="00FF4508">
        <w:rPr>
          <w:sz w:val="16"/>
          <w:szCs w:val="16"/>
          <w:lang w:val="en-AU"/>
        </w:rPr>
        <w:t>NSW Department of Primary Industries, Biosecurity &amp; Food Safety (2018), ‘Listeria Outbreak Investigation</w:t>
      </w:r>
      <w:r>
        <w:rPr>
          <w:sz w:val="16"/>
          <w:szCs w:val="16"/>
          <w:lang w:val="en-AU"/>
        </w:rPr>
        <w:t>—</w:t>
      </w:r>
      <w:r w:rsidRPr="00FF4508">
        <w:rPr>
          <w:sz w:val="16"/>
          <w:szCs w:val="16"/>
          <w:lang w:val="en-AU"/>
        </w:rPr>
        <w:t>Summary Report for the Melon Industry, October 18’, NSW Department of Primary Industries.</w:t>
      </w:r>
    </w:p>
  </w:footnote>
  <w:footnote w:id="8">
    <w:p w14:paraId="600A2395" w14:textId="30302632" w:rsidR="00E50632" w:rsidRPr="0032668F" w:rsidRDefault="00E50632">
      <w:pPr>
        <w:pStyle w:val="FootnoteText"/>
        <w:rPr>
          <w:sz w:val="16"/>
          <w:szCs w:val="16"/>
          <w:lang w:val="en-AU"/>
        </w:rPr>
      </w:pPr>
      <w:r w:rsidRPr="0032668F">
        <w:rPr>
          <w:rStyle w:val="FootnoteReference"/>
          <w:sz w:val="16"/>
          <w:szCs w:val="16"/>
        </w:rPr>
        <w:footnoteRef/>
      </w:r>
      <w:r w:rsidRPr="0032668F">
        <w:rPr>
          <w:sz w:val="16"/>
          <w:szCs w:val="16"/>
        </w:rPr>
        <w:t xml:space="preserve"> </w:t>
      </w:r>
      <w:r w:rsidRPr="0032668F">
        <w:rPr>
          <w:sz w:val="16"/>
          <w:szCs w:val="16"/>
          <w:lang w:val="en-AU"/>
        </w:rPr>
        <w:t>Public Health Laboratory Network (2017). ‘Data sharing to improve decision making in public health: a case for Austral</w:t>
      </w:r>
      <w:r>
        <w:rPr>
          <w:sz w:val="16"/>
          <w:szCs w:val="16"/>
          <w:lang w:val="en-AU"/>
        </w:rPr>
        <w:t>ian Public Health Laboratories’, not publicly accessible.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792C" w14:textId="7ED0DA50" w:rsidR="00E50632" w:rsidRPr="00D2358D" w:rsidRDefault="00E50632" w:rsidP="00D2358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F5D"/>
    <w:multiLevelType w:val="hybridMultilevel"/>
    <w:tmpl w:val="1536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44971"/>
    <w:multiLevelType w:val="hybridMultilevel"/>
    <w:tmpl w:val="78028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40DF1"/>
    <w:multiLevelType w:val="hybridMultilevel"/>
    <w:tmpl w:val="8E74A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53708"/>
    <w:multiLevelType w:val="hybridMultilevel"/>
    <w:tmpl w:val="DCDC6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D4C88"/>
    <w:multiLevelType w:val="hybridMultilevel"/>
    <w:tmpl w:val="1CAE8A72"/>
    <w:lvl w:ilvl="0" w:tplc="ACFCDE92">
      <w:start w:val="1"/>
      <w:numFmt w:val="bullet"/>
      <w:pStyle w:val="shadedbullets"/>
      <w:lvlText w:val=""/>
      <w:lvlJc w:val="left"/>
      <w:pPr>
        <w:ind w:left="3032" w:hanging="360"/>
      </w:pPr>
      <w:rPr>
        <w:rFonts w:ascii="Symbol" w:hAnsi="Symbol" w:hint="default"/>
      </w:rPr>
    </w:lvl>
    <w:lvl w:ilvl="1" w:tplc="0C090003" w:tentative="1">
      <w:start w:val="1"/>
      <w:numFmt w:val="bullet"/>
      <w:lvlText w:val="o"/>
      <w:lvlJc w:val="left"/>
      <w:pPr>
        <w:ind w:left="3752" w:hanging="360"/>
      </w:pPr>
      <w:rPr>
        <w:rFonts w:ascii="Courier New" w:hAnsi="Courier New" w:cs="Courier New" w:hint="default"/>
      </w:rPr>
    </w:lvl>
    <w:lvl w:ilvl="2" w:tplc="0C090005" w:tentative="1">
      <w:start w:val="1"/>
      <w:numFmt w:val="bullet"/>
      <w:lvlText w:val=""/>
      <w:lvlJc w:val="left"/>
      <w:pPr>
        <w:ind w:left="4472" w:hanging="360"/>
      </w:pPr>
      <w:rPr>
        <w:rFonts w:ascii="Wingdings" w:hAnsi="Wingdings" w:hint="default"/>
      </w:rPr>
    </w:lvl>
    <w:lvl w:ilvl="3" w:tplc="0C090001" w:tentative="1">
      <w:start w:val="1"/>
      <w:numFmt w:val="bullet"/>
      <w:lvlText w:val=""/>
      <w:lvlJc w:val="left"/>
      <w:pPr>
        <w:ind w:left="5192" w:hanging="360"/>
      </w:pPr>
      <w:rPr>
        <w:rFonts w:ascii="Symbol" w:hAnsi="Symbol" w:hint="default"/>
      </w:rPr>
    </w:lvl>
    <w:lvl w:ilvl="4" w:tplc="0C090003" w:tentative="1">
      <w:start w:val="1"/>
      <w:numFmt w:val="bullet"/>
      <w:lvlText w:val="o"/>
      <w:lvlJc w:val="left"/>
      <w:pPr>
        <w:ind w:left="5912" w:hanging="360"/>
      </w:pPr>
      <w:rPr>
        <w:rFonts w:ascii="Courier New" w:hAnsi="Courier New" w:cs="Courier New" w:hint="default"/>
      </w:rPr>
    </w:lvl>
    <w:lvl w:ilvl="5" w:tplc="0C090005" w:tentative="1">
      <w:start w:val="1"/>
      <w:numFmt w:val="bullet"/>
      <w:lvlText w:val=""/>
      <w:lvlJc w:val="left"/>
      <w:pPr>
        <w:ind w:left="6632" w:hanging="360"/>
      </w:pPr>
      <w:rPr>
        <w:rFonts w:ascii="Wingdings" w:hAnsi="Wingdings" w:hint="default"/>
      </w:rPr>
    </w:lvl>
    <w:lvl w:ilvl="6" w:tplc="0C090001" w:tentative="1">
      <w:start w:val="1"/>
      <w:numFmt w:val="bullet"/>
      <w:lvlText w:val=""/>
      <w:lvlJc w:val="left"/>
      <w:pPr>
        <w:ind w:left="7352" w:hanging="360"/>
      </w:pPr>
      <w:rPr>
        <w:rFonts w:ascii="Symbol" w:hAnsi="Symbol" w:hint="default"/>
      </w:rPr>
    </w:lvl>
    <w:lvl w:ilvl="7" w:tplc="0C090003" w:tentative="1">
      <w:start w:val="1"/>
      <w:numFmt w:val="bullet"/>
      <w:lvlText w:val="o"/>
      <w:lvlJc w:val="left"/>
      <w:pPr>
        <w:ind w:left="8072" w:hanging="360"/>
      </w:pPr>
      <w:rPr>
        <w:rFonts w:ascii="Courier New" w:hAnsi="Courier New" w:cs="Courier New" w:hint="default"/>
      </w:rPr>
    </w:lvl>
    <w:lvl w:ilvl="8" w:tplc="0C090005" w:tentative="1">
      <w:start w:val="1"/>
      <w:numFmt w:val="bullet"/>
      <w:lvlText w:val=""/>
      <w:lvlJc w:val="left"/>
      <w:pPr>
        <w:ind w:left="8792" w:hanging="360"/>
      </w:pPr>
      <w:rPr>
        <w:rFonts w:ascii="Wingdings" w:hAnsi="Wingdings" w:hint="default"/>
      </w:rPr>
    </w:lvl>
  </w:abstractNum>
  <w:abstractNum w:abstractNumId="5" w15:restartNumberingAfterBreak="0">
    <w:nsid w:val="18774405"/>
    <w:multiLevelType w:val="hybridMultilevel"/>
    <w:tmpl w:val="84E00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329FB"/>
    <w:multiLevelType w:val="hybridMultilevel"/>
    <w:tmpl w:val="9972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CD3C12"/>
    <w:multiLevelType w:val="hybridMultilevel"/>
    <w:tmpl w:val="B362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E0EA8"/>
    <w:multiLevelType w:val="hybridMultilevel"/>
    <w:tmpl w:val="01CA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F495F"/>
    <w:multiLevelType w:val="hybridMultilevel"/>
    <w:tmpl w:val="2994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C5110"/>
    <w:multiLevelType w:val="hybridMultilevel"/>
    <w:tmpl w:val="464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31F10"/>
    <w:multiLevelType w:val="hybridMultilevel"/>
    <w:tmpl w:val="B3B2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13189"/>
    <w:multiLevelType w:val="hybridMultilevel"/>
    <w:tmpl w:val="420E7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C19B5"/>
    <w:multiLevelType w:val="hybridMultilevel"/>
    <w:tmpl w:val="C498B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4B7122"/>
    <w:multiLevelType w:val="hybridMultilevel"/>
    <w:tmpl w:val="9EB28E36"/>
    <w:lvl w:ilvl="0" w:tplc="2D660E7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7D69B4"/>
    <w:multiLevelType w:val="hybridMultilevel"/>
    <w:tmpl w:val="E548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53FB0"/>
    <w:multiLevelType w:val="hybridMultilevel"/>
    <w:tmpl w:val="EF7C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11A68"/>
    <w:multiLevelType w:val="hybridMultilevel"/>
    <w:tmpl w:val="65C4A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E65926"/>
    <w:multiLevelType w:val="hybridMultilevel"/>
    <w:tmpl w:val="797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1934D2"/>
    <w:multiLevelType w:val="hybridMultilevel"/>
    <w:tmpl w:val="4F18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6B0C86"/>
    <w:multiLevelType w:val="hybridMultilevel"/>
    <w:tmpl w:val="6AF2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C82122"/>
    <w:multiLevelType w:val="hybridMultilevel"/>
    <w:tmpl w:val="7ECE2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665DA8"/>
    <w:multiLevelType w:val="hybridMultilevel"/>
    <w:tmpl w:val="9638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A46DE3"/>
    <w:multiLevelType w:val="hybridMultilevel"/>
    <w:tmpl w:val="C9EE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987BA5"/>
    <w:multiLevelType w:val="hybridMultilevel"/>
    <w:tmpl w:val="5DF05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2150CC"/>
    <w:multiLevelType w:val="hybridMultilevel"/>
    <w:tmpl w:val="F592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F000C9"/>
    <w:multiLevelType w:val="hybridMultilevel"/>
    <w:tmpl w:val="8A322D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F65B38"/>
    <w:multiLevelType w:val="hybridMultilevel"/>
    <w:tmpl w:val="81E0F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7C79E3"/>
    <w:multiLevelType w:val="hybridMultilevel"/>
    <w:tmpl w:val="9C26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CE28E5"/>
    <w:multiLevelType w:val="hybridMultilevel"/>
    <w:tmpl w:val="4052E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684471"/>
    <w:multiLevelType w:val="hybridMultilevel"/>
    <w:tmpl w:val="C396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C3A5A"/>
    <w:multiLevelType w:val="hybridMultilevel"/>
    <w:tmpl w:val="ACCC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0"/>
  </w:num>
  <w:num w:numId="4">
    <w:abstractNumId w:val="27"/>
  </w:num>
  <w:num w:numId="5">
    <w:abstractNumId w:val="7"/>
  </w:num>
  <w:num w:numId="6">
    <w:abstractNumId w:val="8"/>
  </w:num>
  <w:num w:numId="7">
    <w:abstractNumId w:val="5"/>
  </w:num>
  <w:num w:numId="8">
    <w:abstractNumId w:val="19"/>
  </w:num>
  <w:num w:numId="9">
    <w:abstractNumId w:val="4"/>
  </w:num>
  <w:num w:numId="10">
    <w:abstractNumId w:val="28"/>
  </w:num>
  <w:num w:numId="11">
    <w:abstractNumId w:val="18"/>
  </w:num>
  <w:num w:numId="12">
    <w:abstractNumId w:val="3"/>
  </w:num>
  <w:num w:numId="13">
    <w:abstractNumId w:val="17"/>
  </w:num>
  <w:num w:numId="14">
    <w:abstractNumId w:val="0"/>
  </w:num>
  <w:num w:numId="15">
    <w:abstractNumId w:val="20"/>
  </w:num>
  <w:num w:numId="16">
    <w:abstractNumId w:val="29"/>
  </w:num>
  <w:num w:numId="17">
    <w:abstractNumId w:val="10"/>
  </w:num>
  <w:num w:numId="18">
    <w:abstractNumId w:val="26"/>
  </w:num>
  <w:num w:numId="19">
    <w:abstractNumId w:val="11"/>
  </w:num>
  <w:num w:numId="20">
    <w:abstractNumId w:val="9"/>
  </w:num>
  <w:num w:numId="21">
    <w:abstractNumId w:val="16"/>
  </w:num>
  <w:num w:numId="22">
    <w:abstractNumId w:val="13"/>
  </w:num>
  <w:num w:numId="23">
    <w:abstractNumId w:val="31"/>
  </w:num>
  <w:num w:numId="24">
    <w:abstractNumId w:val="1"/>
  </w:num>
  <w:num w:numId="25">
    <w:abstractNumId w:val="6"/>
  </w:num>
  <w:num w:numId="26">
    <w:abstractNumId w:val="22"/>
  </w:num>
  <w:num w:numId="27">
    <w:abstractNumId w:val="21"/>
  </w:num>
  <w:num w:numId="28">
    <w:abstractNumId w:val="23"/>
  </w:num>
  <w:num w:numId="29">
    <w:abstractNumId w:val="12"/>
  </w:num>
  <w:num w:numId="30">
    <w:abstractNumId w:val="25"/>
  </w:num>
  <w:num w:numId="31">
    <w:abstractNumId w:val="24"/>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BD8"/>
    <w:rsid w:val="00003743"/>
    <w:rsid w:val="00003ADB"/>
    <w:rsid w:val="0000473F"/>
    <w:rsid w:val="000116DF"/>
    <w:rsid w:val="00011B37"/>
    <w:rsid w:val="00011FDA"/>
    <w:rsid w:val="000133E2"/>
    <w:rsid w:val="00014373"/>
    <w:rsid w:val="00016873"/>
    <w:rsid w:val="00020677"/>
    <w:rsid w:val="000274DE"/>
    <w:rsid w:val="00040EF3"/>
    <w:rsid w:val="00043038"/>
    <w:rsid w:val="00051EDC"/>
    <w:rsid w:val="00051F41"/>
    <w:rsid w:val="00056101"/>
    <w:rsid w:val="000568F6"/>
    <w:rsid w:val="00060648"/>
    <w:rsid w:val="0006067E"/>
    <w:rsid w:val="00066712"/>
    <w:rsid w:val="0006676B"/>
    <w:rsid w:val="00066DC7"/>
    <w:rsid w:val="00067456"/>
    <w:rsid w:val="00070D07"/>
    <w:rsid w:val="00075417"/>
    <w:rsid w:val="00092AF6"/>
    <w:rsid w:val="000A1344"/>
    <w:rsid w:val="000A2456"/>
    <w:rsid w:val="000A3D1B"/>
    <w:rsid w:val="000A400C"/>
    <w:rsid w:val="000A43A8"/>
    <w:rsid w:val="000A4A67"/>
    <w:rsid w:val="000B023A"/>
    <w:rsid w:val="000B1FFE"/>
    <w:rsid w:val="000B2047"/>
    <w:rsid w:val="000B33E1"/>
    <w:rsid w:val="000B55F9"/>
    <w:rsid w:val="000B5F73"/>
    <w:rsid w:val="000B66AC"/>
    <w:rsid w:val="000C438E"/>
    <w:rsid w:val="000C48E6"/>
    <w:rsid w:val="000C5237"/>
    <w:rsid w:val="000C6718"/>
    <w:rsid w:val="000D2586"/>
    <w:rsid w:val="000D33B5"/>
    <w:rsid w:val="000D387D"/>
    <w:rsid w:val="000D3DDA"/>
    <w:rsid w:val="000D401B"/>
    <w:rsid w:val="000D4EBF"/>
    <w:rsid w:val="000D57F0"/>
    <w:rsid w:val="000E107D"/>
    <w:rsid w:val="000E1473"/>
    <w:rsid w:val="000E6C54"/>
    <w:rsid w:val="000F0905"/>
    <w:rsid w:val="000F0FB0"/>
    <w:rsid w:val="000F290C"/>
    <w:rsid w:val="000F73EC"/>
    <w:rsid w:val="00103193"/>
    <w:rsid w:val="00110146"/>
    <w:rsid w:val="0011230B"/>
    <w:rsid w:val="00114E47"/>
    <w:rsid w:val="0011577D"/>
    <w:rsid w:val="00115C8A"/>
    <w:rsid w:val="001163D2"/>
    <w:rsid w:val="00116462"/>
    <w:rsid w:val="00116CBD"/>
    <w:rsid w:val="00116D8E"/>
    <w:rsid w:val="00123CB7"/>
    <w:rsid w:val="00126A1C"/>
    <w:rsid w:val="00127399"/>
    <w:rsid w:val="00131536"/>
    <w:rsid w:val="00133AE8"/>
    <w:rsid w:val="001374A4"/>
    <w:rsid w:val="00137543"/>
    <w:rsid w:val="00142D3C"/>
    <w:rsid w:val="001449D2"/>
    <w:rsid w:val="00146C68"/>
    <w:rsid w:val="00151667"/>
    <w:rsid w:val="001531F4"/>
    <w:rsid w:val="00155B85"/>
    <w:rsid w:val="001574DB"/>
    <w:rsid w:val="00166BB8"/>
    <w:rsid w:val="001727E5"/>
    <w:rsid w:val="00174B2B"/>
    <w:rsid w:val="00174B4F"/>
    <w:rsid w:val="001766FD"/>
    <w:rsid w:val="00186BD0"/>
    <w:rsid w:val="00195394"/>
    <w:rsid w:val="001978B4"/>
    <w:rsid w:val="001A456D"/>
    <w:rsid w:val="001A7B26"/>
    <w:rsid w:val="001B2CC9"/>
    <w:rsid w:val="001B3443"/>
    <w:rsid w:val="001B3C4C"/>
    <w:rsid w:val="001B6CB2"/>
    <w:rsid w:val="001B7D52"/>
    <w:rsid w:val="001D1FF8"/>
    <w:rsid w:val="001D21F7"/>
    <w:rsid w:val="001D4ABC"/>
    <w:rsid w:val="001D5ABA"/>
    <w:rsid w:val="001D60CE"/>
    <w:rsid w:val="001E4749"/>
    <w:rsid w:val="001E4E7D"/>
    <w:rsid w:val="001E577B"/>
    <w:rsid w:val="001E69FC"/>
    <w:rsid w:val="001E759C"/>
    <w:rsid w:val="001F39FB"/>
    <w:rsid w:val="001F4709"/>
    <w:rsid w:val="001F5720"/>
    <w:rsid w:val="002020B6"/>
    <w:rsid w:val="0020219E"/>
    <w:rsid w:val="00207095"/>
    <w:rsid w:val="002101E2"/>
    <w:rsid w:val="00210FC9"/>
    <w:rsid w:val="0021177A"/>
    <w:rsid w:val="00211D94"/>
    <w:rsid w:val="00211FEA"/>
    <w:rsid w:val="002168A4"/>
    <w:rsid w:val="00222CBE"/>
    <w:rsid w:val="00223F2A"/>
    <w:rsid w:val="002256FC"/>
    <w:rsid w:val="00234C52"/>
    <w:rsid w:val="00237C86"/>
    <w:rsid w:val="00240B0A"/>
    <w:rsid w:val="00241714"/>
    <w:rsid w:val="00246448"/>
    <w:rsid w:val="00247323"/>
    <w:rsid w:val="002520E6"/>
    <w:rsid w:val="00253E81"/>
    <w:rsid w:val="00254DB5"/>
    <w:rsid w:val="0025647B"/>
    <w:rsid w:val="00257C1B"/>
    <w:rsid w:val="00263483"/>
    <w:rsid w:val="0026427A"/>
    <w:rsid w:val="002652E2"/>
    <w:rsid w:val="00271F24"/>
    <w:rsid w:val="0027290A"/>
    <w:rsid w:val="00273814"/>
    <w:rsid w:val="00274176"/>
    <w:rsid w:val="002755CB"/>
    <w:rsid w:val="002813B2"/>
    <w:rsid w:val="0028145C"/>
    <w:rsid w:val="00282179"/>
    <w:rsid w:val="002830B7"/>
    <w:rsid w:val="002850D8"/>
    <w:rsid w:val="002924A2"/>
    <w:rsid w:val="00293C20"/>
    <w:rsid w:val="002946C7"/>
    <w:rsid w:val="00294B1C"/>
    <w:rsid w:val="002959F4"/>
    <w:rsid w:val="00296DB6"/>
    <w:rsid w:val="002A0796"/>
    <w:rsid w:val="002A3C16"/>
    <w:rsid w:val="002B2F40"/>
    <w:rsid w:val="002B53B9"/>
    <w:rsid w:val="002B6509"/>
    <w:rsid w:val="002B6D43"/>
    <w:rsid w:val="002B7449"/>
    <w:rsid w:val="002B7B64"/>
    <w:rsid w:val="002C0C75"/>
    <w:rsid w:val="002C1993"/>
    <w:rsid w:val="002C1BC2"/>
    <w:rsid w:val="002C2EF1"/>
    <w:rsid w:val="002C3C25"/>
    <w:rsid w:val="002D293D"/>
    <w:rsid w:val="002D36A3"/>
    <w:rsid w:val="002D4706"/>
    <w:rsid w:val="002E0C5F"/>
    <w:rsid w:val="002E54FE"/>
    <w:rsid w:val="002E758A"/>
    <w:rsid w:val="002F27D8"/>
    <w:rsid w:val="002F3AE3"/>
    <w:rsid w:val="002F46A5"/>
    <w:rsid w:val="00301113"/>
    <w:rsid w:val="0030786C"/>
    <w:rsid w:val="00315122"/>
    <w:rsid w:val="00315569"/>
    <w:rsid w:val="0031655B"/>
    <w:rsid w:val="003175F3"/>
    <w:rsid w:val="00322A28"/>
    <w:rsid w:val="003247FC"/>
    <w:rsid w:val="0032668F"/>
    <w:rsid w:val="003269A7"/>
    <w:rsid w:val="003275FA"/>
    <w:rsid w:val="00331A0A"/>
    <w:rsid w:val="00335605"/>
    <w:rsid w:val="00337566"/>
    <w:rsid w:val="00340B2A"/>
    <w:rsid w:val="00341E66"/>
    <w:rsid w:val="00343384"/>
    <w:rsid w:val="00343A08"/>
    <w:rsid w:val="00346216"/>
    <w:rsid w:val="00352640"/>
    <w:rsid w:val="00353783"/>
    <w:rsid w:val="003548CA"/>
    <w:rsid w:val="00356397"/>
    <w:rsid w:val="00362D1F"/>
    <w:rsid w:val="003637AE"/>
    <w:rsid w:val="00371AF2"/>
    <w:rsid w:val="00376BCB"/>
    <w:rsid w:val="003771C0"/>
    <w:rsid w:val="00382C25"/>
    <w:rsid w:val="003836A4"/>
    <w:rsid w:val="003855F8"/>
    <w:rsid w:val="003871FB"/>
    <w:rsid w:val="00387C83"/>
    <w:rsid w:val="00387D4E"/>
    <w:rsid w:val="00391B39"/>
    <w:rsid w:val="0039410C"/>
    <w:rsid w:val="003A2D40"/>
    <w:rsid w:val="003A4754"/>
    <w:rsid w:val="003A5962"/>
    <w:rsid w:val="003A5D8E"/>
    <w:rsid w:val="003A6646"/>
    <w:rsid w:val="003B02BF"/>
    <w:rsid w:val="003B29B1"/>
    <w:rsid w:val="003B3F49"/>
    <w:rsid w:val="003B4AC2"/>
    <w:rsid w:val="003B505B"/>
    <w:rsid w:val="003C0FE4"/>
    <w:rsid w:val="003C10B5"/>
    <w:rsid w:val="003C6C16"/>
    <w:rsid w:val="003D17F9"/>
    <w:rsid w:val="003D1FEB"/>
    <w:rsid w:val="003D2699"/>
    <w:rsid w:val="003D4D5A"/>
    <w:rsid w:val="003D7062"/>
    <w:rsid w:val="003E36B1"/>
    <w:rsid w:val="003E480E"/>
    <w:rsid w:val="003E6380"/>
    <w:rsid w:val="003F0295"/>
    <w:rsid w:val="003F04E0"/>
    <w:rsid w:val="003F151A"/>
    <w:rsid w:val="003F2AE8"/>
    <w:rsid w:val="003F53DB"/>
    <w:rsid w:val="00400916"/>
    <w:rsid w:val="00403C95"/>
    <w:rsid w:val="00403FC1"/>
    <w:rsid w:val="004127BB"/>
    <w:rsid w:val="00417C8D"/>
    <w:rsid w:val="004262B7"/>
    <w:rsid w:val="00430C2C"/>
    <w:rsid w:val="00431385"/>
    <w:rsid w:val="0043280C"/>
    <w:rsid w:val="004331A1"/>
    <w:rsid w:val="00434D6F"/>
    <w:rsid w:val="0043604D"/>
    <w:rsid w:val="00442C0B"/>
    <w:rsid w:val="00447DFB"/>
    <w:rsid w:val="004545C8"/>
    <w:rsid w:val="00455C6E"/>
    <w:rsid w:val="00457CAB"/>
    <w:rsid w:val="00465DFC"/>
    <w:rsid w:val="004663B4"/>
    <w:rsid w:val="00472695"/>
    <w:rsid w:val="004760FF"/>
    <w:rsid w:val="00476213"/>
    <w:rsid w:val="00477C88"/>
    <w:rsid w:val="0048197C"/>
    <w:rsid w:val="00481AE2"/>
    <w:rsid w:val="004823C0"/>
    <w:rsid w:val="00485B61"/>
    <w:rsid w:val="004867E2"/>
    <w:rsid w:val="00487F0D"/>
    <w:rsid w:val="00492FBD"/>
    <w:rsid w:val="00495DDE"/>
    <w:rsid w:val="00496499"/>
    <w:rsid w:val="004A194A"/>
    <w:rsid w:val="004A3836"/>
    <w:rsid w:val="004B4255"/>
    <w:rsid w:val="004B434B"/>
    <w:rsid w:val="004B6478"/>
    <w:rsid w:val="004B747A"/>
    <w:rsid w:val="004C1625"/>
    <w:rsid w:val="004C20C2"/>
    <w:rsid w:val="004C5215"/>
    <w:rsid w:val="004C57ED"/>
    <w:rsid w:val="004C5C4F"/>
    <w:rsid w:val="004C64B8"/>
    <w:rsid w:val="004C6D93"/>
    <w:rsid w:val="004C6DCB"/>
    <w:rsid w:val="004D2C5E"/>
    <w:rsid w:val="004E1D13"/>
    <w:rsid w:val="004F0B1F"/>
    <w:rsid w:val="004F19F6"/>
    <w:rsid w:val="004F3B62"/>
    <w:rsid w:val="004F3B91"/>
    <w:rsid w:val="004F50A9"/>
    <w:rsid w:val="004F618C"/>
    <w:rsid w:val="004F74E3"/>
    <w:rsid w:val="0050294F"/>
    <w:rsid w:val="005117CD"/>
    <w:rsid w:val="00511DBA"/>
    <w:rsid w:val="00514289"/>
    <w:rsid w:val="00522335"/>
    <w:rsid w:val="005334B8"/>
    <w:rsid w:val="005362C1"/>
    <w:rsid w:val="005432D9"/>
    <w:rsid w:val="00545803"/>
    <w:rsid w:val="00546943"/>
    <w:rsid w:val="00550594"/>
    <w:rsid w:val="00553830"/>
    <w:rsid w:val="00563670"/>
    <w:rsid w:val="00563A7C"/>
    <w:rsid w:val="00567752"/>
    <w:rsid w:val="00567BD4"/>
    <w:rsid w:val="00570403"/>
    <w:rsid w:val="00573AC3"/>
    <w:rsid w:val="0058319F"/>
    <w:rsid w:val="005872C1"/>
    <w:rsid w:val="00587F6E"/>
    <w:rsid w:val="005912AC"/>
    <w:rsid w:val="00593249"/>
    <w:rsid w:val="005961CE"/>
    <w:rsid w:val="005A1232"/>
    <w:rsid w:val="005A5005"/>
    <w:rsid w:val="005A5F4B"/>
    <w:rsid w:val="005A6458"/>
    <w:rsid w:val="005B0E84"/>
    <w:rsid w:val="005B115D"/>
    <w:rsid w:val="005B3FA7"/>
    <w:rsid w:val="005B470E"/>
    <w:rsid w:val="005C4BC4"/>
    <w:rsid w:val="005C5A07"/>
    <w:rsid w:val="005C5A2C"/>
    <w:rsid w:val="005C5F76"/>
    <w:rsid w:val="005C718B"/>
    <w:rsid w:val="005D0BF0"/>
    <w:rsid w:val="005D19B2"/>
    <w:rsid w:val="005D2BDB"/>
    <w:rsid w:val="005D3E14"/>
    <w:rsid w:val="005D5B64"/>
    <w:rsid w:val="005D5EAF"/>
    <w:rsid w:val="005D7F68"/>
    <w:rsid w:val="005E01D3"/>
    <w:rsid w:val="005E253E"/>
    <w:rsid w:val="005E2DDE"/>
    <w:rsid w:val="005E36D4"/>
    <w:rsid w:val="005F50C4"/>
    <w:rsid w:val="005F5956"/>
    <w:rsid w:val="005F64FE"/>
    <w:rsid w:val="005F6957"/>
    <w:rsid w:val="0060268A"/>
    <w:rsid w:val="0060559B"/>
    <w:rsid w:val="00616477"/>
    <w:rsid w:val="006258FF"/>
    <w:rsid w:val="006279B1"/>
    <w:rsid w:val="00627CFA"/>
    <w:rsid w:val="00633562"/>
    <w:rsid w:val="006355CD"/>
    <w:rsid w:val="00636BB8"/>
    <w:rsid w:val="0063753C"/>
    <w:rsid w:val="00637700"/>
    <w:rsid w:val="00641544"/>
    <w:rsid w:val="00647FBB"/>
    <w:rsid w:val="00652941"/>
    <w:rsid w:val="00672AFB"/>
    <w:rsid w:val="006763E9"/>
    <w:rsid w:val="006765E1"/>
    <w:rsid w:val="00680BAE"/>
    <w:rsid w:val="00681E89"/>
    <w:rsid w:val="006846B0"/>
    <w:rsid w:val="00684957"/>
    <w:rsid w:val="00686C49"/>
    <w:rsid w:val="00690484"/>
    <w:rsid w:val="0069145E"/>
    <w:rsid w:val="006917C3"/>
    <w:rsid w:val="00697320"/>
    <w:rsid w:val="006976D0"/>
    <w:rsid w:val="006A0D10"/>
    <w:rsid w:val="006A1A79"/>
    <w:rsid w:val="006A1E7E"/>
    <w:rsid w:val="006A4A1F"/>
    <w:rsid w:val="006B187A"/>
    <w:rsid w:val="006B2E49"/>
    <w:rsid w:val="006C1B06"/>
    <w:rsid w:val="006C3CEE"/>
    <w:rsid w:val="006C4B3C"/>
    <w:rsid w:val="006C59F3"/>
    <w:rsid w:val="006C7B02"/>
    <w:rsid w:val="006D09D3"/>
    <w:rsid w:val="006D09FB"/>
    <w:rsid w:val="006D60A5"/>
    <w:rsid w:val="006E046F"/>
    <w:rsid w:val="006E09D6"/>
    <w:rsid w:val="006E1C51"/>
    <w:rsid w:val="006E4704"/>
    <w:rsid w:val="006E6136"/>
    <w:rsid w:val="006E6699"/>
    <w:rsid w:val="006E6907"/>
    <w:rsid w:val="006F4300"/>
    <w:rsid w:val="006F760E"/>
    <w:rsid w:val="006F7736"/>
    <w:rsid w:val="00702CDC"/>
    <w:rsid w:val="00704305"/>
    <w:rsid w:val="00705784"/>
    <w:rsid w:val="00705F7B"/>
    <w:rsid w:val="00706525"/>
    <w:rsid w:val="0070673F"/>
    <w:rsid w:val="00712DD3"/>
    <w:rsid w:val="007166B9"/>
    <w:rsid w:val="00721D55"/>
    <w:rsid w:val="00722F82"/>
    <w:rsid w:val="00723274"/>
    <w:rsid w:val="007258FD"/>
    <w:rsid w:val="007265CB"/>
    <w:rsid w:val="007344AC"/>
    <w:rsid w:val="00735240"/>
    <w:rsid w:val="00741116"/>
    <w:rsid w:val="00741CEC"/>
    <w:rsid w:val="00742B5C"/>
    <w:rsid w:val="0074398D"/>
    <w:rsid w:val="00743A33"/>
    <w:rsid w:val="0076191B"/>
    <w:rsid w:val="00762864"/>
    <w:rsid w:val="00763054"/>
    <w:rsid w:val="007662CC"/>
    <w:rsid w:val="0076787E"/>
    <w:rsid w:val="0077141C"/>
    <w:rsid w:val="0077581D"/>
    <w:rsid w:val="00777F91"/>
    <w:rsid w:val="00785C1D"/>
    <w:rsid w:val="00785C9A"/>
    <w:rsid w:val="007944B4"/>
    <w:rsid w:val="007953A7"/>
    <w:rsid w:val="00796A2B"/>
    <w:rsid w:val="00796D4D"/>
    <w:rsid w:val="007A2335"/>
    <w:rsid w:val="007A48D4"/>
    <w:rsid w:val="007A7565"/>
    <w:rsid w:val="007B3CE3"/>
    <w:rsid w:val="007B4C42"/>
    <w:rsid w:val="007C3071"/>
    <w:rsid w:val="007D110E"/>
    <w:rsid w:val="007D340D"/>
    <w:rsid w:val="007D363B"/>
    <w:rsid w:val="007D3C22"/>
    <w:rsid w:val="007F117B"/>
    <w:rsid w:val="007F178E"/>
    <w:rsid w:val="007F48E4"/>
    <w:rsid w:val="007F5AF5"/>
    <w:rsid w:val="007F7DB6"/>
    <w:rsid w:val="008020D8"/>
    <w:rsid w:val="008033D6"/>
    <w:rsid w:val="00803415"/>
    <w:rsid w:val="00806DAB"/>
    <w:rsid w:val="00807E7E"/>
    <w:rsid w:val="00812CC2"/>
    <w:rsid w:val="008148B9"/>
    <w:rsid w:val="00820BC5"/>
    <w:rsid w:val="0082559E"/>
    <w:rsid w:val="008264EB"/>
    <w:rsid w:val="008277D4"/>
    <w:rsid w:val="00827CB5"/>
    <w:rsid w:val="00830415"/>
    <w:rsid w:val="0084021B"/>
    <w:rsid w:val="00840A76"/>
    <w:rsid w:val="00840BE5"/>
    <w:rsid w:val="008521F9"/>
    <w:rsid w:val="0085226B"/>
    <w:rsid w:val="0085590C"/>
    <w:rsid w:val="00857829"/>
    <w:rsid w:val="00862064"/>
    <w:rsid w:val="00865A3F"/>
    <w:rsid w:val="00870500"/>
    <w:rsid w:val="008712D7"/>
    <w:rsid w:val="00873325"/>
    <w:rsid w:val="0087380E"/>
    <w:rsid w:val="008745A5"/>
    <w:rsid w:val="00880047"/>
    <w:rsid w:val="00887A9E"/>
    <w:rsid w:val="00891BA7"/>
    <w:rsid w:val="00894065"/>
    <w:rsid w:val="00895F8B"/>
    <w:rsid w:val="008A417C"/>
    <w:rsid w:val="008B18CD"/>
    <w:rsid w:val="008B45F9"/>
    <w:rsid w:val="008C19C2"/>
    <w:rsid w:val="008C31BB"/>
    <w:rsid w:val="008C46F8"/>
    <w:rsid w:val="008C65B4"/>
    <w:rsid w:val="008D0C06"/>
    <w:rsid w:val="008D5A5B"/>
    <w:rsid w:val="008E699E"/>
    <w:rsid w:val="008E742A"/>
    <w:rsid w:val="008E7BF9"/>
    <w:rsid w:val="008F0703"/>
    <w:rsid w:val="008F0928"/>
    <w:rsid w:val="008F2B24"/>
    <w:rsid w:val="008F3ACC"/>
    <w:rsid w:val="008F561A"/>
    <w:rsid w:val="008F5914"/>
    <w:rsid w:val="008F7356"/>
    <w:rsid w:val="008F741A"/>
    <w:rsid w:val="00900AEE"/>
    <w:rsid w:val="0090412B"/>
    <w:rsid w:val="0090421E"/>
    <w:rsid w:val="0091305B"/>
    <w:rsid w:val="00913A23"/>
    <w:rsid w:val="00916C67"/>
    <w:rsid w:val="009250FF"/>
    <w:rsid w:val="009303F5"/>
    <w:rsid w:val="00930FA5"/>
    <w:rsid w:val="00931CCE"/>
    <w:rsid w:val="0093522D"/>
    <w:rsid w:val="0094077E"/>
    <w:rsid w:val="009415A5"/>
    <w:rsid w:val="00942544"/>
    <w:rsid w:val="00945D90"/>
    <w:rsid w:val="00952CA6"/>
    <w:rsid w:val="00953FB4"/>
    <w:rsid w:val="009556C4"/>
    <w:rsid w:val="00956B86"/>
    <w:rsid w:val="00962ABE"/>
    <w:rsid w:val="00963533"/>
    <w:rsid w:val="00963E62"/>
    <w:rsid w:val="00964CAF"/>
    <w:rsid w:val="00964F7E"/>
    <w:rsid w:val="009703CC"/>
    <w:rsid w:val="00971CDD"/>
    <w:rsid w:val="00976FDB"/>
    <w:rsid w:val="00985DD6"/>
    <w:rsid w:val="0098771E"/>
    <w:rsid w:val="0099009D"/>
    <w:rsid w:val="00991F21"/>
    <w:rsid w:val="009A0A74"/>
    <w:rsid w:val="009A0BC6"/>
    <w:rsid w:val="009A3598"/>
    <w:rsid w:val="009A38E9"/>
    <w:rsid w:val="009A3902"/>
    <w:rsid w:val="009B50C0"/>
    <w:rsid w:val="009B64A3"/>
    <w:rsid w:val="009C04D8"/>
    <w:rsid w:val="009C22F2"/>
    <w:rsid w:val="009C3CEC"/>
    <w:rsid w:val="009C797E"/>
    <w:rsid w:val="009D3675"/>
    <w:rsid w:val="009D71C2"/>
    <w:rsid w:val="009D768B"/>
    <w:rsid w:val="009E0445"/>
    <w:rsid w:val="009E58A4"/>
    <w:rsid w:val="009E5DC9"/>
    <w:rsid w:val="009E6A41"/>
    <w:rsid w:val="009F0643"/>
    <w:rsid w:val="009F12A6"/>
    <w:rsid w:val="009F308C"/>
    <w:rsid w:val="009F402B"/>
    <w:rsid w:val="009F61AC"/>
    <w:rsid w:val="009F6912"/>
    <w:rsid w:val="00A01724"/>
    <w:rsid w:val="00A01849"/>
    <w:rsid w:val="00A032C3"/>
    <w:rsid w:val="00A11B45"/>
    <w:rsid w:val="00A12BE7"/>
    <w:rsid w:val="00A12F05"/>
    <w:rsid w:val="00A13B1A"/>
    <w:rsid w:val="00A14BD0"/>
    <w:rsid w:val="00A200D9"/>
    <w:rsid w:val="00A20159"/>
    <w:rsid w:val="00A2162E"/>
    <w:rsid w:val="00A228C4"/>
    <w:rsid w:val="00A26995"/>
    <w:rsid w:val="00A26C03"/>
    <w:rsid w:val="00A278A3"/>
    <w:rsid w:val="00A30DE9"/>
    <w:rsid w:val="00A32177"/>
    <w:rsid w:val="00A32340"/>
    <w:rsid w:val="00A32CFD"/>
    <w:rsid w:val="00A3356C"/>
    <w:rsid w:val="00A36DAB"/>
    <w:rsid w:val="00A40A79"/>
    <w:rsid w:val="00A4512D"/>
    <w:rsid w:val="00A52ED6"/>
    <w:rsid w:val="00A537F3"/>
    <w:rsid w:val="00A55177"/>
    <w:rsid w:val="00A56407"/>
    <w:rsid w:val="00A5680B"/>
    <w:rsid w:val="00A56F1D"/>
    <w:rsid w:val="00A62B89"/>
    <w:rsid w:val="00A705AF"/>
    <w:rsid w:val="00A74711"/>
    <w:rsid w:val="00A80633"/>
    <w:rsid w:val="00A83DD4"/>
    <w:rsid w:val="00A85899"/>
    <w:rsid w:val="00A878AB"/>
    <w:rsid w:val="00A914E3"/>
    <w:rsid w:val="00A97963"/>
    <w:rsid w:val="00AA038D"/>
    <w:rsid w:val="00AA27FE"/>
    <w:rsid w:val="00AA381F"/>
    <w:rsid w:val="00AA67E1"/>
    <w:rsid w:val="00AA6C10"/>
    <w:rsid w:val="00AB0AB3"/>
    <w:rsid w:val="00AB1FF3"/>
    <w:rsid w:val="00AB22F4"/>
    <w:rsid w:val="00AB4542"/>
    <w:rsid w:val="00AB5013"/>
    <w:rsid w:val="00AB5314"/>
    <w:rsid w:val="00AC019F"/>
    <w:rsid w:val="00AC09F9"/>
    <w:rsid w:val="00AC1552"/>
    <w:rsid w:val="00AC3190"/>
    <w:rsid w:val="00AC69CC"/>
    <w:rsid w:val="00AD3AF2"/>
    <w:rsid w:val="00AD5286"/>
    <w:rsid w:val="00AD72F3"/>
    <w:rsid w:val="00AD7581"/>
    <w:rsid w:val="00AE5A49"/>
    <w:rsid w:val="00AF1822"/>
    <w:rsid w:val="00AF4087"/>
    <w:rsid w:val="00AF52C0"/>
    <w:rsid w:val="00AF6773"/>
    <w:rsid w:val="00AF7DDC"/>
    <w:rsid w:val="00B00974"/>
    <w:rsid w:val="00B01AEE"/>
    <w:rsid w:val="00B022B6"/>
    <w:rsid w:val="00B03323"/>
    <w:rsid w:val="00B06EDB"/>
    <w:rsid w:val="00B101EC"/>
    <w:rsid w:val="00B1060A"/>
    <w:rsid w:val="00B1299D"/>
    <w:rsid w:val="00B2191A"/>
    <w:rsid w:val="00B225B4"/>
    <w:rsid w:val="00B263B0"/>
    <w:rsid w:val="00B3157E"/>
    <w:rsid w:val="00B42851"/>
    <w:rsid w:val="00B44B5D"/>
    <w:rsid w:val="00B4562B"/>
    <w:rsid w:val="00B46BBF"/>
    <w:rsid w:val="00B507B9"/>
    <w:rsid w:val="00B50C01"/>
    <w:rsid w:val="00B54651"/>
    <w:rsid w:val="00B54C24"/>
    <w:rsid w:val="00B5512B"/>
    <w:rsid w:val="00B55C8B"/>
    <w:rsid w:val="00B579A4"/>
    <w:rsid w:val="00B65945"/>
    <w:rsid w:val="00B67BEC"/>
    <w:rsid w:val="00B7168D"/>
    <w:rsid w:val="00B865AA"/>
    <w:rsid w:val="00B86896"/>
    <w:rsid w:val="00B90E41"/>
    <w:rsid w:val="00B93B8F"/>
    <w:rsid w:val="00B93E6F"/>
    <w:rsid w:val="00BA61C1"/>
    <w:rsid w:val="00BA6306"/>
    <w:rsid w:val="00BA7619"/>
    <w:rsid w:val="00BB06DE"/>
    <w:rsid w:val="00BC08B0"/>
    <w:rsid w:val="00BC290C"/>
    <w:rsid w:val="00BC57CF"/>
    <w:rsid w:val="00BC7429"/>
    <w:rsid w:val="00BC7CB6"/>
    <w:rsid w:val="00BD3B90"/>
    <w:rsid w:val="00BD4D26"/>
    <w:rsid w:val="00BD53E4"/>
    <w:rsid w:val="00BD7617"/>
    <w:rsid w:val="00BE78AD"/>
    <w:rsid w:val="00C03AB7"/>
    <w:rsid w:val="00C10611"/>
    <w:rsid w:val="00C10913"/>
    <w:rsid w:val="00C1649D"/>
    <w:rsid w:val="00C17BFC"/>
    <w:rsid w:val="00C24186"/>
    <w:rsid w:val="00C24DD0"/>
    <w:rsid w:val="00C27AA6"/>
    <w:rsid w:val="00C329E0"/>
    <w:rsid w:val="00C37686"/>
    <w:rsid w:val="00C434C3"/>
    <w:rsid w:val="00C4449A"/>
    <w:rsid w:val="00C44563"/>
    <w:rsid w:val="00C4516F"/>
    <w:rsid w:val="00C4518E"/>
    <w:rsid w:val="00C45C49"/>
    <w:rsid w:val="00C4670C"/>
    <w:rsid w:val="00C46C83"/>
    <w:rsid w:val="00C53F31"/>
    <w:rsid w:val="00C556B1"/>
    <w:rsid w:val="00C55B5E"/>
    <w:rsid w:val="00C60477"/>
    <w:rsid w:val="00C70C10"/>
    <w:rsid w:val="00C71F2B"/>
    <w:rsid w:val="00C72BF2"/>
    <w:rsid w:val="00C76467"/>
    <w:rsid w:val="00C8168D"/>
    <w:rsid w:val="00C83AFA"/>
    <w:rsid w:val="00C84BD0"/>
    <w:rsid w:val="00C852FE"/>
    <w:rsid w:val="00C9194D"/>
    <w:rsid w:val="00C94CB3"/>
    <w:rsid w:val="00CA5186"/>
    <w:rsid w:val="00CA7FBF"/>
    <w:rsid w:val="00CB1623"/>
    <w:rsid w:val="00CB2491"/>
    <w:rsid w:val="00CB383D"/>
    <w:rsid w:val="00CB4067"/>
    <w:rsid w:val="00CB4D52"/>
    <w:rsid w:val="00CB5B1A"/>
    <w:rsid w:val="00CB628C"/>
    <w:rsid w:val="00CB69AC"/>
    <w:rsid w:val="00CC2FC6"/>
    <w:rsid w:val="00CC396B"/>
    <w:rsid w:val="00CC3C28"/>
    <w:rsid w:val="00CC3DD7"/>
    <w:rsid w:val="00CC5B03"/>
    <w:rsid w:val="00CC7536"/>
    <w:rsid w:val="00CD647E"/>
    <w:rsid w:val="00CD66B0"/>
    <w:rsid w:val="00CE243F"/>
    <w:rsid w:val="00CE2A46"/>
    <w:rsid w:val="00CE3D15"/>
    <w:rsid w:val="00CE75D7"/>
    <w:rsid w:val="00CF2001"/>
    <w:rsid w:val="00CF302A"/>
    <w:rsid w:val="00CF3955"/>
    <w:rsid w:val="00CF3A36"/>
    <w:rsid w:val="00D02895"/>
    <w:rsid w:val="00D03BD8"/>
    <w:rsid w:val="00D0499A"/>
    <w:rsid w:val="00D10ABA"/>
    <w:rsid w:val="00D1162A"/>
    <w:rsid w:val="00D1263D"/>
    <w:rsid w:val="00D12921"/>
    <w:rsid w:val="00D12DCE"/>
    <w:rsid w:val="00D133AF"/>
    <w:rsid w:val="00D158DE"/>
    <w:rsid w:val="00D15F51"/>
    <w:rsid w:val="00D23458"/>
    <w:rsid w:val="00D2358D"/>
    <w:rsid w:val="00D334C0"/>
    <w:rsid w:val="00D36BF2"/>
    <w:rsid w:val="00D41DAE"/>
    <w:rsid w:val="00D50054"/>
    <w:rsid w:val="00D51ED3"/>
    <w:rsid w:val="00D525EC"/>
    <w:rsid w:val="00D53900"/>
    <w:rsid w:val="00D53E2A"/>
    <w:rsid w:val="00D56D14"/>
    <w:rsid w:val="00D57C4E"/>
    <w:rsid w:val="00D61CE0"/>
    <w:rsid w:val="00D7297E"/>
    <w:rsid w:val="00D742DB"/>
    <w:rsid w:val="00D81D9D"/>
    <w:rsid w:val="00D87C6E"/>
    <w:rsid w:val="00D9146C"/>
    <w:rsid w:val="00D930A3"/>
    <w:rsid w:val="00DA3DD9"/>
    <w:rsid w:val="00DA46DE"/>
    <w:rsid w:val="00DA48E0"/>
    <w:rsid w:val="00DA7C9E"/>
    <w:rsid w:val="00DA7EF2"/>
    <w:rsid w:val="00DB1634"/>
    <w:rsid w:val="00DB5561"/>
    <w:rsid w:val="00DC047D"/>
    <w:rsid w:val="00DC0B4D"/>
    <w:rsid w:val="00DC200F"/>
    <w:rsid w:val="00DC3FF3"/>
    <w:rsid w:val="00DC7813"/>
    <w:rsid w:val="00DD0079"/>
    <w:rsid w:val="00DD16EB"/>
    <w:rsid w:val="00DD176C"/>
    <w:rsid w:val="00DD303F"/>
    <w:rsid w:val="00DD6821"/>
    <w:rsid w:val="00DE1C22"/>
    <w:rsid w:val="00DE2128"/>
    <w:rsid w:val="00DE3929"/>
    <w:rsid w:val="00DE4AC0"/>
    <w:rsid w:val="00DF1795"/>
    <w:rsid w:val="00DF6923"/>
    <w:rsid w:val="00E1716E"/>
    <w:rsid w:val="00E2082B"/>
    <w:rsid w:val="00E24FD7"/>
    <w:rsid w:val="00E31B0A"/>
    <w:rsid w:val="00E3496C"/>
    <w:rsid w:val="00E43000"/>
    <w:rsid w:val="00E475D2"/>
    <w:rsid w:val="00E50632"/>
    <w:rsid w:val="00E51621"/>
    <w:rsid w:val="00E51ACF"/>
    <w:rsid w:val="00E52477"/>
    <w:rsid w:val="00E5256F"/>
    <w:rsid w:val="00E53449"/>
    <w:rsid w:val="00E6378E"/>
    <w:rsid w:val="00E66C39"/>
    <w:rsid w:val="00E702E1"/>
    <w:rsid w:val="00E70760"/>
    <w:rsid w:val="00E71A5D"/>
    <w:rsid w:val="00E72CF4"/>
    <w:rsid w:val="00E73091"/>
    <w:rsid w:val="00E73197"/>
    <w:rsid w:val="00E73867"/>
    <w:rsid w:val="00E802E3"/>
    <w:rsid w:val="00E80375"/>
    <w:rsid w:val="00E80AAE"/>
    <w:rsid w:val="00E81120"/>
    <w:rsid w:val="00E8282F"/>
    <w:rsid w:val="00E849CE"/>
    <w:rsid w:val="00E85622"/>
    <w:rsid w:val="00E907F4"/>
    <w:rsid w:val="00E94358"/>
    <w:rsid w:val="00EA1B24"/>
    <w:rsid w:val="00EB3DB7"/>
    <w:rsid w:val="00EB7529"/>
    <w:rsid w:val="00EC2165"/>
    <w:rsid w:val="00EC4B8F"/>
    <w:rsid w:val="00EC6406"/>
    <w:rsid w:val="00ED4544"/>
    <w:rsid w:val="00ED6E65"/>
    <w:rsid w:val="00EE0E0B"/>
    <w:rsid w:val="00EE1596"/>
    <w:rsid w:val="00EE281A"/>
    <w:rsid w:val="00EF0BC6"/>
    <w:rsid w:val="00EF3622"/>
    <w:rsid w:val="00EF3674"/>
    <w:rsid w:val="00F010E9"/>
    <w:rsid w:val="00F0275F"/>
    <w:rsid w:val="00F03528"/>
    <w:rsid w:val="00F07371"/>
    <w:rsid w:val="00F15D8C"/>
    <w:rsid w:val="00F164BE"/>
    <w:rsid w:val="00F179EC"/>
    <w:rsid w:val="00F20314"/>
    <w:rsid w:val="00F27826"/>
    <w:rsid w:val="00F27C30"/>
    <w:rsid w:val="00F4501F"/>
    <w:rsid w:val="00F470EA"/>
    <w:rsid w:val="00F5160C"/>
    <w:rsid w:val="00F53F2D"/>
    <w:rsid w:val="00F633D0"/>
    <w:rsid w:val="00F65DF8"/>
    <w:rsid w:val="00F67B0C"/>
    <w:rsid w:val="00F70ECB"/>
    <w:rsid w:val="00F746D0"/>
    <w:rsid w:val="00F75193"/>
    <w:rsid w:val="00F77D46"/>
    <w:rsid w:val="00F81971"/>
    <w:rsid w:val="00F82749"/>
    <w:rsid w:val="00F829E0"/>
    <w:rsid w:val="00F83EAB"/>
    <w:rsid w:val="00F8405C"/>
    <w:rsid w:val="00F858D5"/>
    <w:rsid w:val="00F87C78"/>
    <w:rsid w:val="00F93367"/>
    <w:rsid w:val="00F9376C"/>
    <w:rsid w:val="00F974EA"/>
    <w:rsid w:val="00F97936"/>
    <w:rsid w:val="00F97C40"/>
    <w:rsid w:val="00FA28CA"/>
    <w:rsid w:val="00FA64F7"/>
    <w:rsid w:val="00FB0CFB"/>
    <w:rsid w:val="00FC10B7"/>
    <w:rsid w:val="00FC241C"/>
    <w:rsid w:val="00FC4412"/>
    <w:rsid w:val="00FC6355"/>
    <w:rsid w:val="00FC6EB6"/>
    <w:rsid w:val="00FC737B"/>
    <w:rsid w:val="00FD0F77"/>
    <w:rsid w:val="00FD1577"/>
    <w:rsid w:val="00FD6239"/>
    <w:rsid w:val="00FE0037"/>
    <w:rsid w:val="00FE0122"/>
    <w:rsid w:val="00FE0349"/>
    <w:rsid w:val="00FE1B8A"/>
    <w:rsid w:val="00FE75CA"/>
    <w:rsid w:val="00FF2016"/>
    <w:rsid w:val="00FF2173"/>
    <w:rsid w:val="00FF2C36"/>
    <w:rsid w:val="00FF3494"/>
    <w:rsid w:val="00FF4508"/>
    <w:rsid w:val="00FF534B"/>
    <w:rsid w:val="00FF709A"/>
    <w:rsid w:val="00FF7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304987"/>
  <w15:docId w15:val="{BA70EE0F-2ECF-48C1-8B95-FCE3E9C4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A1F"/>
    <w:pPr>
      <w:spacing w:before="120" w:after="120" w:line="276" w:lineRule="auto"/>
    </w:pPr>
    <w:rPr>
      <w:rFonts w:asciiTheme="minorHAnsi" w:hAnsiTheme="minorHAnsi"/>
      <w:sz w:val="22"/>
      <w:szCs w:val="24"/>
      <w:lang w:val="en-US" w:eastAsia="en-US"/>
    </w:rPr>
  </w:style>
  <w:style w:type="paragraph" w:styleId="Heading1">
    <w:name w:val="heading 1"/>
    <w:basedOn w:val="Normal"/>
    <w:next w:val="Normal"/>
    <w:qFormat/>
    <w:rsid w:val="0039410C"/>
    <w:pPr>
      <w:keepNext/>
      <w:spacing w:before="240"/>
      <w:outlineLvl w:val="0"/>
    </w:pPr>
    <w:rPr>
      <w:rFonts w:asciiTheme="majorHAnsi" w:eastAsiaTheme="majorEastAsia" w:hAnsiTheme="majorHAnsi" w:cstheme="majorBidi"/>
      <w:b/>
      <w:bCs/>
      <w:color w:val="0070C0"/>
      <w:kern w:val="32"/>
      <w:sz w:val="40"/>
      <w:szCs w:val="32"/>
    </w:rPr>
  </w:style>
  <w:style w:type="paragraph" w:styleId="Heading2">
    <w:name w:val="heading 2"/>
    <w:basedOn w:val="Normal"/>
    <w:next w:val="Normal"/>
    <w:qFormat/>
    <w:rsid w:val="006A4A1F"/>
    <w:pPr>
      <w:keepNext/>
      <w:shd w:val="clear" w:color="auto" w:fill="FFFFFF" w:themeFill="background1"/>
      <w:outlineLvl w:val="1"/>
    </w:pPr>
    <w:rPr>
      <w:rFonts w:asciiTheme="majorHAnsi" w:hAnsiTheme="majorHAnsi" w:cs="Arial"/>
      <w:b/>
      <w:color w:val="008080"/>
      <w:sz w:val="32"/>
      <w:szCs w:val="20"/>
      <w:lang w:val="en-AU"/>
    </w:rPr>
  </w:style>
  <w:style w:type="paragraph" w:styleId="Heading3">
    <w:name w:val="heading 3"/>
    <w:basedOn w:val="Heading2"/>
    <w:next w:val="Normal"/>
    <w:unhideWhenUsed/>
    <w:qFormat/>
    <w:rsid w:val="006A4A1F"/>
    <w:pPr>
      <w:outlineLvl w:val="2"/>
    </w:pPr>
    <w:rPr>
      <w:sz w:val="24"/>
    </w:rPr>
  </w:style>
  <w:style w:type="paragraph" w:styleId="Heading4">
    <w:name w:val="heading 4"/>
    <w:basedOn w:val="Normal"/>
    <w:next w:val="Normal"/>
    <w:semiHidden/>
    <w:unhideWhenUsed/>
    <w:qFormat/>
    <w:rsid w:val="00A74711"/>
    <w:pPr>
      <w:keepNext/>
      <w:spacing w:before="240" w:after="60"/>
      <w:outlineLvl w:val="3"/>
    </w:pPr>
    <w:rPr>
      <w:rFonts w:eastAsiaTheme="minorEastAsia" w:cstheme="minorBidi"/>
      <w:b/>
      <w:bCs/>
      <w:sz w:val="28"/>
      <w:szCs w:val="28"/>
    </w:rPr>
  </w:style>
  <w:style w:type="paragraph" w:styleId="Heading5">
    <w:name w:val="heading 5"/>
    <w:basedOn w:val="Normal"/>
    <w:next w:val="Normal"/>
    <w:semiHidden/>
    <w:unhideWhenUsed/>
    <w:qFormat/>
    <w:rsid w:val="00A705AF"/>
    <w:pPr>
      <w:spacing w:before="240" w:after="60"/>
      <w:outlineLvl w:val="4"/>
    </w:pPr>
    <w:rPr>
      <w:rFonts w:eastAsiaTheme="minorEastAsia" w:cstheme="minorBidi"/>
      <w:b/>
      <w:bCs/>
      <w:i/>
      <w:iCs/>
      <w:sz w:val="26"/>
      <w:szCs w:val="26"/>
    </w:rPr>
  </w:style>
  <w:style w:type="paragraph" w:styleId="Heading6">
    <w:name w:val="heading 6"/>
    <w:basedOn w:val="Normal"/>
    <w:next w:val="Normal"/>
    <w:semiHidden/>
    <w:unhideWhenUsed/>
    <w:qFormat/>
    <w:rsid w:val="00A705AF"/>
    <w:pPr>
      <w:spacing w:before="240" w:after="60"/>
      <w:outlineLvl w:val="5"/>
    </w:pPr>
    <w:rPr>
      <w:rFonts w:eastAsiaTheme="minorEastAsia"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A705AF"/>
    <w:rPr>
      <w:rFonts w:asciiTheme="majorHAnsi" w:eastAsiaTheme="majorEastAsia" w:hAnsiTheme="majorHAnsi" w:cstheme="majorBidi"/>
      <w:sz w:val="24"/>
      <w:szCs w:val="24"/>
      <w:lang w:val="en-US" w:eastAsia="en-US"/>
    </w:rPr>
  </w:style>
  <w:style w:type="paragraph" w:styleId="Title">
    <w:name w:val="Title"/>
    <w:basedOn w:val="Normal"/>
    <w:link w:val="TitleChar"/>
    <w:qFormat/>
    <w:rsid w:val="00E50632"/>
    <w:pPr>
      <w:spacing w:before="4800"/>
      <w:jc w:val="center"/>
    </w:pPr>
    <w:rPr>
      <w:rFonts w:ascii="Cambria" w:hAnsi="Cambria"/>
      <w:b/>
      <w:color w:val="0070C0"/>
      <w:sz w:val="52"/>
      <w:szCs w:val="52"/>
      <w:lang w:val="en-AU"/>
    </w:rPr>
  </w:style>
  <w:style w:type="character" w:customStyle="1" w:styleId="TitleChar">
    <w:name w:val="Title Char"/>
    <w:link w:val="Title"/>
    <w:rsid w:val="00E50632"/>
    <w:rPr>
      <w:rFonts w:ascii="Cambria" w:hAnsi="Cambria"/>
      <w:b/>
      <w:color w:val="0070C0"/>
      <w:sz w:val="52"/>
      <w:szCs w:val="52"/>
      <w:lang w:eastAsia="en-US"/>
    </w:rPr>
  </w:style>
  <w:style w:type="paragraph" w:styleId="NoSpacing">
    <w:name w:val="No Spacing"/>
    <w:uiPriority w:val="1"/>
    <w:qFormat/>
    <w:rsid w:val="00A4512D"/>
    <w:rPr>
      <w:sz w:val="24"/>
      <w:szCs w:val="24"/>
      <w:lang w:val="en-US"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val="en-US"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smallCaps/>
      <w:color w:val="C0504D" w:themeColor="accent2"/>
      <w:spacing w:val="5"/>
      <w:u w:val="singl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pPr>
  </w:style>
  <w:style w:type="paragraph" w:styleId="Header">
    <w:name w:val="header"/>
    <w:basedOn w:val="Normal"/>
    <w:link w:val="HeaderChar"/>
    <w:rsid w:val="00A200D9"/>
    <w:pPr>
      <w:tabs>
        <w:tab w:val="center" w:pos="4513"/>
        <w:tab w:val="right" w:pos="9026"/>
      </w:tabs>
    </w:pPr>
  </w:style>
  <w:style w:type="character" w:customStyle="1" w:styleId="HeaderChar">
    <w:name w:val="Header Char"/>
    <w:basedOn w:val="DefaultParagraphFont"/>
    <w:link w:val="Header"/>
    <w:rsid w:val="00A200D9"/>
    <w:rPr>
      <w:rFonts w:asciiTheme="minorHAnsi" w:hAnsiTheme="minorHAnsi"/>
      <w:sz w:val="24"/>
      <w:szCs w:val="24"/>
      <w:lang w:val="en-US" w:eastAsia="en-US"/>
    </w:rPr>
  </w:style>
  <w:style w:type="paragraph" w:styleId="Footer">
    <w:name w:val="footer"/>
    <w:basedOn w:val="Normal"/>
    <w:link w:val="FooterChar"/>
    <w:uiPriority w:val="99"/>
    <w:rsid w:val="00A200D9"/>
    <w:pPr>
      <w:tabs>
        <w:tab w:val="center" w:pos="4513"/>
        <w:tab w:val="right" w:pos="9026"/>
      </w:tabs>
    </w:pPr>
  </w:style>
  <w:style w:type="character" w:customStyle="1" w:styleId="FooterChar">
    <w:name w:val="Footer Char"/>
    <w:basedOn w:val="DefaultParagraphFont"/>
    <w:link w:val="Footer"/>
    <w:uiPriority w:val="99"/>
    <w:rsid w:val="00A200D9"/>
    <w:rPr>
      <w:rFonts w:asciiTheme="minorHAnsi" w:hAnsiTheme="minorHAnsi"/>
      <w:sz w:val="24"/>
      <w:szCs w:val="24"/>
      <w:lang w:val="en-US" w:eastAsia="en-US"/>
    </w:rPr>
  </w:style>
  <w:style w:type="table" w:styleId="TableGrid">
    <w:name w:val="Table Grid"/>
    <w:basedOn w:val="TableNormal"/>
    <w:rsid w:val="0094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021B"/>
    <w:rPr>
      <w:rFonts w:ascii="Tahoma" w:hAnsi="Tahoma" w:cs="Tahoma"/>
      <w:sz w:val="16"/>
      <w:szCs w:val="16"/>
    </w:rPr>
  </w:style>
  <w:style w:type="character" w:customStyle="1" w:styleId="BalloonTextChar">
    <w:name w:val="Balloon Text Char"/>
    <w:basedOn w:val="DefaultParagraphFont"/>
    <w:link w:val="BalloonText"/>
    <w:rsid w:val="0084021B"/>
    <w:rPr>
      <w:rFonts w:ascii="Tahoma" w:hAnsi="Tahoma" w:cs="Tahoma"/>
      <w:sz w:val="16"/>
      <w:szCs w:val="16"/>
      <w:lang w:val="en-US" w:eastAsia="en-US"/>
    </w:rPr>
  </w:style>
  <w:style w:type="character" w:styleId="CommentReference">
    <w:name w:val="annotation reference"/>
    <w:basedOn w:val="DefaultParagraphFont"/>
    <w:rsid w:val="0084021B"/>
    <w:rPr>
      <w:sz w:val="16"/>
      <w:szCs w:val="16"/>
    </w:rPr>
  </w:style>
  <w:style w:type="paragraph" w:styleId="CommentText">
    <w:name w:val="annotation text"/>
    <w:basedOn w:val="Normal"/>
    <w:link w:val="CommentTextChar"/>
    <w:rsid w:val="0084021B"/>
    <w:rPr>
      <w:sz w:val="20"/>
      <w:szCs w:val="20"/>
    </w:rPr>
  </w:style>
  <w:style w:type="character" w:customStyle="1" w:styleId="CommentTextChar">
    <w:name w:val="Comment Text Char"/>
    <w:basedOn w:val="DefaultParagraphFont"/>
    <w:link w:val="CommentText"/>
    <w:rsid w:val="0084021B"/>
    <w:rPr>
      <w:rFonts w:asciiTheme="minorHAnsi" w:hAnsiTheme="minorHAnsi"/>
      <w:lang w:val="en-US" w:eastAsia="en-US"/>
    </w:rPr>
  </w:style>
  <w:style w:type="paragraph" w:styleId="CommentSubject">
    <w:name w:val="annotation subject"/>
    <w:basedOn w:val="CommentText"/>
    <w:next w:val="CommentText"/>
    <w:link w:val="CommentSubjectChar"/>
    <w:rsid w:val="0084021B"/>
    <w:rPr>
      <w:b/>
      <w:bCs/>
    </w:rPr>
  </w:style>
  <w:style w:type="character" w:customStyle="1" w:styleId="CommentSubjectChar">
    <w:name w:val="Comment Subject Char"/>
    <w:basedOn w:val="CommentTextChar"/>
    <w:link w:val="CommentSubject"/>
    <w:rsid w:val="0084021B"/>
    <w:rPr>
      <w:rFonts w:asciiTheme="minorHAnsi" w:hAnsiTheme="minorHAnsi"/>
      <w:b/>
      <w:bCs/>
      <w:lang w:val="en-US" w:eastAsia="en-US"/>
    </w:rPr>
  </w:style>
  <w:style w:type="paragraph" w:customStyle="1" w:styleId="Default">
    <w:name w:val="Default"/>
    <w:rsid w:val="007F178E"/>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semiHidden/>
    <w:unhideWhenUsed/>
    <w:qFormat/>
    <w:rsid w:val="00487F0D"/>
    <w:pPr>
      <w:keepLines/>
      <w:spacing w:before="480" w:after="0"/>
      <w:outlineLvl w:val="9"/>
    </w:pPr>
    <w:rPr>
      <w:color w:val="365F91" w:themeColor="accent1" w:themeShade="BF"/>
      <w:kern w:val="0"/>
      <w:sz w:val="28"/>
      <w:szCs w:val="28"/>
      <w:lang w:eastAsia="ja-JP"/>
    </w:rPr>
  </w:style>
  <w:style w:type="paragraph" w:styleId="TOC1">
    <w:name w:val="toc 1"/>
    <w:basedOn w:val="Normal"/>
    <w:next w:val="Normal"/>
    <w:autoRedefine/>
    <w:uiPriority w:val="39"/>
    <w:qFormat/>
    <w:rsid w:val="00BA6306"/>
    <w:pPr>
      <w:tabs>
        <w:tab w:val="right" w:leader="dot" w:pos="9060"/>
      </w:tabs>
      <w:spacing w:after="100"/>
    </w:pPr>
  </w:style>
  <w:style w:type="paragraph" w:styleId="TOC2">
    <w:name w:val="toc 2"/>
    <w:basedOn w:val="Normal"/>
    <w:next w:val="Normal"/>
    <w:autoRedefine/>
    <w:uiPriority w:val="39"/>
    <w:qFormat/>
    <w:rsid w:val="00487F0D"/>
    <w:pPr>
      <w:spacing w:after="100"/>
      <w:ind w:left="240"/>
    </w:pPr>
  </w:style>
  <w:style w:type="character" w:styleId="Hyperlink">
    <w:name w:val="Hyperlink"/>
    <w:basedOn w:val="DefaultParagraphFont"/>
    <w:uiPriority w:val="99"/>
    <w:unhideWhenUsed/>
    <w:rsid w:val="00487F0D"/>
    <w:rPr>
      <w:color w:val="0000FF" w:themeColor="hyperlink"/>
      <w:u w:val="single"/>
    </w:rPr>
  </w:style>
  <w:style w:type="paragraph" w:styleId="TOC3">
    <w:name w:val="toc 3"/>
    <w:basedOn w:val="Normal"/>
    <w:next w:val="Normal"/>
    <w:autoRedefine/>
    <w:uiPriority w:val="39"/>
    <w:unhideWhenUsed/>
    <w:qFormat/>
    <w:rsid w:val="007F5AF5"/>
    <w:pPr>
      <w:spacing w:after="100"/>
      <w:ind w:left="440"/>
    </w:pPr>
    <w:rPr>
      <w:rFonts w:eastAsiaTheme="minorEastAsia" w:cstheme="minorBidi"/>
      <w:szCs w:val="22"/>
      <w:lang w:eastAsia="ja-JP"/>
    </w:rPr>
  </w:style>
  <w:style w:type="paragraph" w:styleId="EndnoteText">
    <w:name w:val="endnote text"/>
    <w:basedOn w:val="Normal"/>
    <w:link w:val="EndnoteTextChar"/>
    <w:rsid w:val="000B023A"/>
    <w:rPr>
      <w:sz w:val="20"/>
      <w:szCs w:val="20"/>
    </w:rPr>
  </w:style>
  <w:style w:type="character" w:customStyle="1" w:styleId="EndnoteTextChar">
    <w:name w:val="Endnote Text Char"/>
    <w:basedOn w:val="DefaultParagraphFont"/>
    <w:link w:val="EndnoteText"/>
    <w:rsid w:val="000B023A"/>
    <w:rPr>
      <w:rFonts w:asciiTheme="minorHAnsi" w:hAnsiTheme="minorHAnsi"/>
      <w:lang w:val="en-US" w:eastAsia="en-US"/>
    </w:rPr>
  </w:style>
  <w:style w:type="character" w:styleId="EndnoteReference">
    <w:name w:val="endnote reference"/>
    <w:basedOn w:val="DefaultParagraphFont"/>
    <w:rsid w:val="000B023A"/>
    <w:rPr>
      <w:vertAlign w:val="superscript"/>
    </w:rPr>
  </w:style>
  <w:style w:type="paragraph" w:styleId="FootnoteText">
    <w:name w:val="footnote text"/>
    <w:basedOn w:val="Normal"/>
    <w:link w:val="FootnoteTextChar"/>
    <w:rsid w:val="000B023A"/>
    <w:rPr>
      <w:sz w:val="20"/>
      <w:szCs w:val="20"/>
    </w:rPr>
  </w:style>
  <w:style w:type="character" w:customStyle="1" w:styleId="FootnoteTextChar">
    <w:name w:val="Footnote Text Char"/>
    <w:basedOn w:val="DefaultParagraphFont"/>
    <w:link w:val="FootnoteText"/>
    <w:rsid w:val="000B023A"/>
    <w:rPr>
      <w:rFonts w:asciiTheme="minorHAnsi" w:hAnsiTheme="minorHAnsi"/>
      <w:lang w:val="en-US" w:eastAsia="en-US"/>
    </w:rPr>
  </w:style>
  <w:style w:type="character" w:styleId="FootnoteReference">
    <w:name w:val="footnote reference"/>
    <w:basedOn w:val="DefaultParagraphFont"/>
    <w:rsid w:val="000B023A"/>
    <w:rPr>
      <w:vertAlign w:val="superscript"/>
    </w:rPr>
  </w:style>
  <w:style w:type="paragraph" w:styleId="Revision">
    <w:name w:val="Revision"/>
    <w:hidden/>
    <w:uiPriority w:val="99"/>
    <w:semiHidden/>
    <w:rsid w:val="00AA27FE"/>
    <w:rPr>
      <w:rFonts w:asciiTheme="minorHAnsi" w:hAnsiTheme="minorHAnsi"/>
      <w:sz w:val="24"/>
      <w:szCs w:val="24"/>
      <w:lang w:val="en-US" w:eastAsia="en-US"/>
    </w:rPr>
  </w:style>
  <w:style w:type="paragraph" w:styleId="Caption">
    <w:name w:val="caption"/>
    <w:basedOn w:val="Normal"/>
    <w:next w:val="Normal"/>
    <w:unhideWhenUsed/>
    <w:qFormat/>
    <w:rsid w:val="006917C3"/>
    <w:pPr>
      <w:spacing w:after="200"/>
    </w:pPr>
    <w:rPr>
      <w:b/>
      <w:bCs/>
      <w:color w:val="4F81BD" w:themeColor="accent1"/>
      <w:sz w:val="18"/>
      <w:szCs w:val="18"/>
    </w:rPr>
  </w:style>
  <w:style w:type="paragraph" w:customStyle="1" w:styleId="Casestudyheading">
    <w:name w:val="Case study heading"/>
    <w:basedOn w:val="Normal"/>
    <w:qFormat/>
    <w:rsid w:val="0039410C"/>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pPr>
    <w:rPr>
      <w:b/>
      <w:sz w:val="24"/>
      <w:lang w:val="en-AU"/>
    </w:rPr>
  </w:style>
  <w:style w:type="paragraph" w:customStyle="1" w:styleId="Casestudytext">
    <w:name w:val="Case study text"/>
    <w:basedOn w:val="Default"/>
    <w:qFormat/>
    <w:rsid w:val="0039410C"/>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pacing w:before="120" w:after="120" w:line="276" w:lineRule="auto"/>
      <w:jc w:val="both"/>
    </w:pPr>
    <w:rPr>
      <w:sz w:val="22"/>
    </w:rPr>
  </w:style>
  <w:style w:type="paragraph" w:customStyle="1" w:styleId="Style1">
    <w:name w:val="Style1"/>
    <w:basedOn w:val="Normal"/>
    <w:qFormat/>
    <w:rsid w:val="0074398D"/>
    <w:pPr>
      <w:pBdr>
        <w:top w:val="single" w:sz="18" w:space="1" w:color="auto"/>
        <w:left w:val="single" w:sz="18" w:space="4" w:color="auto"/>
        <w:bottom w:val="single" w:sz="18" w:space="1" w:color="auto"/>
        <w:right w:val="single" w:sz="18" w:space="4" w:color="auto"/>
      </w:pBdr>
      <w:shd w:val="clear" w:color="auto" w:fill="F2F2F2" w:themeFill="background1" w:themeFillShade="F2"/>
    </w:pPr>
    <w:rPr>
      <w:b/>
      <w:lang w:val="en-AU"/>
    </w:rPr>
  </w:style>
  <w:style w:type="paragraph" w:customStyle="1" w:styleId="shadedbullets">
    <w:name w:val="shaded bullets"/>
    <w:basedOn w:val="ListParagraph"/>
    <w:qFormat/>
    <w:rsid w:val="00020677"/>
    <w:pPr>
      <w:numPr>
        <w:numId w:val="9"/>
      </w:numPr>
      <w:pBdr>
        <w:top w:val="single" w:sz="18" w:space="1" w:color="auto"/>
        <w:left w:val="single" w:sz="18" w:space="4" w:color="auto"/>
        <w:bottom w:val="single" w:sz="18" w:space="1" w:color="auto"/>
        <w:right w:val="single" w:sz="18" w:space="4" w:color="auto"/>
      </w:pBdr>
      <w:shd w:val="clear" w:color="auto" w:fill="F2F2F2" w:themeFill="background1" w:themeFillShade="F2"/>
      <w:ind w:left="567" w:hanging="567"/>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53533">
      <w:bodyDiv w:val="1"/>
      <w:marLeft w:val="0"/>
      <w:marRight w:val="0"/>
      <w:marTop w:val="0"/>
      <w:marBottom w:val="0"/>
      <w:divBdr>
        <w:top w:val="none" w:sz="0" w:space="0" w:color="auto"/>
        <w:left w:val="none" w:sz="0" w:space="0" w:color="auto"/>
        <w:bottom w:val="none" w:sz="0" w:space="0" w:color="auto"/>
        <w:right w:val="none" w:sz="0" w:space="0" w:color="auto"/>
      </w:divBdr>
    </w:div>
    <w:div w:id="414086828">
      <w:bodyDiv w:val="1"/>
      <w:marLeft w:val="0"/>
      <w:marRight w:val="0"/>
      <w:marTop w:val="0"/>
      <w:marBottom w:val="0"/>
      <w:divBdr>
        <w:top w:val="none" w:sz="0" w:space="0" w:color="auto"/>
        <w:left w:val="none" w:sz="0" w:space="0" w:color="auto"/>
        <w:bottom w:val="none" w:sz="0" w:space="0" w:color="auto"/>
        <w:right w:val="none" w:sz="0" w:space="0" w:color="auto"/>
      </w:divBdr>
    </w:div>
    <w:div w:id="717096832">
      <w:bodyDiv w:val="1"/>
      <w:marLeft w:val="0"/>
      <w:marRight w:val="0"/>
      <w:marTop w:val="0"/>
      <w:marBottom w:val="0"/>
      <w:divBdr>
        <w:top w:val="none" w:sz="0" w:space="0" w:color="auto"/>
        <w:left w:val="none" w:sz="0" w:space="0" w:color="auto"/>
        <w:bottom w:val="none" w:sz="0" w:space="0" w:color="auto"/>
        <w:right w:val="none" w:sz="0" w:space="0" w:color="auto"/>
      </w:divBdr>
    </w:div>
    <w:div w:id="1317031505">
      <w:bodyDiv w:val="1"/>
      <w:marLeft w:val="0"/>
      <w:marRight w:val="0"/>
      <w:marTop w:val="0"/>
      <w:marBottom w:val="0"/>
      <w:divBdr>
        <w:top w:val="none" w:sz="0" w:space="0" w:color="auto"/>
        <w:left w:val="none" w:sz="0" w:space="0" w:color="auto"/>
        <w:bottom w:val="none" w:sz="0" w:space="0" w:color="auto"/>
        <w:right w:val="none" w:sz="0" w:space="0" w:color="auto"/>
      </w:divBdr>
    </w:div>
    <w:div w:id="1996520649">
      <w:bodyDiv w:val="1"/>
      <w:marLeft w:val="0"/>
      <w:marRight w:val="0"/>
      <w:marTop w:val="0"/>
      <w:marBottom w:val="0"/>
      <w:divBdr>
        <w:top w:val="none" w:sz="0" w:space="0" w:color="auto"/>
        <w:left w:val="none" w:sz="0" w:space="0" w:color="auto"/>
        <w:bottom w:val="none" w:sz="0" w:space="0" w:color="auto"/>
        <w:right w:val="none" w:sz="0" w:space="0" w:color="auto"/>
      </w:divBdr>
    </w:div>
    <w:div w:id="20329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12A0DB-824C-42A7-92D0-98924D8D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6744</Words>
  <Characters>44096</Characters>
  <Application>Microsoft Office Word</Application>
  <DocSecurity>0</DocSecurity>
  <Lines>711</Lines>
  <Paragraphs>234</Paragraphs>
  <ScaleCrop>false</ScaleCrop>
  <HeadingPairs>
    <vt:vector size="2" baseType="variant">
      <vt:variant>
        <vt:lpstr>Title</vt:lpstr>
      </vt:variant>
      <vt:variant>
        <vt:i4>1</vt:i4>
      </vt:variant>
    </vt:vector>
  </HeadingPairs>
  <TitlesOfParts>
    <vt:vector size="1" baseType="lpstr">
      <vt:lpstr>National Microbial Genomics Framework 2019–2022</vt:lpstr>
    </vt:vector>
  </TitlesOfParts>
  <Company/>
  <LinksUpToDate>false</LinksUpToDate>
  <CharactersWithSpaces>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Microbial Genomics Framework 2019–2022</dc:title>
  <dc:subject>Genetics and genomics</dc:subject>
  <dc:creator>Australian Government Department of Health</dc:creator>
  <cp:keywords>policy</cp:keywords>
  <cp:lastModifiedBy>MCCAY, Meryl</cp:lastModifiedBy>
  <cp:revision>2</cp:revision>
  <cp:lastPrinted>2019-06-28T03:39:00Z</cp:lastPrinted>
  <dcterms:created xsi:type="dcterms:W3CDTF">2019-06-28T04:04:00Z</dcterms:created>
  <dcterms:modified xsi:type="dcterms:W3CDTF">2022-03-18T06:47:00Z</dcterms:modified>
</cp:coreProperties>
</file>