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7DACB" w14:textId="77777777" w:rsidR="00B64287" w:rsidRDefault="004554DA">
      <w:pPr>
        <w:pStyle w:val="BodyText"/>
        <w:ind w:left="338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9D0CA34" wp14:editId="740CD534">
            <wp:extent cx="1651330" cy="1121664"/>
            <wp:effectExtent l="0" t="0" r="0" b="0"/>
            <wp:docPr id="1" name="image1.jpeg" descr="Logo Australian Government Department of Health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 Australian Government Department of Health&#10;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330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79595" w14:textId="77777777" w:rsidR="00B64287" w:rsidRPr="00554222" w:rsidRDefault="004554DA" w:rsidP="00554222">
      <w:pPr>
        <w:pStyle w:val="Title"/>
      </w:pPr>
      <w:bookmarkStart w:id="0" w:name="Memorandum_of_Understanding_for_the_poli"/>
      <w:bookmarkEnd w:id="0"/>
      <w:r w:rsidRPr="00554222">
        <w:t>Memorandum of Understanding for the policy parameters of the Prostheses List Reforms</w:t>
      </w:r>
    </w:p>
    <w:p w14:paraId="3902CB82" w14:textId="77777777" w:rsidR="004554DA" w:rsidRPr="004554DA" w:rsidRDefault="004554DA" w:rsidP="004554DA">
      <w:pPr>
        <w:pStyle w:val="Subtitle"/>
        <w:spacing w:before="2160"/>
      </w:pPr>
      <w:r w:rsidRPr="004554DA">
        <w:t xml:space="preserve">The Honourable Greg Hunt MP, </w:t>
      </w:r>
      <w:r w:rsidRPr="004554DA">
        <w:rPr>
          <w:rStyle w:val="Strong"/>
          <w:b/>
          <w:bCs w:val="0"/>
        </w:rPr>
        <w:t>Minister</w:t>
      </w:r>
      <w:r w:rsidRPr="004554DA">
        <w:t xml:space="preserve"> for Health and Aged Care of the Commonwealth of Australia</w:t>
      </w:r>
    </w:p>
    <w:p w14:paraId="36693171" w14:textId="3B5B4F6D" w:rsidR="00B64287" w:rsidRPr="004554DA" w:rsidRDefault="004554DA" w:rsidP="004554DA">
      <w:pPr>
        <w:pStyle w:val="Subtitle"/>
        <w:rPr>
          <w:bCs/>
        </w:rPr>
      </w:pPr>
      <w:r w:rsidRPr="004554DA">
        <w:t>and</w:t>
      </w:r>
    </w:p>
    <w:p w14:paraId="4C0D375B" w14:textId="77777777" w:rsidR="00B64287" w:rsidRPr="004554DA" w:rsidRDefault="004554DA" w:rsidP="004554DA">
      <w:pPr>
        <w:pStyle w:val="Subtitle"/>
      </w:pPr>
      <w:r w:rsidRPr="004554DA">
        <w:t>Medical Technology Association of Australia Limited</w:t>
      </w:r>
    </w:p>
    <w:p w14:paraId="32117F9E" w14:textId="77777777" w:rsidR="00B64287" w:rsidRDefault="00B64287">
      <w:pPr>
        <w:sectPr w:rsidR="00B64287">
          <w:type w:val="continuous"/>
          <w:pgSz w:w="11910" w:h="16840"/>
          <w:pgMar w:top="540" w:right="700" w:bottom="280" w:left="1260" w:header="720" w:footer="720" w:gutter="0"/>
          <w:cols w:space="720"/>
        </w:sectPr>
      </w:pPr>
    </w:p>
    <w:p w14:paraId="5BFF1932" w14:textId="759B1EE6" w:rsidR="00B64287" w:rsidRDefault="00B64287">
      <w:pPr>
        <w:pStyle w:val="BodyText"/>
        <w:spacing w:line="20" w:lineRule="exact"/>
        <w:ind w:left="127"/>
        <w:rPr>
          <w:sz w:val="2"/>
        </w:rPr>
      </w:pPr>
    </w:p>
    <w:p w14:paraId="097835D5" w14:textId="3F7B42F8" w:rsidR="00B64287" w:rsidRPr="007D736C" w:rsidRDefault="00B64287" w:rsidP="007D736C">
      <w:bookmarkStart w:id="1" w:name="Contents"/>
      <w:bookmarkEnd w:id="1"/>
    </w:p>
    <w:p w14:paraId="63B5E27A" w14:textId="77777777" w:rsidR="00B64287" w:rsidRDefault="00B64287">
      <w:pPr>
        <w:sectPr w:rsidR="00B64287">
          <w:pgSz w:w="11910" w:h="16840"/>
          <w:pgMar w:top="1580" w:right="700" w:bottom="280" w:left="1260" w:header="720" w:footer="720" w:gutter="0"/>
          <w:cols w:space="720"/>
        </w:sectPr>
      </w:pPr>
    </w:p>
    <w:p w14:paraId="53BE58B2" w14:textId="4022ED27" w:rsidR="00B64287" w:rsidRDefault="004554DA" w:rsidP="007D736C">
      <w:pPr>
        <w:pStyle w:val="Heading1"/>
        <w:numPr>
          <w:ilvl w:val="0"/>
          <w:numId w:val="0"/>
        </w:numPr>
        <w:ind w:left="360" w:hanging="360"/>
      </w:pPr>
      <w:bookmarkStart w:id="2" w:name="Memorandum_of_Understanding"/>
      <w:bookmarkEnd w:id="2"/>
      <w:r>
        <w:lastRenderedPageBreak/>
        <w:t>Memorandum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Understanding</w:t>
      </w:r>
    </w:p>
    <w:p w14:paraId="485D9548" w14:textId="2C90535A" w:rsidR="00B64287" w:rsidRPr="00125845" w:rsidRDefault="004554DA" w:rsidP="00125845">
      <w:pPr>
        <w:tabs>
          <w:tab w:val="left" w:pos="1669"/>
        </w:tabs>
        <w:spacing w:before="479"/>
        <w:rPr>
          <w:b/>
          <w:bCs/>
          <w:sz w:val="28"/>
          <w:szCs w:val="28"/>
        </w:rPr>
      </w:pPr>
      <w:bookmarkStart w:id="3" w:name="Parties"/>
      <w:bookmarkEnd w:id="3"/>
      <w:r w:rsidRPr="00876C0D">
        <w:rPr>
          <w:rStyle w:val="Strong"/>
        </w:rPr>
        <w:t>Dated</w:t>
      </w:r>
      <w:r w:rsidRPr="00125845">
        <w:rPr>
          <w:b/>
          <w:bCs/>
          <w:sz w:val="28"/>
          <w:szCs w:val="28"/>
        </w:rPr>
        <w:tab/>
      </w:r>
      <w:r w:rsidRPr="00876C0D">
        <w:t>14 March 2022</w:t>
      </w:r>
    </w:p>
    <w:p w14:paraId="4934C538" w14:textId="0537E2D8" w:rsidR="00B64287" w:rsidRDefault="004554DA" w:rsidP="00876C0D">
      <w:pPr>
        <w:pStyle w:val="Heading1"/>
        <w:numPr>
          <w:ilvl w:val="0"/>
          <w:numId w:val="0"/>
        </w:numPr>
      </w:pPr>
      <w:r>
        <w:t>Parties</w:t>
      </w:r>
    </w:p>
    <w:p w14:paraId="4C0639A8" w14:textId="22CFFF65" w:rsidR="007D736C" w:rsidRPr="007D736C" w:rsidRDefault="007D736C" w:rsidP="00876C0D">
      <w:pPr>
        <w:ind w:left="1418" w:hanging="1418"/>
        <w:rPr>
          <w:rStyle w:val="Strong"/>
        </w:rPr>
      </w:pPr>
      <w:r w:rsidRPr="00876C0D">
        <w:t>Name</w:t>
      </w:r>
      <w:r>
        <w:rPr>
          <w:sz w:val="18"/>
        </w:rPr>
        <w:tab/>
      </w:r>
      <w:r w:rsidR="00876C0D">
        <w:rPr>
          <w:sz w:val="18"/>
        </w:rPr>
        <w:tab/>
      </w:r>
      <w:proofErr w:type="gramStart"/>
      <w:r w:rsidRPr="007D736C">
        <w:rPr>
          <w:rStyle w:val="Strong"/>
        </w:rPr>
        <w:t>The</w:t>
      </w:r>
      <w:proofErr w:type="gramEnd"/>
      <w:r w:rsidRPr="007D736C">
        <w:rPr>
          <w:rStyle w:val="Strong"/>
        </w:rPr>
        <w:t xml:space="preserve"> Honourable Greg Hunt MP, Minister for Health and Aged Care of the Commonwealth of Australia</w:t>
      </w:r>
    </w:p>
    <w:p w14:paraId="5ADECEE7" w14:textId="786DAFE8" w:rsidR="007D736C" w:rsidRDefault="007D736C" w:rsidP="00876C0D">
      <w:r w:rsidRPr="007D736C">
        <w:t>Short name</w:t>
      </w:r>
      <w:r>
        <w:tab/>
        <w:t>Minister</w:t>
      </w:r>
    </w:p>
    <w:p w14:paraId="230249C6" w14:textId="1009BC7F" w:rsidR="007D736C" w:rsidRPr="007D736C" w:rsidRDefault="007D736C" w:rsidP="007D736C">
      <w:pPr>
        <w:ind w:left="1418" w:hanging="1418"/>
        <w:rPr>
          <w:rStyle w:val="Strong"/>
        </w:rPr>
      </w:pPr>
      <w:r w:rsidRPr="00876C0D">
        <w:t>Name</w:t>
      </w:r>
      <w:r w:rsidRPr="00876C0D">
        <w:tab/>
      </w:r>
      <w:r w:rsidRPr="007D736C">
        <w:rPr>
          <w:rStyle w:val="Strong"/>
        </w:rPr>
        <w:t>Medical Technology Association of Australia Limited</w:t>
      </w:r>
    </w:p>
    <w:p w14:paraId="60910D01" w14:textId="471CE23F" w:rsidR="007D736C" w:rsidRPr="007D736C" w:rsidRDefault="007D736C" w:rsidP="00876C0D">
      <w:r>
        <w:t>Short name</w:t>
      </w:r>
      <w:r>
        <w:tab/>
        <w:t>MTAA</w:t>
      </w:r>
    </w:p>
    <w:p w14:paraId="1DCC8D75" w14:textId="49DCDB78" w:rsidR="00B64287" w:rsidRDefault="004554DA" w:rsidP="007D736C">
      <w:pPr>
        <w:pStyle w:val="Heading1"/>
        <w:numPr>
          <w:ilvl w:val="0"/>
          <w:numId w:val="0"/>
        </w:numPr>
        <w:ind w:left="360" w:hanging="360"/>
      </w:pPr>
      <w:bookmarkStart w:id="4" w:name="Background"/>
      <w:bookmarkEnd w:id="4"/>
      <w:r>
        <w:t>Background</w:t>
      </w:r>
    </w:p>
    <w:p w14:paraId="00B06C24" w14:textId="59B3B17B" w:rsidR="00B64287" w:rsidRPr="007D736C" w:rsidRDefault="004554DA" w:rsidP="007D736C">
      <w:pPr>
        <w:pStyle w:val="ListParagraph"/>
        <w:numPr>
          <w:ilvl w:val="0"/>
          <w:numId w:val="4"/>
        </w:numPr>
        <w:tabs>
          <w:tab w:val="left" w:pos="1006"/>
          <w:tab w:val="left" w:pos="1007"/>
        </w:tabs>
        <w:spacing w:before="1"/>
        <w:rPr>
          <w:i/>
        </w:rPr>
      </w:pPr>
      <w:bookmarkStart w:id="5" w:name="_bookmark0"/>
      <w:bookmarkEnd w:id="5"/>
      <w:r>
        <w:t>On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investment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$22</w:t>
      </w:r>
      <w:r>
        <w:rPr>
          <w:spacing w:val="-2"/>
        </w:rPr>
        <w:t xml:space="preserve"> </w:t>
      </w:r>
      <w:r>
        <w:t>million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was announced</w:t>
      </w:r>
      <w:r>
        <w:rPr>
          <w:spacing w:val="-2"/>
        </w:rPr>
        <w:t xml:space="preserve"> </w:t>
      </w:r>
      <w:r>
        <w:t>as part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i/>
        </w:rPr>
        <w:t>2021-</w:t>
      </w:r>
      <w:r w:rsidRPr="007D736C">
        <w:rPr>
          <w:i/>
        </w:rPr>
        <w:t xml:space="preserve">22 Budget – Modernising and Improving the Private Health Insurance Prostheses List </w:t>
      </w:r>
      <w:r w:rsidRPr="007D736C">
        <w:t>to reduce the</w:t>
      </w:r>
      <w:r w:rsidRPr="007D736C">
        <w:rPr>
          <w:spacing w:val="-53"/>
        </w:rPr>
        <w:t xml:space="preserve"> </w:t>
      </w:r>
      <w:r w:rsidRPr="007D736C">
        <w:t>cost</w:t>
      </w:r>
      <w:r w:rsidRPr="007D736C">
        <w:rPr>
          <w:spacing w:val="4"/>
        </w:rPr>
        <w:t xml:space="preserve"> </w:t>
      </w:r>
      <w:r w:rsidRPr="007D736C">
        <w:t>of medical</w:t>
      </w:r>
      <w:r w:rsidRPr="007D736C">
        <w:rPr>
          <w:spacing w:val="2"/>
        </w:rPr>
        <w:t xml:space="preserve"> </w:t>
      </w:r>
      <w:r w:rsidRPr="007D736C">
        <w:t>devices</w:t>
      </w:r>
      <w:r w:rsidRPr="007D736C">
        <w:rPr>
          <w:spacing w:val="3"/>
        </w:rPr>
        <w:t xml:space="preserve"> </w:t>
      </w:r>
      <w:r w:rsidRPr="007D736C">
        <w:t>used</w:t>
      </w:r>
      <w:r w:rsidRPr="007D736C">
        <w:rPr>
          <w:spacing w:val="2"/>
        </w:rPr>
        <w:t xml:space="preserve"> </w:t>
      </w:r>
      <w:r w:rsidRPr="007D736C">
        <w:t>in</w:t>
      </w:r>
      <w:r w:rsidRPr="007D736C">
        <w:rPr>
          <w:spacing w:val="2"/>
        </w:rPr>
        <w:t xml:space="preserve"> </w:t>
      </w:r>
      <w:r w:rsidRPr="007D736C">
        <w:t>the</w:t>
      </w:r>
      <w:r w:rsidRPr="007D736C">
        <w:rPr>
          <w:spacing w:val="2"/>
        </w:rPr>
        <w:t xml:space="preserve"> </w:t>
      </w:r>
      <w:r w:rsidRPr="007D736C">
        <w:t>private</w:t>
      </w:r>
      <w:r w:rsidRPr="007D736C">
        <w:rPr>
          <w:spacing w:val="-3"/>
        </w:rPr>
        <w:t xml:space="preserve"> </w:t>
      </w:r>
      <w:r w:rsidRPr="007D736C">
        <w:t>health</w:t>
      </w:r>
      <w:r w:rsidRPr="007D736C">
        <w:rPr>
          <w:spacing w:val="2"/>
        </w:rPr>
        <w:t xml:space="preserve"> </w:t>
      </w:r>
      <w:r w:rsidRPr="007D736C">
        <w:t>sector,</w:t>
      </w:r>
      <w:r w:rsidRPr="007D736C">
        <w:rPr>
          <w:spacing w:val="5"/>
        </w:rPr>
        <w:t xml:space="preserve"> </w:t>
      </w:r>
      <w:r w:rsidRPr="007D736C">
        <w:t>improving</w:t>
      </w:r>
      <w:r w:rsidRPr="007D736C">
        <w:rPr>
          <w:spacing w:val="2"/>
        </w:rPr>
        <w:t xml:space="preserve"> </w:t>
      </w:r>
      <w:r w:rsidRPr="007D736C">
        <w:t>affordability</w:t>
      </w:r>
      <w:r w:rsidRPr="007D736C">
        <w:rPr>
          <w:spacing w:val="2"/>
        </w:rPr>
        <w:t xml:space="preserve"> </w:t>
      </w:r>
      <w:r w:rsidRPr="007D736C">
        <w:t>and</w:t>
      </w:r>
      <w:r w:rsidRPr="007D736C">
        <w:rPr>
          <w:spacing w:val="2"/>
        </w:rPr>
        <w:t xml:space="preserve"> </w:t>
      </w:r>
      <w:r w:rsidRPr="007D736C">
        <w:t>value</w:t>
      </w:r>
      <w:r w:rsidRPr="007D736C">
        <w:rPr>
          <w:spacing w:val="2"/>
        </w:rPr>
        <w:t xml:space="preserve"> </w:t>
      </w:r>
      <w:r w:rsidRPr="007D736C">
        <w:t>of</w:t>
      </w:r>
      <w:r w:rsidRPr="007D736C">
        <w:rPr>
          <w:spacing w:val="1"/>
        </w:rPr>
        <w:t xml:space="preserve"> </w:t>
      </w:r>
      <w:r w:rsidRPr="007D736C">
        <w:t>private</w:t>
      </w:r>
      <w:r w:rsidRPr="007D736C">
        <w:rPr>
          <w:spacing w:val="-1"/>
        </w:rPr>
        <w:t xml:space="preserve"> </w:t>
      </w:r>
      <w:r w:rsidRPr="007D736C">
        <w:t>health insurance for</w:t>
      </w:r>
      <w:r w:rsidRPr="007D736C">
        <w:rPr>
          <w:spacing w:val="1"/>
        </w:rPr>
        <w:t xml:space="preserve"> </w:t>
      </w:r>
      <w:r w:rsidRPr="007D736C">
        <w:t>Australians</w:t>
      </w:r>
      <w:r w:rsidRPr="007D736C">
        <w:rPr>
          <w:spacing w:val="3"/>
        </w:rPr>
        <w:t xml:space="preserve"> </w:t>
      </w:r>
      <w:r w:rsidRPr="007D736C">
        <w:t>(</w:t>
      </w:r>
      <w:r w:rsidRPr="007D736C">
        <w:rPr>
          <w:b/>
        </w:rPr>
        <w:t>Measure</w:t>
      </w:r>
      <w:r w:rsidRPr="007D736C">
        <w:t>).</w:t>
      </w:r>
    </w:p>
    <w:p w14:paraId="7FD8CDFF" w14:textId="77777777" w:rsidR="00B64287" w:rsidRDefault="004554DA">
      <w:pPr>
        <w:pStyle w:val="ListParagraph"/>
        <w:numPr>
          <w:ilvl w:val="0"/>
          <w:numId w:val="4"/>
        </w:numPr>
        <w:tabs>
          <w:tab w:val="left" w:pos="1006"/>
          <w:tab w:val="left" w:pos="1007"/>
        </w:tabs>
        <w:ind w:right="164"/>
      </w:pPr>
      <w:r>
        <w:t>The Measure</w:t>
      </w:r>
      <w:r>
        <w:rPr>
          <w:spacing w:val="1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modernise</w:t>
      </w:r>
      <w:r>
        <w:rPr>
          <w:spacing w:val="1"/>
        </w:rPr>
        <w:t xml:space="preserve"> </w:t>
      </w:r>
      <w:r>
        <w:t>and improve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Prostheses</w:t>
      </w:r>
      <w:r>
        <w:rPr>
          <w:spacing w:val="1"/>
        </w:rPr>
        <w:t xml:space="preserve"> </w:t>
      </w:r>
      <w:r>
        <w:t>List,</w:t>
      </w:r>
      <w:r>
        <w:rPr>
          <w:spacing w:val="4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aligning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level of</w:t>
      </w:r>
      <w:r>
        <w:rPr>
          <w:spacing w:val="1"/>
        </w:rPr>
        <w:t xml:space="preserve"> </w:t>
      </w:r>
      <w:r>
        <w:t>benefit set for medical devices on the Prostheses List for private providers with the prices paid for</w:t>
      </w:r>
      <w:r>
        <w:rPr>
          <w:spacing w:val="1"/>
        </w:rPr>
        <w:t xml:space="preserve"> </w:t>
      </w:r>
      <w:r>
        <w:t>the devices in the public hospital system.</w:t>
      </w:r>
      <w:r>
        <w:rPr>
          <w:spacing w:val="1"/>
        </w:rPr>
        <w:t xml:space="preserve"> </w:t>
      </w:r>
      <w:r>
        <w:t>The Measure includes initiatives to realise savings for</w:t>
      </w:r>
      <w:r>
        <w:rPr>
          <w:spacing w:val="1"/>
        </w:rPr>
        <w:t xml:space="preserve"> </w:t>
      </w:r>
      <w:r>
        <w:t>insurers, and ultimately consumers, as well as structural reforms to better focus the Prostheses List</w:t>
      </w:r>
      <w:r>
        <w:rPr>
          <w:spacing w:val="-53"/>
        </w:rPr>
        <w:t xml:space="preserve"> </w:t>
      </w:r>
      <w:r>
        <w:t>for the</w:t>
      </w:r>
      <w:r>
        <w:rPr>
          <w:spacing w:val="-5"/>
        </w:rPr>
        <w:t xml:space="preserve"> </w:t>
      </w:r>
      <w:r>
        <w:t>future on high cost</w:t>
      </w:r>
      <w:r>
        <w:rPr>
          <w:spacing w:val="2"/>
        </w:rPr>
        <w:t xml:space="preserve"> </w:t>
      </w:r>
      <w:r>
        <w:t>and innovative medical devices.</w:t>
      </w:r>
    </w:p>
    <w:p w14:paraId="7823068F" w14:textId="77777777" w:rsidR="00B64287" w:rsidRDefault="004554DA">
      <w:pPr>
        <w:pStyle w:val="ListParagraph"/>
        <w:numPr>
          <w:ilvl w:val="0"/>
          <w:numId w:val="4"/>
        </w:numPr>
        <w:tabs>
          <w:tab w:val="left" w:pos="1006"/>
          <w:tab w:val="left" w:pos="1007"/>
        </w:tabs>
        <w:ind w:right="225"/>
      </w:pPr>
      <w:r>
        <w:t>The parties have a shared commitment to adopt, to the greatest extent possible, the revised</w:t>
      </w:r>
      <w:r>
        <w:rPr>
          <w:spacing w:val="1"/>
        </w:rPr>
        <w:t xml:space="preserve"> </w:t>
      </w:r>
      <w:r>
        <w:t>implementation approach for the Prostheses List reforms set out in this MoU and to further discuss</w:t>
      </w:r>
      <w:r>
        <w:rPr>
          <w:spacing w:val="-5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good faith specific</w:t>
      </w:r>
      <w:r>
        <w:rPr>
          <w:spacing w:val="1"/>
        </w:rPr>
        <w:t xml:space="preserve"> </w:t>
      </w:r>
      <w:r>
        <w:t>matters,</w:t>
      </w:r>
      <w:r>
        <w:rPr>
          <w:spacing w:val="-2"/>
        </w:rPr>
        <w:t xml:space="preserve"> </w:t>
      </w:r>
      <w:r>
        <w:t>including:</w:t>
      </w:r>
    </w:p>
    <w:p w14:paraId="39721189" w14:textId="77777777" w:rsidR="00B64287" w:rsidRDefault="004554DA">
      <w:pPr>
        <w:pStyle w:val="ListParagraph"/>
        <w:numPr>
          <w:ilvl w:val="1"/>
          <w:numId w:val="4"/>
        </w:numPr>
        <w:tabs>
          <w:tab w:val="left" w:pos="1856"/>
          <w:tab w:val="left" w:pos="1857"/>
        </w:tabs>
        <w:ind w:right="693"/>
      </w:pPr>
      <w:r>
        <w:t>the Department's policy, set out in section 2.3.2, not to list comparable General Use</w:t>
      </w:r>
      <w:r>
        <w:rPr>
          <w:spacing w:val="-53"/>
        </w:rPr>
        <w:t xml:space="preserve"> </w:t>
      </w:r>
      <w:r>
        <w:t>Items;</w:t>
      </w:r>
      <w:r>
        <w:rPr>
          <w:spacing w:val="2"/>
        </w:rPr>
        <w:t xml:space="preserve"> </w:t>
      </w:r>
      <w:r>
        <w:t>and</w:t>
      </w:r>
    </w:p>
    <w:p w14:paraId="6C1FB8D2" w14:textId="77777777" w:rsidR="00B64287" w:rsidRDefault="004554DA">
      <w:pPr>
        <w:pStyle w:val="ListParagraph"/>
        <w:numPr>
          <w:ilvl w:val="1"/>
          <w:numId w:val="4"/>
        </w:numPr>
        <w:tabs>
          <w:tab w:val="left" w:pos="1856"/>
          <w:tab w:val="left" w:pos="1857"/>
        </w:tabs>
        <w:ind w:hanging="851"/>
      </w:pPr>
      <w:proofErr w:type="gramStart"/>
      <w:r>
        <w:t>the</w:t>
      </w:r>
      <w:r>
        <w:rPr>
          <w:spacing w:val="-2"/>
        </w:rPr>
        <w:t xml:space="preserve"> </w:t>
      </w:r>
      <w:r>
        <w:t>Department's proposal,</w:t>
      </w:r>
      <w:proofErr w:type="gramEnd"/>
      <w:r>
        <w:rPr>
          <w:spacing w:val="-4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2.7.2,</w:t>
      </w:r>
      <w:r>
        <w:rPr>
          <w:spacing w:val="-3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pricing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prostheses.</w:t>
      </w:r>
    </w:p>
    <w:p w14:paraId="2C667D0E" w14:textId="77777777" w:rsidR="00B64287" w:rsidRDefault="004554DA">
      <w:pPr>
        <w:pStyle w:val="ListParagraph"/>
        <w:numPr>
          <w:ilvl w:val="0"/>
          <w:numId w:val="4"/>
        </w:numPr>
        <w:tabs>
          <w:tab w:val="left" w:pos="1006"/>
          <w:tab w:val="left" w:pos="1007"/>
        </w:tabs>
        <w:spacing w:before="1"/>
        <w:ind w:right="349"/>
      </w:pPr>
      <w:r>
        <w:t>The changes to the multi-year reforms are anticipated to deliver total savings of around $800-900</w:t>
      </w:r>
      <w:r>
        <w:rPr>
          <w:spacing w:val="-53"/>
        </w:rPr>
        <w:t xml:space="preserve"> </w:t>
      </w:r>
      <w:r>
        <w:t>million,</w:t>
      </w:r>
      <w:r>
        <w:rPr>
          <w:spacing w:val="2"/>
        </w:rPr>
        <w:t xml:space="preserve"> </w:t>
      </w:r>
      <w:r>
        <w:t>recognising</w:t>
      </w:r>
      <w:r>
        <w:rPr>
          <w:spacing w:val="-1"/>
        </w:rPr>
        <w:t xml:space="preserve"> </w:t>
      </w:r>
      <w:r>
        <w:t>a lesser amount</w:t>
      </w:r>
      <w:r>
        <w:rPr>
          <w:spacing w:val="2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3"/>
        </w:rPr>
        <w:t xml:space="preserve"> </w:t>
      </w:r>
      <w:r>
        <w:t>year.</w:t>
      </w:r>
    </w:p>
    <w:p w14:paraId="72D85434" w14:textId="77777777" w:rsidR="00B64287" w:rsidRDefault="00B64287">
      <w:pPr>
        <w:sectPr w:rsidR="00B64287">
          <w:pgSz w:w="11910" w:h="16840"/>
          <w:pgMar w:top="1580" w:right="700" w:bottom="280" w:left="1260" w:header="720" w:footer="720" w:gutter="0"/>
          <w:cols w:space="720"/>
        </w:sectPr>
      </w:pPr>
    </w:p>
    <w:p w14:paraId="1611184C" w14:textId="3732A833" w:rsidR="00B64287" w:rsidRDefault="00B64287">
      <w:pPr>
        <w:pStyle w:val="BodyText"/>
        <w:spacing w:line="20" w:lineRule="exact"/>
        <w:ind w:left="127"/>
        <w:rPr>
          <w:sz w:val="2"/>
        </w:rPr>
      </w:pPr>
    </w:p>
    <w:p w14:paraId="28DDCA4B" w14:textId="77777777" w:rsidR="00B64287" w:rsidRDefault="004554DA" w:rsidP="00E824D5">
      <w:pPr>
        <w:pStyle w:val="Heading1"/>
      </w:pPr>
      <w:bookmarkStart w:id="6" w:name="1._Definitions_"/>
      <w:bookmarkStart w:id="7" w:name="_bookmark1"/>
      <w:bookmarkEnd w:id="6"/>
      <w:bookmarkEnd w:id="7"/>
      <w:r>
        <w:t>Definitions</w:t>
      </w:r>
    </w:p>
    <w:p w14:paraId="0BAEEA26" w14:textId="77777777" w:rsidR="00B64287" w:rsidRDefault="004554DA">
      <w:pPr>
        <w:pStyle w:val="BodyText"/>
        <w:spacing w:before="95"/>
        <w:ind w:left="1006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MoU,</w:t>
      </w:r>
      <w:r>
        <w:rPr>
          <w:spacing w:val="2"/>
        </w:rPr>
        <w:t xml:space="preserve"> </w:t>
      </w:r>
      <w:r>
        <w:t>unless expressed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implied 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contrary:</w:t>
      </w:r>
    </w:p>
    <w:p w14:paraId="1146620C" w14:textId="77777777" w:rsidR="00B64287" w:rsidRDefault="004554DA">
      <w:pPr>
        <w:pStyle w:val="BodyText"/>
        <w:ind w:left="1006"/>
      </w:pPr>
      <w:r w:rsidRPr="00E824D5">
        <w:rPr>
          <w:rStyle w:val="Strong"/>
        </w:rPr>
        <w:t>CIEDs</w:t>
      </w:r>
      <w:r>
        <w:rPr>
          <w:b/>
          <w:spacing w:val="-3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Cardiac</w:t>
      </w:r>
      <w:r>
        <w:rPr>
          <w:spacing w:val="-2"/>
        </w:rPr>
        <w:t xml:space="preserve"> </w:t>
      </w:r>
      <w:r>
        <w:t>Implantable</w:t>
      </w:r>
      <w:r>
        <w:rPr>
          <w:spacing w:val="-3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Devices.</w:t>
      </w:r>
    </w:p>
    <w:p w14:paraId="3AFC1782" w14:textId="77777777" w:rsidR="00B64287" w:rsidRDefault="004554DA">
      <w:pPr>
        <w:pStyle w:val="BodyText"/>
        <w:ind w:left="1006"/>
      </w:pPr>
      <w:r w:rsidRPr="00E824D5">
        <w:rPr>
          <w:rStyle w:val="Strong"/>
        </w:rPr>
        <w:t>Department</w:t>
      </w:r>
      <w:r>
        <w:rPr>
          <w:b/>
          <w:spacing w:val="-1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Australian</w:t>
      </w:r>
      <w:r>
        <w:rPr>
          <w:spacing w:val="-3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Department of Health.</w:t>
      </w:r>
    </w:p>
    <w:p w14:paraId="59B11E33" w14:textId="77777777" w:rsidR="00B64287" w:rsidRDefault="004554DA">
      <w:pPr>
        <w:pStyle w:val="BodyText"/>
        <w:ind w:left="1006" w:right="842"/>
      </w:pPr>
      <w:r w:rsidRPr="00E824D5">
        <w:rPr>
          <w:rStyle w:val="Strong"/>
        </w:rPr>
        <w:t>General Use Items</w:t>
      </w:r>
      <w:r>
        <w:rPr>
          <w:b/>
        </w:rPr>
        <w:t xml:space="preserve"> </w:t>
      </w:r>
      <w:r>
        <w:t>means the items that the Clinical Implementation Reference Group has</w:t>
      </w:r>
      <w:r>
        <w:rPr>
          <w:spacing w:val="-53"/>
        </w:rPr>
        <w:t xml:space="preserve"> </w:t>
      </w:r>
      <w:r>
        <w:t>endorsed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removal from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Prostheses</w:t>
      </w:r>
      <w:r>
        <w:rPr>
          <w:spacing w:val="1"/>
        </w:rPr>
        <w:t xml:space="preserve"> </w:t>
      </w:r>
      <w:r>
        <w:t>List.</w:t>
      </w:r>
    </w:p>
    <w:p w14:paraId="0D6BBC57" w14:textId="77777777" w:rsidR="00B64287" w:rsidRDefault="004554DA">
      <w:pPr>
        <w:pStyle w:val="BodyText"/>
        <w:ind w:left="1006"/>
      </w:pPr>
      <w:r w:rsidRPr="00E824D5">
        <w:rPr>
          <w:rStyle w:val="Strong"/>
        </w:rPr>
        <w:t>Measure</w:t>
      </w:r>
      <w:r>
        <w:rPr>
          <w:b/>
          <w:spacing w:val="-1"/>
        </w:rPr>
        <w:t xml:space="preserve"> </w:t>
      </w:r>
      <w:r>
        <w:t>has the</w:t>
      </w:r>
      <w:r>
        <w:rPr>
          <w:spacing w:val="-1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 xml:space="preserve">in paragraph </w:t>
      </w:r>
      <w:hyperlink w:anchor="_bookmark0" w:history="1">
        <w:r>
          <w:t>A</w:t>
        </w:r>
        <w:r>
          <w:rPr>
            <w:spacing w:val="1"/>
          </w:rPr>
          <w:t xml:space="preserve"> </w:t>
        </w:r>
      </w:hyperlink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Background to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MoU.</w:t>
      </w:r>
    </w:p>
    <w:p w14:paraId="06B187E6" w14:textId="2A4E1BA3" w:rsidR="00B64287" w:rsidRDefault="004554DA" w:rsidP="004554DA">
      <w:pPr>
        <w:pStyle w:val="BodyText"/>
        <w:ind w:left="1006"/>
      </w:pPr>
      <w:r w:rsidRPr="00E824D5">
        <w:rPr>
          <w:rStyle w:val="Strong"/>
        </w:rPr>
        <w:t>MoU</w:t>
      </w:r>
      <w:r>
        <w:rPr>
          <w:b/>
          <w:spacing w:val="-2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this Memorandum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Minister and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MTAA.</w:t>
      </w:r>
    </w:p>
    <w:p w14:paraId="079AB755" w14:textId="461B8F1D" w:rsidR="00B64287" w:rsidRDefault="004554DA" w:rsidP="004554DA">
      <w:pPr>
        <w:pStyle w:val="BodyText"/>
        <w:ind w:left="1006"/>
      </w:pPr>
      <w:r w:rsidRPr="00E824D5">
        <w:rPr>
          <w:rStyle w:val="Strong"/>
        </w:rPr>
        <w:t>MSAC</w:t>
      </w:r>
      <w:r>
        <w:rPr>
          <w:b/>
          <w:spacing w:val="-2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Services Advisory</w:t>
      </w:r>
      <w:r>
        <w:rPr>
          <w:spacing w:val="-5"/>
        </w:rPr>
        <w:t xml:space="preserve"> </w:t>
      </w:r>
      <w:r>
        <w:t>Committee.</w:t>
      </w:r>
    </w:p>
    <w:p w14:paraId="727ECB65" w14:textId="09A62664" w:rsidR="00B64287" w:rsidRPr="00E824D5" w:rsidRDefault="004554DA" w:rsidP="004554DA">
      <w:pPr>
        <w:ind w:left="1006" w:right="208"/>
        <w:rPr>
          <w:rStyle w:val="BodyTextChar"/>
        </w:rPr>
      </w:pPr>
      <w:r w:rsidRPr="00E824D5">
        <w:rPr>
          <w:rStyle w:val="Strong"/>
        </w:rPr>
        <w:t>Prostheses List</w:t>
      </w:r>
      <w:r>
        <w:rPr>
          <w:b/>
        </w:rPr>
        <w:t xml:space="preserve"> </w:t>
      </w:r>
      <w:r w:rsidRPr="00E824D5">
        <w:rPr>
          <w:sz w:val="22"/>
          <w:szCs w:val="20"/>
        </w:rPr>
        <w:t>means the list of medical devices for which private health insurers are required to pay a benefit when a member has the relevant coverage, as provided for under</w:t>
      </w:r>
      <w:r>
        <w:t xml:space="preserve"> the </w:t>
      </w:r>
      <w:r w:rsidRPr="00E824D5">
        <w:rPr>
          <w:rStyle w:val="Emphasis"/>
        </w:rPr>
        <w:t>Private Health Insurance Act 2007</w:t>
      </w:r>
      <w:r>
        <w:t>.</w:t>
      </w:r>
      <w:r>
        <w:rPr>
          <w:spacing w:val="55"/>
        </w:rPr>
        <w:t xml:space="preserve"> </w:t>
      </w:r>
      <w:r w:rsidRPr="00E824D5">
        <w:rPr>
          <w:rStyle w:val="Strong"/>
        </w:rPr>
        <w:t>Prostheses Listings</w:t>
      </w:r>
      <w:r>
        <w:rPr>
          <w:b/>
        </w:rPr>
        <w:t xml:space="preserve"> </w:t>
      </w:r>
      <w:r w:rsidRPr="00E824D5">
        <w:rPr>
          <w:rStyle w:val="BodyTextChar"/>
        </w:rPr>
        <w:t>are medical devices included on the Prostheses List.</w:t>
      </w:r>
    </w:p>
    <w:p w14:paraId="0AD8DC36" w14:textId="01A5FF77" w:rsidR="00B64287" w:rsidRPr="004554DA" w:rsidRDefault="004554DA" w:rsidP="004554DA">
      <w:pPr>
        <w:pStyle w:val="BodyText"/>
        <w:ind w:left="1006" w:right="286"/>
      </w:pPr>
      <w:r w:rsidRPr="00E824D5">
        <w:rPr>
          <w:rStyle w:val="Strong"/>
        </w:rPr>
        <w:t>Weighted Average Price</w:t>
      </w:r>
      <w:r>
        <w:rPr>
          <w:b/>
        </w:rPr>
        <w:t xml:space="preserve"> </w:t>
      </w:r>
      <w:r>
        <w:t>means the relevant benchmark price for prostheses in Australian public</w:t>
      </w:r>
      <w:r>
        <w:rPr>
          <w:spacing w:val="-53"/>
        </w:rPr>
        <w:t xml:space="preserve"> </w:t>
      </w:r>
      <w:r>
        <w:t>hospitals, as determined by the Independent Hospital Pricing Authority in accordance with the</w:t>
      </w:r>
      <w:r>
        <w:rPr>
          <w:spacing w:val="1"/>
        </w:rPr>
        <w:t xml:space="preserve"> </w:t>
      </w:r>
      <w:r>
        <w:t>methodology</w:t>
      </w:r>
      <w:r>
        <w:rPr>
          <w:spacing w:val="1"/>
        </w:rPr>
        <w:t xml:space="preserve"> </w:t>
      </w:r>
      <w:r>
        <w:t>set</w:t>
      </w:r>
      <w:r>
        <w:rPr>
          <w:spacing w:val="3"/>
        </w:rPr>
        <w:t xml:space="preserve"> </w:t>
      </w:r>
      <w:r>
        <w:t>out</w:t>
      </w:r>
      <w:r>
        <w:rPr>
          <w:spacing w:val="4"/>
        </w:rPr>
        <w:t xml:space="preserve"> </w:t>
      </w:r>
      <w:r>
        <w:t>in Schedule 1.</w:t>
      </w:r>
    </w:p>
    <w:p w14:paraId="48CD3846" w14:textId="415EB983" w:rsidR="00B64287" w:rsidRPr="004554DA" w:rsidRDefault="004554DA" w:rsidP="007D736C">
      <w:pPr>
        <w:pStyle w:val="Heading1"/>
      </w:pPr>
      <w:bookmarkStart w:id="8" w:name="2._Prostheses_List_reform_implementation"/>
      <w:bookmarkStart w:id="9" w:name="_bookmark2"/>
      <w:bookmarkEnd w:id="8"/>
      <w:bookmarkEnd w:id="9"/>
      <w:r>
        <w:t>Prostheses</w:t>
      </w:r>
      <w:r>
        <w:rPr>
          <w:spacing w:val="-4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reform</w:t>
      </w:r>
      <w:r>
        <w:rPr>
          <w:spacing w:val="-1"/>
        </w:rPr>
        <w:t xml:space="preserve"> </w:t>
      </w:r>
      <w:r>
        <w:t>implementation</w:t>
      </w:r>
      <w:r>
        <w:rPr>
          <w:spacing w:val="-10"/>
        </w:rPr>
        <w:t xml:space="preserve"> </w:t>
      </w:r>
      <w:r>
        <w:t>elements</w:t>
      </w:r>
    </w:p>
    <w:p w14:paraId="5B11D177" w14:textId="69FF9F31" w:rsidR="00B64287" w:rsidRDefault="004554DA" w:rsidP="00E824D5">
      <w:pPr>
        <w:pStyle w:val="BodyText"/>
        <w:ind w:left="993"/>
      </w:pPr>
      <w:r>
        <w:t>The parties agree to the implementation elements to facilitate the Prostheses List reforms required</w:t>
      </w:r>
      <w:r>
        <w:rPr>
          <w:spacing w:val="-53"/>
        </w:rPr>
        <w:t xml:space="preserve"> </w:t>
      </w:r>
      <w:r>
        <w:t xml:space="preserve">to support the Measure as set out in this section </w:t>
      </w:r>
      <w:hyperlink w:anchor="_bookmark2" w:history="1">
        <w:r>
          <w:t xml:space="preserve">2 </w:t>
        </w:r>
      </w:hyperlink>
      <w:r>
        <w:t>and, further, to discuss in good faith the</w:t>
      </w:r>
      <w:r>
        <w:rPr>
          <w:spacing w:val="1"/>
        </w:rPr>
        <w:t xml:space="preserve"> </w:t>
      </w:r>
      <w:r>
        <w:t>Department's policy in section 2.3.2 (not to list comparable General Use Items) and the pricing</w:t>
      </w:r>
      <w:r>
        <w:rPr>
          <w:spacing w:val="1"/>
        </w:rPr>
        <w:t xml:space="preserve"> </w:t>
      </w:r>
      <w:r w:rsidRPr="00E824D5">
        <w:t>proposal</w:t>
      </w:r>
      <w:r>
        <w:rPr>
          <w:spacing w:val="-1"/>
        </w:rPr>
        <w:t xml:space="preserve"> </w:t>
      </w:r>
      <w:r>
        <w:t>in section 2.7.2.</w:t>
      </w:r>
    </w:p>
    <w:p w14:paraId="1AACEDE3" w14:textId="3088831B" w:rsidR="00B64287" w:rsidRPr="004554DA" w:rsidRDefault="004554DA" w:rsidP="00E824D5">
      <w:pPr>
        <w:pStyle w:val="Heading2"/>
      </w:pPr>
      <w:bookmarkStart w:id="10" w:name="2.1_Schedule_of_price_reductions_"/>
      <w:bookmarkStart w:id="11" w:name="_bookmark3"/>
      <w:bookmarkEnd w:id="10"/>
      <w:bookmarkEnd w:id="11"/>
      <w:r>
        <w:t>Schedule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reductions</w:t>
      </w:r>
    </w:p>
    <w:p w14:paraId="5A62FB9A" w14:textId="0F235163" w:rsidR="00B64287" w:rsidRPr="004554DA" w:rsidRDefault="004554DA" w:rsidP="00E824D5">
      <w:pPr>
        <w:pStyle w:val="Heading3"/>
      </w:pPr>
      <w:bookmarkStart w:id="12" w:name="2.1.1_Prostheses_Listings_are_to_have_th"/>
      <w:bookmarkStart w:id="13" w:name="_bookmark4"/>
      <w:bookmarkEnd w:id="12"/>
      <w:bookmarkEnd w:id="13"/>
      <w:r>
        <w:t>Prostheses Listings are to have their benefit levels referenced to the respective public</w:t>
      </w:r>
      <w:r>
        <w:rPr>
          <w:spacing w:val="-53"/>
        </w:rPr>
        <w:t xml:space="preserve"> </w:t>
      </w:r>
      <w:r>
        <w:t>prices from</w:t>
      </w:r>
      <w:r>
        <w:rPr>
          <w:spacing w:val="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July</w:t>
      </w:r>
      <w:r>
        <w:rPr>
          <w:spacing w:val="1"/>
        </w:rPr>
        <w:t xml:space="preserve"> </w:t>
      </w:r>
      <w:r>
        <w:t>2022 until 30 June</w:t>
      </w:r>
      <w:r>
        <w:rPr>
          <w:spacing w:val="-1"/>
        </w:rPr>
        <w:t xml:space="preserve"> </w:t>
      </w:r>
      <w:r>
        <w:t>2026.</w:t>
      </w:r>
      <w:r>
        <w:rPr>
          <w:spacing w:val="55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approach:</w:t>
      </w:r>
    </w:p>
    <w:p w14:paraId="1C551DBA" w14:textId="58448354" w:rsidR="00B64287" w:rsidRPr="004554DA" w:rsidRDefault="004554DA" w:rsidP="00E824D5">
      <w:pPr>
        <w:pStyle w:val="Heading4"/>
      </w:pPr>
      <w:bookmarkStart w:id="14" w:name="(a)_Prostheses_List_benefits_for_devices"/>
      <w:bookmarkEnd w:id="14"/>
      <w:r w:rsidRPr="00E824D5">
        <w:t>Prostheses</w:t>
      </w:r>
      <w:r>
        <w:t xml:space="preserve"> List benefits for devices with a small gap between the Prostheses List</w:t>
      </w:r>
      <w:r>
        <w:rPr>
          <w:spacing w:val="-53"/>
        </w:rPr>
        <w:t xml:space="preserve"> </w:t>
      </w:r>
      <w:r>
        <w:t>benefit and Weighted Average Price, judged to be less than 7 percent above the</w:t>
      </w:r>
      <w:r>
        <w:rPr>
          <w:spacing w:val="1"/>
        </w:rPr>
        <w:t xml:space="preserve"> </w:t>
      </w:r>
      <w:r>
        <w:t>Weighted</w:t>
      </w:r>
      <w:r>
        <w:rPr>
          <w:spacing w:val="-1"/>
        </w:rPr>
        <w:t xml:space="preserve"> </w:t>
      </w:r>
      <w:r>
        <w:t>Average Price,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be reduced;</w:t>
      </w:r>
      <w:r>
        <w:rPr>
          <w:spacing w:val="3"/>
        </w:rPr>
        <w:t xml:space="preserve"> </w:t>
      </w:r>
      <w:r>
        <w:t>and</w:t>
      </w:r>
    </w:p>
    <w:p w14:paraId="75E4F2D7" w14:textId="6316A198" w:rsidR="00B64287" w:rsidRPr="004554DA" w:rsidRDefault="004554DA" w:rsidP="00E824D5">
      <w:pPr>
        <w:pStyle w:val="Heading4"/>
      </w:pPr>
      <w:bookmarkStart w:id="15" w:name="(b)_Prostheses_List_benefits_for_devices"/>
      <w:bookmarkEnd w:id="15"/>
      <w:r>
        <w:t>Prostheses List benefits for devices with a gap of more than 7 percent above the</w:t>
      </w:r>
      <w:r>
        <w:rPr>
          <w:spacing w:val="-53"/>
        </w:rPr>
        <w:t xml:space="preserve"> </w:t>
      </w:r>
      <w:r>
        <w:t>Prostheses</w:t>
      </w:r>
      <w:r>
        <w:rPr>
          <w:spacing w:val="-1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Weighted</w:t>
      </w:r>
      <w:r>
        <w:rPr>
          <w:spacing w:val="-2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below</w:t>
      </w:r>
      <w:r w:rsidR="00E824D5">
        <w:t xml:space="preserve"> </w:t>
      </w:r>
      <w:r>
        <w:t>7 percent above the Weighted Average Price. The 7 percent floor for all products is</w:t>
      </w:r>
      <w:r w:rsidRPr="00E824D5">
        <w:rPr>
          <w:spacing w:val="-53"/>
        </w:rPr>
        <w:t xml:space="preserve"> </w:t>
      </w:r>
      <w:r>
        <w:t xml:space="preserve">to remain for the period of the reforms specified in this section </w:t>
      </w:r>
      <w:hyperlink w:anchor="_bookmark4" w:history="1">
        <w:r>
          <w:t xml:space="preserve">2.1.1 </w:t>
        </w:r>
      </w:hyperlink>
      <w:r>
        <w:t>and not to be</w:t>
      </w:r>
      <w:r w:rsidRPr="00E824D5">
        <w:rPr>
          <w:spacing w:val="1"/>
        </w:rPr>
        <w:t xml:space="preserve"> </w:t>
      </w:r>
      <w:r>
        <w:t>contingent</w:t>
      </w:r>
      <w:r w:rsidRPr="00E824D5">
        <w:rPr>
          <w:spacing w:val="2"/>
        </w:rPr>
        <w:t xml:space="preserve"> </w:t>
      </w:r>
      <w:r>
        <w:t>on any</w:t>
      </w:r>
      <w:r w:rsidRPr="00E824D5">
        <w:rPr>
          <w:spacing w:val="1"/>
        </w:rPr>
        <w:t xml:space="preserve"> </w:t>
      </w:r>
      <w:r>
        <w:t>review.</w:t>
      </w:r>
    </w:p>
    <w:p w14:paraId="55E326CA" w14:textId="38392548" w:rsidR="00B64287" w:rsidRPr="004554DA" w:rsidRDefault="004554DA" w:rsidP="00E824D5">
      <w:pPr>
        <w:pStyle w:val="Heading3"/>
      </w:pPr>
      <w:bookmarkStart w:id="16" w:name="2.1.2_The_Prostheses_List_benefits_for_d"/>
      <w:bookmarkEnd w:id="16"/>
      <w:r>
        <w:t>The Prostheses List benefits for devices with a benefit level of more than 7 percent above</w:t>
      </w:r>
      <w:r>
        <w:rPr>
          <w:spacing w:val="-5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Weighted Average Price are to</w:t>
      </w:r>
      <w:r>
        <w:rPr>
          <w:spacing w:val="-5"/>
        </w:rPr>
        <w:t xml:space="preserve"> </w:t>
      </w:r>
      <w:r>
        <w:t>be reduced by:</w:t>
      </w:r>
    </w:p>
    <w:p w14:paraId="5C2AFC1A" w14:textId="2614A089" w:rsidR="00B64287" w:rsidRPr="004554DA" w:rsidRDefault="004554DA" w:rsidP="00E824D5">
      <w:pPr>
        <w:pStyle w:val="Heading4"/>
      </w:pPr>
      <w:bookmarkStart w:id="17" w:name="(a)_40_percent_of_the_difference_between"/>
      <w:bookmarkEnd w:id="17"/>
      <w:r>
        <w:t>40 percent of the difference between the Prostheses List benefit and the Weighted</w:t>
      </w:r>
      <w:r>
        <w:rPr>
          <w:spacing w:val="-53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Price on 1 July</w:t>
      </w:r>
      <w:r>
        <w:rPr>
          <w:spacing w:val="1"/>
        </w:rPr>
        <w:t xml:space="preserve"> </w:t>
      </w:r>
      <w:proofErr w:type="gramStart"/>
      <w:r>
        <w:t>2022;</w:t>
      </w:r>
      <w:proofErr w:type="gramEnd"/>
    </w:p>
    <w:p w14:paraId="7816614F" w14:textId="77777777" w:rsidR="00B64287" w:rsidRDefault="004554DA" w:rsidP="00E824D5">
      <w:pPr>
        <w:pStyle w:val="Heading4"/>
      </w:pPr>
      <w:bookmarkStart w:id="18" w:name="(b)_20_percent_of_the_difference_between"/>
      <w:bookmarkEnd w:id="18"/>
      <w:r>
        <w:t>20 percent of the difference between the Prostheses List benefit and the Weighted</w:t>
      </w:r>
      <w:r>
        <w:rPr>
          <w:spacing w:val="-53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on 1 July</w:t>
      </w:r>
      <w:r>
        <w:rPr>
          <w:spacing w:val="1"/>
        </w:rPr>
        <w:t xml:space="preserve"> </w:t>
      </w:r>
      <w:r>
        <w:t>2023;</w:t>
      </w:r>
      <w:r>
        <w:rPr>
          <w:spacing w:val="-2"/>
        </w:rPr>
        <w:t xml:space="preserve"> </w:t>
      </w:r>
      <w:r>
        <w:t>and</w:t>
      </w:r>
    </w:p>
    <w:p w14:paraId="5C3CD7A3" w14:textId="63DCF931" w:rsidR="00B64287" w:rsidRPr="004554DA" w:rsidRDefault="004554DA" w:rsidP="00E824D5">
      <w:pPr>
        <w:pStyle w:val="Heading4"/>
      </w:pPr>
      <w:bookmarkStart w:id="19" w:name="(c)_20_percent_of_the_difference_between"/>
      <w:bookmarkEnd w:id="19"/>
      <w:r>
        <w:t>20 percent of the difference between the Prostheses List benefit and the Weighted</w:t>
      </w:r>
      <w:r>
        <w:rPr>
          <w:spacing w:val="-53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on 1 July</w:t>
      </w:r>
      <w:r>
        <w:rPr>
          <w:spacing w:val="1"/>
        </w:rPr>
        <w:t xml:space="preserve"> </w:t>
      </w:r>
      <w:r>
        <w:t>2024,</w:t>
      </w:r>
    </w:p>
    <w:p w14:paraId="43581A15" w14:textId="2F50B2A1" w:rsidR="00B64287" w:rsidRDefault="004554DA" w:rsidP="004554DA">
      <w:pPr>
        <w:pStyle w:val="BodyText"/>
        <w:ind w:left="1856"/>
      </w:pPr>
      <w:r>
        <w:t>taking</w:t>
      </w:r>
      <w:r>
        <w:rPr>
          <w:spacing w:val="-2"/>
        </w:rPr>
        <w:t xml:space="preserve"> </w:t>
      </w:r>
      <w:r>
        <w:t>account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“floor”</w:t>
      </w:r>
      <w:r>
        <w:rPr>
          <w:spacing w:val="-4"/>
        </w:rPr>
        <w:t xml:space="preserve"> </w:t>
      </w:r>
      <w:r>
        <w:t>for all</w:t>
      </w:r>
      <w:r>
        <w:rPr>
          <w:spacing w:val="-1"/>
        </w:rPr>
        <w:t xml:space="preserve"> </w:t>
      </w:r>
      <w:r>
        <w:t>products.</w:t>
      </w:r>
    </w:p>
    <w:p w14:paraId="1E8078CA" w14:textId="0244A6FA" w:rsidR="00B64287" w:rsidRPr="004554DA" w:rsidRDefault="004554DA" w:rsidP="00E824D5">
      <w:pPr>
        <w:pStyle w:val="Heading3"/>
      </w:pPr>
      <w:bookmarkStart w:id="20" w:name="2.1.3_This_element_set_out_in_section_2."/>
      <w:bookmarkEnd w:id="20"/>
      <w:r>
        <w:t>This element set out in section 2.1 is conditional on implementing the reform elements</w:t>
      </w:r>
      <w:r>
        <w:rPr>
          <w:spacing w:val="1"/>
        </w:rPr>
        <w:t xml:space="preserve"> </w:t>
      </w:r>
      <w:r>
        <w:t xml:space="preserve">specified in sections </w:t>
      </w:r>
      <w:hyperlink w:anchor="_bookmark2" w:history="1">
        <w:r>
          <w:t>2</w:t>
        </w:r>
      </w:hyperlink>
      <w:r>
        <w:t>.2, 2.3.1, 2.3.3, 2.4, 2.5 and 2.6, and noting that the parties will hold</w:t>
      </w:r>
      <w:r>
        <w:rPr>
          <w:spacing w:val="-53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faith</w:t>
      </w:r>
      <w:r>
        <w:rPr>
          <w:spacing w:val="-1"/>
        </w:rPr>
        <w:t xml:space="preserve"> </w:t>
      </w:r>
      <w:r>
        <w:t>discussions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sections</w:t>
      </w:r>
      <w:r>
        <w:rPr>
          <w:spacing w:val="1"/>
        </w:rPr>
        <w:t xml:space="preserve"> </w:t>
      </w:r>
      <w:r>
        <w:t>2.3.2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2.7.2.</w:t>
      </w:r>
    </w:p>
    <w:p w14:paraId="30044318" w14:textId="7E4C084F" w:rsidR="00B64287" w:rsidRPr="004554DA" w:rsidRDefault="004554DA" w:rsidP="00E824D5">
      <w:pPr>
        <w:pStyle w:val="Heading2"/>
        <w:pageBreakBefore/>
        <w:ind w:left="1004"/>
      </w:pPr>
      <w:bookmarkStart w:id="21" w:name="2.2_Fourth_year_price_reductions_"/>
      <w:bookmarkStart w:id="22" w:name="_bookmark5"/>
      <w:bookmarkEnd w:id="21"/>
      <w:bookmarkEnd w:id="22"/>
      <w:r>
        <w:t>Fourth</w:t>
      </w:r>
      <w:r>
        <w:rPr>
          <w:spacing w:val="-3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reductions</w:t>
      </w:r>
    </w:p>
    <w:p w14:paraId="32CC732E" w14:textId="71725580" w:rsidR="00B64287" w:rsidRPr="004554DA" w:rsidRDefault="004554DA" w:rsidP="00E824D5">
      <w:pPr>
        <w:pStyle w:val="Heading3"/>
      </w:pPr>
      <w:bookmarkStart w:id="23" w:name="2.2.1_The_parties_agree_that_no_reductio"/>
      <w:bookmarkStart w:id="24" w:name="_bookmark6"/>
      <w:bookmarkEnd w:id="23"/>
      <w:bookmarkEnd w:id="24"/>
      <w:r>
        <w:t>The parties agree that no reductions to Prostheses List benefits are to occur in year 4 of</w:t>
      </w:r>
      <w:r>
        <w:rPr>
          <w:spacing w:val="-53"/>
        </w:rPr>
        <w:t xml:space="preserve"> </w:t>
      </w:r>
      <w:r>
        <w:t>the reforms, between 1 July 2025 and 30 June 2026, effectively providing a 20 percent</w:t>
      </w:r>
      <w:r>
        <w:rPr>
          <w:spacing w:val="1"/>
        </w:rPr>
        <w:t xml:space="preserve"> </w:t>
      </w:r>
      <w:r>
        <w:t>private adjustment factor on the initial gap between the Weighted Average Price and the</w:t>
      </w:r>
      <w:r>
        <w:rPr>
          <w:spacing w:val="-53"/>
        </w:rPr>
        <w:t xml:space="preserve"> </w:t>
      </w:r>
      <w:r>
        <w:t>Prostheses List</w:t>
      </w:r>
      <w:r>
        <w:rPr>
          <w:spacing w:val="-2"/>
        </w:rPr>
        <w:t xml:space="preserve"> </w:t>
      </w:r>
      <w:r>
        <w:t>benefit.</w:t>
      </w:r>
    </w:p>
    <w:p w14:paraId="7DFB1A65" w14:textId="04BF6956" w:rsidR="00B64287" w:rsidRPr="004554DA" w:rsidRDefault="004554DA" w:rsidP="00E824D5">
      <w:pPr>
        <w:pStyle w:val="Heading3"/>
      </w:pPr>
      <w:bookmarkStart w:id="25" w:name="2.2.2_The_element_in_section_"/>
      <w:bookmarkEnd w:id="25"/>
      <w:r>
        <w:t>The</w:t>
      </w:r>
      <w:r>
        <w:rPr>
          <w:spacing w:val="-2"/>
        </w:rPr>
        <w:t xml:space="preserve"> </w:t>
      </w:r>
      <w:r>
        <w:t>element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section </w:t>
      </w:r>
      <w:hyperlink w:anchor="_bookmark6" w:history="1">
        <w:r>
          <w:t>2.2.1</w:t>
        </w:r>
        <w:r>
          <w:rPr>
            <w:spacing w:val="-1"/>
          </w:rPr>
          <w:t xml:space="preserve"> </w:t>
        </w:r>
      </w:hyperlink>
      <w:r>
        <w:t>above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contingent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review.</w:t>
      </w:r>
    </w:p>
    <w:p w14:paraId="51F57C26" w14:textId="6F9CDB7F" w:rsidR="00B64287" w:rsidRPr="004554DA" w:rsidRDefault="004554DA" w:rsidP="00E824D5">
      <w:pPr>
        <w:pStyle w:val="Heading3"/>
      </w:pPr>
      <w:bookmarkStart w:id="26" w:name="2.2.3_The_element_in_section_2.2.1_does_"/>
      <w:bookmarkEnd w:id="26"/>
      <w:r>
        <w:t>The element in section 2.2.1 does not relate to the CIED category, which is to be deferred</w:t>
      </w:r>
      <w:r>
        <w:rPr>
          <w:spacing w:val="-53"/>
        </w:rPr>
        <w:t xml:space="preserve"> </w:t>
      </w:r>
      <w:r>
        <w:t>by one year as per section 2.4. This category will receive the final benefit reduction of 20</w:t>
      </w:r>
      <w:r>
        <w:rPr>
          <w:spacing w:val="1"/>
        </w:rPr>
        <w:t xml:space="preserve"> </w:t>
      </w:r>
      <w:r>
        <w:t>per cent</w:t>
      </w:r>
      <w:r>
        <w:rPr>
          <w:spacing w:val="3"/>
        </w:rPr>
        <w:t xml:space="preserve"> </w:t>
      </w:r>
      <w:r>
        <w:t>on 1 July</w:t>
      </w:r>
      <w:r>
        <w:rPr>
          <w:spacing w:val="-3"/>
        </w:rPr>
        <w:t xml:space="preserve"> </w:t>
      </w:r>
      <w:r>
        <w:t>2025.</w:t>
      </w:r>
    </w:p>
    <w:p w14:paraId="4A9514B6" w14:textId="36770D97" w:rsidR="00B64287" w:rsidRPr="004554DA" w:rsidRDefault="004554DA" w:rsidP="00E824D5">
      <w:pPr>
        <w:pStyle w:val="Heading2"/>
      </w:pPr>
      <w:bookmarkStart w:id="27" w:name="2.3_General_Use_Items_"/>
      <w:bookmarkStart w:id="28" w:name="_bookmark7"/>
      <w:bookmarkEnd w:id="27"/>
      <w:bookmarkEnd w:id="28"/>
      <w:r>
        <w:t>General</w:t>
      </w:r>
      <w:r>
        <w:rPr>
          <w:spacing w:val="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Items</w:t>
      </w:r>
    </w:p>
    <w:p w14:paraId="7671F3B8" w14:textId="0F9CCF53" w:rsidR="00B64287" w:rsidRPr="004554DA" w:rsidRDefault="004554DA" w:rsidP="00E824D5">
      <w:pPr>
        <w:pStyle w:val="Heading3"/>
      </w:pPr>
      <w:bookmarkStart w:id="29" w:name="2.3.1_General_Use_Items_will_receive_a_r"/>
      <w:bookmarkEnd w:id="29"/>
      <w:r>
        <w:t>General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reduction</w:t>
      </w:r>
      <w:r>
        <w:rPr>
          <w:spacing w:val="-2"/>
        </w:rPr>
        <w:t xml:space="preserve"> </w:t>
      </w:r>
      <w:r>
        <w:t>of:</w:t>
      </w:r>
    </w:p>
    <w:p w14:paraId="2F171EBB" w14:textId="77777777" w:rsidR="00E824D5" w:rsidRDefault="004554DA" w:rsidP="00E824D5">
      <w:pPr>
        <w:pStyle w:val="Heading4"/>
        <w:numPr>
          <w:ilvl w:val="0"/>
          <w:numId w:val="21"/>
        </w:numPr>
      </w:pPr>
      <w:bookmarkStart w:id="30" w:name="(a)_60_percent_of_the_difference_between"/>
      <w:bookmarkEnd w:id="30"/>
      <w:r>
        <w:t>60 percent of the difference between the Weighted Average Price and the</w:t>
      </w:r>
      <w:r w:rsidRPr="00E824D5">
        <w:rPr>
          <w:spacing w:val="1"/>
        </w:rPr>
        <w:t xml:space="preserve"> </w:t>
      </w:r>
      <w:r>
        <w:t>Prostheses List benefit from 1 July 2022 (this includes the eight topical skin</w:t>
      </w:r>
      <w:r w:rsidRPr="00E824D5">
        <w:rPr>
          <w:spacing w:val="1"/>
        </w:rPr>
        <w:t xml:space="preserve"> </w:t>
      </w:r>
      <w:r>
        <w:t>adhesives which</w:t>
      </w:r>
      <w:r w:rsidRPr="00E824D5">
        <w:rPr>
          <w:spacing w:val="-2"/>
        </w:rPr>
        <w:t xml:space="preserve"> </w:t>
      </w:r>
      <w:r>
        <w:t>will</w:t>
      </w:r>
      <w:r w:rsidRPr="00E824D5">
        <w:rPr>
          <w:spacing w:val="-2"/>
        </w:rPr>
        <w:t xml:space="preserve"> </w:t>
      </w:r>
      <w:r>
        <w:t>no</w:t>
      </w:r>
      <w:r w:rsidRPr="00E824D5">
        <w:rPr>
          <w:spacing w:val="-1"/>
        </w:rPr>
        <w:t xml:space="preserve"> </w:t>
      </w:r>
      <w:r>
        <w:t>longer</w:t>
      </w:r>
      <w:r w:rsidRPr="00E824D5">
        <w:rPr>
          <w:spacing w:val="-1"/>
        </w:rPr>
        <w:t xml:space="preserve"> </w:t>
      </w:r>
      <w:r>
        <w:t>take</w:t>
      </w:r>
      <w:r w:rsidRPr="00E824D5">
        <w:rPr>
          <w:spacing w:val="-2"/>
        </w:rPr>
        <w:t xml:space="preserve"> </w:t>
      </w:r>
      <w:r>
        <w:t>a benefit</w:t>
      </w:r>
      <w:r w:rsidRPr="00E824D5">
        <w:rPr>
          <w:spacing w:val="2"/>
        </w:rPr>
        <w:t xml:space="preserve"> </w:t>
      </w:r>
      <w:r>
        <w:t>reduction</w:t>
      </w:r>
      <w:r w:rsidRPr="00E824D5">
        <w:rPr>
          <w:spacing w:val="-2"/>
        </w:rPr>
        <w:t xml:space="preserve"> </w:t>
      </w:r>
      <w:r>
        <w:t>on</w:t>
      </w:r>
      <w:r w:rsidRPr="00E824D5">
        <w:rPr>
          <w:spacing w:val="-1"/>
        </w:rPr>
        <w:t xml:space="preserve"> </w:t>
      </w:r>
      <w:r>
        <w:t>1</w:t>
      </w:r>
      <w:r w:rsidRPr="00E824D5">
        <w:rPr>
          <w:spacing w:val="-2"/>
        </w:rPr>
        <w:t xml:space="preserve"> </w:t>
      </w:r>
      <w:r>
        <w:t>March</w:t>
      </w:r>
      <w:r w:rsidRPr="00E824D5">
        <w:rPr>
          <w:spacing w:val="-2"/>
        </w:rPr>
        <w:t xml:space="preserve"> </w:t>
      </w:r>
      <w:r>
        <w:t>2022);</w:t>
      </w:r>
      <w:r w:rsidRPr="00E824D5">
        <w:rPr>
          <w:spacing w:val="1"/>
        </w:rPr>
        <w:t xml:space="preserve"> </w:t>
      </w:r>
      <w:r>
        <w:t>and</w:t>
      </w:r>
      <w:bookmarkStart w:id="31" w:name="(b)_40_percent_from_1_March_2023,__"/>
      <w:bookmarkEnd w:id="31"/>
    </w:p>
    <w:p w14:paraId="7D68D643" w14:textId="3EE6960C" w:rsidR="00B64287" w:rsidRDefault="004554DA" w:rsidP="00E824D5">
      <w:pPr>
        <w:pStyle w:val="Heading4"/>
        <w:numPr>
          <w:ilvl w:val="0"/>
          <w:numId w:val="21"/>
        </w:numPr>
      </w:pPr>
      <w:r>
        <w:t>40</w:t>
      </w:r>
      <w:r w:rsidRPr="00E824D5">
        <w:rPr>
          <w:spacing w:val="-1"/>
        </w:rPr>
        <w:t xml:space="preserve"> </w:t>
      </w:r>
      <w:r>
        <w:t>percent</w:t>
      </w:r>
      <w:r w:rsidRPr="00E824D5">
        <w:rPr>
          <w:spacing w:val="3"/>
        </w:rPr>
        <w:t xml:space="preserve"> </w:t>
      </w:r>
      <w:r>
        <w:t>from</w:t>
      </w:r>
      <w:r w:rsidRPr="00E824D5">
        <w:rPr>
          <w:spacing w:val="-4"/>
        </w:rPr>
        <w:t xml:space="preserve"> </w:t>
      </w:r>
      <w:r>
        <w:t>1 March</w:t>
      </w:r>
      <w:r w:rsidRPr="00E824D5">
        <w:rPr>
          <w:spacing w:val="-5"/>
        </w:rPr>
        <w:t xml:space="preserve"> </w:t>
      </w:r>
      <w:r>
        <w:t>2023,</w:t>
      </w:r>
    </w:p>
    <w:p w14:paraId="636D23B6" w14:textId="77777777" w:rsidR="00B64287" w:rsidRDefault="004554DA" w:rsidP="00E824D5">
      <w:pPr>
        <w:pStyle w:val="BodyText"/>
        <w:ind w:left="1701" w:right="1214"/>
      </w:pPr>
      <w:r>
        <w:t>before being removed from the Prostheses List on 1 July 2023 when bundling</w:t>
      </w:r>
      <w:r>
        <w:rPr>
          <w:spacing w:val="-53"/>
        </w:rPr>
        <w:t xml:space="preserve"> </w:t>
      </w:r>
      <w:r>
        <w:t>arrangements are intended to be implemented.</w:t>
      </w:r>
    </w:p>
    <w:p w14:paraId="2DE9268C" w14:textId="77777777" w:rsidR="00B64287" w:rsidRDefault="004554DA" w:rsidP="00E824D5">
      <w:pPr>
        <w:pStyle w:val="Heading3"/>
      </w:pPr>
      <w:bookmarkStart w:id="32" w:name="2.3.2_The_parties_note_that_applications"/>
      <w:bookmarkEnd w:id="32"/>
      <w:r>
        <w:t>The parties note that applications for listing of comparable items to the items in</w:t>
      </w:r>
      <w:r>
        <w:rPr>
          <w:spacing w:val="1"/>
        </w:rPr>
        <w:t xml:space="preserve"> </w:t>
      </w:r>
      <w:r>
        <w:t>section 2.3.1 are not being accepted in the interim, recognising that MTAA does not</w:t>
      </w:r>
      <w:r>
        <w:rPr>
          <w:spacing w:val="-53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with that</w:t>
      </w:r>
      <w:r>
        <w:rPr>
          <w:spacing w:val="3"/>
        </w:rPr>
        <w:t xml:space="preserve"> </w:t>
      </w:r>
      <w:r>
        <w:t>policy.</w:t>
      </w:r>
    </w:p>
    <w:p w14:paraId="025A0676" w14:textId="77777777" w:rsidR="00B64287" w:rsidRDefault="004554DA" w:rsidP="00E824D5">
      <w:pPr>
        <w:pStyle w:val="Heading3"/>
      </w:pPr>
      <w:bookmarkStart w:id="33" w:name="2.3.3_Applications_for_listing_of_compar"/>
      <w:bookmarkEnd w:id="33"/>
      <w:r>
        <w:t>Applications for listing of comparable items to the items in 2.3.1 that have been</w:t>
      </w:r>
      <w:r>
        <w:rPr>
          <w:spacing w:val="1"/>
        </w:rPr>
        <w:t xml:space="preserve"> </w:t>
      </w:r>
      <w:r>
        <w:t>considered and deferred by the Prostheses List Advisory Committee (</w:t>
      </w:r>
      <w:r>
        <w:rPr>
          <w:b/>
        </w:rPr>
        <w:t>PLAC</w:t>
      </w:r>
      <w:r>
        <w:t>) will be</w:t>
      </w:r>
      <w:r>
        <w:rPr>
          <w:spacing w:val="1"/>
        </w:rPr>
        <w:t xml:space="preserve"> </w:t>
      </w:r>
      <w:r>
        <w:t xml:space="preserve">reconsidered by the PLAC specifically to assess the patient </w:t>
      </w:r>
      <w:proofErr w:type="gramStart"/>
      <w:r>
        <w:t>impact, if</w:t>
      </w:r>
      <w:proofErr w:type="gramEnd"/>
      <w:r>
        <w:t xml:space="preserve"> these items are not</w:t>
      </w:r>
      <w:r>
        <w:rPr>
          <w:spacing w:val="-53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in the private hospital system.</w:t>
      </w:r>
    </w:p>
    <w:p w14:paraId="434A74EF" w14:textId="77777777" w:rsidR="00B64287" w:rsidRDefault="004554DA" w:rsidP="00E824D5">
      <w:pPr>
        <w:pStyle w:val="Heading2"/>
      </w:pPr>
      <w:bookmarkStart w:id="34" w:name="2.4_Cardiac_Implantable_Electronic_Devic"/>
      <w:bookmarkStart w:id="35" w:name="_bookmark8"/>
      <w:bookmarkEnd w:id="34"/>
      <w:bookmarkEnd w:id="35"/>
      <w:r>
        <w:t>Cardiac</w:t>
      </w:r>
      <w:r>
        <w:rPr>
          <w:spacing w:val="-1"/>
        </w:rPr>
        <w:t xml:space="preserve"> </w:t>
      </w:r>
      <w:r>
        <w:t>Implantable</w:t>
      </w:r>
      <w:r>
        <w:rPr>
          <w:spacing w:val="-6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Devices</w:t>
      </w:r>
      <w:r>
        <w:rPr>
          <w:spacing w:val="3"/>
        </w:rPr>
        <w:t xml:space="preserve"> </w:t>
      </w:r>
      <w:r>
        <w:t>(CIEDs)</w:t>
      </w:r>
    </w:p>
    <w:p w14:paraId="0CAAD2A2" w14:textId="77777777" w:rsidR="00B64287" w:rsidRDefault="004554DA" w:rsidP="00E824D5">
      <w:pPr>
        <w:pStyle w:val="Heading3"/>
      </w:pPr>
      <w:bookmarkStart w:id="36" w:name="2.4.1_To_ensure_continued_access_for_pat"/>
      <w:bookmarkStart w:id="37" w:name="_bookmark9"/>
      <w:bookmarkEnd w:id="36"/>
      <w:bookmarkEnd w:id="37"/>
      <w:r>
        <w:t>To ensure continued access for patients for CIEDs, the commencement of all benefit</w:t>
      </w:r>
      <w:r>
        <w:rPr>
          <w:spacing w:val="1"/>
        </w:rPr>
        <w:t xml:space="preserve"> </w:t>
      </w:r>
      <w:r>
        <w:t>reductions (40/20/20) for the CIED benefit structure on the Prostheses List is to be</w:t>
      </w:r>
      <w:r>
        <w:rPr>
          <w:spacing w:val="1"/>
        </w:rPr>
        <w:t xml:space="preserve"> </w:t>
      </w:r>
      <w:r>
        <w:t>deferred by one year to 1 July 2023, to allow for MSAC deliberations on the value of the</w:t>
      </w:r>
      <w:r>
        <w:rPr>
          <w:spacing w:val="-53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support</w:t>
      </w:r>
      <w:r>
        <w:rPr>
          <w:spacing w:val="3"/>
        </w:rPr>
        <w:t xml:space="preserve"> </w:t>
      </w:r>
      <w:r>
        <w:t>services.</w:t>
      </w:r>
    </w:p>
    <w:p w14:paraId="336269F4" w14:textId="77777777" w:rsidR="00B64287" w:rsidRDefault="004554DA" w:rsidP="00E824D5">
      <w:pPr>
        <w:pStyle w:val="Heading3"/>
      </w:pPr>
      <w:bookmarkStart w:id="38" w:name="2.4.2_MTAA_will_take_all_reasonable_step"/>
      <w:bookmarkEnd w:id="38"/>
      <w:r>
        <w:t>MTAA will take all reasonable steps to ensure that cardiac companies that produce</w:t>
      </w:r>
      <w:r>
        <w:rPr>
          <w:spacing w:val="1"/>
        </w:rPr>
        <w:t xml:space="preserve"> </w:t>
      </w:r>
      <w:r>
        <w:t>CIEDs commit to engage with MSAC (expected no later than March 2022) and provide</w:t>
      </w:r>
      <w:r>
        <w:rPr>
          <w:spacing w:val="-53"/>
        </w:rPr>
        <w:t xml:space="preserve"> </w:t>
      </w:r>
      <w:r>
        <w:t xml:space="preserve">MSAC during its deliberations described in section </w:t>
      </w:r>
      <w:hyperlink w:anchor="_bookmark9" w:history="1">
        <w:r>
          <w:t xml:space="preserve">2.4.1 </w:t>
        </w:r>
      </w:hyperlink>
      <w:r>
        <w:t>with company data relevant to</w:t>
      </w:r>
      <w:r>
        <w:rPr>
          <w:spacing w:val="-53"/>
        </w:rPr>
        <w:t xml:space="preserve"> </w:t>
      </w:r>
      <w:r>
        <w:t>the MSAC</w:t>
      </w:r>
      <w:r>
        <w:rPr>
          <w:spacing w:val="-5"/>
        </w:rPr>
        <w:t xml:space="preserve"> </w:t>
      </w:r>
      <w:r>
        <w:t>process.</w:t>
      </w:r>
    </w:p>
    <w:p w14:paraId="61878969" w14:textId="77777777" w:rsidR="00B64287" w:rsidRDefault="00B64287">
      <w:pPr>
        <w:sectPr w:rsidR="00B64287">
          <w:pgSz w:w="11910" w:h="16840"/>
          <w:pgMar w:top="1580" w:right="700" w:bottom="280" w:left="1260" w:header="720" w:footer="720" w:gutter="0"/>
          <w:cols w:space="720"/>
        </w:sectPr>
      </w:pPr>
    </w:p>
    <w:p w14:paraId="27AF5DD5" w14:textId="77777777" w:rsidR="00B64287" w:rsidRDefault="004554DA" w:rsidP="00E824D5">
      <w:pPr>
        <w:pStyle w:val="Heading2"/>
      </w:pPr>
      <w:bookmarkStart w:id="39" w:name="2.5_Regrouping_of_Prostheses_List_"/>
      <w:bookmarkStart w:id="40" w:name="_bookmark10"/>
      <w:bookmarkEnd w:id="39"/>
      <w:bookmarkEnd w:id="40"/>
      <w:r>
        <w:lastRenderedPageBreak/>
        <w:t>Regrouping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Prostheses</w:t>
      </w:r>
      <w:r>
        <w:rPr>
          <w:spacing w:val="-1"/>
        </w:rPr>
        <w:t xml:space="preserve"> </w:t>
      </w:r>
      <w:r>
        <w:t>List</w:t>
      </w:r>
    </w:p>
    <w:p w14:paraId="2126C095" w14:textId="77777777" w:rsidR="00B64287" w:rsidRDefault="004554DA" w:rsidP="00E824D5">
      <w:r>
        <w:t>The new grouping structure under the Measure is not to be an additional source of savings on top</w:t>
      </w:r>
      <w:r>
        <w:rPr>
          <w:spacing w:val="-5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overall reference</w:t>
      </w:r>
      <w:r>
        <w:rPr>
          <w:spacing w:val="-1"/>
        </w:rPr>
        <w:t xml:space="preserve"> </w:t>
      </w:r>
      <w:r>
        <w:t>pricing</w:t>
      </w:r>
      <w:r>
        <w:rPr>
          <w:spacing w:val="1"/>
        </w:rPr>
        <w:t xml:space="preserve"> </w:t>
      </w:r>
      <w:r>
        <w:t>savings</w:t>
      </w:r>
      <w:r>
        <w:rPr>
          <w:spacing w:val="2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in this</w:t>
      </w:r>
      <w:r>
        <w:rPr>
          <w:spacing w:val="1"/>
        </w:rPr>
        <w:t xml:space="preserve"> </w:t>
      </w:r>
      <w:r>
        <w:t xml:space="preserve">section </w:t>
      </w:r>
      <w:hyperlink w:anchor="_bookmark2" w:history="1">
        <w:r>
          <w:t>2</w:t>
        </w:r>
      </w:hyperlink>
      <w:r>
        <w:t>.</w:t>
      </w:r>
    </w:p>
    <w:p w14:paraId="0D78F275" w14:textId="77777777" w:rsidR="00B64287" w:rsidRDefault="004554DA" w:rsidP="00E824D5">
      <w:pPr>
        <w:pStyle w:val="Heading2"/>
      </w:pPr>
      <w:bookmarkStart w:id="41" w:name="2.6_Modernised_pathways_"/>
      <w:bookmarkStart w:id="42" w:name="_bookmark11"/>
      <w:bookmarkEnd w:id="41"/>
      <w:bookmarkEnd w:id="42"/>
      <w:r>
        <w:t>Modernised</w:t>
      </w:r>
      <w:r>
        <w:rPr>
          <w:spacing w:val="-3"/>
        </w:rPr>
        <w:t xml:space="preserve"> </w:t>
      </w:r>
      <w:r>
        <w:t>pathways</w:t>
      </w:r>
    </w:p>
    <w:p w14:paraId="5FE030B9" w14:textId="77777777" w:rsidR="00B64287" w:rsidRDefault="004554DA" w:rsidP="00E824D5">
      <w:r>
        <w:t>Principles for new Prostheses List listing pathways will be co-designed by MTAA and the</w:t>
      </w:r>
      <w:r>
        <w:rPr>
          <w:spacing w:val="-53"/>
        </w:rPr>
        <w:t xml:space="preserve"> </w:t>
      </w:r>
      <w:r>
        <w:t>Department,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approval by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Minister.</w:t>
      </w:r>
    </w:p>
    <w:p w14:paraId="1B809919" w14:textId="77777777" w:rsidR="00B64287" w:rsidRDefault="004554DA" w:rsidP="00E824D5">
      <w:pPr>
        <w:pStyle w:val="Heading2"/>
      </w:pPr>
      <w:bookmarkStart w:id="43" w:name="2.7_Pricing_to_hospitals_"/>
      <w:bookmarkStart w:id="44" w:name="_bookmark12"/>
      <w:bookmarkEnd w:id="43"/>
      <w:bookmarkEnd w:id="44"/>
      <w:r>
        <w:t>Pricing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hospitals</w:t>
      </w:r>
    </w:p>
    <w:p w14:paraId="157856A3" w14:textId="77777777" w:rsidR="00B64287" w:rsidRDefault="004554DA" w:rsidP="00E824D5">
      <w:pPr>
        <w:pStyle w:val="Heading3"/>
      </w:pPr>
      <w:bookmarkStart w:id="45" w:name="2.7.1_The_Government’s_intention_is_that"/>
      <w:bookmarkEnd w:id="45"/>
      <w:r>
        <w:t>The Government’s intention is that, under the Measure, there would be no additional out-</w:t>
      </w:r>
      <w:r>
        <w:rPr>
          <w:spacing w:val="-53"/>
        </w:rPr>
        <w:t xml:space="preserve"> </w:t>
      </w:r>
      <w:r>
        <w:t>of-pocket</w:t>
      </w:r>
      <w:r>
        <w:rPr>
          <w:spacing w:val="2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consumers</w:t>
      </w:r>
      <w:r>
        <w:rPr>
          <w:spacing w:val="-2"/>
        </w:rPr>
        <w:t xml:space="preserve"> </w:t>
      </w:r>
      <w:r>
        <w:t>on an ongoing</w:t>
      </w:r>
      <w:r>
        <w:rPr>
          <w:spacing w:val="-1"/>
        </w:rPr>
        <w:t xml:space="preserve"> </w:t>
      </w:r>
      <w:r>
        <w:t>basis.</w:t>
      </w:r>
    </w:p>
    <w:p w14:paraId="563E0AE7" w14:textId="77777777" w:rsidR="00B64287" w:rsidRDefault="004554DA" w:rsidP="00E824D5">
      <w:pPr>
        <w:pStyle w:val="Heading3"/>
      </w:pPr>
      <w:bookmarkStart w:id="46" w:name="2.7.2_Future_consultations_would_discuss"/>
      <w:bookmarkEnd w:id="46"/>
      <w:r>
        <w:t>Future consultations would discuss the proposed introduction, as a part of the Prostheses</w:t>
      </w:r>
      <w:r>
        <w:rPr>
          <w:spacing w:val="-53"/>
        </w:rPr>
        <w:t xml:space="preserve"> </w:t>
      </w:r>
      <w:r>
        <w:t>List</w:t>
      </w:r>
      <w:r>
        <w:rPr>
          <w:spacing w:val="4"/>
        </w:rPr>
        <w:t xml:space="preserve"> </w:t>
      </w:r>
      <w:r>
        <w:t>application</w:t>
      </w:r>
      <w:r>
        <w:rPr>
          <w:spacing w:val="2"/>
        </w:rPr>
        <w:t xml:space="preserve"> </w:t>
      </w:r>
      <w:r>
        <w:t>process,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declaration</w:t>
      </w:r>
      <w:r>
        <w:rPr>
          <w:spacing w:val="2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companies</w:t>
      </w:r>
      <w:r>
        <w:rPr>
          <w:spacing w:val="-2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extra</w:t>
      </w:r>
      <w:r>
        <w:rPr>
          <w:spacing w:val="1"/>
        </w:rPr>
        <w:t xml:space="preserve"> </w:t>
      </w:r>
      <w:r>
        <w:t>charges for listed and necessary ancillary products beyond the Prostheses List benefit,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penalties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declarations,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out-of-pocket</w:t>
      </w:r>
      <w:r>
        <w:rPr>
          <w:spacing w:val="2"/>
        </w:rPr>
        <w:t xml:space="preserve"> </w:t>
      </w:r>
      <w:r>
        <w:t>expenses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consumers.</w:t>
      </w:r>
    </w:p>
    <w:p w14:paraId="5D26B34D" w14:textId="77777777" w:rsidR="00B64287" w:rsidRDefault="004554DA" w:rsidP="007D736C">
      <w:pPr>
        <w:pStyle w:val="Heading1"/>
      </w:pPr>
      <w:bookmarkStart w:id="47" w:name="3._Timeframes_"/>
      <w:bookmarkStart w:id="48" w:name="_bookmark13"/>
      <w:bookmarkEnd w:id="47"/>
      <w:bookmarkEnd w:id="48"/>
      <w:r>
        <w:t>Timeframes</w:t>
      </w:r>
    </w:p>
    <w:p w14:paraId="56460815" w14:textId="6FB91249" w:rsidR="00B64287" w:rsidRDefault="004554DA" w:rsidP="00E824D5">
      <w:r>
        <w:t>Subject</w:t>
      </w:r>
      <w:r>
        <w:rPr>
          <w:spacing w:val="3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t>beyond</w:t>
      </w:r>
      <w:r>
        <w:rPr>
          <w:spacing w:val="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control,</w:t>
      </w:r>
      <w:r>
        <w:rPr>
          <w:spacing w:val="4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parties’</w:t>
      </w:r>
      <w:r>
        <w:rPr>
          <w:spacing w:val="1"/>
        </w:rPr>
        <w:t xml:space="preserve"> </w:t>
      </w:r>
      <w:r>
        <w:t>intention</w:t>
      </w:r>
      <w:r>
        <w:rPr>
          <w:spacing w:val="1"/>
        </w:rPr>
        <w:t xml:space="preserve"> </w:t>
      </w:r>
      <w:r>
        <w:t>to continue consultations in a timely manner and to use all reasonable efforts to achieve the reform</w:t>
      </w:r>
      <w:r>
        <w:rPr>
          <w:spacing w:val="-53"/>
        </w:rPr>
        <w:t xml:space="preserve"> </w:t>
      </w:r>
      <w:r>
        <w:t xml:space="preserve">implementation elements described in section </w:t>
      </w:r>
      <w:hyperlink w:anchor="_bookmark2" w:history="1">
        <w:r>
          <w:t xml:space="preserve">2 </w:t>
        </w:r>
      </w:hyperlink>
      <w:r>
        <w:t>and to hold good faith discussions in relation to the</w:t>
      </w:r>
      <w:r>
        <w:rPr>
          <w:spacing w:val="-53"/>
        </w:rPr>
        <w:t xml:space="preserve"> </w:t>
      </w:r>
      <w:r>
        <w:t>other items</w:t>
      </w:r>
      <w:r>
        <w:rPr>
          <w:spacing w:val="1"/>
        </w:rPr>
        <w:t xml:space="preserve"> </w:t>
      </w:r>
      <w:r>
        <w:t>referred to</w:t>
      </w:r>
      <w:r>
        <w:rPr>
          <w:spacing w:val="-5"/>
        </w:rPr>
        <w:t xml:space="preserve"> </w:t>
      </w:r>
      <w:r>
        <w:t>in sections</w:t>
      </w:r>
      <w:r>
        <w:rPr>
          <w:spacing w:val="1"/>
        </w:rPr>
        <w:t xml:space="preserve"> </w:t>
      </w:r>
      <w:r>
        <w:t>2.3.2 and</w:t>
      </w:r>
      <w:r>
        <w:rPr>
          <w:spacing w:val="-1"/>
        </w:rPr>
        <w:t xml:space="preserve"> </w:t>
      </w:r>
      <w:r>
        <w:t>2.7.2.</w:t>
      </w:r>
    </w:p>
    <w:p w14:paraId="6624C98F" w14:textId="77777777" w:rsidR="00B64287" w:rsidRDefault="004554DA" w:rsidP="007D736C">
      <w:pPr>
        <w:pStyle w:val="Heading1"/>
      </w:pPr>
      <w:r>
        <w:t>Status</w:t>
      </w:r>
    </w:p>
    <w:p w14:paraId="6249D234" w14:textId="77777777" w:rsidR="00B64287" w:rsidRPr="00E824D5" w:rsidRDefault="004554DA" w:rsidP="00E824D5">
      <w:pPr>
        <w:pStyle w:val="Heading2"/>
        <w:rPr>
          <w:b w:val="0"/>
          <w:bCs/>
          <w:sz w:val="20"/>
        </w:rPr>
      </w:pPr>
      <w:bookmarkStart w:id="49" w:name="4.1_This_MoU_is_not_intended_to_create_l"/>
      <w:bookmarkStart w:id="50" w:name="_bookmark15"/>
      <w:bookmarkEnd w:id="49"/>
      <w:bookmarkEnd w:id="50"/>
      <w:r w:rsidRPr="00E824D5">
        <w:rPr>
          <w:b w:val="0"/>
          <w:bCs/>
          <w:sz w:val="20"/>
        </w:rPr>
        <w:t>This MoU is not intended to create legal relations or constitute a legally binding contractual</w:t>
      </w:r>
      <w:r w:rsidRPr="00E824D5">
        <w:rPr>
          <w:b w:val="0"/>
          <w:bCs/>
          <w:spacing w:val="-53"/>
          <w:sz w:val="20"/>
        </w:rPr>
        <w:t xml:space="preserve"> </w:t>
      </w:r>
      <w:r w:rsidRPr="00E824D5">
        <w:rPr>
          <w:b w:val="0"/>
          <w:bCs/>
          <w:sz w:val="20"/>
        </w:rPr>
        <w:t>agreement</w:t>
      </w:r>
      <w:r w:rsidRPr="00E824D5">
        <w:rPr>
          <w:b w:val="0"/>
          <w:bCs/>
          <w:spacing w:val="2"/>
          <w:sz w:val="20"/>
        </w:rPr>
        <w:t xml:space="preserve"> </w:t>
      </w:r>
      <w:r w:rsidRPr="00E824D5">
        <w:rPr>
          <w:b w:val="0"/>
          <w:bCs/>
          <w:sz w:val="20"/>
        </w:rPr>
        <w:t>between the parties.</w:t>
      </w:r>
    </w:p>
    <w:p w14:paraId="600B1F0C" w14:textId="77777777" w:rsidR="00B64287" w:rsidRDefault="004554DA" w:rsidP="00E824D5">
      <w:pPr>
        <w:pStyle w:val="Heading2"/>
        <w:rPr>
          <w:sz w:val="20"/>
        </w:rPr>
      </w:pPr>
      <w:bookmarkStart w:id="51" w:name="4.2_Notwithstanding_section_"/>
      <w:bookmarkEnd w:id="51"/>
      <w:r w:rsidRPr="00E824D5">
        <w:rPr>
          <w:b w:val="0"/>
          <w:bCs/>
          <w:sz w:val="20"/>
        </w:rPr>
        <w:t xml:space="preserve">Notwithstanding section </w:t>
      </w:r>
      <w:hyperlink w:anchor="_bookmark15" w:history="1">
        <w:r w:rsidRPr="00E824D5">
          <w:rPr>
            <w:b w:val="0"/>
            <w:bCs/>
            <w:sz w:val="20"/>
          </w:rPr>
          <w:t xml:space="preserve">4.1, </w:t>
        </w:r>
      </w:hyperlink>
      <w:r w:rsidRPr="00E824D5">
        <w:rPr>
          <w:b w:val="0"/>
          <w:bCs/>
          <w:sz w:val="20"/>
        </w:rPr>
        <w:t>the parties will, to the greatest extent possible, comply with the terms</w:t>
      </w:r>
      <w:r w:rsidRPr="00E824D5">
        <w:rPr>
          <w:b w:val="0"/>
          <w:bCs/>
          <w:spacing w:val="-53"/>
          <w:sz w:val="20"/>
        </w:rPr>
        <w:t xml:space="preserve"> </w:t>
      </w:r>
      <w:r w:rsidRPr="00E824D5">
        <w:rPr>
          <w:b w:val="0"/>
          <w:bCs/>
          <w:sz w:val="20"/>
        </w:rPr>
        <w:t>of</w:t>
      </w:r>
      <w:r w:rsidRPr="00E824D5">
        <w:rPr>
          <w:b w:val="0"/>
          <w:bCs/>
          <w:spacing w:val="2"/>
          <w:sz w:val="20"/>
        </w:rPr>
        <w:t xml:space="preserve"> </w:t>
      </w:r>
      <w:r w:rsidRPr="00E824D5">
        <w:rPr>
          <w:b w:val="0"/>
          <w:bCs/>
          <w:sz w:val="20"/>
        </w:rPr>
        <w:t>this</w:t>
      </w:r>
      <w:r w:rsidRPr="00E824D5">
        <w:rPr>
          <w:b w:val="0"/>
          <w:bCs/>
          <w:spacing w:val="-3"/>
          <w:sz w:val="20"/>
        </w:rPr>
        <w:t xml:space="preserve"> </w:t>
      </w:r>
      <w:r w:rsidRPr="00E824D5">
        <w:rPr>
          <w:b w:val="0"/>
          <w:bCs/>
          <w:sz w:val="20"/>
        </w:rPr>
        <w:t>MoU</w:t>
      </w:r>
      <w:r>
        <w:rPr>
          <w:sz w:val="20"/>
        </w:rPr>
        <w:t>.</w:t>
      </w:r>
    </w:p>
    <w:p w14:paraId="25B2F557" w14:textId="77777777" w:rsidR="00B64287" w:rsidRDefault="00B64287">
      <w:pPr>
        <w:sectPr w:rsidR="00B64287">
          <w:pgSz w:w="11910" w:h="16840"/>
          <w:pgMar w:top="1580" w:right="700" w:bottom="280" w:left="1260" w:header="720" w:footer="720" w:gutter="0"/>
          <w:cols w:space="720"/>
        </w:sectPr>
      </w:pPr>
    </w:p>
    <w:p w14:paraId="4A144F34" w14:textId="77777777" w:rsidR="00B64287" w:rsidRDefault="004554DA" w:rsidP="00E824D5">
      <w:pPr>
        <w:pStyle w:val="Heading1"/>
        <w:numPr>
          <w:ilvl w:val="0"/>
          <w:numId w:val="0"/>
        </w:numPr>
      </w:pPr>
      <w:r>
        <w:lastRenderedPageBreak/>
        <w:t>Schedule 1 – Methodology for calculation of weighted average price and public price referencing</w:t>
      </w:r>
      <w:r>
        <w:rPr>
          <w:spacing w:val="-5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Prostheses List</w:t>
      </w:r>
      <w:r>
        <w:rPr>
          <w:spacing w:val="-3"/>
        </w:rPr>
        <w:t xml:space="preserve"> </w:t>
      </w:r>
      <w:r>
        <w:t>reforms 1</w:t>
      </w:r>
      <w:r>
        <w:rPr>
          <w:spacing w:val="-1"/>
        </w:rPr>
        <w:t xml:space="preserve"> </w:t>
      </w:r>
      <w:r>
        <w:t>July 2022 to</w:t>
      </w:r>
      <w:r>
        <w:rPr>
          <w:spacing w:val="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June 2026</w:t>
      </w:r>
    </w:p>
    <w:p w14:paraId="1CE0801D" w14:textId="77777777" w:rsidR="00B64287" w:rsidRDefault="004554DA" w:rsidP="00E824D5">
      <w:pPr>
        <w:pStyle w:val="Heading2"/>
        <w:numPr>
          <w:ilvl w:val="0"/>
          <w:numId w:val="0"/>
        </w:numPr>
        <w:ind w:left="576" w:hanging="576"/>
      </w:pPr>
      <w:r>
        <w:t>Weighted</w:t>
      </w:r>
      <w:r>
        <w:rPr>
          <w:spacing w:val="1"/>
        </w:rPr>
        <w:t xml:space="preserve"> </w:t>
      </w:r>
      <w:r>
        <w:t>Average Price</w:t>
      </w:r>
      <w:r>
        <w:rPr>
          <w:spacing w:val="-7"/>
        </w:rPr>
        <w:t xml:space="preserve"> </w:t>
      </w:r>
      <w:r>
        <w:t>(WAP)</w:t>
      </w:r>
    </w:p>
    <w:p w14:paraId="6B9FA40F" w14:textId="77777777" w:rsidR="00B64287" w:rsidRDefault="004554DA" w:rsidP="00E824D5">
      <w:r>
        <w:t>The Weighted Average Price will be calculated by the Independent Hospital Pricing Authority using the most</w:t>
      </w:r>
      <w:r>
        <w:rPr>
          <w:spacing w:val="-53"/>
        </w:rPr>
        <w:t xml:space="preserve"> </w:t>
      </w:r>
      <w:r>
        <w:t>appropriate data, including sponsor-supplied data for financial year ended 30 June 2021 as the primary data</w:t>
      </w:r>
      <w:r>
        <w:rPr>
          <w:spacing w:val="-53"/>
        </w:rPr>
        <w:t xml:space="preserve"> </w:t>
      </w:r>
      <w:r>
        <w:t>source.</w:t>
      </w:r>
    </w:p>
    <w:p w14:paraId="6BFF7934" w14:textId="77777777" w:rsidR="00B64287" w:rsidRDefault="004554DA" w:rsidP="00E824D5">
      <w:r>
        <w:t>The Weighted Average Price will be calculated based on existing Benefit Groups on the Prostheses List (</w:t>
      </w:r>
      <w:r>
        <w:rPr>
          <w:b/>
        </w:rPr>
        <w:t>PL</w:t>
      </w:r>
      <w:r>
        <w:t>)</w:t>
      </w:r>
      <w:r>
        <w:rPr>
          <w:spacing w:val="-53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as:</w:t>
      </w:r>
    </w:p>
    <w:p w14:paraId="42D9C09E" w14:textId="77777777" w:rsidR="00B64287" w:rsidRDefault="004554DA" w:rsidP="00E824D5">
      <w:pPr>
        <w:pStyle w:val="ListBullet2"/>
        <w:rPr>
          <w:i/>
        </w:rPr>
      </w:pPr>
      <w:r>
        <w:rPr>
          <w:i/>
        </w:rPr>
        <w:t xml:space="preserve">All billing codes sharing the same category, sub-category, product group, sub-group, </w:t>
      </w:r>
      <w:proofErr w:type="gramStart"/>
      <w:r>
        <w:rPr>
          <w:i/>
        </w:rPr>
        <w:t>suffix</w:t>
      </w:r>
      <w:proofErr w:type="gramEnd"/>
      <w:r>
        <w:rPr>
          <w:i/>
        </w:rPr>
        <w:t xml:space="preserve"> and benefit</w:t>
      </w:r>
      <w:r>
        <w:rPr>
          <w:i/>
          <w:spacing w:val="-53"/>
        </w:rPr>
        <w:t xml:space="preserve"> </w:t>
      </w:r>
      <w:r>
        <w:rPr>
          <w:i/>
        </w:rPr>
        <w:t xml:space="preserve">level on </w:t>
      </w:r>
      <w:r w:rsidRPr="00E824D5">
        <w:t>the</w:t>
      </w:r>
      <w:r>
        <w:rPr>
          <w:i/>
        </w:rPr>
        <w:t xml:space="preserve"> PL</w:t>
      </w:r>
    </w:p>
    <w:p w14:paraId="6378BCB1" w14:textId="77777777" w:rsidR="00B64287" w:rsidRDefault="004554DA" w:rsidP="00E824D5">
      <w:r>
        <w:t>The</w:t>
      </w:r>
      <w:r>
        <w:rPr>
          <w:spacing w:val="-1"/>
        </w:rPr>
        <w:t xml:space="preserve"> </w:t>
      </w:r>
      <w:r>
        <w:t>Weighted</w:t>
      </w:r>
      <w:r>
        <w:rPr>
          <w:spacing w:val="-1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Group</w:t>
      </w:r>
      <w:r>
        <w:rPr>
          <w:spacing w:val="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</w:p>
    <w:p w14:paraId="29EBC145" w14:textId="77777777" w:rsidR="00B64287" w:rsidRDefault="004554DA" w:rsidP="00E824D5">
      <w:pPr>
        <w:pStyle w:val="ListBullet2"/>
      </w:pPr>
      <w:r>
        <w:t>Average public price for all devices included under the billing codes in the Benefit Group weighted by</w:t>
      </w:r>
      <w:r>
        <w:rPr>
          <w:spacing w:val="-53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volumes</w:t>
      </w:r>
    </w:p>
    <w:p w14:paraId="5A61EE4E" w14:textId="77777777" w:rsidR="00B64287" w:rsidRDefault="004554DA" w:rsidP="00E824D5">
      <w:r>
        <w:t>New listings of products joining an existing Benefit Group will receive the same benefit level as the other</w:t>
      </w:r>
      <w:r>
        <w:rPr>
          <w:spacing w:val="1"/>
        </w:rPr>
        <w:t xml:space="preserve"> </w:t>
      </w:r>
      <w:r>
        <w:t>billing codes in that Benefit Group, regardless of the stage of reductions phasing, and incorporating the 7%</w:t>
      </w:r>
      <w:r>
        <w:rPr>
          <w:spacing w:val="-53"/>
        </w:rPr>
        <w:t xml:space="preserve"> </w:t>
      </w:r>
      <w:r>
        <w:t>floor.</w:t>
      </w:r>
    </w:p>
    <w:p w14:paraId="6FAB9225" w14:textId="77777777" w:rsidR="00B64287" w:rsidRDefault="004554DA" w:rsidP="00E824D5"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7 percent</w:t>
      </w:r>
      <w:r>
        <w:rPr>
          <w:spacing w:val="-3"/>
        </w:rPr>
        <w:t xml:space="preserve"> </w:t>
      </w:r>
      <w:r>
        <w:t>floor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40:20:20</w:t>
      </w:r>
      <w:r>
        <w:rPr>
          <w:spacing w:val="-1"/>
        </w:rPr>
        <w:t xml:space="preserve"> </w:t>
      </w:r>
      <w:r>
        <w:t>phasing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reduction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4:</w:t>
      </w: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1803"/>
        <w:gridCol w:w="1463"/>
        <w:gridCol w:w="1708"/>
        <w:gridCol w:w="1630"/>
        <w:gridCol w:w="1724"/>
        <w:gridCol w:w="1612"/>
      </w:tblGrid>
      <w:tr w:rsidR="00B64287" w:rsidRPr="007D736C" w14:paraId="77F22E6F" w14:textId="77777777" w:rsidTr="00E82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tcW w:w="5000" w:type="pct"/>
            <w:gridSpan w:val="6"/>
          </w:tcPr>
          <w:p w14:paraId="7346A343" w14:textId="77777777" w:rsidR="00B64287" w:rsidRPr="007D736C" w:rsidRDefault="004554DA" w:rsidP="007C171E">
            <w:r w:rsidRPr="007D736C">
              <w:t xml:space="preserve">Weighted average public </w:t>
            </w:r>
            <w:r w:rsidRPr="007C171E">
              <w:t>price</w:t>
            </w:r>
            <w:r w:rsidRPr="007D736C">
              <w:t xml:space="preserve"> = 100</w:t>
            </w:r>
          </w:p>
        </w:tc>
      </w:tr>
      <w:tr w:rsidR="00B64287" w:rsidRPr="007D736C" w14:paraId="7F527652" w14:textId="77777777" w:rsidTr="00E82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tcW w:w="907" w:type="pct"/>
            <w:vAlign w:val="center"/>
          </w:tcPr>
          <w:p w14:paraId="20EC4426" w14:textId="77777777" w:rsidR="00B64287" w:rsidRPr="00E824D5" w:rsidRDefault="00B64287" w:rsidP="00E824D5">
            <w:pPr>
              <w:rPr>
                <w:b w:val="0"/>
                <w:bCs/>
              </w:rPr>
            </w:pPr>
          </w:p>
        </w:tc>
        <w:tc>
          <w:tcPr>
            <w:tcW w:w="736" w:type="pct"/>
            <w:vAlign w:val="center"/>
          </w:tcPr>
          <w:p w14:paraId="22FF27F8" w14:textId="77777777" w:rsidR="00B64287" w:rsidRPr="00E824D5" w:rsidRDefault="004554DA" w:rsidP="007C171E">
            <w:pPr>
              <w:pStyle w:val="TableofAuthorities"/>
              <w:rPr>
                <w:b/>
              </w:rPr>
            </w:pPr>
            <w:r w:rsidRPr="00E824D5">
              <w:rPr>
                <w:b/>
              </w:rPr>
              <w:t>Current</w:t>
            </w:r>
          </w:p>
        </w:tc>
        <w:tc>
          <w:tcPr>
            <w:tcW w:w="859" w:type="pct"/>
            <w:vAlign w:val="center"/>
          </w:tcPr>
          <w:p w14:paraId="31AD177B" w14:textId="77777777" w:rsidR="00B64287" w:rsidRPr="00E824D5" w:rsidRDefault="004554DA" w:rsidP="007C171E">
            <w:pPr>
              <w:pStyle w:val="TableofAuthorities"/>
              <w:rPr>
                <w:b/>
              </w:rPr>
            </w:pPr>
            <w:r w:rsidRPr="00E824D5">
              <w:rPr>
                <w:b/>
              </w:rPr>
              <w:t>1 July 2022</w:t>
            </w:r>
          </w:p>
        </w:tc>
        <w:tc>
          <w:tcPr>
            <w:tcW w:w="820" w:type="pct"/>
            <w:vAlign w:val="center"/>
          </w:tcPr>
          <w:p w14:paraId="586AA0F9" w14:textId="77777777" w:rsidR="00B64287" w:rsidRPr="00E824D5" w:rsidRDefault="004554DA" w:rsidP="007C171E">
            <w:pPr>
              <w:pStyle w:val="TableofAuthorities"/>
              <w:rPr>
                <w:b/>
              </w:rPr>
            </w:pPr>
            <w:r w:rsidRPr="00E824D5">
              <w:rPr>
                <w:b/>
              </w:rPr>
              <w:t>1 July 2023</w:t>
            </w:r>
          </w:p>
        </w:tc>
        <w:tc>
          <w:tcPr>
            <w:tcW w:w="867" w:type="pct"/>
            <w:vAlign w:val="center"/>
          </w:tcPr>
          <w:p w14:paraId="0DAE61C1" w14:textId="77777777" w:rsidR="00B64287" w:rsidRPr="00E824D5" w:rsidRDefault="004554DA" w:rsidP="007C171E">
            <w:pPr>
              <w:pStyle w:val="TableofAuthorities"/>
              <w:rPr>
                <w:b/>
              </w:rPr>
            </w:pPr>
            <w:r w:rsidRPr="00E824D5">
              <w:rPr>
                <w:b/>
              </w:rPr>
              <w:t>1 July 2024*</w:t>
            </w:r>
          </w:p>
        </w:tc>
        <w:tc>
          <w:tcPr>
            <w:tcW w:w="811" w:type="pct"/>
            <w:vAlign w:val="center"/>
          </w:tcPr>
          <w:p w14:paraId="75E8CECD" w14:textId="77777777" w:rsidR="00B64287" w:rsidRPr="00E824D5" w:rsidRDefault="004554DA" w:rsidP="007C171E">
            <w:pPr>
              <w:pStyle w:val="TableofAuthorities"/>
              <w:rPr>
                <w:b/>
              </w:rPr>
            </w:pPr>
            <w:r w:rsidRPr="00E824D5">
              <w:rPr>
                <w:b/>
              </w:rPr>
              <w:t>1 July 2025*</w:t>
            </w:r>
          </w:p>
        </w:tc>
      </w:tr>
      <w:tr w:rsidR="00B64287" w:rsidRPr="007D736C" w14:paraId="5791BCA8" w14:textId="77777777" w:rsidTr="00E82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tcW w:w="907" w:type="pct"/>
          </w:tcPr>
          <w:p w14:paraId="19921EB4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EG 1: PL</w:t>
            </w:r>
          </w:p>
        </w:tc>
        <w:tc>
          <w:tcPr>
            <w:tcW w:w="736" w:type="pct"/>
          </w:tcPr>
          <w:p w14:paraId="33860EBC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105</w:t>
            </w:r>
          </w:p>
        </w:tc>
        <w:tc>
          <w:tcPr>
            <w:tcW w:w="859" w:type="pct"/>
          </w:tcPr>
          <w:p w14:paraId="6AE22583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105</w:t>
            </w:r>
          </w:p>
        </w:tc>
        <w:tc>
          <w:tcPr>
            <w:tcW w:w="820" w:type="pct"/>
          </w:tcPr>
          <w:p w14:paraId="44E67FE1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105</w:t>
            </w:r>
          </w:p>
        </w:tc>
        <w:tc>
          <w:tcPr>
            <w:tcW w:w="867" w:type="pct"/>
          </w:tcPr>
          <w:p w14:paraId="6A590E83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105</w:t>
            </w:r>
          </w:p>
        </w:tc>
        <w:tc>
          <w:tcPr>
            <w:tcW w:w="811" w:type="pct"/>
          </w:tcPr>
          <w:p w14:paraId="7C0E9C5E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105</w:t>
            </w:r>
          </w:p>
        </w:tc>
      </w:tr>
      <w:tr w:rsidR="00B64287" w:rsidRPr="007D736C" w14:paraId="4D4C4EF0" w14:textId="77777777" w:rsidTr="00E82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907" w:type="pct"/>
          </w:tcPr>
          <w:p w14:paraId="0CFF5246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Differential</w:t>
            </w:r>
          </w:p>
        </w:tc>
        <w:tc>
          <w:tcPr>
            <w:tcW w:w="736" w:type="pct"/>
          </w:tcPr>
          <w:p w14:paraId="3A0407B8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5%</w:t>
            </w:r>
          </w:p>
        </w:tc>
        <w:tc>
          <w:tcPr>
            <w:tcW w:w="859" w:type="pct"/>
          </w:tcPr>
          <w:p w14:paraId="47A8F1D7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5%</w:t>
            </w:r>
          </w:p>
        </w:tc>
        <w:tc>
          <w:tcPr>
            <w:tcW w:w="820" w:type="pct"/>
          </w:tcPr>
          <w:p w14:paraId="37529056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5%</w:t>
            </w:r>
          </w:p>
        </w:tc>
        <w:tc>
          <w:tcPr>
            <w:tcW w:w="867" w:type="pct"/>
          </w:tcPr>
          <w:p w14:paraId="7577F4CD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5%</w:t>
            </w:r>
          </w:p>
        </w:tc>
        <w:tc>
          <w:tcPr>
            <w:tcW w:w="811" w:type="pct"/>
          </w:tcPr>
          <w:p w14:paraId="15F75A35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5%</w:t>
            </w:r>
          </w:p>
        </w:tc>
      </w:tr>
      <w:tr w:rsidR="00B64287" w:rsidRPr="007D736C" w14:paraId="174FAE51" w14:textId="77777777" w:rsidTr="00E82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tcW w:w="907" w:type="pct"/>
          </w:tcPr>
          <w:p w14:paraId="037D230F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EG 2: PL</w:t>
            </w:r>
          </w:p>
        </w:tc>
        <w:tc>
          <w:tcPr>
            <w:tcW w:w="736" w:type="pct"/>
          </w:tcPr>
          <w:p w14:paraId="658D702A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115</w:t>
            </w:r>
          </w:p>
        </w:tc>
        <w:tc>
          <w:tcPr>
            <w:tcW w:w="859" w:type="pct"/>
          </w:tcPr>
          <w:p w14:paraId="014865DC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109</w:t>
            </w:r>
          </w:p>
        </w:tc>
        <w:tc>
          <w:tcPr>
            <w:tcW w:w="820" w:type="pct"/>
          </w:tcPr>
          <w:p w14:paraId="121E7F7D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107</w:t>
            </w:r>
          </w:p>
        </w:tc>
        <w:tc>
          <w:tcPr>
            <w:tcW w:w="867" w:type="pct"/>
          </w:tcPr>
          <w:p w14:paraId="2032112A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107</w:t>
            </w:r>
          </w:p>
        </w:tc>
        <w:tc>
          <w:tcPr>
            <w:tcW w:w="811" w:type="pct"/>
          </w:tcPr>
          <w:p w14:paraId="2FF2F938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107</w:t>
            </w:r>
          </w:p>
        </w:tc>
      </w:tr>
      <w:tr w:rsidR="00B64287" w:rsidRPr="007D736C" w14:paraId="6B4D5921" w14:textId="77777777" w:rsidTr="00E82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907" w:type="pct"/>
          </w:tcPr>
          <w:p w14:paraId="66DF0C26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Differential</w:t>
            </w:r>
          </w:p>
        </w:tc>
        <w:tc>
          <w:tcPr>
            <w:tcW w:w="736" w:type="pct"/>
          </w:tcPr>
          <w:p w14:paraId="15E20CE3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15%</w:t>
            </w:r>
          </w:p>
        </w:tc>
        <w:tc>
          <w:tcPr>
            <w:tcW w:w="859" w:type="pct"/>
          </w:tcPr>
          <w:p w14:paraId="1C151657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9%</w:t>
            </w:r>
          </w:p>
        </w:tc>
        <w:tc>
          <w:tcPr>
            <w:tcW w:w="820" w:type="pct"/>
          </w:tcPr>
          <w:p w14:paraId="7006D215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7%</w:t>
            </w:r>
          </w:p>
        </w:tc>
        <w:tc>
          <w:tcPr>
            <w:tcW w:w="867" w:type="pct"/>
          </w:tcPr>
          <w:p w14:paraId="50B65E99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7%</w:t>
            </w:r>
          </w:p>
        </w:tc>
        <w:tc>
          <w:tcPr>
            <w:tcW w:w="811" w:type="pct"/>
          </w:tcPr>
          <w:p w14:paraId="7F57EDDE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7%</w:t>
            </w:r>
          </w:p>
        </w:tc>
      </w:tr>
      <w:tr w:rsidR="00B64287" w:rsidRPr="007D736C" w14:paraId="70D92EB4" w14:textId="77777777" w:rsidTr="00E82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tcW w:w="907" w:type="pct"/>
          </w:tcPr>
          <w:p w14:paraId="11612E05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EG 3: PL</w:t>
            </w:r>
          </w:p>
        </w:tc>
        <w:tc>
          <w:tcPr>
            <w:tcW w:w="736" w:type="pct"/>
          </w:tcPr>
          <w:p w14:paraId="22EB83F5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200</w:t>
            </w:r>
          </w:p>
        </w:tc>
        <w:tc>
          <w:tcPr>
            <w:tcW w:w="859" w:type="pct"/>
          </w:tcPr>
          <w:p w14:paraId="5B35C8EC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160</w:t>
            </w:r>
          </w:p>
        </w:tc>
        <w:tc>
          <w:tcPr>
            <w:tcW w:w="820" w:type="pct"/>
          </w:tcPr>
          <w:p w14:paraId="2DC9DB0A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140</w:t>
            </w:r>
          </w:p>
        </w:tc>
        <w:tc>
          <w:tcPr>
            <w:tcW w:w="867" w:type="pct"/>
          </w:tcPr>
          <w:p w14:paraId="7074F317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120</w:t>
            </w:r>
          </w:p>
        </w:tc>
        <w:tc>
          <w:tcPr>
            <w:tcW w:w="811" w:type="pct"/>
          </w:tcPr>
          <w:p w14:paraId="50ABFB6C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120</w:t>
            </w:r>
          </w:p>
        </w:tc>
      </w:tr>
      <w:tr w:rsidR="00B64287" w:rsidRPr="007D736C" w14:paraId="5A4E778E" w14:textId="77777777" w:rsidTr="00E82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907" w:type="pct"/>
          </w:tcPr>
          <w:p w14:paraId="56E1B2BD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Differential</w:t>
            </w:r>
          </w:p>
        </w:tc>
        <w:tc>
          <w:tcPr>
            <w:tcW w:w="736" w:type="pct"/>
          </w:tcPr>
          <w:p w14:paraId="2B92E689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100%</w:t>
            </w:r>
          </w:p>
        </w:tc>
        <w:tc>
          <w:tcPr>
            <w:tcW w:w="859" w:type="pct"/>
          </w:tcPr>
          <w:p w14:paraId="3DA2E27F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60%</w:t>
            </w:r>
          </w:p>
        </w:tc>
        <w:tc>
          <w:tcPr>
            <w:tcW w:w="820" w:type="pct"/>
          </w:tcPr>
          <w:p w14:paraId="2CD7FBFA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40%</w:t>
            </w:r>
          </w:p>
        </w:tc>
        <w:tc>
          <w:tcPr>
            <w:tcW w:w="867" w:type="pct"/>
          </w:tcPr>
          <w:p w14:paraId="74EA777D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20%</w:t>
            </w:r>
          </w:p>
        </w:tc>
        <w:tc>
          <w:tcPr>
            <w:tcW w:w="811" w:type="pct"/>
          </w:tcPr>
          <w:p w14:paraId="61F6F629" w14:textId="77777777" w:rsidR="00B64287" w:rsidRPr="00E824D5" w:rsidRDefault="004554DA" w:rsidP="00E824D5">
            <w:pPr>
              <w:rPr>
                <w:b w:val="0"/>
                <w:bCs/>
              </w:rPr>
            </w:pPr>
            <w:r w:rsidRPr="00E824D5">
              <w:rPr>
                <w:b w:val="0"/>
                <w:bCs/>
              </w:rPr>
              <w:t>20%</w:t>
            </w:r>
          </w:p>
        </w:tc>
      </w:tr>
    </w:tbl>
    <w:p w14:paraId="0F4D7BAC" w14:textId="77777777" w:rsidR="00B64287" w:rsidRDefault="004554DA">
      <w:pPr>
        <w:pStyle w:val="BodyText"/>
        <w:spacing w:before="5"/>
        <w:ind w:left="156" w:right="230"/>
      </w:pPr>
      <w:r>
        <w:rPr>
          <w:b/>
        </w:rPr>
        <w:t>* Note:</w:t>
      </w:r>
      <w:r>
        <w:rPr>
          <w:b/>
          <w:spacing w:val="1"/>
        </w:rPr>
        <w:t xml:space="preserve"> </w:t>
      </w:r>
      <w:r>
        <w:t>1 July 2024 and 1 July 2025 would be subject to any changes that may result from the pricing</w:t>
      </w:r>
      <w:r>
        <w:rPr>
          <w:spacing w:val="-53"/>
        </w:rPr>
        <w:t xml:space="preserve"> </w:t>
      </w:r>
      <w:r>
        <w:t>review,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outlined below</w:t>
      </w:r>
    </w:p>
    <w:p w14:paraId="2DD413DD" w14:textId="7DB0D950" w:rsidR="00B64287" w:rsidRDefault="004554DA" w:rsidP="007C171E">
      <w:pPr>
        <w:pStyle w:val="Heading2"/>
        <w:numPr>
          <w:ilvl w:val="0"/>
          <w:numId w:val="0"/>
        </w:numPr>
        <w:ind w:left="576" w:hanging="576"/>
      </w:pPr>
      <w:r>
        <w:t>Pricing</w:t>
      </w:r>
      <w:r>
        <w:rPr>
          <w:spacing w:val="-2"/>
        </w:rPr>
        <w:t xml:space="preserve"> </w:t>
      </w:r>
      <w:r>
        <w:t>review</w:t>
      </w:r>
    </w:p>
    <w:p w14:paraId="3C0AD649" w14:textId="77777777" w:rsidR="00B64287" w:rsidRDefault="004554DA" w:rsidP="007D736C">
      <w:pPr>
        <w:pStyle w:val="BodyText"/>
      </w:pPr>
      <w:r>
        <w:t>IHPA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 w:rsidRPr="007D736C">
        <w:t>conduct</w:t>
      </w:r>
      <w:r>
        <w:rPr>
          <w:spacing w:val="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pricing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4-year reform</w:t>
      </w:r>
      <w:r>
        <w:rPr>
          <w:spacing w:val="-1"/>
        </w:rPr>
        <w:t xml:space="preserve"> </w:t>
      </w:r>
      <w:r>
        <w:t>period.</w:t>
      </w:r>
    </w:p>
    <w:p w14:paraId="45838DE7" w14:textId="77777777" w:rsidR="00B64287" w:rsidRDefault="004554DA" w:rsidP="007D736C">
      <w:pPr>
        <w:pStyle w:val="BodyText"/>
      </w:pPr>
      <w:r>
        <w:t>IHPA will recalculate the Weighted Average Price based on data for 1 July 2022 to 30 June 2023 (FY23</w:t>
      </w:r>
      <w:r>
        <w:rPr>
          <w:spacing w:val="-53"/>
        </w:rPr>
        <w:t xml:space="preserve"> </w:t>
      </w:r>
      <w:r>
        <w:t>WAP).</w:t>
      </w:r>
    </w:p>
    <w:p w14:paraId="6AD71247" w14:textId="77777777" w:rsidR="00B64287" w:rsidRDefault="004554DA" w:rsidP="007D736C">
      <w:pPr>
        <w:pStyle w:val="BodyText"/>
      </w:pPr>
      <w:r>
        <w:t>IHPA will compare the recalculated FY23 WAP to the FY21 WAP (calculated using data for 1 July 2020 to 30</w:t>
      </w:r>
      <w:r w:rsidRPr="00013503">
        <w:t xml:space="preserve"> </w:t>
      </w:r>
      <w:r>
        <w:t>June</w:t>
      </w:r>
      <w:r w:rsidRPr="00013503">
        <w:t xml:space="preserve"> </w:t>
      </w:r>
      <w:r>
        <w:t>2021).</w:t>
      </w:r>
      <w:r>
        <w:rPr>
          <w:spacing w:val="3"/>
        </w:rPr>
        <w:t xml:space="preserve"> </w:t>
      </w:r>
      <w:r>
        <w:t>Any</w:t>
      </w:r>
      <w:r>
        <w:rPr>
          <w:spacing w:val="1"/>
        </w:rPr>
        <w:t xml:space="preserve"> </w:t>
      </w:r>
      <w:r w:rsidRPr="007D736C">
        <w:t>change</w:t>
      </w:r>
      <w:r>
        <w:rPr>
          <w:spacing w:val="-1"/>
        </w:rPr>
        <w:t xml:space="preserve"> </w:t>
      </w:r>
      <w:r>
        <w:t>in the</w:t>
      </w:r>
      <w:r>
        <w:rPr>
          <w:spacing w:val="-5"/>
        </w:rPr>
        <w:t xml:space="preserve"> </w:t>
      </w:r>
      <w:r>
        <w:t>FY23</w:t>
      </w:r>
      <w:r>
        <w:rPr>
          <w:spacing w:val="-6"/>
        </w:rPr>
        <w:t xml:space="preserve"> </w:t>
      </w:r>
      <w:r>
        <w:t>WAP</w:t>
      </w:r>
      <w:r>
        <w:rPr>
          <w:spacing w:val="-3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capped to a</w:t>
      </w:r>
      <w:r>
        <w:rPr>
          <w:spacing w:val="-1"/>
        </w:rPr>
        <w:t xml:space="preserve"> </w:t>
      </w:r>
      <w:r>
        <w:t>5 per</w:t>
      </w:r>
      <w:r>
        <w:rPr>
          <w:spacing w:val="-3"/>
        </w:rPr>
        <w:t xml:space="preserve"> </w:t>
      </w:r>
      <w:r>
        <w:t>cent</w:t>
      </w:r>
      <w:r>
        <w:rPr>
          <w:spacing w:val="2"/>
        </w:rPr>
        <w:t xml:space="preserve"> </w:t>
      </w:r>
      <w:r>
        <w:t>movement</w:t>
      </w:r>
      <w:r>
        <w:rPr>
          <w:spacing w:val="3"/>
        </w:rPr>
        <w:t xml:space="preserve"> </w:t>
      </w:r>
      <w:r>
        <w:t>up or</w:t>
      </w:r>
      <w:r>
        <w:rPr>
          <w:spacing w:val="-4"/>
        </w:rPr>
        <w:t xml:space="preserve"> </w:t>
      </w:r>
      <w:r>
        <w:t>down.</w:t>
      </w:r>
    </w:p>
    <w:p w14:paraId="0E3C4026" w14:textId="77777777" w:rsidR="00B64287" w:rsidRDefault="004554DA" w:rsidP="007D736C">
      <w:pPr>
        <w:pStyle w:val="BodyText"/>
      </w:pPr>
      <w:r>
        <w:t xml:space="preserve">If the FY23 WAP differs from the </w:t>
      </w:r>
      <w:r w:rsidRPr="007D736C">
        <w:t>FY21</w:t>
      </w:r>
      <w:r>
        <w:t xml:space="preserve"> WAP, the PL benefit reductions that apply on 1 July 2024 for</w:t>
      </w:r>
      <w:r>
        <w:rPr>
          <w:spacing w:val="-53"/>
        </w:rPr>
        <w:t xml:space="preserve"> </w:t>
      </w:r>
      <w:r>
        <w:t>Prostheses Listings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in accordance</w:t>
      </w:r>
      <w:r>
        <w:rPr>
          <w:spacing w:val="-1"/>
        </w:rPr>
        <w:t xml:space="preserve"> </w:t>
      </w:r>
      <w:r>
        <w:t>with section</w:t>
      </w:r>
      <w:r>
        <w:rPr>
          <w:spacing w:val="-6"/>
        </w:rPr>
        <w:t xml:space="preserve"> </w:t>
      </w:r>
      <w:r>
        <w:t>2.1 and 2.2</w:t>
      </w:r>
      <w:r>
        <w:rPr>
          <w:spacing w:val="-1"/>
        </w:rPr>
        <w:t xml:space="preserve"> </w:t>
      </w:r>
      <w:r>
        <w:t>using a</w:t>
      </w:r>
      <w:r>
        <w:rPr>
          <w:spacing w:val="-1"/>
        </w:rPr>
        <w:t xml:space="preserve"> </w:t>
      </w:r>
      <w:r>
        <w:t>Revised</w:t>
      </w:r>
      <w:r>
        <w:rPr>
          <w:spacing w:val="-5"/>
        </w:rPr>
        <w:t xml:space="preserve"> </w:t>
      </w:r>
      <w:r>
        <w:t>WAP.</w:t>
      </w:r>
    </w:p>
    <w:p w14:paraId="14722B69" w14:textId="77777777" w:rsidR="00B64287" w:rsidRDefault="004554DA" w:rsidP="007D736C">
      <w:pPr>
        <w:pStyle w:val="BodyText"/>
      </w:pPr>
      <w:r>
        <w:t>This Revised</w:t>
      </w:r>
      <w:r>
        <w:rPr>
          <w:spacing w:val="-2"/>
        </w:rPr>
        <w:t xml:space="preserve"> </w:t>
      </w:r>
      <w:r w:rsidRPr="007D736C">
        <w:t>WAP</w:t>
      </w:r>
      <w:r>
        <w:t xml:space="preserve"> will</w:t>
      </w:r>
      <w:r>
        <w:rPr>
          <w:spacing w:val="-2"/>
        </w:rPr>
        <w:t xml:space="preserve"> </w:t>
      </w:r>
      <w:r>
        <w:t>be:</w:t>
      </w:r>
    </w:p>
    <w:p w14:paraId="7AF80733" w14:textId="77777777" w:rsidR="00B64287" w:rsidRDefault="004554DA" w:rsidP="007C171E">
      <w:pPr>
        <w:pStyle w:val="ListBullet2"/>
      </w:pPr>
      <w:r>
        <w:t>If the FY23 WAP differs from the FY21 WAP by 5 per cent or less, the Revised WAP will be the</w:t>
      </w:r>
      <w:r>
        <w:rPr>
          <w:spacing w:val="-53"/>
        </w:rPr>
        <w:t xml:space="preserve"> </w:t>
      </w:r>
      <w:r>
        <w:t>FY23</w:t>
      </w:r>
      <w:r>
        <w:rPr>
          <w:spacing w:val="-5"/>
        </w:rPr>
        <w:t xml:space="preserve"> </w:t>
      </w:r>
      <w:proofErr w:type="gramStart"/>
      <w:r>
        <w:t>WAP;</w:t>
      </w:r>
      <w:proofErr w:type="gramEnd"/>
    </w:p>
    <w:p w14:paraId="1839283D" w14:textId="77777777" w:rsidR="00B64287" w:rsidRDefault="004554DA" w:rsidP="007C171E">
      <w:pPr>
        <w:pStyle w:val="ListBullet2"/>
      </w:pPr>
      <w:r>
        <w:t>If the FY23 WAP is less than the FY21 WAP by more than 5 per cent, the Revised WAP will be the</w:t>
      </w:r>
      <w:r>
        <w:rPr>
          <w:spacing w:val="-53"/>
        </w:rPr>
        <w:t xml:space="preserve"> </w:t>
      </w:r>
      <w:r>
        <w:t>FY21</w:t>
      </w:r>
      <w:r>
        <w:rPr>
          <w:spacing w:val="-5"/>
        </w:rPr>
        <w:t xml:space="preserve"> </w:t>
      </w:r>
      <w:r>
        <w:t>WAP</w:t>
      </w:r>
      <w:r>
        <w:rPr>
          <w:spacing w:val="-3"/>
        </w:rPr>
        <w:t xml:space="preserve"> </w:t>
      </w:r>
      <w:r>
        <w:t>reduced by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cent</w:t>
      </w:r>
    </w:p>
    <w:p w14:paraId="63C9779C" w14:textId="77777777" w:rsidR="00B64287" w:rsidRDefault="004554DA" w:rsidP="007C171E">
      <w:pPr>
        <w:pStyle w:val="ListBullet2"/>
      </w:pPr>
      <w:r>
        <w:t>If the FY23 WAP is greater than the FY21 WAP by more than 5 per cent, the Revised WAP will be</w:t>
      </w:r>
      <w:r>
        <w:rPr>
          <w:spacing w:val="-53"/>
        </w:rPr>
        <w:t xml:space="preserve"> </w:t>
      </w:r>
      <w:r>
        <w:t>the FY21</w:t>
      </w:r>
      <w:r>
        <w:rPr>
          <w:spacing w:val="-5"/>
        </w:rPr>
        <w:t xml:space="preserve"> </w:t>
      </w:r>
      <w:r>
        <w:t>WAP</w:t>
      </w:r>
      <w:r>
        <w:rPr>
          <w:spacing w:val="-3"/>
        </w:rPr>
        <w:t xml:space="preserve"> </w:t>
      </w:r>
      <w:r>
        <w:t>increased by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cent.</w:t>
      </w:r>
    </w:p>
    <w:p w14:paraId="3C2D57DE" w14:textId="77777777" w:rsidR="00B64287" w:rsidRDefault="004554DA" w:rsidP="007C171E">
      <w:pPr>
        <w:keepNext/>
        <w:pageBreakBefore/>
        <w:widowControl/>
      </w:pPr>
      <w:r>
        <w:t>For</w:t>
      </w:r>
      <w:r>
        <w:rPr>
          <w:spacing w:val="-1"/>
        </w:rPr>
        <w:t xml:space="preserve"> </w:t>
      </w:r>
      <w:r>
        <w:t>clarity</w:t>
      </w:r>
      <w:r>
        <w:rPr>
          <w:spacing w:val="-5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reductions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follows:</w:t>
      </w:r>
    </w:p>
    <w:p w14:paraId="3290B2AC" w14:textId="77777777" w:rsidR="00B64287" w:rsidRDefault="004554DA" w:rsidP="007C171E">
      <w:pPr>
        <w:pStyle w:val="ListBullet2"/>
      </w:pPr>
      <w:r>
        <w:t>IHPA will calculate the gap between PL benefits and FY23 WAP and determine the reductions to PL</w:t>
      </w:r>
      <w:r>
        <w:rPr>
          <w:spacing w:val="-53"/>
        </w:rPr>
        <w:t xml:space="preserve"> </w:t>
      </w:r>
      <w:r>
        <w:t>benefits that</w:t>
      </w:r>
      <w:r>
        <w:rPr>
          <w:spacing w:val="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2024,</w:t>
      </w:r>
      <w:r>
        <w:rPr>
          <w:spacing w:val="2"/>
        </w:rPr>
        <w:t xml:space="preserve"> </w:t>
      </w:r>
      <w:r>
        <w:t>in 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section 2.1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section </w:t>
      </w:r>
      <w:proofErr w:type="gramStart"/>
      <w:r>
        <w:t>2.2;</w:t>
      </w:r>
      <w:proofErr w:type="gramEnd"/>
    </w:p>
    <w:p w14:paraId="74232DD9" w14:textId="77777777" w:rsidR="00B64287" w:rsidRDefault="004554DA" w:rsidP="007C171E">
      <w:pPr>
        <w:pStyle w:val="ListBullet2"/>
      </w:pPr>
      <w:r>
        <w:t>PL benefits for devices with a benefit level more than 7 percent above the FY21 WAP are to be</w:t>
      </w:r>
      <w:r>
        <w:rPr>
          <w:spacing w:val="1"/>
        </w:rPr>
        <w:t xml:space="preserve"> </w:t>
      </w:r>
      <w:r>
        <w:t>reduced on 1 July 2024 by 20 percent of the difference between the Prostheses List benefit and the</w:t>
      </w:r>
      <w:r>
        <w:rPr>
          <w:spacing w:val="1"/>
        </w:rPr>
        <w:t xml:space="preserve"> </w:t>
      </w:r>
      <w:r>
        <w:t>Revised WAP, provided the benefit is not reduced below the FY21 WAP plus 7 per cent, and devices</w:t>
      </w:r>
      <w:r>
        <w:rPr>
          <w:spacing w:val="-5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 gap between</w:t>
      </w:r>
      <w:r>
        <w:rPr>
          <w:spacing w:val="-1"/>
        </w:rPr>
        <w:t xml:space="preserve"> </w:t>
      </w:r>
      <w:r>
        <w:t>the PL benefit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FY21</w:t>
      </w:r>
      <w:r>
        <w:rPr>
          <w:spacing w:val="-5"/>
        </w:rPr>
        <w:t xml:space="preserve"> </w:t>
      </w:r>
      <w:r>
        <w:t>WAP</w:t>
      </w:r>
      <w:r>
        <w:rPr>
          <w:spacing w:val="-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percent</w:t>
      </w:r>
      <w:r>
        <w:rPr>
          <w:spacing w:val="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less will not</w:t>
      </w:r>
      <w:r>
        <w:rPr>
          <w:spacing w:val="3"/>
        </w:rPr>
        <w:t xml:space="preserve"> </w:t>
      </w:r>
      <w:r>
        <w:t>be</w:t>
      </w:r>
      <w:r>
        <w:rPr>
          <w:spacing w:val="-1"/>
        </w:rPr>
        <w:t xml:space="preserve"> </w:t>
      </w:r>
      <w:proofErr w:type="gramStart"/>
      <w:r>
        <w:t>reduced;</w:t>
      </w:r>
      <w:proofErr w:type="gramEnd"/>
    </w:p>
    <w:p w14:paraId="04A2D4F9" w14:textId="77777777" w:rsidR="00B64287" w:rsidRDefault="004554DA" w:rsidP="007C171E">
      <w:pPr>
        <w:pStyle w:val="ListBullet2"/>
      </w:pPr>
      <w:r>
        <w:t>The</w:t>
      </w:r>
      <w:r>
        <w:rPr>
          <w:spacing w:val="-2"/>
        </w:rPr>
        <w:t xml:space="preserve"> </w:t>
      </w:r>
      <w:r>
        <w:t>PL</w:t>
      </w:r>
      <w:r>
        <w:rPr>
          <w:spacing w:val="-1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this gap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June</w:t>
      </w:r>
      <w:r>
        <w:rPr>
          <w:spacing w:val="3"/>
        </w:rPr>
        <w:t xml:space="preserve"> </w:t>
      </w:r>
      <w:proofErr w:type="gramStart"/>
      <w:r>
        <w:t>2022;</w:t>
      </w:r>
      <w:proofErr w:type="gramEnd"/>
    </w:p>
    <w:p w14:paraId="75D100BD" w14:textId="77777777" w:rsidR="00B64287" w:rsidRDefault="004554DA" w:rsidP="007C171E">
      <w:pPr>
        <w:pStyle w:val="ListBullet2"/>
      </w:pPr>
      <w:r>
        <w:t>No reductions to PL benefits are to occur in year 4 of the reforms, between 1 July 2025 and 30 June</w:t>
      </w:r>
      <w:r>
        <w:rPr>
          <w:spacing w:val="-53"/>
        </w:rPr>
        <w:t xml:space="preserve"> </w:t>
      </w:r>
      <w:r>
        <w:t>2026.</w:t>
      </w:r>
    </w:p>
    <w:p w14:paraId="6E1639E9" w14:textId="77777777" w:rsidR="00B64287" w:rsidRDefault="00B64287">
      <w:pPr>
        <w:spacing w:line="228" w:lineRule="auto"/>
        <w:sectPr w:rsidR="00B64287">
          <w:pgSz w:w="11910" w:h="16840"/>
          <w:pgMar w:top="1580" w:right="700" w:bottom="280" w:left="1260" w:header="720" w:footer="720" w:gutter="0"/>
          <w:cols w:space="720"/>
        </w:sectPr>
      </w:pPr>
    </w:p>
    <w:p w14:paraId="27CBE20D" w14:textId="1398CD90" w:rsidR="00B64287" w:rsidRDefault="00B64287">
      <w:pPr>
        <w:pStyle w:val="BodyText"/>
        <w:spacing w:line="20" w:lineRule="exact"/>
        <w:ind w:left="127"/>
        <w:rPr>
          <w:sz w:val="2"/>
        </w:rPr>
      </w:pPr>
    </w:p>
    <w:p w14:paraId="53ABC4B1" w14:textId="77777777" w:rsidR="00B64287" w:rsidRDefault="004554DA" w:rsidP="007D736C">
      <w:pPr>
        <w:pStyle w:val="Heading1"/>
        <w:numPr>
          <w:ilvl w:val="0"/>
          <w:numId w:val="0"/>
        </w:numPr>
      </w:pPr>
      <w:r>
        <w:t>Signing</w:t>
      </w:r>
      <w:r>
        <w:rPr>
          <w:spacing w:val="-3"/>
        </w:rPr>
        <w:t xml:space="preserve"> </w:t>
      </w:r>
      <w:r w:rsidRPr="00A26BA0">
        <w:t>Page</w:t>
      </w:r>
    </w:p>
    <w:p w14:paraId="29B3313E" w14:textId="77777777" w:rsidR="00A26BA0" w:rsidRDefault="004554DA" w:rsidP="00A26BA0">
      <w:pPr>
        <w:sectPr w:rsidR="00A26BA0">
          <w:pgSz w:w="11910" w:h="16840"/>
          <w:pgMar w:top="1580" w:right="700" w:bottom="280" w:left="1260" w:header="720" w:footer="720" w:gutter="0"/>
          <w:cols w:space="720"/>
        </w:sectPr>
      </w:pPr>
      <w:r w:rsidRPr="00A26BA0">
        <w:rPr>
          <w:rStyle w:val="Strong"/>
        </w:rPr>
        <w:t>Dated</w:t>
      </w:r>
      <w:r>
        <w:rPr>
          <w:b/>
          <w:spacing w:val="57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2022</w:t>
      </w:r>
    </w:p>
    <w:p w14:paraId="2DF43275" w14:textId="7654A49C" w:rsidR="00A26BA0" w:rsidRDefault="00A26BA0" w:rsidP="007D736C">
      <w:pPr>
        <w:spacing w:before="1320" w:after="1680"/>
        <w:rPr>
          <w:b/>
        </w:rPr>
      </w:pPr>
      <w:r>
        <w:rPr>
          <w:b/>
        </w:rPr>
        <w:t xml:space="preserve">Signed </w:t>
      </w:r>
      <w:r>
        <w:t xml:space="preserve">by the </w:t>
      </w:r>
      <w:r>
        <w:rPr>
          <w:b/>
        </w:rPr>
        <w:t>Honourable Greg Hunt MP,</w:t>
      </w:r>
      <w:r>
        <w:rPr>
          <w:b/>
          <w:spacing w:val="-53"/>
        </w:rPr>
        <w:t xml:space="preserve"> </w:t>
      </w:r>
      <w:r>
        <w:rPr>
          <w:b/>
        </w:rPr>
        <w:t>Minister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Health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3"/>
        </w:rPr>
        <w:t xml:space="preserve"> </w:t>
      </w:r>
      <w:r>
        <w:rPr>
          <w:b/>
        </w:rPr>
        <w:t>Aged</w:t>
      </w:r>
      <w:r>
        <w:rPr>
          <w:b/>
          <w:spacing w:val="3"/>
        </w:rPr>
        <w:t xml:space="preserve"> </w:t>
      </w:r>
      <w:r>
        <w:rPr>
          <w:b/>
        </w:rPr>
        <w:t>Care</w:t>
      </w:r>
      <w:r>
        <w:rPr>
          <w:b/>
        </w:rPr>
        <w:t xml:space="preserve"> </w:t>
      </w:r>
      <w:r>
        <w:rPr>
          <w:b/>
        </w:rPr>
        <w:br w:type="column"/>
      </w:r>
      <w:r>
        <w:rPr>
          <w:noProof/>
        </w:rPr>
        <w:drawing>
          <wp:inline distT="0" distB="0" distL="0" distR="0" wp14:anchorId="283BEBCF" wp14:editId="1DD236D9">
            <wp:extent cx="2053247" cy="581070"/>
            <wp:effectExtent l="0" t="0" r="4445" b="0"/>
            <wp:docPr id="2" name="image2.png" descr="Signature of the Honourable Greg Hunt MP, Minister for Health and Aged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Signature of the Honourable Greg Hunt MP, Minister for Health and Aged Car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247" cy="5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381AF" w14:textId="77777777" w:rsidR="00A26BA0" w:rsidRDefault="00A26BA0" w:rsidP="00A26BA0">
      <w:pPr>
        <w:pStyle w:val="TableParagraph"/>
        <w:spacing w:before="720"/>
        <w:ind w:left="51" w:right="380"/>
        <w:rPr>
          <w:b/>
        </w:rPr>
        <w:sectPr w:rsidR="00A26BA0" w:rsidSect="00A26BA0">
          <w:type w:val="continuous"/>
          <w:pgSz w:w="11910" w:h="16840"/>
          <w:pgMar w:top="1580" w:right="700" w:bottom="280" w:left="1260" w:header="720" w:footer="720" w:gutter="0"/>
          <w:cols w:num="2" w:space="720"/>
        </w:sectPr>
      </w:pPr>
    </w:p>
    <w:p w14:paraId="2243C9EE" w14:textId="3842EC11" w:rsidR="00A26BA0" w:rsidRDefault="00A26BA0" w:rsidP="00A26BA0">
      <w:pPr>
        <w:pStyle w:val="TableParagraph"/>
        <w:spacing w:before="1800"/>
        <w:ind w:right="381"/>
        <w:rPr>
          <w:b/>
        </w:rPr>
      </w:pPr>
      <w:r>
        <w:rPr>
          <w:b/>
        </w:rPr>
        <w:t xml:space="preserve">Signed </w:t>
      </w:r>
      <w:r>
        <w:t xml:space="preserve">for and on behalf of </w:t>
      </w:r>
      <w:r>
        <w:rPr>
          <w:b/>
        </w:rPr>
        <w:t>Medical Technology</w:t>
      </w:r>
      <w:r>
        <w:rPr>
          <w:b/>
          <w:spacing w:val="1"/>
        </w:rPr>
        <w:t xml:space="preserve"> </w:t>
      </w:r>
      <w:r>
        <w:rPr>
          <w:b/>
        </w:rPr>
        <w:t>Association</w:t>
      </w:r>
      <w:r>
        <w:rPr>
          <w:b/>
          <w:spacing w:val="-3"/>
        </w:rPr>
        <w:t xml:space="preserve"> </w:t>
      </w:r>
      <w:r>
        <w:rPr>
          <w:b/>
        </w:rPr>
        <w:t>of Australia</w:t>
      </w:r>
      <w:r>
        <w:rPr>
          <w:b/>
          <w:spacing w:val="-4"/>
        </w:rPr>
        <w:t xml:space="preserve"> </w:t>
      </w:r>
      <w:r>
        <w:rPr>
          <w:b/>
        </w:rPr>
        <w:t>Limited</w:t>
      </w:r>
      <w:r>
        <w:rPr>
          <w:b/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b/>
        </w:rPr>
        <w:t>Maurice</w:t>
      </w:r>
      <w:r>
        <w:rPr>
          <w:b/>
          <w:spacing w:val="-1"/>
        </w:rPr>
        <w:t xml:space="preserve"> </w:t>
      </w:r>
      <w:r>
        <w:rPr>
          <w:b/>
        </w:rPr>
        <w:t>Ben-Mayor</w:t>
      </w:r>
      <w:r>
        <w:t>,</w:t>
      </w:r>
      <w:r>
        <w:rPr>
          <w:spacing w:val="2"/>
        </w:rPr>
        <w:t xml:space="preserve"> </w:t>
      </w:r>
      <w:r>
        <w:rPr>
          <w:b/>
        </w:rPr>
        <w:t>Chair</w:t>
      </w:r>
      <w:r>
        <w:rPr>
          <w:b/>
        </w:rPr>
        <w:br w:type="column"/>
      </w:r>
    </w:p>
    <w:p w14:paraId="06E74EF1" w14:textId="72CC2F57" w:rsidR="00A26BA0" w:rsidRPr="00A26BA0" w:rsidRDefault="00A26BA0" w:rsidP="00A26BA0">
      <w:pPr>
        <w:pStyle w:val="TableParagraph"/>
        <w:spacing w:before="1920"/>
        <w:ind w:left="50" w:right="381"/>
        <w:jc w:val="both"/>
        <w:rPr>
          <w:b/>
        </w:rPr>
      </w:pPr>
      <w:r>
        <w:rPr>
          <w:noProof/>
        </w:rPr>
        <w:drawing>
          <wp:inline distT="0" distB="0" distL="0" distR="0" wp14:anchorId="1E411ADD" wp14:editId="5717C843">
            <wp:extent cx="2223135" cy="389255"/>
            <wp:effectExtent l="0" t="0" r="0" b="0"/>
            <wp:docPr id="4" name="image3.png" descr="Signature of Maurice Ben Mayor,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Signature of Maurice Ben Mayor,&#10;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313ED" w14:textId="77777777" w:rsidR="00154503" w:rsidRDefault="00154503" w:rsidP="00154503">
      <w:pPr>
        <w:spacing w:before="96"/>
        <w:ind w:left="5827"/>
      </w:pPr>
    </w:p>
    <w:sectPr w:rsidR="00154503" w:rsidSect="00A26BA0">
      <w:type w:val="continuous"/>
      <w:pgSz w:w="11910" w:h="16840"/>
      <w:pgMar w:top="1580" w:right="700" w:bottom="280" w:left="126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D1813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E44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0C99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D83E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5A4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C20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6B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04F478"/>
    <w:lvl w:ilvl="0">
      <w:start w:val="1"/>
      <w:numFmt w:val="bullet"/>
      <w:pStyle w:val="ListBullet2"/>
      <w:lvlText w:val="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E63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E8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27164"/>
    <w:multiLevelType w:val="multilevel"/>
    <w:tmpl w:val="1026CA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ADD4133"/>
    <w:multiLevelType w:val="hybridMultilevel"/>
    <w:tmpl w:val="02105FE8"/>
    <w:lvl w:ilvl="0" w:tplc="B8D097DC">
      <w:start w:val="1"/>
      <w:numFmt w:val="decimal"/>
      <w:lvlText w:val="%1."/>
      <w:lvlJc w:val="left"/>
      <w:pPr>
        <w:ind w:left="1006" w:hanging="851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n-AU" w:eastAsia="en-US" w:bidi="ar-SA"/>
      </w:rPr>
    </w:lvl>
    <w:lvl w:ilvl="1" w:tplc="5712D794">
      <w:start w:val="1"/>
      <w:numFmt w:val="decimal"/>
      <w:lvlText w:val="%1.%2"/>
      <w:lvlJc w:val="left"/>
      <w:pPr>
        <w:ind w:left="1861" w:hanging="855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AU" w:eastAsia="en-US" w:bidi="ar-SA"/>
      </w:rPr>
    </w:lvl>
    <w:lvl w:ilvl="2" w:tplc="EAC07800">
      <w:numFmt w:val="bullet"/>
      <w:lvlText w:val="•"/>
      <w:lvlJc w:val="left"/>
      <w:pPr>
        <w:ind w:left="2758" w:hanging="855"/>
      </w:pPr>
      <w:rPr>
        <w:rFonts w:hint="default"/>
        <w:lang w:val="en-AU" w:eastAsia="en-US" w:bidi="ar-SA"/>
      </w:rPr>
    </w:lvl>
    <w:lvl w:ilvl="3" w:tplc="0570F0E4">
      <w:numFmt w:val="bullet"/>
      <w:lvlText w:val="•"/>
      <w:lvlJc w:val="left"/>
      <w:pPr>
        <w:ind w:left="3656" w:hanging="855"/>
      </w:pPr>
      <w:rPr>
        <w:rFonts w:hint="default"/>
        <w:lang w:val="en-AU" w:eastAsia="en-US" w:bidi="ar-SA"/>
      </w:rPr>
    </w:lvl>
    <w:lvl w:ilvl="4" w:tplc="E8A2491C">
      <w:numFmt w:val="bullet"/>
      <w:lvlText w:val="•"/>
      <w:lvlJc w:val="left"/>
      <w:pPr>
        <w:ind w:left="4554" w:hanging="855"/>
      </w:pPr>
      <w:rPr>
        <w:rFonts w:hint="default"/>
        <w:lang w:val="en-AU" w:eastAsia="en-US" w:bidi="ar-SA"/>
      </w:rPr>
    </w:lvl>
    <w:lvl w:ilvl="5" w:tplc="36A49006">
      <w:numFmt w:val="bullet"/>
      <w:lvlText w:val="•"/>
      <w:lvlJc w:val="left"/>
      <w:pPr>
        <w:ind w:left="5452" w:hanging="855"/>
      </w:pPr>
      <w:rPr>
        <w:rFonts w:hint="default"/>
        <w:lang w:val="en-AU" w:eastAsia="en-US" w:bidi="ar-SA"/>
      </w:rPr>
    </w:lvl>
    <w:lvl w:ilvl="6" w:tplc="B008D96A">
      <w:numFmt w:val="bullet"/>
      <w:lvlText w:val="•"/>
      <w:lvlJc w:val="left"/>
      <w:pPr>
        <w:ind w:left="6351" w:hanging="855"/>
      </w:pPr>
      <w:rPr>
        <w:rFonts w:hint="default"/>
        <w:lang w:val="en-AU" w:eastAsia="en-US" w:bidi="ar-SA"/>
      </w:rPr>
    </w:lvl>
    <w:lvl w:ilvl="7" w:tplc="6BA4DDE4">
      <w:numFmt w:val="bullet"/>
      <w:lvlText w:val="•"/>
      <w:lvlJc w:val="left"/>
      <w:pPr>
        <w:ind w:left="7249" w:hanging="855"/>
      </w:pPr>
      <w:rPr>
        <w:rFonts w:hint="default"/>
        <w:lang w:val="en-AU" w:eastAsia="en-US" w:bidi="ar-SA"/>
      </w:rPr>
    </w:lvl>
    <w:lvl w:ilvl="8" w:tplc="02E45CB6">
      <w:numFmt w:val="bullet"/>
      <w:lvlText w:val="•"/>
      <w:lvlJc w:val="left"/>
      <w:pPr>
        <w:ind w:left="8147" w:hanging="855"/>
      </w:pPr>
      <w:rPr>
        <w:rFonts w:hint="default"/>
        <w:lang w:val="en-AU" w:eastAsia="en-US" w:bidi="ar-SA"/>
      </w:rPr>
    </w:lvl>
  </w:abstractNum>
  <w:abstractNum w:abstractNumId="12" w15:restartNumberingAfterBreak="0">
    <w:nsid w:val="298F1BC4"/>
    <w:multiLevelType w:val="hybridMultilevel"/>
    <w:tmpl w:val="99F84E6C"/>
    <w:lvl w:ilvl="0" w:tplc="03D41CD4">
      <w:start w:val="1"/>
      <w:numFmt w:val="lowerLetter"/>
      <w:pStyle w:val="Heading4"/>
      <w:lvlText w:val="%1)"/>
      <w:lvlJc w:val="left"/>
      <w:pPr>
        <w:ind w:left="1627" w:hanging="360"/>
      </w:pPr>
    </w:lvl>
    <w:lvl w:ilvl="1" w:tplc="0C090019" w:tentative="1">
      <w:start w:val="1"/>
      <w:numFmt w:val="lowerLetter"/>
      <w:lvlText w:val="%2."/>
      <w:lvlJc w:val="left"/>
      <w:pPr>
        <w:ind w:left="2347" w:hanging="360"/>
      </w:pPr>
    </w:lvl>
    <w:lvl w:ilvl="2" w:tplc="0C09001B" w:tentative="1">
      <w:start w:val="1"/>
      <w:numFmt w:val="lowerRoman"/>
      <w:lvlText w:val="%3."/>
      <w:lvlJc w:val="right"/>
      <w:pPr>
        <w:ind w:left="3067" w:hanging="180"/>
      </w:pPr>
    </w:lvl>
    <w:lvl w:ilvl="3" w:tplc="0C09000F" w:tentative="1">
      <w:start w:val="1"/>
      <w:numFmt w:val="decimal"/>
      <w:lvlText w:val="%4."/>
      <w:lvlJc w:val="left"/>
      <w:pPr>
        <w:ind w:left="3787" w:hanging="360"/>
      </w:pPr>
    </w:lvl>
    <w:lvl w:ilvl="4" w:tplc="0C090019" w:tentative="1">
      <w:start w:val="1"/>
      <w:numFmt w:val="lowerLetter"/>
      <w:lvlText w:val="%5."/>
      <w:lvlJc w:val="left"/>
      <w:pPr>
        <w:ind w:left="4507" w:hanging="360"/>
      </w:pPr>
    </w:lvl>
    <w:lvl w:ilvl="5" w:tplc="0C09001B" w:tentative="1">
      <w:start w:val="1"/>
      <w:numFmt w:val="lowerRoman"/>
      <w:lvlText w:val="%6."/>
      <w:lvlJc w:val="right"/>
      <w:pPr>
        <w:ind w:left="5227" w:hanging="180"/>
      </w:pPr>
    </w:lvl>
    <w:lvl w:ilvl="6" w:tplc="0C09000F" w:tentative="1">
      <w:start w:val="1"/>
      <w:numFmt w:val="decimal"/>
      <w:lvlText w:val="%7."/>
      <w:lvlJc w:val="left"/>
      <w:pPr>
        <w:ind w:left="5947" w:hanging="360"/>
      </w:pPr>
    </w:lvl>
    <w:lvl w:ilvl="7" w:tplc="0C090019" w:tentative="1">
      <w:start w:val="1"/>
      <w:numFmt w:val="lowerLetter"/>
      <w:lvlText w:val="%8."/>
      <w:lvlJc w:val="left"/>
      <w:pPr>
        <w:ind w:left="6667" w:hanging="360"/>
      </w:pPr>
    </w:lvl>
    <w:lvl w:ilvl="8" w:tplc="0C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3" w15:restartNumberingAfterBreak="0">
    <w:nsid w:val="39B51DD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pacing w:val="0"/>
        <w:w w:val="100"/>
        <w:sz w:val="28"/>
        <w:szCs w:val="28"/>
        <w:lang w:val="en-A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2"/>
        <w:w w:val="100"/>
        <w:lang w:val="en-A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pacing w:val="-2"/>
        <w:w w:val="100"/>
        <w:sz w:val="20"/>
        <w:szCs w:val="20"/>
        <w:lang w:val="en-A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pacing w:val="-2"/>
        <w:w w:val="100"/>
        <w:sz w:val="20"/>
        <w:szCs w:val="20"/>
        <w:lang w:val="en-A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A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A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A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A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AU" w:eastAsia="en-US" w:bidi="ar-SA"/>
      </w:rPr>
    </w:lvl>
  </w:abstractNum>
  <w:abstractNum w:abstractNumId="14" w15:restartNumberingAfterBreak="0">
    <w:nsid w:val="5EC32F3A"/>
    <w:multiLevelType w:val="hybridMultilevel"/>
    <w:tmpl w:val="F2FEB1B8"/>
    <w:lvl w:ilvl="0" w:tplc="81F07242">
      <w:numFmt w:val="bullet"/>
      <w:lvlText w:val="-"/>
      <w:lvlJc w:val="left"/>
      <w:pPr>
        <w:ind w:left="51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 w:tplc="D7C06828">
      <w:numFmt w:val="bullet"/>
      <w:lvlText w:val="•"/>
      <w:lvlJc w:val="left"/>
      <w:pPr>
        <w:ind w:left="1462" w:hanging="361"/>
      </w:pPr>
      <w:rPr>
        <w:rFonts w:hint="default"/>
        <w:lang w:val="en-AU" w:eastAsia="en-US" w:bidi="ar-SA"/>
      </w:rPr>
    </w:lvl>
    <w:lvl w:ilvl="2" w:tplc="660AE506">
      <w:numFmt w:val="bullet"/>
      <w:lvlText w:val="•"/>
      <w:lvlJc w:val="left"/>
      <w:pPr>
        <w:ind w:left="2404" w:hanging="361"/>
      </w:pPr>
      <w:rPr>
        <w:rFonts w:hint="default"/>
        <w:lang w:val="en-AU" w:eastAsia="en-US" w:bidi="ar-SA"/>
      </w:rPr>
    </w:lvl>
    <w:lvl w:ilvl="3" w:tplc="AC083C7C">
      <w:numFmt w:val="bullet"/>
      <w:lvlText w:val="•"/>
      <w:lvlJc w:val="left"/>
      <w:pPr>
        <w:ind w:left="3347" w:hanging="361"/>
      </w:pPr>
      <w:rPr>
        <w:rFonts w:hint="default"/>
        <w:lang w:val="en-AU" w:eastAsia="en-US" w:bidi="ar-SA"/>
      </w:rPr>
    </w:lvl>
    <w:lvl w:ilvl="4" w:tplc="E5B4DD3C">
      <w:numFmt w:val="bullet"/>
      <w:lvlText w:val="•"/>
      <w:lvlJc w:val="left"/>
      <w:pPr>
        <w:ind w:left="4289" w:hanging="361"/>
      </w:pPr>
      <w:rPr>
        <w:rFonts w:hint="default"/>
        <w:lang w:val="en-AU" w:eastAsia="en-US" w:bidi="ar-SA"/>
      </w:rPr>
    </w:lvl>
    <w:lvl w:ilvl="5" w:tplc="E0883CE8">
      <w:numFmt w:val="bullet"/>
      <w:lvlText w:val="•"/>
      <w:lvlJc w:val="left"/>
      <w:pPr>
        <w:ind w:left="5232" w:hanging="361"/>
      </w:pPr>
      <w:rPr>
        <w:rFonts w:hint="default"/>
        <w:lang w:val="en-AU" w:eastAsia="en-US" w:bidi="ar-SA"/>
      </w:rPr>
    </w:lvl>
    <w:lvl w:ilvl="6" w:tplc="E7A668D8">
      <w:numFmt w:val="bullet"/>
      <w:lvlText w:val="•"/>
      <w:lvlJc w:val="left"/>
      <w:pPr>
        <w:ind w:left="6174" w:hanging="361"/>
      </w:pPr>
      <w:rPr>
        <w:rFonts w:hint="default"/>
        <w:lang w:val="en-AU" w:eastAsia="en-US" w:bidi="ar-SA"/>
      </w:rPr>
    </w:lvl>
    <w:lvl w:ilvl="7" w:tplc="A91E80AC">
      <w:numFmt w:val="bullet"/>
      <w:lvlText w:val="•"/>
      <w:lvlJc w:val="left"/>
      <w:pPr>
        <w:ind w:left="7116" w:hanging="361"/>
      </w:pPr>
      <w:rPr>
        <w:rFonts w:hint="default"/>
        <w:lang w:val="en-AU" w:eastAsia="en-US" w:bidi="ar-SA"/>
      </w:rPr>
    </w:lvl>
    <w:lvl w:ilvl="8" w:tplc="EFBC8B16">
      <w:numFmt w:val="bullet"/>
      <w:lvlText w:val="•"/>
      <w:lvlJc w:val="left"/>
      <w:pPr>
        <w:ind w:left="8059" w:hanging="361"/>
      </w:pPr>
      <w:rPr>
        <w:rFonts w:hint="default"/>
        <w:lang w:val="en-AU" w:eastAsia="en-US" w:bidi="ar-SA"/>
      </w:rPr>
    </w:lvl>
  </w:abstractNum>
  <w:abstractNum w:abstractNumId="15" w15:restartNumberingAfterBreak="0">
    <w:nsid w:val="751575A8"/>
    <w:multiLevelType w:val="hybridMultilevel"/>
    <w:tmpl w:val="F6BAD41E"/>
    <w:lvl w:ilvl="0" w:tplc="007CF8A0">
      <w:numFmt w:val="bullet"/>
      <w:lvlText w:val="-"/>
      <w:lvlJc w:val="left"/>
      <w:pPr>
        <w:ind w:left="877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 w:tplc="A6C8F6E2">
      <w:numFmt w:val="bullet"/>
      <w:lvlText w:val="•"/>
      <w:lvlJc w:val="left"/>
      <w:pPr>
        <w:ind w:left="1786" w:hanging="361"/>
      </w:pPr>
      <w:rPr>
        <w:rFonts w:hint="default"/>
        <w:lang w:val="en-AU" w:eastAsia="en-US" w:bidi="ar-SA"/>
      </w:rPr>
    </w:lvl>
    <w:lvl w:ilvl="2" w:tplc="E17E294E">
      <w:numFmt w:val="bullet"/>
      <w:lvlText w:val="•"/>
      <w:lvlJc w:val="left"/>
      <w:pPr>
        <w:ind w:left="2692" w:hanging="361"/>
      </w:pPr>
      <w:rPr>
        <w:rFonts w:hint="default"/>
        <w:lang w:val="en-AU" w:eastAsia="en-US" w:bidi="ar-SA"/>
      </w:rPr>
    </w:lvl>
    <w:lvl w:ilvl="3" w:tplc="E1507974">
      <w:numFmt w:val="bullet"/>
      <w:lvlText w:val="•"/>
      <w:lvlJc w:val="left"/>
      <w:pPr>
        <w:ind w:left="3599" w:hanging="361"/>
      </w:pPr>
      <w:rPr>
        <w:rFonts w:hint="default"/>
        <w:lang w:val="en-AU" w:eastAsia="en-US" w:bidi="ar-SA"/>
      </w:rPr>
    </w:lvl>
    <w:lvl w:ilvl="4" w:tplc="C5D28FF0">
      <w:numFmt w:val="bullet"/>
      <w:lvlText w:val="•"/>
      <w:lvlJc w:val="left"/>
      <w:pPr>
        <w:ind w:left="4505" w:hanging="361"/>
      </w:pPr>
      <w:rPr>
        <w:rFonts w:hint="default"/>
        <w:lang w:val="en-AU" w:eastAsia="en-US" w:bidi="ar-SA"/>
      </w:rPr>
    </w:lvl>
    <w:lvl w:ilvl="5" w:tplc="519AE65C">
      <w:numFmt w:val="bullet"/>
      <w:lvlText w:val="•"/>
      <w:lvlJc w:val="left"/>
      <w:pPr>
        <w:ind w:left="5412" w:hanging="361"/>
      </w:pPr>
      <w:rPr>
        <w:rFonts w:hint="default"/>
        <w:lang w:val="en-AU" w:eastAsia="en-US" w:bidi="ar-SA"/>
      </w:rPr>
    </w:lvl>
    <w:lvl w:ilvl="6" w:tplc="F27AE254">
      <w:numFmt w:val="bullet"/>
      <w:lvlText w:val="•"/>
      <w:lvlJc w:val="left"/>
      <w:pPr>
        <w:ind w:left="6318" w:hanging="361"/>
      </w:pPr>
      <w:rPr>
        <w:rFonts w:hint="default"/>
        <w:lang w:val="en-AU" w:eastAsia="en-US" w:bidi="ar-SA"/>
      </w:rPr>
    </w:lvl>
    <w:lvl w:ilvl="7" w:tplc="5E3CA5F2">
      <w:numFmt w:val="bullet"/>
      <w:lvlText w:val="•"/>
      <w:lvlJc w:val="left"/>
      <w:pPr>
        <w:ind w:left="7224" w:hanging="361"/>
      </w:pPr>
      <w:rPr>
        <w:rFonts w:hint="default"/>
        <w:lang w:val="en-AU" w:eastAsia="en-US" w:bidi="ar-SA"/>
      </w:rPr>
    </w:lvl>
    <w:lvl w:ilvl="8" w:tplc="C628808A">
      <w:numFmt w:val="bullet"/>
      <w:lvlText w:val="•"/>
      <w:lvlJc w:val="left"/>
      <w:pPr>
        <w:ind w:left="8131" w:hanging="361"/>
      </w:pPr>
      <w:rPr>
        <w:rFonts w:hint="default"/>
        <w:lang w:val="en-AU" w:eastAsia="en-US" w:bidi="ar-SA"/>
      </w:rPr>
    </w:lvl>
  </w:abstractNum>
  <w:abstractNum w:abstractNumId="16" w15:restartNumberingAfterBreak="0">
    <w:nsid w:val="76753464"/>
    <w:multiLevelType w:val="hybridMultilevel"/>
    <w:tmpl w:val="584CE37A"/>
    <w:lvl w:ilvl="0" w:tplc="3FFC0658">
      <w:start w:val="1"/>
      <w:numFmt w:val="upperLetter"/>
      <w:lvlText w:val="%1."/>
      <w:lvlJc w:val="left"/>
      <w:pPr>
        <w:ind w:left="1006" w:hanging="8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AU" w:eastAsia="en-US" w:bidi="ar-SA"/>
      </w:rPr>
    </w:lvl>
    <w:lvl w:ilvl="1" w:tplc="CF963AD0">
      <w:start w:val="1"/>
      <w:numFmt w:val="decimal"/>
      <w:lvlText w:val="%1.%2"/>
      <w:lvlJc w:val="left"/>
      <w:pPr>
        <w:ind w:left="1856" w:hanging="85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AU" w:eastAsia="en-US" w:bidi="ar-SA"/>
      </w:rPr>
    </w:lvl>
    <w:lvl w:ilvl="2" w:tplc="CB62EEF0">
      <w:numFmt w:val="bullet"/>
      <w:lvlText w:val="•"/>
      <w:lvlJc w:val="left"/>
      <w:pPr>
        <w:ind w:left="2758" w:hanging="850"/>
      </w:pPr>
      <w:rPr>
        <w:rFonts w:hint="default"/>
        <w:lang w:val="en-AU" w:eastAsia="en-US" w:bidi="ar-SA"/>
      </w:rPr>
    </w:lvl>
    <w:lvl w:ilvl="3" w:tplc="ED80FD02">
      <w:numFmt w:val="bullet"/>
      <w:lvlText w:val="•"/>
      <w:lvlJc w:val="left"/>
      <w:pPr>
        <w:ind w:left="3656" w:hanging="850"/>
      </w:pPr>
      <w:rPr>
        <w:rFonts w:hint="default"/>
        <w:lang w:val="en-AU" w:eastAsia="en-US" w:bidi="ar-SA"/>
      </w:rPr>
    </w:lvl>
    <w:lvl w:ilvl="4" w:tplc="F36AE844">
      <w:numFmt w:val="bullet"/>
      <w:lvlText w:val="•"/>
      <w:lvlJc w:val="left"/>
      <w:pPr>
        <w:ind w:left="4554" w:hanging="850"/>
      </w:pPr>
      <w:rPr>
        <w:rFonts w:hint="default"/>
        <w:lang w:val="en-AU" w:eastAsia="en-US" w:bidi="ar-SA"/>
      </w:rPr>
    </w:lvl>
    <w:lvl w:ilvl="5" w:tplc="06484424">
      <w:numFmt w:val="bullet"/>
      <w:lvlText w:val="•"/>
      <w:lvlJc w:val="left"/>
      <w:pPr>
        <w:ind w:left="5452" w:hanging="850"/>
      </w:pPr>
      <w:rPr>
        <w:rFonts w:hint="default"/>
        <w:lang w:val="en-AU" w:eastAsia="en-US" w:bidi="ar-SA"/>
      </w:rPr>
    </w:lvl>
    <w:lvl w:ilvl="6" w:tplc="6DF60544">
      <w:numFmt w:val="bullet"/>
      <w:lvlText w:val="•"/>
      <w:lvlJc w:val="left"/>
      <w:pPr>
        <w:ind w:left="6351" w:hanging="850"/>
      </w:pPr>
      <w:rPr>
        <w:rFonts w:hint="default"/>
        <w:lang w:val="en-AU" w:eastAsia="en-US" w:bidi="ar-SA"/>
      </w:rPr>
    </w:lvl>
    <w:lvl w:ilvl="7" w:tplc="6A54969C">
      <w:numFmt w:val="bullet"/>
      <w:lvlText w:val="•"/>
      <w:lvlJc w:val="left"/>
      <w:pPr>
        <w:ind w:left="7249" w:hanging="850"/>
      </w:pPr>
      <w:rPr>
        <w:rFonts w:hint="default"/>
        <w:lang w:val="en-AU" w:eastAsia="en-US" w:bidi="ar-SA"/>
      </w:rPr>
    </w:lvl>
    <w:lvl w:ilvl="8" w:tplc="7340002E">
      <w:numFmt w:val="bullet"/>
      <w:lvlText w:val="•"/>
      <w:lvlJc w:val="left"/>
      <w:pPr>
        <w:ind w:left="8147" w:hanging="850"/>
      </w:pPr>
      <w:rPr>
        <w:rFonts w:hint="default"/>
        <w:lang w:val="en-AU" w:eastAsia="en-US" w:bidi="ar-SA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6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87"/>
    <w:rsid w:val="00010AF0"/>
    <w:rsid w:val="00013503"/>
    <w:rsid w:val="00125845"/>
    <w:rsid w:val="00154503"/>
    <w:rsid w:val="002A00E3"/>
    <w:rsid w:val="003E09D8"/>
    <w:rsid w:val="004554DA"/>
    <w:rsid w:val="00554222"/>
    <w:rsid w:val="00746B0C"/>
    <w:rsid w:val="007C171E"/>
    <w:rsid w:val="007D736C"/>
    <w:rsid w:val="00876C0D"/>
    <w:rsid w:val="00A26BA0"/>
    <w:rsid w:val="00B64287"/>
    <w:rsid w:val="00B80E1F"/>
    <w:rsid w:val="00E8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8994"/>
  <w15:docId w15:val="{DE540C6F-750E-4214-BB99-0B2EE3EA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D5"/>
    <w:pPr>
      <w:spacing w:before="120" w:after="120"/>
    </w:pPr>
    <w:rPr>
      <w:rFonts w:ascii="Arial" w:eastAsia="Arial" w:hAnsi="Arial" w:cs="Arial"/>
      <w:sz w:val="20"/>
      <w:lang w:val="en-AU"/>
    </w:rPr>
  </w:style>
  <w:style w:type="paragraph" w:styleId="Heading1">
    <w:name w:val="heading 1"/>
    <w:basedOn w:val="Normal"/>
    <w:uiPriority w:val="9"/>
    <w:qFormat/>
    <w:rsid w:val="007D736C"/>
    <w:pPr>
      <w:numPr>
        <w:numId w:val="16"/>
      </w:numPr>
      <w:pBdr>
        <w:top w:val="single" w:sz="4" w:space="6" w:color="auto"/>
      </w:pBdr>
      <w:tabs>
        <w:tab w:val="left" w:pos="1006"/>
        <w:tab w:val="left" w:pos="1007"/>
      </w:tabs>
      <w:outlineLvl w:val="0"/>
    </w:pPr>
    <w:rPr>
      <w:b/>
      <w:bCs/>
      <w:sz w:val="28"/>
    </w:rPr>
  </w:style>
  <w:style w:type="paragraph" w:styleId="Heading2">
    <w:name w:val="heading 2"/>
    <w:basedOn w:val="Heading1"/>
    <w:uiPriority w:val="9"/>
    <w:unhideWhenUsed/>
    <w:qFormat/>
    <w:rsid w:val="007D736C"/>
    <w:pPr>
      <w:numPr>
        <w:ilvl w:val="1"/>
      </w:numPr>
      <w:pBdr>
        <w:top w:val="none" w:sz="0" w:space="0" w:color="auto"/>
      </w:pBdr>
      <w:outlineLvl w:val="1"/>
    </w:pPr>
    <w:rPr>
      <w:bCs w:val="0"/>
      <w:sz w:val="22"/>
      <w:szCs w:val="2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824D5"/>
    <w:pPr>
      <w:keepNext/>
      <w:widowControl/>
      <w:numPr>
        <w:ilvl w:val="2"/>
      </w:numPr>
      <w:spacing w:before="240"/>
      <w:ind w:left="1344"/>
      <w:outlineLvl w:val="2"/>
    </w:pPr>
    <w:rPr>
      <w:rFonts w:eastAsiaTheme="majorEastAsia" w:cstheme="majorBidi"/>
      <w:b w:val="0"/>
      <w:sz w:val="20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E824D5"/>
    <w:pPr>
      <w:keepLines/>
      <w:numPr>
        <w:ilvl w:val="0"/>
        <w:numId w:val="20"/>
      </w:numPr>
      <w:tabs>
        <w:tab w:val="clear" w:pos="1006"/>
        <w:tab w:val="clear" w:pos="1007"/>
      </w:tabs>
      <w:ind w:left="1843" w:hanging="436"/>
      <w:outlineLvl w:val="3"/>
    </w:pPr>
    <w:rPr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4D5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4D5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4D5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4D5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4D5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0"/>
      <w:ind w:left="1006" w:hanging="851"/>
    </w:pPr>
    <w:rPr>
      <w:b/>
      <w:bCs/>
      <w:szCs w:val="20"/>
    </w:rPr>
  </w:style>
  <w:style w:type="paragraph" w:styleId="TOC2">
    <w:name w:val="toc 2"/>
    <w:basedOn w:val="Normal"/>
    <w:uiPriority w:val="1"/>
    <w:qFormat/>
    <w:pPr>
      <w:ind w:left="1861" w:hanging="856"/>
    </w:pPr>
    <w:rPr>
      <w:szCs w:val="20"/>
    </w:rPr>
  </w:style>
  <w:style w:type="paragraph" w:styleId="BodyText">
    <w:name w:val="Body Text"/>
    <w:basedOn w:val="Normal"/>
    <w:link w:val="BodyTextChar"/>
    <w:uiPriority w:val="1"/>
    <w:qFormat/>
    <w:rsid w:val="00E824D5"/>
    <w:pPr>
      <w:spacing w:before="160"/>
    </w:pPr>
    <w:rPr>
      <w:szCs w:val="20"/>
    </w:rPr>
  </w:style>
  <w:style w:type="paragraph" w:styleId="ListParagraph">
    <w:name w:val="List Paragraph"/>
    <w:basedOn w:val="Normal"/>
    <w:uiPriority w:val="1"/>
    <w:qFormat/>
    <w:rsid w:val="003E09D8"/>
    <w:pPr>
      <w:spacing w:before="160"/>
      <w:ind w:left="1004" w:hanging="851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4554DA"/>
    <w:pPr>
      <w:spacing w:before="2400"/>
    </w:pPr>
    <w:rPr>
      <w:b/>
      <w:sz w:val="34"/>
    </w:rPr>
  </w:style>
  <w:style w:type="character" w:customStyle="1" w:styleId="TitleChar">
    <w:name w:val="Title Char"/>
    <w:basedOn w:val="DefaultParagraphFont"/>
    <w:link w:val="Title"/>
    <w:uiPriority w:val="10"/>
    <w:rsid w:val="004554DA"/>
    <w:rPr>
      <w:rFonts w:ascii="Arial" w:eastAsia="Arial" w:hAnsi="Arial" w:cs="Arial"/>
      <w:b/>
      <w:sz w:val="34"/>
      <w:lang w:val="en-AU"/>
    </w:rPr>
  </w:style>
  <w:style w:type="table" w:styleId="TableGridLight">
    <w:name w:val="Grid Table Light"/>
    <w:basedOn w:val="TableNormal"/>
    <w:uiPriority w:val="40"/>
    <w:rsid w:val="005542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824D5"/>
    <w:rPr>
      <w:rFonts w:ascii="Arial" w:hAnsi="Arial"/>
      <w:b/>
      <w:bCs/>
      <w:sz w:val="20"/>
    </w:rPr>
  </w:style>
  <w:style w:type="paragraph" w:styleId="Subtitle">
    <w:name w:val="Subtitle"/>
    <w:basedOn w:val="Title"/>
    <w:next w:val="Normal"/>
    <w:link w:val="SubtitleChar"/>
    <w:uiPriority w:val="11"/>
    <w:qFormat/>
    <w:rsid w:val="004554DA"/>
    <w:pPr>
      <w:numPr>
        <w:ilvl w:val="1"/>
      </w:numPr>
      <w:spacing w:before="240" w:after="240"/>
    </w:pPr>
    <w:rPr>
      <w:rFonts w:asciiTheme="minorHAnsi" w:eastAsiaTheme="minorEastAsia" w:hAnsiTheme="minorHAnsi" w:cstheme="minorBidi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54DA"/>
    <w:rPr>
      <w:rFonts w:eastAsiaTheme="minorEastAsia"/>
      <w:b/>
      <w:sz w:val="24"/>
      <w:lang w:val="en-AU"/>
    </w:rPr>
  </w:style>
  <w:style w:type="table" w:styleId="TableGrid">
    <w:name w:val="Table Grid"/>
    <w:basedOn w:val="TableNormal"/>
    <w:uiPriority w:val="39"/>
    <w:rsid w:val="00E824D5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blStylePr w:type="firstRow">
      <w:rPr>
        <w:rFonts w:ascii="Arial" w:hAnsi="Arial"/>
        <w:b/>
        <w:sz w:val="22"/>
      </w:rPr>
    </w:tblStylePr>
  </w:style>
  <w:style w:type="paragraph" w:styleId="TableofAuthorities">
    <w:name w:val="table of authorities"/>
    <w:basedOn w:val="Normal"/>
    <w:next w:val="Normal"/>
    <w:uiPriority w:val="99"/>
    <w:unhideWhenUsed/>
    <w:rsid w:val="007C171E"/>
    <w:pPr>
      <w:spacing w:before="0" w:after="0"/>
      <w:ind w:left="221" w:hanging="221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E824D5"/>
    <w:rPr>
      <w:rFonts w:ascii="Arial" w:eastAsia="Arial" w:hAnsi="Arial" w:cs="Arial"/>
      <w:sz w:val="20"/>
      <w:szCs w:val="20"/>
      <w:lang w:val="en-AU"/>
    </w:rPr>
  </w:style>
  <w:style w:type="character" w:styleId="Emphasis">
    <w:name w:val="Emphasis"/>
    <w:basedOn w:val="DefaultParagraphFont"/>
    <w:uiPriority w:val="20"/>
    <w:qFormat/>
    <w:rsid w:val="00E824D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824D5"/>
    <w:rPr>
      <w:rFonts w:ascii="Arial" w:eastAsiaTheme="majorEastAsia" w:hAnsi="Arial" w:cstheme="majorBidi"/>
      <w:sz w:val="20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E824D5"/>
    <w:rPr>
      <w:rFonts w:ascii="Arial" w:eastAsiaTheme="majorEastAsia" w:hAnsi="Arial" w:cstheme="majorBidi"/>
      <w:iCs/>
      <w:sz w:val="20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4D5"/>
    <w:rPr>
      <w:rFonts w:asciiTheme="majorHAnsi" w:eastAsiaTheme="majorEastAsia" w:hAnsiTheme="majorHAnsi" w:cstheme="majorBidi"/>
      <w:color w:val="365F91" w:themeColor="accent1" w:themeShade="BF"/>
      <w:sz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4D5"/>
    <w:rPr>
      <w:rFonts w:asciiTheme="majorHAnsi" w:eastAsiaTheme="majorEastAsia" w:hAnsiTheme="majorHAnsi" w:cstheme="majorBidi"/>
      <w:color w:val="243F60" w:themeColor="accent1" w:themeShade="7F"/>
      <w:sz w:val="2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4D5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4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4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ListBullet2">
    <w:name w:val="List Bullet 2"/>
    <w:basedOn w:val="Normal"/>
    <w:uiPriority w:val="99"/>
    <w:unhideWhenUsed/>
    <w:rsid w:val="00E824D5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9A699-FFCB-415F-94DC-02C0C71C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 for the policy parameters of the Prostheses List Reforms</vt:lpstr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 for the policy parameters of the Prostheses List Reforms</dc:title>
  <dc:subject>Private health insurance</dc:subject>
  <dc:creator>Australian Government Department of Health</dc:creator>
  <cp:keywords>Private health insurance; Memorandum of Understanding; Prostheses List Reforms</cp:keywords>
  <cp:lastModifiedBy>MASCHKE, Elvia</cp:lastModifiedBy>
  <cp:revision>4</cp:revision>
  <dcterms:created xsi:type="dcterms:W3CDTF">2022-03-18T03:39:00Z</dcterms:created>
  <dcterms:modified xsi:type="dcterms:W3CDTF">2022-03-18T04:05:00Z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2022-03-18T00:00:00Z</vt:filetime>
  </property>
</Properties>
</file>