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21C59" w14:textId="347449C8" w:rsidR="00F616A1" w:rsidRPr="006C19A2" w:rsidRDefault="007F7004" w:rsidP="004F0702">
      <w:pPr>
        <w:spacing w:after="0" w:line="240" w:lineRule="auto"/>
        <w:jc w:val="center"/>
        <w:outlineLvl w:val="0"/>
        <w:rPr>
          <w:rFonts w:asciiTheme="minorHAnsi" w:hAnsiTheme="minorHAnsi" w:cstheme="minorHAnsi"/>
          <w:b/>
          <w:sz w:val="28"/>
          <w:szCs w:val="28"/>
        </w:rPr>
      </w:pPr>
      <w:r w:rsidRPr="006C19A2">
        <w:rPr>
          <w:rFonts w:asciiTheme="minorHAnsi" w:hAnsiTheme="minorHAnsi" w:cstheme="minorHAnsi"/>
          <w:b/>
          <w:sz w:val="28"/>
          <w:szCs w:val="28"/>
        </w:rPr>
        <w:t xml:space="preserve">Medical Research Future Fund (MRFF) Policy </w:t>
      </w:r>
      <w:r w:rsidR="00BC5F5B" w:rsidRPr="006C19A2">
        <w:rPr>
          <w:rFonts w:asciiTheme="minorHAnsi" w:hAnsiTheme="minorHAnsi" w:cstheme="minorHAnsi"/>
          <w:b/>
          <w:sz w:val="28"/>
          <w:szCs w:val="28"/>
        </w:rPr>
        <w:t xml:space="preserve">Statement </w:t>
      </w:r>
      <w:r w:rsidR="00C329F3" w:rsidRPr="006C19A2">
        <w:rPr>
          <w:rFonts w:asciiTheme="minorHAnsi" w:hAnsiTheme="minorHAnsi" w:cstheme="minorHAnsi"/>
          <w:b/>
          <w:sz w:val="28"/>
          <w:szCs w:val="28"/>
        </w:rPr>
        <w:t>–</w:t>
      </w:r>
      <w:r w:rsidR="007659D2">
        <w:rPr>
          <w:rFonts w:asciiTheme="minorHAnsi" w:hAnsiTheme="minorHAnsi" w:cstheme="minorHAnsi"/>
          <w:b/>
          <w:sz w:val="28"/>
          <w:szCs w:val="28"/>
        </w:rPr>
        <w:t xml:space="preserve"> </w:t>
      </w:r>
      <w:r w:rsidR="00D5378F" w:rsidRPr="006C19A2">
        <w:rPr>
          <w:rFonts w:asciiTheme="minorHAnsi" w:hAnsiTheme="minorHAnsi" w:cstheme="minorHAnsi"/>
          <w:b/>
          <w:sz w:val="28"/>
          <w:szCs w:val="28"/>
        </w:rPr>
        <w:t>P</w:t>
      </w:r>
      <w:r w:rsidR="00D051CF" w:rsidRPr="006C19A2">
        <w:rPr>
          <w:rFonts w:asciiTheme="minorHAnsi" w:hAnsiTheme="minorHAnsi" w:cstheme="minorHAnsi"/>
          <w:b/>
          <w:sz w:val="28"/>
          <w:szCs w:val="28"/>
        </w:rPr>
        <w:t xml:space="preserve">articipation </w:t>
      </w:r>
      <w:r w:rsidR="00D5378F" w:rsidRPr="006C19A2">
        <w:rPr>
          <w:rFonts w:asciiTheme="minorHAnsi" w:hAnsiTheme="minorHAnsi" w:cstheme="minorHAnsi"/>
          <w:b/>
          <w:sz w:val="28"/>
          <w:szCs w:val="28"/>
        </w:rPr>
        <w:t xml:space="preserve">by Department of Health employees </w:t>
      </w:r>
      <w:r w:rsidR="00B37E71" w:rsidRPr="006C19A2">
        <w:rPr>
          <w:rFonts w:asciiTheme="minorHAnsi" w:hAnsiTheme="minorHAnsi" w:cstheme="minorHAnsi"/>
          <w:b/>
          <w:sz w:val="28"/>
          <w:szCs w:val="28"/>
        </w:rPr>
        <w:t>in</w:t>
      </w:r>
      <w:r w:rsidR="00D051CF" w:rsidRPr="006C19A2">
        <w:rPr>
          <w:rFonts w:asciiTheme="minorHAnsi" w:hAnsiTheme="minorHAnsi" w:cstheme="minorHAnsi"/>
          <w:b/>
          <w:sz w:val="28"/>
          <w:szCs w:val="28"/>
        </w:rPr>
        <w:t xml:space="preserve"> </w:t>
      </w:r>
      <w:r w:rsidR="008D4B6F" w:rsidRPr="006C19A2">
        <w:rPr>
          <w:rFonts w:asciiTheme="minorHAnsi" w:hAnsiTheme="minorHAnsi" w:cstheme="minorHAnsi"/>
          <w:b/>
          <w:sz w:val="28"/>
          <w:szCs w:val="28"/>
        </w:rPr>
        <w:t>research activities funded by the MRFF</w:t>
      </w:r>
      <w:r w:rsidR="00D5378F" w:rsidRPr="006C19A2">
        <w:rPr>
          <w:rFonts w:asciiTheme="minorHAnsi" w:hAnsiTheme="minorHAnsi" w:cstheme="minorHAnsi"/>
          <w:b/>
          <w:sz w:val="28"/>
          <w:szCs w:val="28"/>
        </w:rPr>
        <w:t xml:space="preserve"> </w:t>
      </w:r>
    </w:p>
    <w:p w14:paraId="2F01ED26" w14:textId="28C391A6" w:rsidR="003268C8" w:rsidRPr="00291574" w:rsidRDefault="00D26924" w:rsidP="003268C8">
      <w:pPr>
        <w:pStyle w:val="ListParagraph"/>
        <w:numPr>
          <w:ilvl w:val="0"/>
          <w:numId w:val="13"/>
        </w:numPr>
        <w:spacing w:before="240"/>
        <w:ind w:left="425" w:hanging="425"/>
        <w:outlineLvl w:val="1"/>
        <w:rPr>
          <w:rFonts w:asciiTheme="minorHAnsi" w:hAnsiTheme="minorHAnsi" w:cstheme="minorHAnsi"/>
        </w:rPr>
      </w:pPr>
      <w:r w:rsidRPr="00291574">
        <w:rPr>
          <w:rFonts w:asciiTheme="minorHAnsi" w:hAnsiTheme="minorHAnsi" w:cstheme="minorHAnsi"/>
          <w:b/>
        </w:rPr>
        <w:t>Purpose</w:t>
      </w:r>
    </w:p>
    <w:p w14:paraId="1CE14C75" w14:textId="14714BE0" w:rsidR="00466C04" w:rsidRPr="00291574" w:rsidRDefault="00847E12" w:rsidP="00006F4E">
      <w:pPr>
        <w:spacing w:before="120"/>
        <w:rPr>
          <w:rFonts w:asciiTheme="minorHAnsi" w:hAnsiTheme="minorHAnsi" w:cstheme="minorHAnsi"/>
          <w:sz w:val="22"/>
          <w:szCs w:val="22"/>
        </w:rPr>
      </w:pPr>
      <w:bookmarkStart w:id="0" w:name="_Hlk97825045"/>
      <w:r w:rsidRPr="00291574">
        <w:rPr>
          <w:rFonts w:asciiTheme="minorHAnsi" w:hAnsiTheme="minorHAnsi" w:cstheme="minorHAnsi"/>
          <w:sz w:val="22"/>
          <w:szCs w:val="22"/>
        </w:rPr>
        <w:t>To assist</w:t>
      </w:r>
      <w:r w:rsidR="00466C04" w:rsidRPr="00291574">
        <w:rPr>
          <w:rFonts w:asciiTheme="minorHAnsi" w:hAnsiTheme="minorHAnsi" w:cstheme="minorHAnsi"/>
          <w:sz w:val="22"/>
          <w:szCs w:val="22"/>
        </w:rPr>
        <w:t xml:space="preserve"> </w:t>
      </w:r>
      <w:r w:rsidR="00291574" w:rsidRPr="00291574">
        <w:rPr>
          <w:rFonts w:asciiTheme="minorHAnsi" w:hAnsiTheme="minorHAnsi" w:cstheme="minorHAnsi"/>
          <w:sz w:val="22"/>
          <w:szCs w:val="22"/>
        </w:rPr>
        <w:t xml:space="preserve">Department of </w:t>
      </w:r>
      <w:r w:rsidR="00265374" w:rsidRPr="00291574">
        <w:rPr>
          <w:rFonts w:asciiTheme="minorHAnsi" w:hAnsiTheme="minorHAnsi" w:cstheme="minorHAnsi"/>
          <w:sz w:val="22"/>
          <w:szCs w:val="22"/>
        </w:rPr>
        <w:t xml:space="preserve">Health </w:t>
      </w:r>
      <w:r w:rsidRPr="00291574">
        <w:rPr>
          <w:rFonts w:asciiTheme="minorHAnsi" w:hAnsiTheme="minorHAnsi" w:cstheme="minorHAnsi"/>
          <w:sz w:val="22"/>
          <w:szCs w:val="22"/>
        </w:rPr>
        <w:t>employees</w:t>
      </w:r>
      <w:r w:rsidR="00455523" w:rsidRPr="00291574">
        <w:rPr>
          <w:rFonts w:asciiTheme="minorHAnsi" w:hAnsiTheme="minorHAnsi" w:cstheme="minorHAnsi"/>
          <w:sz w:val="22"/>
          <w:szCs w:val="22"/>
        </w:rPr>
        <w:t xml:space="preserve"> </w:t>
      </w:r>
      <w:r w:rsidRPr="00291574">
        <w:rPr>
          <w:rFonts w:asciiTheme="minorHAnsi" w:hAnsiTheme="minorHAnsi" w:cstheme="minorHAnsi"/>
          <w:sz w:val="22"/>
          <w:szCs w:val="22"/>
        </w:rPr>
        <w:t xml:space="preserve">to </w:t>
      </w:r>
      <w:r w:rsidR="002313D0" w:rsidRPr="00291574">
        <w:rPr>
          <w:rFonts w:asciiTheme="minorHAnsi" w:hAnsiTheme="minorHAnsi" w:cstheme="minorHAnsi"/>
          <w:sz w:val="22"/>
          <w:szCs w:val="22"/>
        </w:rPr>
        <w:t>understand</w:t>
      </w:r>
      <w:r w:rsidR="00466C04" w:rsidRPr="00291574">
        <w:rPr>
          <w:rFonts w:asciiTheme="minorHAnsi" w:hAnsiTheme="minorHAnsi" w:cstheme="minorHAnsi"/>
          <w:sz w:val="22"/>
          <w:szCs w:val="22"/>
        </w:rPr>
        <w:t>:</w:t>
      </w:r>
    </w:p>
    <w:p w14:paraId="070E602A" w14:textId="6C8D94E3" w:rsidR="00D26924" w:rsidRPr="00291574" w:rsidRDefault="00847E12"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the extent to which</w:t>
      </w:r>
      <w:r w:rsidR="00466C04" w:rsidRPr="00291574">
        <w:rPr>
          <w:rFonts w:asciiTheme="minorHAnsi" w:hAnsiTheme="minorHAnsi" w:cstheme="minorHAnsi"/>
        </w:rPr>
        <w:t xml:space="preserve"> </w:t>
      </w:r>
      <w:r w:rsidR="00C5259F" w:rsidRPr="00291574">
        <w:rPr>
          <w:rFonts w:asciiTheme="minorHAnsi" w:hAnsiTheme="minorHAnsi" w:cstheme="minorHAnsi"/>
        </w:rPr>
        <w:t xml:space="preserve">their obligations as </w:t>
      </w:r>
      <w:r w:rsidR="00265374" w:rsidRPr="00291574">
        <w:rPr>
          <w:rFonts w:asciiTheme="minorHAnsi" w:hAnsiTheme="minorHAnsi" w:cstheme="minorHAnsi"/>
        </w:rPr>
        <w:t xml:space="preserve">employees </w:t>
      </w:r>
      <w:r w:rsidR="00C5259F" w:rsidRPr="00291574">
        <w:rPr>
          <w:rFonts w:asciiTheme="minorHAnsi" w:hAnsiTheme="minorHAnsi" w:cstheme="minorHAnsi"/>
        </w:rPr>
        <w:t xml:space="preserve">of the </w:t>
      </w:r>
      <w:r w:rsidR="0078055B">
        <w:rPr>
          <w:rFonts w:asciiTheme="minorHAnsi" w:hAnsiTheme="minorHAnsi" w:cstheme="minorHAnsi"/>
        </w:rPr>
        <w:t>Department of Health</w:t>
      </w:r>
      <w:r w:rsidR="0078055B" w:rsidRPr="00291574">
        <w:rPr>
          <w:rFonts w:asciiTheme="minorHAnsi" w:hAnsiTheme="minorHAnsi" w:cstheme="minorHAnsi"/>
        </w:rPr>
        <w:t xml:space="preserve"> </w:t>
      </w:r>
      <w:r w:rsidR="00D5378F">
        <w:rPr>
          <w:rFonts w:asciiTheme="minorHAnsi" w:hAnsiTheme="minorHAnsi" w:cstheme="minorHAnsi"/>
        </w:rPr>
        <w:t>impact their ability t</w:t>
      </w:r>
      <w:r w:rsidR="006315D6">
        <w:rPr>
          <w:rFonts w:asciiTheme="minorHAnsi" w:hAnsiTheme="minorHAnsi" w:cstheme="minorHAnsi"/>
        </w:rPr>
        <w:t xml:space="preserve">o </w:t>
      </w:r>
      <w:r w:rsidR="009F20F1">
        <w:rPr>
          <w:rFonts w:asciiTheme="minorHAnsi" w:hAnsiTheme="minorHAnsi" w:cstheme="minorHAnsi"/>
        </w:rPr>
        <w:t>participate</w:t>
      </w:r>
      <w:r w:rsidRPr="00291574">
        <w:rPr>
          <w:rFonts w:asciiTheme="minorHAnsi" w:hAnsiTheme="minorHAnsi" w:cstheme="minorHAnsi"/>
        </w:rPr>
        <w:t xml:space="preserve"> </w:t>
      </w:r>
      <w:r w:rsidR="00466C04" w:rsidRPr="00291574">
        <w:rPr>
          <w:rFonts w:asciiTheme="minorHAnsi" w:hAnsiTheme="minorHAnsi" w:cstheme="minorHAnsi"/>
        </w:rPr>
        <w:t xml:space="preserve">in </w:t>
      </w:r>
      <w:r w:rsidRPr="00291574">
        <w:rPr>
          <w:rFonts w:asciiTheme="minorHAnsi" w:hAnsiTheme="minorHAnsi" w:cstheme="minorHAnsi"/>
        </w:rPr>
        <w:t>activities</w:t>
      </w:r>
      <w:r w:rsidR="00314387" w:rsidRPr="00291574">
        <w:rPr>
          <w:rFonts w:asciiTheme="minorHAnsi" w:hAnsiTheme="minorHAnsi" w:cstheme="minorHAnsi"/>
        </w:rPr>
        <w:t xml:space="preserve"> </w:t>
      </w:r>
      <w:r w:rsidR="00466C04" w:rsidRPr="00291574">
        <w:rPr>
          <w:rFonts w:asciiTheme="minorHAnsi" w:hAnsiTheme="minorHAnsi" w:cstheme="minorHAnsi"/>
        </w:rPr>
        <w:t>funded by the MRFF</w:t>
      </w:r>
    </w:p>
    <w:p w14:paraId="6E22C62B" w14:textId="0E95A71A" w:rsidR="00C5259F" w:rsidRPr="00291574" w:rsidRDefault="00C5259F"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the circumstances in which participation is </w:t>
      </w:r>
      <w:r w:rsidR="00D5378F">
        <w:rPr>
          <w:rFonts w:asciiTheme="minorHAnsi" w:hAnsiTheme="minorHAnsi" w:cstheme="minorHAnsi"/>
        </w:rPr>
        <w:t xml:space="preserve">or is not </w:t>
      </w:r>
      <w:r w:rsidR="00911718">
        <w:rPr>
          <w:rFonts w:asciiTheme="minorHAnsi" w:hAnsiTheme="minorHAnsi" w:cstheme="minorHAnsi"/>
        </w:rPr>
        <w:t>allowed</w:t>
      </w:r>
    </w:p>
    <w:p w14:paraId="675BAE2B" w14:textId="372D8208" w:rsidR="002D72E5" w:rsidRPr="00291574" w:rsidRDefault="002D72E5"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the processes to be followed </w:t>
      </w:r>
      <w:r w:rsidR="00006F4E" w:rsidRPr="00291574">
        <w:rPr>
          <w:rFonts w:asciiTheme="minorHAnsi" w:hAnsiTheme="minorHAnsi" w:cstheme="minorHAnsi"/>
        </w:rPr>
        <w:t xml:space="preserve">with regards to </w:t>
      </w:r>
      <w:r w:rsidR="00C5259F" w:rsidRPr="00291574">
        <w:rPr>
          <w:rFonts w:asciiTheme="minorHAnsi" w:hAnsiTheme="minorHAnsi" w:cstheme="minorHAnsi"/>
        </w:rPr>
        <w:t>seeking approval to</w:t>
      </w:r>
      <w:r w:rsidR="00006F4E" w:rsidRPr="00291574">
        <w:rPr>
          <w:rFonts w:asciiTheme="minorHAnsi" w:hAnsiTheme="minorHAnsi" w:cstheme="minorHAnsi"/>
        </w:rPr>
        <w:t xml:space="preserve"> participat</w:t>
      </w:r>
      <w:r w:rsidR="00C5259F" w:rsidRPr="00291574">
        <w:rPr>
          <w:rFonts w:asciiTheme="minorHAnsi" w:hAnsiTheme="minorHAnsi" w:cstheme="minorHAnsi"/>
        </w:rPr>
        <w:t>e</w:t>
      </w:r>
      <w:r w:rsidR="00006F4E" w:rsidRPr="00291574">
        <w:rPr>
          <w:rFonts w:asciiTheme="minorHAnsi" w:hAnsiTheme="minorHAnsi" w:cstheme="minorHAnsi"/>
        </w:rPr>
        <w:t xml:space="preserve"> in activities funded by the MRFF.</w:t>
      </w:r>
    </w:p>
    <w:bookmarkEnd w:id="0"/>
    <w:p w14:paraId="312E5E16" w14:textId="77777777" w:rsidR="00466C04" w:rsidRPr="00291574" w:rsidRDefault="00466C04" w:rsidP="00674D0E">
      <w:pPr>
        <w:pStyle w:val="ListParagraph"/>
        <w:numPr>
          <w:ilvl w:val="0"/>
          <w:numId w:val="13"/>
        </w:numPr>
        <w:spacing w:before="240"/>
        <w:ind w:left="425" w:hanging="425"/>
        <w:outlineLvl w:val="1"/>
        <w:rPr>
          <w:rFonts w:asciiTheme="minorHAnsi" w:hAnsiTheme="minorHAnsi" w:cstheme="minorHAnsi"/>
          <w:b/>
        </w:rPr>
      </w:pPr>
      <w:r w:rsidRPr="00291574">
        <w:rPr>
          <w:rFonts w:asciiTheme="minorHAnsi" w:hAnsiTheme="minorHAnsi" w:cstheme="minorHAnsi"/>
          <w:b/>
        </w:rPr>
        <w:t>Objective</w:t>
      </w:r>
    </w:p>
    <w:p w14:paraId="5ADC4948" w14:textId="77777777" w:rsidR="00466C04" w:rsidRPr="00291574" w:rsidRDefault="00466C04" w:rsidP="00E62671">
      <w:pPr>
        <w:spacing w:before="120"/>
        <w:rPr>
          <w:rFonts w:asciiTheme="minorHAnsi" w:hAnsiTheme="minorHAnsi" w:cstheme="minorHAnsi"/>
          <w:sz w:val="22"/>
          <w:szCs w:val="22"/>
        </w:rPr>
      </w:pPr>
      <w:r w:rsidRPr="00291574">
        <w:rPr>
          <w:rFonts w:asciiTheme="minorHAnsi" w:hAnsiTheme="minorHAnsi" w:cstheme="minorHAnsi"/>
          <w:sz w:val="22"/>
          <w:szCs w:val="22"/>
        </w:rPr>
        <w:t>This policy aims to:</w:t>
      </w:r>
    </w:p>
    <w:p w14:paraId="4FF44072" w14:textId="004CF079" w:rsidR="00466C04" w:rsidRPr="00291574" w:rsidRDefault="00674D0E" w:rsidP="00466C04">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p</w:t>
      </w:r>
      <w:r w:rsidR="00511010" w:rsidRPr="00291574">
        <w:rPr>
          <w:rFonts w:asciiTheme="minorHAnsi" w:hAnsiTheme="minorHAnsi" w:cstheme="minorHAnsi"/>
        </w:rPr>
        <w:t xml:space="preserve">rovide clarity to employees regarding </w:t>
      </w:r>
      <w:r w:rsidR="006315D6">
        <w:rPr>
          <w:rFonts w:asciiTheme="minorHAnsi" w:hAnsiTheme="minorHAnsi" w:cstheme="minorHAnsi"/>
        </w:rPr>
        <w:t xml:space="preserve">those activities which are </w:t>
      </w:r>
      <w:r w:rsidR="00911718">
        <w:rPr>
          <w:rFonts w:asciiTheme="minorHAnsi" w:hAnsiTheme="minorHAnsi" w:cstheme="minorHAnsi"/>
        </w:rPr>
        <w:t>allowed</w:t>
      </w:r>
      <w:r w:rsidR="00911718" w:rsidRPr="00291574">
        <w:rPr>
          <w:rFonts w:asciiTheme="minorHAnsi" w:hAnsiTheme="minorHAnsi" w:cstheme="minorHAnsi"/>
        </w:rPr>
        <w:t xml:space="preserve"> </w:t>
      </w:r>
      <w:r w:rsidR="00511010" w:rsidRPr="00291574">
        <w:rPr>
          <w:rFonts w:asciiTheme="minorHAnsi" w:hAnsiTheme="minorHAnsi" w:cstheme="minorHAnsi"/>
        </w:rPr>
        <w:t>and</w:t>
      </w:r>
      <w:r w:rsidR="006315D6">
        <w:rPr>
          <w:rFonts w:asciiTheme="minorHAnsi" w:hAnsiTheme="minorHAnsi" w:cstheme="minorHAnsi"/>
        </w:rPr>
        <w:t xml:space="preserve"> those</w:t>
      </w:r>
      <w:r w:rsidR="00511010" w:rsidRPr="00291574">
        <w:rPr>
          <w:rFonts w:asciiTheme="minorHAnsi" w:hAnsiTheme="minorHAnsi" w:cstheme="minorHAnsi"/>
        </w:rPr>
        <w:t xml:space="preserve"> </w:t>
      </w:r>
      <w:r w:rsidR="00352F43">
        <w:rPr>
          <w:rFonts w:asciiTheme="minorHAnsi" w:hAnsiTheme="minorHAnsi" w:cstheme="minorHAnsi"/>
        </w:rPr>
        <w:t xml:space="preserve">not </w:t>
      </w:r>
      <w:r w:rsidR="00911718">
        <w:rPr>
          <w:rFonts w:asciiTheme="minorHAnsi" w:hAnsiTheme="minorHAnsi" w:cstheme="minorHAnsi"/>
        </w:rPr>
        <w:t>allowed</w:t>
      </w:r>
      <w:r w:rsidR="00352F43">
        <w:rPr>
          <w:rFonts w:asciiTheme="minorHAnsi" w:hAnsiTheme="minorHAnsi" w:cstheme="minorHAnsi"/>
        </w:rPr>
        <w:t xml:space="preserve"> </w:t>
      </w:r>
      <w:r w:rsidR="006315D6">
        <w:rPr>
          <w:rFonts w:asciiTheme="minorHAnsi" w:hAnsiTheme="minorHAnsi" w:cstheme="minorHAnsi"/>
        </w:rPr>
        <w:t xml:space="preserve">with regards to </w:t>
      </w:r>
      <w:r w:rsidR="009A36DC" w:rsidRPr="00291574">
        <w:rPr>
          <w:rFonts w:asciiTheme="minorHAnsi" w:hAnsiTheme="minorHAnsi" w:cstheme="minorHAnsi"/>
        </w:rPr>
        <w:t>participat</w:t>
      </w:r>
      <w:r w:rsidR="008A79A5" w:rsidRPr="00291574">
        <w:rPr>
          <w:rFonts w:asciiTheme="minorHAnsi" w:hAnsiTheme="minorHAnsi" w:cstheme="minorHAnsi"/>
        </w:rPr>
        <w:t>ion</w:t>
      </w:r>
      <w:r w:rsidR="009A36DC" w:rsidRPr="00291574">
        <w:rPr>
          <w:rFonts w:asciiTheme="minorHAnsi" w:hAnsiTheme="minorHAnsi" w:cstheme="minorHAnsi"/>
        </w:rPr>
        <w:t xml:space="preserve"> in research activities funded by the MRFF </w:t>
      </w:r>
    </w:p>
    <w:p w14:paraId="4C73F9FF" w14:textId="2098DB3E" w:rsidR="00674D0E" w:rsidRPr="00291574" w:rsidRDefault="00674D0E" w:rsidP="00674D0E">
      <w:pPr>
        <w:pStyle w:val="ListParagraph"/>
        <w:numPr>
          <w:ilvl w:val="0"/>
          <w:numId w:val="15"/>
        </w:numPr>
        <w:spacing w:before="120"/>
        <w:rPr>
          <w:rFonts w:asciiTheme="minorHAnsi" w:hAnsiTheme="minorHAnsi" w:cstheme="minorHAnsi"/>
        </w:rPr>
      </w:pPr>
      <w:r w:rsidRPr="00291574">
        <w:rPr>
          <w:rFonts w:asciiTheme="minorHAnsi" w:hAnsiTheme="minorHAnsi" w:cstheme="minorHAnsi"/>
        </w:rPr>
        <w:t>identify a consistent, transparent approach when staff carry out their duties as part of a Department approved partnership or joint project that may contribute to the outcomes of research activities funded by the MRFF</w:t>
      </w:r>
    </w:p>
    <w:p w14:paraId="6FBEBBDA" w14:textId="50B57889" w:rsidR="00511010" w:rsidRPr="00291574" w:rsidRDefault="00511010" w:rsidP="00511010">
      <w:pPr>
        <w:pStyle w:val="ListParagraph"/>
        <w:numPr>
          <w:ilvl w:val="0"/>
          <w:numId w:val="15"/>
        </w:numPr>
        <w:spacing w:before="120"/>
        <w:rPr>
          <w:rFonts w:asciiTheme="minorHAnsi" w:hAnsiTheme="minorHAnsi" w:cstheme="minorHAnsi"/>
        </w:rPr>
      </w:pPr>
      <w:r w:rsidRPr="00291574">
        <w:rPr>
          <w:rFonts w:asciiTheme="minorHAnsi" w:hAnsiTheme="minorHAnsi" w:cstheme="minorHAnsi"/>
        </w:rPr>
        <w:t>reinforce the Health and Medical Research Office (HMRO) and the Department’s commitment to the highest standards of probity, professionalism, integrity and ethical conduct</w:t>
      </w:r>
    </w:p>
    <w:p w14:paraId="758C236A" w14:textId="11E9A1E0" w:rsidR="00511010" w:rsidRPr="00291574" w:rsidRDefault="00511010" w:rsidP="00511010">
      <w:pPr>
        <w:pStyle w:val="ListParagraph"/>
        <w:numPr>
          <w:ilvl w:val="0"/>
          <w:numId w:val="15"/>
        </w:numPr>
        <w:spacing w:before="120"/>
        <w:rPr>
          <w:rFonts w:asciiTheme="minorHAnsi" w:hAnsiTheme="minorHAnsi" w:cstheme="minorHAnsi"/>
        </w:rPr>
      </w:pPr>
      <w:r w:rsidRPr="00291574">
        <w:rPr>
          <w:rFonts w:asciiTheme="minorHAnsi" w:hAnsiTheme="minorHAnsi" w:cstheme="minorHAnsi"/>
        </w:rPr>
        <w:t xml:space="preserve">promote public confidence in the procedural integrity of MRFF </w:t>
      </w:r>
      <w:r w:rsidR="00F950FE" w:rsidRPr="00291574">
        <w:rPr>
          <w:rFonts w:asciiTheme="minorHAnsi" w:hAnsiTheme="minorHAnsi" w:cstheme="minorHAnsi"/>
        </w:rPr>
        <w:t>decision-making processes</w:t>
      </w:r>
      <w:r w:rsidRPr="00291574">
        <w:rPr>
          <w:rFonts w:asciiTheme="minorHAnsi" w:hAnsiTheme="minorHAnsi" w:cstheme="minorHAnsi"/>
        </w:rPr>
        <w:t xml:space="preserve"> to mitigate any potential procedural or reputational risks arising from these activities, to the Department and Minister for Health</w:t>
      </w:r>
      <w:r w:rsidR="006315D6">
        <w:rPr>
          <w:rFonts w:asciiTheme="minorHAnsi" w:hAnsiTheme="minorHAnsi" w:cstheme="minorHAnsi"/>
        </w:rPr>
        <w:t xml:space="preserve"> and Aged Care</w:t>
      </w:r>
      <w:r w:rsidR="00E8067E">
        <w:rPr>
          <w:rFonts w:asciiTheme="minorHAnsi" w:hAnsiTheme="minorHAnsi" w:cstheme="minorHAnsi"/>
        </w:rPr>
        <w:t xml:space="preserve"> </w:t>
      </w:r>
      <w:r w:rsidRPr="00291574">
        <w:rPr>
          <w:rFonts w:asciiTheme="minorHAnsi" w:hAnsiTheme="minorHAnsi" w:cstheme="minorHAnsi"/>
        </w:rPr>
        <w:t>(Minister)</w:t>
      </w:r>
      <w:r w:rsidR="00455523" w:rsidRPr="00291574">
        <w:rPr>
          <w:rFonts w:asciiTheme="minorHAnsi" w:hAnsiTheme="minorHAnsi" w:cstheme="minorHAnsi"/>
        </w:rPr>
        <w:t xml:space="preserve"> </w:t>
      </w:r>
    </w:p>
    <w:p w14:paraId="4FA6B366" w14:textId="30CF758B" w:rsidR="00455523" w:rsidRPr="00291574" w:rsidRDefault="00455523" w:rsidP="00E62671">
      <w:pPr>
        <w:pStyle w:val="ListParagraph"/>
        <w:numPr>
          <w:ilvl w:val="0"/>
          <w:numId w:val="15"/>
        </w:numPr>
        <w:spacing w:before="120"/>
        <w:rPr>
          <w:rFonts w:asciiTheme="minorHAnsi" w:hAnsiTheme="minorHAnsi" w:cstheme="minorHAnsi"/>
        </w:rPr>
      </w:pPr>
      <w:r w:rsidRPr="00291574">
        <w:rPr>
          <w:rFonts w:asciiTheme="minorHAnsi" w:hAnsiTheme="minorHAnsi" w:cstheme="minorHAnsi"/>
        </w:rPr>
        <w:t>provide a framework to support the provision of relevant information, data and services to interested parties by employees.</w:t>
      </w:r>
    </w:p>
    <w:p w14:paraId="01802B52" w14:textId="4956FA56" w:rsidR="00847E12" w:rsidRPr="00291574" w:rsidRDefault="00847E12" w:rsidP="008B1410">
      <w:pPr>
        <w:pStyle w:val="ListParagraph"/>
        <w:numPr>
          <w:ilvl w:val="0"/>
          <w:numId w:val="13"/>
        </w:numPr>
        <w:spacing w:before="240"/>
        <w:ind w:left="425" w:hanging="425"/>
        <w:outlineLvl w:val="1"/>
        <w:rPr>
          <w:rFonts w:asciiTheme="minorHAnsi" w:hAnsiTheme="minorHAnsi" w:cstheme="minorHAnsi"/>
          <w:b/>
        </w:rPr>
      </w:pPr>
      <w:r w:rsidRPr="00291574">
        <w:rPr>
          <w:rFonts w:asciiTheme="minorHAnsi" w:hAnsiTheme="minorHAnsi" w:cstheme="minorHAnsi"/>
          <w:b/>
        </w:rPr>
        <w:t>Scope</w:t>
      </w:r>
    </w:p>
    <w:p w14:paraId="28CE8F88" w14:textId="6D21B3CA" w:rsidR="00265374" w:rsidRPr="00291574" w:rsidRDefault="00265374" w:rsidP="00D30D50">
      <w:pPr>
        <w:spacing w:before="120"/>
        <w:rPr>
          <w:rFonts w:asciiTheme="minorHAnsi" w:hAnsiTheme="minorHAnsi" w:cstheme="minorHAnsi"/>
          <w:sz w:val="22"/>
          <w:szCs w:val="22"/>
        </w:rPr>
      </w:pPr>
      <w:r w:rsidRPr="00291574">
        <w:rPr>
          <w:rFonts w:asciiTheme="minorHAnsi" w:hAnsiTheme="minorHAnsi" w:cstheme="minorHAnsi"/>
          <w:sz w:val="22"/>
          <w:szCs w:val="22"/>
        </w:rPr>
        <w:t>This policy applies to Australian Public Service (APS) employees as well as contractors and consultants of the Department.</w:t>
      </w:r>
    </w:p>
    <w:p w14:paraId="10845584" w14:textId="6C7CEC23" w:rsidR="001614E1" w:rsidRPr="00291574" w:rsidRDefault="00EB1AB1" w:rsidP="00D30D50">
      <w:pPr>
        <w:spacing w:before="120"/>
        <w:rPr>
          <w:rFonts w:asciiTheme="minorHAnsi" w:hAnsiTheme="minorHAnsi" w:cstheme="minorHAnsi"/>
          <w:sz w:val="22"/>
          <w:szCs w:val="22"/>
        </w:rPr>
      </w:pPr>
      <w:bookmarkStart w:id="1" w:name="_Hlk95817354"/>
      <w:r>
        <w:rPr>
          <w:rFonts w:asciiTheme="minorHAnsi" w:hAnsiTheme="minorHAnsi" w:cstheme="minorHAnsi"/>
          <w:sz w:val="22"/>
          <w:szCs w:val="22"/>
        </w:rPr>
        <w:t xml:space="preserve">It is </w:t>
      </w:r>
      <w:r w:rsidR="000C413F">
        <w:rPr>
          <w:rFonts w:asciiTheme="minorHAnsi" w:hAnsiTheme="minorHAnsi" w:cstheme="minorHAnsi"/>
          <w:sz w:val="22"/>
          <w:szCs w:val="22"/>
        </w:rPr>
        <w:t>intended that t</w:t>
      </w:r>
      <w:r w:rsidR="001614E1" w:rsidRPr="00291574">
        <w:rPr>
          <w:rFonts w:asciiTheme="minorHAnsi" w:hAnsiTheme="minorHAnsi" w:cstheme="minorHAnsi"/>
          <w:sz w:val="22"/>
          <w:szCs w:val="22"/>
        </w:rPr>
        <w:t xml:space="preserve">his policy also applies to employees of </w:t>
      </w:r>
      <w:r w:rsidR="00D30D50" w:rsidRPr="00291574">
        <w:rPr>
          <w:rFonts w:asciiTheme="minorHAnsi" w:hAnsiTheme="minorHAnsi" w:cstheme="minorHAnsi"/>
          <w:sz w:val="22"/>
          <w:szCs w:val="22"/>
        </w:rPr>
        <w:t>National Health and Medical Research Council</w:t>
      </w:r>
      <w:r w:rsidR="00005394">
        <w:rPr>
          <w:rFonts w:asciiTheme="minorHAnsi" w:hAnsiTheme="minorHAnsi" w:cstheme="minorHAnsi"/>
          <w:sz w:val="22"/>
          <w:szCs w:val="22"/>
        </w:rPr>
        <w:t xml:space="preserve"> and Cancer Australia</w:t>
      </w:r>
      <w:r>
        <w:rPr>
          <w:rFonts w:asciiTheme="minorHAnsi" w:hAnsiTheme="minorHAnsi" w:cstheme="minorHAnsi"/>
          <w:sz w:val="22"/>
          <w:szCs w:val="22"/>
        </w:rPr>
        <w:t>,</w:t>
      </w:r>
      <w:r w:rsidR="00D5378F" w:rsidRPr="00D5378F">
        <w:rPr>
          <w:rStyle w:val="FootnoteReference"/>
          <w:rFonts w:asciiTheme="minorHAnsi" w:hAnsiTheme="minorHAnsi" w:cstheme="minorHAnsi"/>
          <w:sz w:val="22"/>
          <w:szCs w:val="22"/>
        </w:rPr>
        <w:t xml:space="preserve"> </w:t>
      </w:r>
      <w:r w:rsidR="00D5378F">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w:t>
      </w:r>
      <w:r w:rsidR="000C413F" w:rsidRPr="00291574">
        <w:rPr>
          <w:rFonts w:asciiTheme="minorHAnsi" w:hAnsiTheme="minorHAnsi" w:cstheme="minorHAnsi"/>
          <w:sz w:val="22"/>
          <w:szCs w:val="22"/>
        </w:rPr>
        <w:t xml:space="preserve">which </w:t>
      </w:r>
      <w:r w:rsidR="00005394">
        <w:rPr>
          <w:rFonts w:asciiTheme="minorHAnsi" w:hAnsiTheme="minorHAnsi" w:cstheme="minorHAnsi"/>
          <w:sz w:val="22"/>
          <w:szCs w:val="22"/>
        </w:rPr>
        <w:t>are</w:t>
      </w:r>
      <w:r w:rsidR="000C413F" w:rsidRPr="00291574">
        <w:rPr>
          <w:rFonts w:asciiTheme="minorHAnsi" w:hAnsiTheme="minorHAnsi" w:cstheme="minorHAnsi"/>
          <w:sz w:val="22"/>
          <w:szCs w:val="22"/>
        </w:rPr>
        <w:t xml:space="preserve"> bod</w:t>
      </w:r>
      <w:r w:rsidR="00005394">
        <w:rPr>
          <w:rFonts w:asciiTheme="minorHAnsi" w:hAnsiTheme="minorHAnsi" w:cstheme="minorHAnsi"/>
          <w:sz w:val="22"/>
          <w:szCs w:val="22"/>
        </w:rPr>
        <w:t>ies</w:t>
      </w:r>
      <w:r w:rsidR="000C413F" w:rsidRPr="00291574">
        <w:rPr>
          <w:rFonts w:asciiTheme="minorHAnsi" w:hAnsiTheme="minorHAnsi" w:cstheme="minorHAnsi"/>
          <w:sz w:val="22"/>
          <w:szCs w:val="22"/>
        </w:rPr>
        <w:t xml:space="preserve"> within the </w:t>
      </w:r>
      <w:r w:rsidR="000C413F">
        <w:rPr>
          <w:rFonts w:asciiTheme="minorHAnsi" w:hAnsiTheme="minorHAnsi" w:cstheme="minorHAnsi"/>
          <w:sz w:val="22"/>
          <w:szCs w:val="22"/>
        </w:rPr>
        <w:t>Health</w:t>
      </w:r>
      <w:r w:rsidR="000C413F" w:rsidRPr="00291574">
        <w:rPr>
          <w:rFonts w:asciiTheme="minorHAnsi" w:hAnsiTheme="minorHAnsi" w:cstheme="minorHAnsi"/>
          <w:sz w:val="22"/>
          <w:szCs w:val="22"/>
        </w:rPr>
        <w:t xml:space="preserve"> portfolio</w:t>
      </w:r>
      <w:r w:rsidR="00017A22">
        <w:rPr>
          <w:rFonts w:asciiTheme="minorHAnsi" w:hAnsiTheme="minorHAnsi" w:cstheme="minorHAnsi"/>
          <w:sz w:val="22"/>
          <w:szCs w:val="22"/>
        </w:rPr>
        <w:t>.</w:t>
      </w:r>
      <w:r w:rsidR="00D5378F">
        <w:rPr>
          <w:rFonts w:asciiTheme="minorHAnsi" w:hAnsiTheme="minorHAnsi" w:cstheme="minorHAnsi"/>
          <w:sz w:val="22"/>
          <w:szCs w:val="22"/>
        </w:rPr>
        <w:t xml:space="preserve"> </w:t>
      </w:r>
      <w:r w:rsidR="00017A22">
        <w:rPr>
          <w:rFonts w:asciiTheme="minorHAnsi" w:hAnsiTheme="minorHAnsi" w:cstheme="minorHAnsi"/>
          <w:sz w:val="22"/>
          <w:szCs w:val="22"/>
        </w:rPr>
        <w:t xml:space="preserve">The principles of this policy </w:t>
      </w:r>
      <w:r w:rsidR="00A92CB9">
        <w:rPr>
          <w:rFonts w:asciiTheme="minorHAnsi" w:hAnsiTheme="minorHAnsi" w:cstheme="minorHAnsi"/>
          <w:sz w:val="22"/>
          <w:szCs w:val="22"/>
        </w:rPr>
        <w:t xml:space="preserve">are also aligned to by the </w:t>
      </w:r>
      <w:r w:rsidR="001614E1" w:rsidRPr="00291574">
        <w:rPr>
          <w:rFonts w:asciiTheme="minorHAnsi" w:hAnsiTheme="minorHAnsi" w:cstheme="minorHAnsi"/>
          <w:sz w:val="22"/>
          <w:szCs w:val="22"/>
        </w:rPr>
        <w:t>Business Grants Hub, within the</w:t>
      </w:r>
      <w:r w:rsidR="00A92CB9">
        <w:rPr>
          <w:rFonts w:asciiTheme="minorHAnsi" w:hAnsiTheme="minorHAnsi" w:cstheme="minorHAnsi"/>
          <w:sz w:val="22"/>
          <w:szCs w:val="22"/>
        </w:rPr>
        <w:t xml:space="preserve"> Department of</w:t>
      </w:r>
      <w:r w:rsidR="001614E1" w:rsidRPr="00291574">
        <w:rPr>
          <w:rFonts w:asciiTheme="minorHAnsi" w:hAnsiTheme="minorHAnsi" w:cstheme="minorHAnsi"/>
          <w:sz w:val="22"/>
          <w:szCs w:val="22"/>
        </w:rPr>
        <w:t xml:space="preserve"> Industry, Science, Energy and Resources,</w:t>
      </w:r>
      <w:r w:rsidR="00A92CB9">
        <w:rPr>
          <w:rFonts w:asciiTheme="minorHAnsi" w:hAnsiTheme="minorHAnsi" w:cstheme="minorHAnsi"/>
          <w:sz w:val="22"/>
          <w:szCs w:val="22"/>
        </w:rPr>
        <w:t xml:space="preserve"> through its own Probity Framework. This is </w:t>
      </w:r>
      <w:r w:rsidR="001614E1" w:rsidRPr="00291574">
        <w:rPr>
          <w:rFonts w:asciiTheme="minorHAnsi" w:hAnsiTheme="minorHAnsi" w:cstheme="minorHAnsi"/>
          <w:sz w:val="22"/>
          <w:szCs w:val="22"/>
        </w:rPr>
        <w:t>on the basis that those employees are integral to the administration of MRFF grants.</w:t>
      </w:r>
    </w:p>
    <w:bookmarkEnd w:id="1"/>
    <w:p w14:paraId="00710BAE" w14:textId="4F7CDEB6" w:rsidR="006315D6" w:rsidRDefault="00C5259F">
      <w:pPr>
        <w:rPr>
          <w:rFonts w:asciiTheme="minorHAnsi" w:hAnsiTheme="minorHAnsi" w:cstheme="minorHAnsi"/>
          <w:sz w:val="22"/>
          <w:szCs w:val="22"/>
        </w:rPr>
      </w:pPr>
      <w:r w:rsidRPr="00291574">
        <w:rPr>
          <w:rFonts w:asciiTheme="minorHAnsi" w:hAnsiTheme="minorHAnsi" w:cstheme="minorHAnsi"/>
          <w:sz w:val="22"/>
          <w:szCs w:val="22"/>
        </w:rPr>
        <w:lastRenderedPageBreak/>
        <w:t xml:space="preserve">This policy does not apply to members of boards, committees and advisory bodies appointed by legislation, </w:t>
      </w:r>
      <w:r w:rsidR="00291574">
        <w:rPr>
          <w:rFonts w:asciiTheme="minorHAnsi" w:hAnsiTheme="minorHAnsi" w:cstheme="minorHAnsi"/>
          <w:sz w:val="22"/>
          <w:szCs w:val="22"/>
        </w:rPr>
        <w:t xml:space="preserve">by </w:t>
      </w:r>
      <w:r w:rsidRPr="00291574">
        <w:rPr>
          <w:rFonts w:asciiTheme="minorHAnsi" w:hAnsiTheme="minorHAnsi" w:cstheme="minorHAnsi"/>
          <w:sz w:val="22"/>
          <w:szCs w:val="22"/>
        </w:rPr>
        <w:t>a Commonwealth statutory authority</w:t>
      </w:r>
      <w:r w:rsidR="00D5378F">
        <w:rPr>
          <w:rFonts w:asciiTheme="minorHAnsi" w:hAnsiTheme="minorHAnsi" w:cstheme="minorHAnsi"/>
          <w:sz w:val="22"/>
          <w:szCs w:val="22"/>
        </w:rPr>
        <w:t>,</w:t>
      </w:r>
      <w:r w:rsidRPr="00291574">
        <w:rPr>
          <w:rFonts w:asciiTheme="minorHAnsi" w:hAnsiTheme="minorHAnsi" w:cstheme="minorHAnsi"/>
          <w:sz w:val="22"/>
          <w:szCs w:val="22"/>
        </w:rPr>
        <w:t xml:space="preserve"> or</w:t>
      </w:r>
      <w:r w:rsidR="00F44222" w:rsidRPr="00291574">
        <w:rPr>
          <w:rFonts w:asciiTheme="minorHAnsi" w:hAnsiTheme="minorHAnsi" w:cstheme="minorHAnsi"/>
          <w:sz w:val="22"/>
          <w:szCs w:val="22"/>
        </w:rPr>
        <w:t xml:space="preserve"> </w:t>
      </w:r>
      <w:r w:rsidR="00291574">
        <w:rPr>
          <w:rFonts w:asciiTheme="minorHAnsi" w:hAnsiTheme="minorHAnsi" w:cstheme="minorHAnsi"/>
          <w:sz w:val="22"/>
          <w:szCs w:val="22"/>
        </w:rPr>
        <w:t xml:space="preserve">by </w:t>
      </w:r>
      <w:r w:rsidRPr="00291574">
        <w:rPr>
          <w:rFonts w:asciiTheme="minorHAnsi" w:hAnsiTheme="minorHAnsi" w:cstheme="minorHAnsi"/>
          <w:sz w:val="22"/>
          <w:szCs w:val="22"/>
        </w:rPr>
        <w:t>a Minister.</w:t>
      </w:r>
    </w:p>
    <w:p w14:paraId="503A7577" w14:textId="77777777" w:rsidR="000372FE" w:rsidRPr="00291574" w:rsidRDefault="00541703" w:rsidP="00021422">
      <w:pPr>
        <w:pStyle w:val="ListParagraph"/>
        <w:numPr>
          <w:ilvl w:val="0"/>
          <w:numId w:val="13"/>
        </w:numPr>
        <w:spacing w:before="120"/>
        <w:ind w:left="357" w:hanging="357"/>
        <w:outlineLvl w:val="1"/>
        <w:rPr>
          <w:rFonts w:asciiTheme="minorHAnsi" w:hAnsiTheme="minorHAnsi" w:cstheme="minorHAnsi"/>
        </w:rPr>
      </w:pPr>
      <w:r w:rsidRPr="00291574">
        <w:rPr>
          <w:rFonts w:asciiTheme="minorHAnsi" w:hAnsiTheme="minorHAnsi" w:cstheme="minorHAnsi"/>
          <w:b/>
        </w:rPr>
        <w:t>Context</w:t>
      </w:r>
    </w:p>
    <w:p w14:paraId="0162C3C5" w14:textId="298AE330" w:rsidR="00541703" w:rsidRPr="00291574" w:rsidRDefault="00541703" w:rsidP="000372FE">
      <w:pPr>
        <w:spacing w:before="120"/>
        <w:outlineLvl w:val="1"/>
        <w:rPr>
          <w:rFonts w:asciiTheme="minorHAnsi" w:hAnsiTheme="minorHAnsi" w:cstheme="minorHAnsi"/>
          <w:sz w:val="22"/>
          <w:szCs w:val="22"/>
        </w:rPr>
      </w:pPr>
      <w:r w:rsidRPr="00291574">
        <w:rPr>
          <w:rFonts w:asciiTheme="minorHAnsi" w:hAnsiTheme="minorHAnsi" w:cstheme="minorHAnsi"/>
          <w:sz w:val="22"/>
          <w:szCs w:val="22"/>
        </w:rPr>
        <w:t>The participation of employees in the pre-award stage of research activities subsequently funded by the MRFF may result in the perception of one or more of the following:</w:t>
      </w:r>
    </w:p>
    <w:p w14:paraId="44FD1F41" w14:textId="6AE981A6" w:rsidR="00541703" w:rsidRPr="00291574" w:rsidRDefault="00541703"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a real or apparent</w:t>
      </w:r>
      <w:r w:rsidRPr="00291574">
        <w:rPr>
          <w:rStyle w:val="FootnoteReference"/>
          <w:rFonts w:asciiTheme="minorHAnsi" w:hAnsiTheme="minorHAnsi" w:cstheme="minorHAnsi"/>
          <w:color w:val="000000" w:themeColor="text1"/>
        </w:rPr>
        <w:footnoteReference w:id="2"/>
      </w:r>
      <w:r w:rsidRPr="00291574">
        <w:rPr>
          <w:rFonts w:asciiTheme="minorHAnsi" w:hAnsiTheme="minorHAnsi" w:cstheme="minorHAnsi"/>
          <w:color w:val="000000" w:themeColor="text1"/>
        </w:rPr>
        <w:t xml:space="preserve"> conflict of interests </w:t>
      </w:r>
    </w:p>
    <w:p w14:paraId="3DA4CD6B" w14:textId="2BC73533" w:rsidR="00541703" w:rsidRPr="00291574" w:rsidRDefault="00541703"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a real or apparent conflict of duties</w:t>
      </w:r>
    </w:p>
    <w:p w14:paraId="766947C7" w14:textId="60B647B1" w:rsidR="00541703" w:rsidRPr="00291574" w:rsidRDefault="00541703"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 xml:space="preserve">a real or apparent concern that the staff member cannot </w:t>
      </w:r>
      <w:r w:rsidR="00E65BB1" w:rsidRPr="00291574">
        <w:rPr>
          <w:rFonts w:asciiTheme="minorHAnsi" w:hAnsiTheme="minorHAnsi" w:cstheme="minorHAnsi"/>
          <w:color w:val="000000" w:themeColor="text1"/>
        </w:rPr>
        <w:t xml:space="preserve">or has not </w:t>
      </w:r>
      <w:r w:rsidRPr="00291574">
        <w:rPr>
          <w:rFonts w:asciiTheme="minorHAnsi" w:hAnsiTheme="minorHAnsi" w:cstheme="minorHAnsi"/>
          <w:color w:val="000000" w:themeColor="text1"/>
        </w:rPr>
        <w:t>carr</w:t>
      </w:r>
      <w:r w:rsidR="00E65BB1" w:rsidRPr="00291574">
        <w:rPr>
          <w:rFonts w:asciiTheme="minorHAnsi" w:hAnsiTheme="minorHAnsi" w:cstheme="minorHAnsi"/>
          <w:color w:val="000000" w:themeColor="text1"/>
        </w:rPr>
        <w:t>ied</w:t>
      </w:r>
      <w:r w:rsidRPr="00291574">
        <w:rPr>
          <w:rFonts w:asciiTheme="minorHAnsi" w:hAnsiTheme="minorHAnsi" w:cstheme="minorHAnsi"/>
          <w:color w:val="000000" w:themeColor="text1"/>
        </w:rPr>
        <w:t xml:space="preserve"> out their duties appropriately</w:t>
      </w:r>
    </w:p>
    <w:p w14:paraId="3FF38931" w14:textId="50EE42D8" w:rsidR="00541703" w:rsidRPr="00291574" w:rsidRDefault="00541703"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 xml:space="preserve">the gaining of a benefit or advantage from </w:t>
      </w:r>
      <w:r w:rsidRPr="00291574">
        <w:rPr>
          <w:rFonts w:asciiTheme="minorHAnsi" w:hAnsiTheme="minorHAnsi" w:cstheme="minorHAnsi"/>
          <w:color w:val="000000"/>
        </w:rPr>
        <w:t>improperly using information</w:t>
      </w:r>
    </w:p>
    <w:p w14:paraId="4F44E66B" w14:textId="77777777" w:rsidR="00E65BB1" w:rsidRPr="00291574" w:rsidRDefault="00541703"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 xml:space="preserve">a failure to comply with the </w:t>
      </w:r>
      <w:r w:rsidRPr="00291574">
        <w:rPr>
          <w:rFonts w:asciiTheme="minorHAnsi" w:hAnsiTheme="minorHAnsi" w:cstheme="minorHAnsi"/>
          <w:i/>
          <w:color w:val="000000" w:themeColor="text1"/>
        </w:rPr>
        <w:t>Privacy Act 1988</w:t>
      </w:r>
      <w:r w:rsidRPr="00291574">
        <w:rPr>
          <w:rFonts w:asciiTheme="minorHAnsi" w:hAnsiTheme="minorHAnsi" w:cstheme="minorHAnsi"/>
          <w:color w:val="000000" w:themeColor="text1"/>
        </w:rPr>
        <w:t>, which regulates how personal information is managed by entities</w:t>
      </w:r>
    </w:p>
    <w:p w14:paraId="7CE2E5DA" w14:textId="0478CF07" w:rsidR="00541703" w:rsidRPr="00291574" w:rsidRDefault="00E65BB1" w:rsidP="00021422">
      <w:pPr>
        <w:pStyle w:val="ListParagraph"/>
        <w:numPr>
          <w:ilvl w:val="0"/>
          <w:numId w:val="11"/>
        </w:numPr>
        <w:spacing w:before="120"/>
        <w:ind w:left="714" w:hanging="357"/>
        <w:rPr>
          <w:rFonts w:asciiTheme="minorHAnsi" w:hAnsiTheme="minorHAnsi" w:cstheme="minorHAnsi"/>
          <w:color w:val="000000" w:themeColor="text1"/>
        </w:rPr>
      </w:pPr>
      <w:r w:rsidRPr="00291574">
        <w:rPr>
          <w:rFonts w:asciiTheme="minorHAnsi" w:hAnsiTheme="minorHAnsi" w:cstheme="minorHAnsi"/>
          <w:color w:val="000000" w:themeColor="text1"/>
        </w:rPr>
        <w:t>a failure to comply with one or more of the regulatory frameworks relevant to employees of the Department</w:t>
      </w:r>
      <w:r w:rsidR="00541703" w:rsidRPr="00291574">
        <w:rPr>
          <w:rFonts w:asciiTheme="minorHAnsi" w:hAnsiTheme="minorHAnsi" w:cstheme="minorHAnsi"/>
          <w:color w:val="000000" w:themeColor="text1"/>
        </w:rPr>
        <w:t>.</w:t>
      </w:r>
    </w:p>
    <w:p w14:paraId="691FF5E8" w14:textId="6FAEDBAF" w:rsidR="00F54B22" w:rsidRPr="00291574" w:rsidRDefault="00F54B22" w:rsidP="00541703">
      <w:pPr>
        <w:spacing w:before="120"/>
        <w:rPr>
          <w:rFonts w:asciiTheme="minorHAnsi" w:hAnsiTheme="minorHAnsi" w:cstheme="minorHAnsi"/>
          <w:sz w:val="22"/>
          <w:szCs w:val="22"/>
        </w:rPr>
      </w:pPr>
      <w:r>
        <w:rPr>
          <w:rFonts w:asciiTheme="minorHAnsi" w:hAnsiTheme="minorHAnsi" w:cstheme="minorHAnsi"/>
          <w:sz w:val="22"/>
          <w:szCs w:val="22"/>
        </w:rPr>
        <w:t>The participation of employees in the post-award stage of research activities could support projects to consider the policy and program contexts of research programs more carefully</w:t>
      </w:r>
      <w:r w:rsidR="00557FB7">
        <w:rPr>
          <w:rFonts w:asciiTheme="minorHAnsi" w:hAnsiTheme="minorHAnsi" w:cstheme="minorHAnsi"/>
          <w:sz w:val="22"/>
          <w:szCs w:val="22"/>
        </w:rPr>
        <w:t xml:space="preserve"> and therefore support improved outcomes overall</w:t>
      </w:r>
      <w:r>
        <w:rPr>
          <w:rFonts w:asciiTheme="minorHAnsi" w:hAnsiTheme="minorHAnsi" w:cstheme="minorHAnsi"/>
          <w:sz w:val="22"/>
          <w:szCs w:val="22"/>
        </w:rPr>
        <w:t>.</w:t>
      </w:r>
    </w:p>
    <w:p w14:paraId="2060EC87" w14:textId="6962EA40" w:rsidR="00674D0E" w:rsidRPr="00291574" w:rsidRDefault="00851C6B" w:rsidP="00E62671">
      <w:pPr>
        <w:pStyle w:val="ListParagraph"/>
        <w:numPr>
          <w:ilvl w:val="0"/>
          <w:numId w:val="13"/>
        </w:numPr>
        <w:ind w:left="425" w:hanging="425"/>
        <w:outlineLvl w:val="1"/>
        <w:rPr>
          <w:rFonts w:asciiTheme="minorHAnsi" w:hAnsiTheme="minorHAnsi" w:cstheme="minorHAnsi"/>
          <w:b/>
        </w:rPr>
      </w:pPr>
      <w:r w:rsidRPr="00291574">
        <w:rPr>
          <w:rFonts w:asciiTheme="minorHAnsi" w:hAnsiTheme="minorHAnsi" w:cstheme="minorHAnsi"/>
          <w:b/>
        </w:rPr>
        <w:t>Policy</w:t>
      </w:r>
    </w:p>
    <w:p w14:paraId="58F0313F" w14:textId="1CE0E803" w:rsidR="005869D3" w:rsidRPr="00291574" w:rsidRDefault="005869D3" w:rsidP="00674D0E">
      <w:pPr>
        <w:spacing w:after="0"/>
        <w:rPr>
          <w:rFonts w:asciiTheme="minorHAnsi" w:hAnsiTheme="minorHAnsi" w:cstheme="minorHAnsi"/>
          <w:sz w:val="22"/>
          <w:szCs w:val="22"/>
          <w:u w:val="single"/>
        </w:rPr>
      </w:pPr>
      <w:r w:rsidRPr="00291574">
        <w:rPr>
          <w:rFonts w:asciiTheme="minorHAnsi" w:hAnsiTheme="minorHAnsi" w:cstheme="minorHAnsi"/>
          <w:sz w:val="22"/>
          <w:szCs w:val="22"/>
          <w:u w:val="single"/>
        </w:rPr>
        <w:t>Activities</w:t>
      </w:r>
      <w:r w:rsidR="00F44222" w:rsidRPr="00291574">
        <w:rPr>
          <w:rFonts w:asciiTheme="minorHAnsi" w:hAnsiTheme="minorHAnsi" w:cstheme="minorHAnsi"/>
          <w:sz w:val="22"/>
          <w:szCs w:val="22"/>
          <w:u w:val="single"/>
        </w:rPr>
        <w:t xml:space="preserve"> not </w:t>
      </w:r>
      <w:r w:rsidR="00911718">
        <w:rPr>
          <w:rFonts w:asciiTheme="minorHAnsi" w:hAnsiTheme="minorHAnsi" w:cstheme="minorHAnsi"/>
          <w:sz w:val="22"/>
          <w:szCs w:val="22"/>
          <w:u w:val="single"/>
        </w:rPr>
        <w:t>allowed</w:t>
      </w:r>
    </w:p>
    <w:p w14:paraId="2CDEF864" w14:textId="2C66C480" w:rsidR="0092245A" w:rsidRPr="00291574" w:rsidRDefault="00674D0E" w:rsidP="00021422">
      <w:pPr>
        <w:spacing w:before="120"/>
        <w:rPr>
          <w:rFonts w:asciiTheme="minorHAnsi" w:hAnsiTheme="minorHAnsi" w:cstheme="minorHAnsi"/>
          <w:sz w:val="22"/>
          <w:szCs w:val="22"/>
        </w:rPr>
      </w:pPr>
      <w:r w:rsidRPr="00291574">
        <w:rPr>
          <w:rFonts w:asciiTheme="minorHAnsi" w:hAnsiTheme="minorHAnsi" w:cstheme="minorHAnsi"/>
          <w:sz w:val="22"/>
          <w:szCs w:val="22"/>
        </w:rPr>
        <w:t>E</w:t>
      </w:r>
      <w:r w:rsidR="00455523" w:rsidRPr="00291574">
        <w:rPr>
          <w:rFonts w:asciiTheme="minorHAnsi" w:hAnsiTheme="minorHAnsi" w:cstheme="minorHAnsi"/>
          <w:sz w:val="22"/>
          <w:szCs w:val="22"/>
        </w:rPr>
        <w:t xml:space="preserve">mployees </w:t>
      </w:r>
      <w:r w:rsidR="00F44222" w:rsidRPr="00291574">
        <w:rPr>
          <w:rFonts w:asciiTheme="minorHAnsi" w:hAnsiTheme="minorHAnsi" w:cstheme="minorHAnsi"/>
          <w:sz w:val="22"/>
          <w:szCs w:val="22"/>
        </w:rPr>
        <w:t xml:space="preserve">are not </w:t>
      </w:r>
      <w:r w:rsidR="00911718">
        <w:rPr>
          <w:rFonts w:asciiTheme="minorHAnsi" w:hAnsiTheme="minorHAnsi" w:cstheme="minorHAnsi"/>
          <w:sz w:val="22"/>
          <w:szCs w:val="22"/>
        </w:rPr>
        <w:t>allowed</w:t>
      </w:r>
      <w:r w:rsidR="00F44222" w:rsidRPr="00291574">
        <w:rPr>
          <w:rFonts w:asciiTheme="minorHAnsi" w:hAnsiTheme="minorHAnsi" w:cstheme="minorHAnsi"/>
          <w:sz w:val="22"/>
          <w:szCs w:val="22"/>
        </w:rPr>
        <w:t xml:space="preserve"> to participate</w:t>
      </w:r>
      <w:r w:rsidR="00455523" w:rsidRPr="00291574">
        <w:rPr>
          <w:rFonts w:asciiTheme="minorHAnsi" w:hAnsiTheme="minorHAnsi" w:cstheme="minorHAnsi"/>
          <w:sz w:val="22"/>
          <w:szCs w:val="22"/>
        </w:rPr>
        <w:t xml:space="preserve"> in activities</w:t>
      </w:r>
      <w:r w:rsidR="004D693D" w:rsidRPr="00291574">
        <w:rPr>
          <w:rFonts w:asciiTheme="minorHAnsi" w:hAnsiTheme="minorHAnsi" w:cstheme="minorHAnsi"/>
          <w:sz w:val="22"/>
          <w:szCs w:val="22"/>
        </w:rPr>
        <w:t xml:space="preserve"> relating </w:t>
      </w:r>
      <w:r w:rsidR="00314387" w:rsidRPr="00291574">
        <w:rPr>
          <w:rFonts w:asciiTheme="minorHAnsi" w:hAnsiTheme="minorHAnsi" w:cstheme="minorHAnsi"/>
          <w:sz w:val="22"/>
          <w:szCs w:val="22"/>
        </w:rPr>
        <w:t>to application</w:t>
      </w:r>
      <w:r w:rsidRPr="00291574">
        <w:rPr>
          <w:rFonts w:asciiTheme="minorHAnsi" w:hAnsiTheme="minorHAnsi" w:cstheme="minorHAnsi"/>
          <w:sz w:val="22"/>
          <w:szCs w:val="22"/>
        </w:rPr>
        <w:t>s</w:t>
      </w:r>
      <w:r w:rsidR="00314387" w:rsidRPr="00291574">
        <w:rPr>
          <w:rFonts w:asciiTheme="minorHAnsi" w:hAnsiTheme="minorHAnsi" w:cstheme="minorHAnsi"/>
          <w:sz w:val="22"/>
          <w:szCs w:val="22"/>
        </w:rPr>
        <w:t xml:space="preserve"> </w:t>
      </w:r>
      <w:r w:rsidR="00DC1E29" w:rsidRPr="00291574">
        <w:rPr>
          <w:rFonts w:asciiTheme="minorHAnsi" w:hAnsiTheme="minorHAnsi" w:cstheme="minorHAnsi"/>
          <w:sz w:val="22"/>
          <w:szCs w:val="22"/>
        </w:rPr>
        <w:t xml:space="preserve">for MRFF </w:t>
      </w:r>
      <w:r w:rsidRPr="00291574">
        <w:rPr>
          <w:rFonts w:asciiTheme="minorHAnsi" w:hAnsiTheme="minorHAnsi" w:cstheme="minorHAnsi"/>
          <w:sz w:val="22"/>
          <w:szCs w:val="22"/>
        </w:rPr>
        <w:t xml:space="preserve">grant </w:t>
      </w:r>
      <w:r w:rsidR="00DC1E29" w:rsidRPr="00291574">
        <w:rPr>
          <w:rFonts w:asciiTheme="minorHAnsi" w:hAnsiTheme="minorHAnsi" w:cstheme="minorHAnsi"/>
          <w:sz w:val="22"/>
          <w:szCs w:val="22"/>
        </w:rPr>
        <w:t>funding</w:t>
      </w:r>
      <w:r w:rsidRPr="00291574">
        <w:rPr>
          <w:rFonts w:asciiTheme="minorHAnsi" w:hAnsiTheme="minorHAnsi" w:cstheme="minorHAnsi"/>
          <w:sz w:val="22"/>
          <w:szCs w:val="22"/>
        </w:rPr>
        <w:t xml:space="preserve"> during the pre-award phase of a grant</w:t>
      </w:r>
      <w:r w:rsidR="00DC1E29" w:rsidRPr="00291574">
        <w:rPr>
          <w:rFonts w:asciiTheme="minorHAnsi" w:hAnsiTheme="minorHAnsi" w:cstheme="minorHAnsi"/>
          <w:sz w:val="22"/>
          <w:szCs w:val="22"/>
        </w:rPr>
        <w:t xml:space="preserve">. </w:t>
      </w:r>
      <w:r w:rsidR="0092245A" w:rsidRPr="00291574">
        <w:rPr>
          <w:rFonts w:asciiTheme="minorHAnsi" w:hAnsiTheme="minorHAnsi" w:cstheme="minorHAnsi"/>
          <w:sz w:val="22"/>
          <w:szCs w:val="22"/>
        </w:rPr>
        <w:t xml:space="preserve">These activities include but </w:t>
      </w:r>
      <w:r w:rsidR="00DC1E29" w:rsidRPr="00291574">
        <w:rPr>
          <w:rFonts w:asciiTheme="minorHAnsi" w:hAnsiTheme="minorHAnsi" w:cstheme="minorHAnsi"/>
          <w:sz w:val="22"/>
          <w:szCs w:val="22"/>
        </w:rPr>
        <w:t xml:space="preserve">are </w:t>
      </w:r>
      <w:r w:rsidR="0092245A" w:rsidRPr="00291574">
        <w:rPr>
          <w:rFonts w:asciiTheme="minorHAnsi" w:hAnsiTheme="minorHAnsi" w:cstheme="minorHAnsi"/>
          <w:sz w:val="22"/>
          <w:szCs w:val="22"/>
        </w:rPr>
        <w:t xml:space="preserve">not limited to: </w:t>
      </w:r>
    </w:p>
    <w:p w14:paraId="0063702E" w14:textId="4068E8C7" w:rsidR="00CD781D" w:rsidRPr="00CD781D" w:rsidRDefault="00CD781D" w:rsidP="00CD781D">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writing a Letter of Support for an application or request for MRFF funding</w:t>
      </w:r>
    </w:p>
    <w:p w14:paraId="55166116" w14:textId="19AB3685" w:rsidR="004B0E08" w:rsidRPr="00291574" w:rsidRDefault="00674D0E" w:rsidP="004B0E08">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p</w:t>
      </w:r>
      <w:r w:rsidR="004B0E08" w:rsidRPr="00291574">
        <w:rPr>
          <w:rFonts w:asciiTheme="minorHAnsi" w:hAnsiTheme="minorHAnsi" w:cstheme="minorHAnsi"/>
        </w:rPr>
        <w:t xml:space="preserve">roviding information </w:t>
      </w:r>
      <w:r w:rsidRPr="00291574">
        <w:rPr>
          <w:rFonts w:asciiTheme="minorHAnsi" w:hAnsiTheme="minorHAnsi" w:cstheme="minorHAnsi"/>
        </w:rPr>
        <w:t xml:space="preserve">or services </w:t>
      </w:r>
      <w:r w:rsidR="004B0E08" w:rsidRPr="00291574">
        <w:rPr>
          <w:rFonts w:asciiTheme="minorHAnsi" w:hAnsiTheme="minorHAnsi" w:cstheme="minorHAnsi"/>
        </w:rPr>
        <w:t>to assist with the preparation of an application for a MRFF grant where such information</w:t>
      </w:r>
      <w:r w:rsidRPr="00291574">
        <w:rPr>
          <w:rFonts w:asciiTheme="minorHAnsi" w:hAnsiTheme="minorHAnsi" w:cstheme="minorHAnsi"/>
        </w:rPr>
        <w:t xml:space="preserve"> or services are</w:t>
      </w:r>
      <w:r w:rsidR="004B0E08" w:rsidRPr="00291574">
        <w:rPr>
          <w:rFonts w:asciiTheme="minorHAnsi" w:hAnsiTheme="minorHAnsi" w:cstheme="minorHAnsi"/>
        </w:rPr>
        <w:t xml:space="preserve"> not otherwise available to all prospective grant applicants</w:t>
      </w:r>
    </w:p>
    <w:p w14:paraId="47170E73" w14:textId="1B826900" w:rsidR="004B0E08" w:rsidRPr="00291574" w:rsidRDefault="004B0E08" w:rsidP="004B0E08">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being named as an investigator or otherwise as a participant in an application for a MRFF grant</w:t>
      </w:r>
    </w:p>
    <w:p w14:paraId="5CC6ABC7" w14:textId="03102DE9" w:rsidR="0092245A" w:rsidRPr="00291574" w:rsidRDefault="00DC1E29" w:rsidP="00E62671">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acting </w:t>
      </w:r>
      <w:r w:rsidR="0092245A" w:rsidRPr="00291574">
        <w:rPr>
          <w:rFonts w:asciiTheme="minorHAnsi" w:hAnsiTheme="minorHAnsi" w:cstheme="minorHAnsi"/>
        </w:rPr>
        <w:t>as an expert</w:t>
      </w:r>
      <w:r w:rsidR="00674D0E" w:rsidRPr="00291574">
        <w:rPr>
          <w:rFonts w:asciiTheme="minorHAnsi" w:hAnsiTheme="minorHAnsi" w:cstheme="minorHAnsi"/>
        </w:rPr>
        <w:t>,</w:t>
      </w:r>
      <w:r w:rsidRPr="00291574">
        <w:rPr>
          <w:rFonts w:asciiTheme="minorHAnsi" w:hAnsiTheme="minorHAnsi" w:cstheme="minorHAnsi"/>
        </w:rPr>
        <w:t xml:space="preserve"> </w:t>
      </w:r>
      <w:r w:rsidR="0092245A" w:rsidRPr="00291574">
        <w:rPr>
          <w:rFonts w:asciiTheme="minorHAnsi" w:hAnsiTheme="minorHAnsi" w:cstheme="minorHAnsi"/>
        </w:rPr>
        <w:t xml:space="preserve">advisor </w:t>
      </w:r>
      <w:r w:rsidR="00674D0E" w:rsidRPr="00291574">
        <w:rPr>
          <w:rFonts w:asciiTheme="minorHAnsi" w:hAnsiTheme="minorHAnsi" w:cstheme="minorHAnsi"/>
        </w:rPr>
        <w:t xml:space="preserve">or consultant </w:t>
      </w:r>
      <w:r w:rsidR="0092245A" w:rsidRPr="00291574">
        <w:rPr>
          <w:rFonts w:asciiTheme="minorHAnsi" w:hAnsiTheme="minorHAnsi" w:cstheme="minorHAnsi"/>
        </w:rPr>
        <w:t xml:space="preserve">in the preparation of an application for </w:t>
      </w:r>
      <w:r w:rsidRPr="00291574">
        <w:rPr>
          <w:rFonts w:asciiTheme="minorHAnsi" w:hAnsiTheme="minorHAnsi" w:cstheme="minorHAnsi"/>
        </w:rPr>
        <w:t xml:space="preserve">a </w:t>
      </w:r>
      <w:r w:rsidR="0092245A" w:rsidRPr="00291574">
        <w:rPr>
          <w:rFonts w:asciiTheme="minorHAnsi" w:hAnsiTheme="minorHAnsi" w:cstheme="minorHAnsi"/>
        </w:rPr>
        <w:t>MRFF grant</w:t>
      </w:r>
    </w:p>
    <w:p w14:paraId="0DDB5AEF" w14:textId="714C05B8" w:rsidR="00DC1E29" w:rsidRDefault="004B0E08" w:rsidP="00DC1E29">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otherwise </w:t>
      </w:r>
      <w:r w:rsidR="00DC1E29" w:rsidRPr="00291574">
        <w:rPr>
          <w:rFonts w:asciiTheme="minorHAnsi" w:hAnsiTheme="minorHAnsi" w:cstheme="minorHAnsi"/>
        </w:rPr>
        <w:t xml:space="preserve">providing </w:t>
      </w:r>
      <w:r w:rsidR="0092245A" w:rsidRPr="00291574">
        <w:rPr>
          <w:rFonts w:asciiTheme="minorHAnsi" w:hAnsiTheme="minorHAnsi" w:cstheme="minorHAnsi"/>
        </w:rPr>
        <w:t xml:space="preserve">services or </w:t>
      </w:r>
      <w:r w:rsidR="00DC1E29" w:rsidRPr="00291574">
        <w:rPr>
          <w:rFonts w:asciiTheme="minorHAnsi" w:hAnsiTheme="minorHAnsi" w:cstheme="minorHAnsi"/>
        </w:rPr>
        <w:t xml:space="preserve">collaborating </w:t>
      </w:r>
      <w:r w:rsidR="0092245A" w:rsidRPr="00291574">
        <w:rPr>
          <w:rFonts w:asciiTheme="minorHAnsi" w:hAnsiTheme="minorHAnsi" w:cstheme="minorHAnsi"/>
        </w:rPr>
        <w:t xml:space="preserve">directly or indirectly </w:t>
      </w:r>
      <w:r w:rsidR="00DC1E29" w:rsidRPr="00291574">
        <w:rPr>
          <w:rFonts w:asciiTheme="minorHAnsi" w:hAnsiTheme="minorHAnsi" w:cstheme="minorHAnsi"/>
        </w:rPr>
        <w:t>on an application for</w:t>
      </w:r>
      <w:r w:rsidR="0092245A" w:rsidRPr="00291574">
        <w:rPr>
          <w:rFonts w:asciiTheme="minorHAnsi" w:hAnsiTheme="minorHAnsi" w:cstheme="minorHAnsi"/>
        </w:rPr>
        <w:t xml:space="preserve"> a MRFF grant</w:t>
      </w:r>
      <w:r w:rsidR="00786C99">
        <w:rPr>
          <w:rFonts w:asciiTheme="minorHAnsi" w:hAnsiTheme="minorHAnsi" w:cstheme="minorHAnsi"/>
        </w:rPr>
        <w:t>.</w:t>
      </w:r>
    </w:p>
    <w:p w14:paraId="12B0F3EC" w14:textId="0BCDFAB4" w:rsidR="00677AD2" w:rsidRPr="00291574" w:rsidRDefault="00677AD2" w:rsidP="00674D0E">
      <w:pPr>
        <w:rPr>
          <w:rFonts w:asciiTheme="minorHAnsi" w:hAnsiTheme="minorHAnsi" w:cstheme="minorHAnsi"/>
          <w:sz w:val="22"/>
          <w:szCs w:val="22"/>
        </w:rPr>
      </w:pPr>
      <w:r w:rsidRPr="00291574">
        <w:rPr>
          <w:rFonts w:asciiTheme="minorHAnsi" w:hAnsiTheme="minorHAnsi" w:cstheme="minorHAnsi"/>
          <w:sz w:val="22"/>
          <w:szCs w:val="22"/>
        </w:rPr>
        <w:lastRenderedPageBreak/>
        <w:t xml:space="preserve">Employees are also </w:t>
      </w:r>
      <w:r w:rsidR="00AD1D5F">
        <w:rPr>
          <w:rFonts w:asciiTheme="minorHAnsi" w:hAnsiTheme="minorHAnsi" w:cstheme="minorHAnsi"/>
          <w:sz w:val="22"/>
          <w:szCs w:val="22"/>
        </w:rPr>
        <w:t xml:space="preserve">not </w:t>
      </w:r>
      <w:r w:rsidR="00911718">
        <w:rPr>
          <w:rFonts w:asciiTheme="minorHAnsi" w:hAnsiTheme="minorHAnsi" w:cstheme="minorHAnsi"/>
          <w:sz w:val="22"/>
          <w:szCs w:val="22"/>
        </w:rPr>
        <w:t>allowed</w:t>
      </w:r>
      <w:r w:rsidR="00AD1D5F">
        <w:rPr>
          <w:rFonts w:asciiTheme="minorHAnsi" w:hAnsiTheme="minorHAnsi" w:cstheme="minorHAnsi"/>
          <w:sz w:val="22"/>
          <w:szCs w:val="22"/>
        </w:rPr>
        <w:t xml:space="preserve"> to join</w:t>
      </w:r>
      <w:r w:rsidRPr="00291574">
        <w:rPr>
          <w:rFonts w:asciiTheme="minorHAnsi" w:hAnsiTheme="minorHAnsi" w:cstheme="minorHAnsi"/>
          <w:sz w:val="22"/>
          <w:szCs w:val="22"/>
        </w:rPr>
        <w:t xml:space="preserve"> projects funded by the MRFF following the execution of a grant agreement as a named investigator, although participation in other capacities is </w:t>
      </w:r>
      <w:r w:rsidR="00911718">
        <w:rPr>
          <w:rFonts w:asciiTheme="minorHAnsi" w:hAnsiTheme="minorHAnsi" w:cstheme="minorHAnsi"/>
          <w:sz w:val="22"/>
          <w:szCs w:val="22"/>
        </w:rPr>
        <w:t>allowed</w:t>
      </w:r>
      <w:r w:rsidRPr="00291574">
        <w:rPr>
          <w:rFonts w:asciiTheme="minorHAnsi" w:hAnsiTheme="minorHAnsi" w:cstheme="minorHAnsi"/>
          <w:sz w:val="22"/>
          <w:szCs w:val="22"/>
        </w:rPr>
        <w:t>.</w:t>
      </w:r>
    </w:p>
    <w:p w14:paraId="63EED16A" w14:textId="39A14E5B" w:rsidR="00677AD2" w:rsidRPr="00291574" w:rsidRDefault="00677AD2" w:rsidP="00674D0E">
      <w:pPr>
        <w:rPr>
          <w:rFonts w:asciiTheme="minorHAnsi" w:hAnsiTheme="minorHAnsi" w:cstheme="minorHAnsi"/>
          <w:sz w:val="22"/>
          <w:szCs w:val="22"/>
        </w:rPr>
      </w:pPr>
      <w:r w:rsidRPr="00291574">
        <w:rPr>
          <w:rFonts w:asciiTheme="minorHAnsi" w:hAnsiTheme="minorHAnsi" w:cstheme="minorHAnsi"/>
          <w:sz w:val="22"/>
          <w:szCs w:val="22"/>
        </w:rPr>
        <w:t xml:space="preserve">Employees are </w:t>
      </w:r>
      <w:r w:rsidR="00AD1D5F">
        <w:rPr>
          <w:rFonts w:asciiTheme="minorHAnsi" w:hAnsiTheme="minorHAnsi" w:cstheme="minorHAnsi"/>
          <w:sz w:val="22"/>
          <w:szCs w:val="22"/>
        </w:rPr>
        <w:t xml:space="preserve">not </w:t>
      </w:r>
      <w:r w:rsidR="00911718">
        <w:rPr>
          <w:rFonts w:asciiTheme="minorHAnsi" w:hAnsiTheme="minorHAnsi" w:cstheme="minorHAnsi"/>
          <w:sz w:val="22"/>
          <w:szCs w:val="22"/>
        </w:rPr>
        <w:t>allowed</w:t>
      </w:r>
      <w:r w:rsidR="00AD1D5F">
        <w:rPr>
          <w:rFonts w:asciiTheme="minorHAnsi" w:hAnsiTheme="minorHAnsi" w:cstheme="minorHAnsi"/>
          <w:sz w:val="22"/>
          <w:szCs w:val="22"/>
        </w:rPr>
        <w:t xml:space="preserve"> to participate</w:t>
      </w:r>
      <w:r w:rsidRPr="00291574">
        <w:rPr>
          <w:rFonts w:asciiTheme="minorHAnsi" w:hAnsiTheme="minorHAnsi" w:cstheme="minorHAnsi"/>
          <w:sz w:val="22"/>
          <w:szCs w:val="22"/>
        </w:rPr>
        <w:t xml:space="preserve"> in any activity </w:t>
      </w:r>
      <w:r w:rsidR="001F778F" w:rsidRPr="00291574">
        <w:rPr>
          <w:rFonts w:asciiTheme="minorHAnsi" w:hAnsiTheme="minorHAnsi" w:cstheme="minorHAnsi"/>
          <w:sz w:val="22"/>
          <w:szCs w:val="22"/>
        </w:rPr>
        <w:t>in support of</w:t>
      </w:r>
      <w:r w:rsidRPr="00291574">
        <w:rPr>
          <w:rFonts w:asciiTheme="minorHAnsi" w:hAnsiTheme="minorHAnsi" w:cstheme="minorHAnsi"/>
          <w:sz w:val="22"/>
          <w:szCs w:val="22"/>
        </w:rPr>
        <w:t xml:space="preserve"> a research project funded by the MRFF</w:t>
      </w:r>
      <w:r w:rsidR="001F778F" w:rsidRPr="00291574">
        <w:rPr>
          <w:rFonts w:asciiTheme="minorHAnsi" w:hAnsiTheme="minorHAnsi" w:cstheme="minorHAnsi"/>
          <w:sz w:val="22"/>
          <w:szCs w:val="22"/>
        </w:rPr>
        <w:t>,</w:t>
      </w:r>
      <w:r w:rsidRPr="00291574">
        <w:rPr>
          <w:rFonts w:asciiTheme="minorHAnsi" w:hAnsiTheme="minorHAnsi" w:cstheme="minorHAnsi"/>
          <w:sz w:val="22"/>
          <w:szCs w:val="22"/>
        </w:rPr>
        <w:t xml:space="preserve"> where that employee </w:t>
      </w:r>
      <w:r w:rsidR="001F778F" w:rsidRPr="00291574">
        <w:rPr>
          <w:rFonts w:asciiTheme="minorHAnsi" w:hAnsiTheme="minorHAnsi" w:cstheme="minorHAnsi"/>
          <w:sz w:val="22"/>
          <w:szCs w:val="22"/>
        </w:rPr>
        <w:t xml:space="preserve">also </w:t>
      </w:r>
      <w:r w:rsidRPr="00291574">
        <w:rPr>
          <w:rFonts w:asciiTheme="minorHAnsi" w:hAnsiTheme="minorHAnsi" w:cstheme="minorHAnsi"/>
          <w:sz w:val="22"/>
          <w:szCs w:val="22"/>
        </w:rPr>
        <w:t>has a role</w:t>
      </w:r>
      <w:r w:rsidR="001F778F" w:rsidRPr="00291574">
        <w:rPr>
          <w:rFonts w:asciiTheme="minorHAnsi" w:hAnsiTheme="minorHAnsi" w:cstheme="minorHAnsi"/>
          <w:sz w:val="22"/>
          <w:szCs w:val="22"/>
        </w:rPr>
        <w:t xml:space="preserve"> in</w:t>
      </w:r>
      <w:r w:rsidRPr="00291574">
        <w:rPr>
          <w:rFonts w:asciiTheme="minorHAnsi" w:hAnsiTheme="minorHAnsi" w:cstheme="minorHAnsi"/>
          <w:sz w:val="22"/>
          <w:szCs w:val="22"/>
        </w:rPr>
        <w:t xml:space="preserve"> monitoring or evaluating that </w:t>
      </w:r>
      <w:r w:rsidR="001F778F" w:rsidRPr="00291574">
        <w:rPr>
          <w:rFonts w:asciiTheme="minorHAnsi" w:hAnsiTheme="minorHAnsi" w:cstheme="minorHAnsi"/>
          <w:sz w:val="22"/>
          <w:szCs w:val="22"/>
        </w:rPr>
        <w:t>activity</w:t>
      </w:r>
      <w:r w:rsidR="000372FE" w:rsidRPr="00291574">
        <w:rPr>
          <w:rFonts w:asciiTheme="minorHAnsi" w:hAnsiTheme="minorHAnsi" w:cstheme="minorHAnsi"/>
          <w:sz w:val="22"/>
          <w:szCs w:val="22"/>
        </w:rPr>
        <w:t>,</w:t>
      </w:r>
      <w:r w:rsidRPr="00291574">
        <w:rPr>
          <w:rFonts w:asciiTheme="minorHAnsi" w:hAnsiTheme="minorHAnsi" w:cstheme="minorHAnsi"/>
          <w:sz w:val="22"/>
          <w:szCs w:val="22"/>
        </w:rPr>
        <w:t xml:space="preserve"> managing a funding agreement with the organisation</w:t>
      </w:r>
      <w:r w:rsidR="001F778F" w:rsidRPr="00291574">
        <w:rPr>
          <w:rFonts w:asciiTheme="minorHAnsi" w:hAnsiTheme="minorHAnsi" w:cstheme="minorHAnsi"/>
          <w:sz w:val="22"/>
          <w:szCs w:val="22"/>
        </w:rPr>
        <w:t xml:space="preserve"> in receipt of that particular grant</w:t>
      </w:r>
      <w:r w:rsidR="000372FE" w:rsidRPr="00291574">
        <w:rPr>
          <w:rFonts w:asciiTheme="minorHAnsi" w:hAnsiTheme="minorHAnsi" w:cstheme="minorHAnsi"/>
          <w:sz w:val="22"/>
          <w:szCs w:val="22"/>
        </w:rPr>
        <w:t>, or making payments from the MRFF in relation to a particular grant</w:t>
      </w:r>
      <w:r w:rsidR="001F778F" w:rsidRPr="00291574">
        <w:rPr>
          <w:rFonts w:asciiTheme="minorHAnsi" w:hAnsiTheme="minorHAnsi" w:cstheme="minorHAnsi"/>
          <w:sz w:val="22"/>
          <w:szCs w:val="22"/>
        </w:rPr>
        <w:t>.</w:t>
      </w:r>
    </w:p>
    <w:p w14:paraId="3247E06E" w14:textId="77777777" w:rsidR="005869D3" w:rsidRPr="00291574" w:rsidRDefault="005869D3" w:rsidP="00021422">
      <w:pPr>
        <w:spacing w:before="120"/>
        <w:rPr>
          <w:rFonts w:asciiTheme="minorHAnsi" w:hAnsiTheme="minorHAnsi" w:cstheme="minorHAnsi"/>
          <w:sz w:val="22"/>
          <w:szCs w:val="22"/>
          <w:u w:val="single"/>
        </w:rPr>
      </w:pPr>
      <w:r w:rsidRPr="00291574">
        <w:rPr>
          <w:rFonts w:asciiTheme="minorHAnsi" w:hAnsiTheme="minorHAnsi" w:cstheme="minorHAnsi"/>
          <w:sz w:val="22"/>
          <w:szCs w:val="22"/>
          <w:u w:val="single"/>
        </w:rPr>
        <w:t>Exemptions</w:t>
      </w:r>
    </w:p>
    <w:p w14:paraId="2C2CF182" w14:textId="62B5E3B9" w:rsidR="005869D3" w:rsidRPr="00291574" w:rsidRDefault="006315D6" w:rsidP="00674D0E">
      <w:pPr>
        <w:rPr>
          <w:rFonts w:asciiTheme="minorHAnsi" w:hAnsiTheme="minorHAnsi" w:cstheme="minorHAnsi"/>
          <w:sz w:val="22"/>
          <w:szCs w:val="22"/>
        </w:rPr>
      </w:pPr>
      <w:r>
        <w:rPr>
          <w:rFonts w:asciiTheme="minorHAnsi" w:hAnsiTheme="minorHAnsi" w:cstheme="minorHAnsi"/>
          <w:sz w:val="22"/>
          <w:szCs w:val="22"/>
        </w:rPr>
        <w:t xml:space="preserve">Exemptions </w:t>
      </w:r>
      <w:r w:rsidRPr="00291574">
        <w:rPr>
          <w:rFonts w:asciiTheme="minorHAnsi" w:hAnsiTheme="minorHAnsi" w:cstheme="minorHAnsi"/>
          <w:sz w:val="22"/>
          <w:szCs w:val="22"/>
        </w:rPr>
        <w:t>apply</w:t>
      </w:r>
      <w:r w:rsidR="00674D0E" w:rsidRPr="00291574">
        <w:rPr>
          <w:rFonts w:asciiTheme="minorHAnsi" w:hAnsiTheme="minorHAnsi" w:cstheme="minorHAnsi"/>
          <w:sz w:val="22"/>
          <w:szCs w:val="22"/>
        </w:rPr>
        <w:t xml:space="preserve"> </w:t>
      </w:r>
      <w:r w:rsidR="005869D3" w:rsidRPr="00291574">
        <w:rPr>
          <w:rFonts w:asciiTheme="minorHAnsi" w:hAnsiTheme="minorHAnsi" w:cstheme="minorHAnsi"/>
          <w:sz w:val="22"/>
          <w:szCs w:val="22"/>
        </w:rPr>
        <w:t>in the following circumstances:</w:t>
      </w:r>
    </w:p>
    <w:p w14:paraId="74D0970F" w14:textId="0C844B53" w:rsidR="005869D3" w:rsidRPr="00291574" w:rsidRDefault="005869D3" w:rsidP="005869D3">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where an employee contributes to processes that might </w:t>
      </w:r>
      <w:r w:rsidR="00677AD2" w:rsidRPr="00291574">
        <w:rPr>
          <w:rFonts w:asciiTheme="minorHAnsi" w:hAnsiTheme="minorHAnsi" w:cstheme="minorHAnsi"/>
        </w:rPr>
        <w:t>indirectly assist MRFF grant applicants as a cohort but do not benefit individual grant applicants specifically. Examples might include</w:t>
      </w:r>
      <w:r w:rsidRPr="00291574">
        <w:rPr>
          <w:rFonts w:asciiTheme="minorHAnsi" w:hAnsiTheme="minorHAnsi" w:cstheme="minorHAnsi"/>
        </w:rPr>
        <w:t xml:space="preserve"> Departmental or Governmental process for information sharing (such as Multi-Agency Data Integration Project, </w:t>
      </w:r>
      <w:r w:rsidR="00677AD2" w:rsidRPr="00291574">
        <w:rPr>
          <w:rFonts w:asciiTheme="minorHAnsi" w:hAnsiTheme="minorHAnsi" w:cstheme="minorHAnsi"/>
        </w:rPr>
        <w:t xml:space="preserve">or </w:t>
      </w:r>
      <w:r w:rsidRPr="00291574">
        <w:rPr>
          <w:rFonts w:asciiTheme="minorHAnsi" w:hAnsiTheme="minorHAnsi" w:cstheme="minorHAnsi"/>
        </w:rPr>
        <w:t>Services Australia statistics requests)</w:t>
      </w:r>
    </w:p>
    <w:p w14:paraId="6506A7AB" w14:textId="4A4A5CC9" w:rsidR="00674D0E" w:rsidRPr="00291574" w:rsidRDefault="00674D0E" w:rsidP="005869D3">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where an employee of a corporate Commonwealth entity performs such activities as part of their duties as an employee of that entity, and where the grant in question is for the purposes of that entity. </w:t>
      </w:r>
      <w:r w:rsidR="00FE4E23">
        <w:rPr>
          <w:rFonts w:asciiTheme="minorHAnsi" w:hAnsiTheme="minorHAnsi" w:cstheme="minorHAnsi"/>
        </w:rPr>
        <w:t>C</w:t>
      </w:r>
      <w:r w:rsidRPr="00291574">
        <w:rPr>
          <w:rFonts w:asciiTheme="minorHAnsi" w:hAnsiTheme="minorHAnsi" w:cstheme="minorHAnsi"/>
        </w:rPr>
        <w:t>orporate Commonwealth entities are eligible to receive grants funding under the</w:t>
      </w:r>
      <w:r w:rsidRPr="00291574">
        <w:rPr>
          <w:rFonts w:asciiTheme="minorHAnsi" w:hAnsiTheme="minorHAnsi" w:cstheme="minorHAnsi"/>
          <w:i/>
          <w:iCs/>
        </w:rPr>
        <w:t xml:space="preserve"> Medical Research Future Fund Act 2015</w:t>
      </w:r>
    </w:p>
    <w:p w14:paraId="67B588E5" w14:textId="08F4CFD2" w:rsidR="005869D3" w:rsidRPr="00021422" w:rsidRDefault="005869D3"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 xml:space="preserve">where an employee has been granted an exemption in writing from this part of the policy by the Chief Executive Officer </w:t>
      </w:r>
      <w:r w:rsidR="005136DB" w:rsidRPr="00291574">
        <w:rPr>
          <w:rFonts w:asciiTheme="minorHAnsi" w:hAnsiTheme="minorHAnsi" w:cstheme="minorHAnsi"/>
        </w:rPr>
        <w:t xml:space="preserve">(CEO) </w:t>
      </w:r>
      <w:r w:rsidRPr="00291574">
        <w:rPr>
          <w:rFonts w:asciiTheme="minorHAnsi" w:hAnsiTheme="minorHAnsi" w:cstheme="minorHAnsi"/>
        </w:rPr>
        <w:t>of HMRO, in order to undertake a specific activity, subject to the employee abiding by any conditions imposed on that exemption.</w:t>
      </w:r>
    </w:p>
    <w:p w14:paraId="42D6E7C1" w14:textId="3306319B" w:rsidR="00677AD2" w:rsidRPr="00291574" w:rsidRDefault="005869D3" w:rsidP="00786C99">
      <w:pPr>
        <w:spacing w:before="120"/>
        <w:rPr>
          <w:rFonts w:asciiTheme="minorHAnsi" w:hAnsiTheme="minorHAnsi" w:cstheme="minorHAnsi"/>
          <w:sz w:val="22"/>
          <w:szCs w:val="22"/>
          <w:u w:val="single"/>
        </w:rPr>
      </w:pPr>
      <w:r w:rsidRPr="00291574">
        <w:rPr>
          <w:rFonts w:asciiTheme="minorHAnsi" w:hAnsiTheme="minorHAnsi" w:cstheme="minorHAnsi"/>
          <w:sz w:val="22"/>
          <w:szCs w:val="22"/>
          <w:u w:val="single"/>
        </w:rPr>
        <w:t>Activities</w:t>
      </w:r>
      <w:r w:rsidR="00911718">
        <w:rPr>
          <w:rFonts w:asciiTheme="minorHAnsi" w:hAnsiTheme="minorHAnsi" w:cstheme="minorHAnsi"/>
          <w:sz w:val="22"/>
          <w:szCs w:val="22"/>
          <w:u w:val="single"/>
        </w:rPr>
        <w:t xml:space="preserve"> that are allowed</w:t>
      </w:r>
    </w:p>
    <w:p w14:paraId="3A26BDA4" w14:textId="36FD88FC" w:rsidR="00E62671" w:rsidRPr="00291574" w:rsidRDefault="00911718" w:rsidP="00674D0E">
      <w:pPr>
        <w:rPr>
          <w:rFonts w:asciiTheme="minorHAnsi" w:hAnsiTheme="minorHAnsi" w:cstheme="minorHAnsi"/>
          <w:sz w:val="22"/>
          <w:szCs w:val="22"/>
        </w:rPr>
      </w:pPr>
      <w:r>
        <w:rPr>
          <w:rFonts w:asciiTheme="minorHAnsi" w:hAnsiTheme="minorHAnsi" w:cstheme="minorHAnsi"/>
          <w:sz w:val="22"/>
          <w:szCs w:val="22"/>
        </w:rPr>
        <w:t>A</w:t>
      </w:r>
      <w:r w:rsidR="00E62671" w:rsidRPr="00291574">
        <w:rPr>
          <w:rFonts w:asciiTheme="minorHAnsi" w:hAnsiTheme="minorHAnsi" w:cstheme="minorHAnsi"/>
          <w:sz w:val="22"/>
          <w:szCs w:val="22"/>
        </w:rPr>
        <w:t xml:space="preserve">ctivities </w:t>
      </w:r>
      <w:r>
        <w:rPr>
          <w:rFonts w:asciiTheme="minorHAnsi" w:hAnsiTheme="minorHAnsi" w:cstheme="minorHAnsi"/>
          <w:sz w:val="22"/>
          <w:szCs w:val="22"/>
        </w:rPr>
        <w:t xml:space="preserve">that are allowed </w:t>
      </w:r>
      <w:r w:rsidR="00E62671" w:rsidRPr="00291574">
        <w:rPr>
          <w:rFonts w:asciiTheme="minorHAnsi" w:hAnsiTheme="minorHAnsi" w:cstheme="minorHAnsi"/>
          <w:sz w:val="22"/>
          <w:szCs w:val="22"/>
        </w:rPr>
        <w:t xml:space="preserve">fall into </w:t>
      </w:r>
      <w:r w:rsidR="00F54B22">
        <w:rPr>
          <w:rFonts w:asciiTheme="minorHAnsi" w:hAnsiTheme="minorHAnsi" w:cstheme="minorHAnsi"/>
          <w:sz w:val="22"/>
          <w:szCs w:val="22"/>
        </w:rPr>
        <w:t>three</w:t>
      </w:r>
      <w:r w:rsidR="00E62671" w:rsidRPr="00291574">
        <w:rPr>
          <w:rFonts w:asciiTheme="minorHAnsi" w:hAnsiTheme="minorHAnsi" w:cstheme="minorHAnsi"/>
          <w:sz w:val="22"/>
          <w:szCs w:val="22"/>
        </w:rPr>
        <w:t xml:space="preserve"> categories:</w:t>
      </w:r>
    </w:p>
    <w:p w14:paraId="709DE991" w14:textId="6E04FCE7" w:rsidR="00E62671" w:rsidRPr="00291574" w:rsidRDefault="00E62671" w:rsidP="00021422">
      <w:pPr>
        <w:pStyle w:val="ListParagraph"/>
        <w:numPr>
          <w:ilvl w:val="0"/>
          <w:numId w:val="23"/>
        </w:numPr>
        <w:spacing w:before="120"/>
        <w:ind w:left="714" w:hanging="357"/>
        <w:rPr>
          <w:rFonts w:asciiTheme="minorHAnsi" w:hAnsiTheme="minorHAnsi" w:cstheme="minorHAnsi"/>
        </w:rPr>
      </w:pPr>
      <w:r w:rsidRPr="00291574">
        <w:rPr>
          <w:rFonts w:asciiTheme="minorHAnsi" w:hAnsiTheme="minorHAnsi" w:cstheme="minorHAnsi"/>
        </w:rPr>
        <w:t xml:space="preserve">Activities that are undertaken in the course of </w:t>
      </w:r>
      <w:r w:rsidR="001468DD" w:rsidRPr="00291574">
        <w:rPr>
          <w:rFonts w:asciiTheme="minorHAnsi" w:hAnsiTheme="minorHAnsi" w:cstheme="minorHAnsi"/>
        </w:rPr>
        <w:t>an</w:t>
      </w:r>
      <w:r w:rsidRPr="00291574">
        <w:rPr>
          <w:rFonts w:asciiTheme="minorHAnsi" w:hAnsiTheme="minorHAnsi" w:cstheme="minorHAnsi"/>
        </w:rPr>
        <w:t xml:space="preserve"> employee undertaking their usual duties within the </w:t>
      </w:r>
      <w:r w:rsidR="009F20F1">
        <w:rPr>
          <w:rFonts w:asciiTheme="minorHAnsi" w:hAnsiTheme="minorHAnsi" w:cstheme="minorHAnsi"/>
        </w:rPr>
        <w:t>Department</w:t>
      </w:r>
      <w:r w:rsidRPr="00291574">
        <w:rPr>
          <w:rFonts w:asciiTheme="minorHAnsi" w:hAnsiTheme="minorHAnsi" w:cstheme="minorHAnsi"/>
        </w:rPr>
        <w:t>. Examples might include:</w:t>
      </w:r>
    </w:p>
    <w:p w14:paraId="7DD0A1FE" w14:textId="0CA08E1A" w:rsidR="00A33704" w:rsidRPr="00291574" w:rsidRDefault="00731930" w:rsidP="00021422">
      <w:pPr>
        <w:pStyle w:val="ListParagraph"/>
        <w:numPr>
          <w:ilvl w:val="1"/>
          <w:numId w:val="15"/>
        </w:numPr>
        <w:spacing w:before="120"/>
        <w:ind w:left="1077" w:hanging="357"/>
        <w:rPr>
          <w:rFonts w:asciiTheme="minorHAnsi" w:hAnsiTheme="minorHAnsi" w:cstheme="minorHAnsi"/>
        </w:rPr>
      </w:pPr>
      <w:bookmarkStart w:id="2" w:name="_Hlk89288121"/>
      <w:r w:rsidRPr="00291574">
        <w:rPr>
          <w:rFonts w:asciiTheme="minorHAnsi" w:hAnsiTheme="minorHAnsi" w:cstheme="minorHAnsi"/>
        </w:rPr>
        <w:t>d</w:t>
      </w:r>
      <w:r w:rsidR="00A33704" w:rsidRPr="00291574">
        <w:rPr>
          <w:rFonts w:asciiTheme="minorHAnsi" w:hAnsiTheme="minorHAnsi" w:cstheme="minorHAnsi"/>
        </w:rPr>
        <w:t>evelopment of Grant Opportunity Guidelines</w:t>
      </w:r>
    </w:p>
    <w:p w14:paraId="47E38DED" w14:textId="4EEBA008" w:rsidR="00A33704" w:rsidRPr="00291574" w:rsidRDefault="00731930" w:rsidP="00021422">
      <w:pPr>
        <w:pStyle w:val="ListParagraph"/>
        <w:numPr>
          <w:ilvl w:val="1"/>
          <w:numId w:val="15"/>
        </w:numPr>
        <w:spacing w:before="120"/>
        <w:ind w:left="1077" w:hanging="357"/>
        <w:rPr>
          <w:rFonts w:asciiTheme="minorHAnsi" w:hAnsiTheme="minorHAnsi" w:cstheme="minorHAnsi"/>
        </w:rPr>
      </w:pPr>
      <w:r w:rsidRPr="00291574">
        <w:rPr>
          <w:rFonts w:asciiTheme="minorHAnsi" w:hAnsiTheme="minorHAnsi" w:cstheme="minorHAnsi"/>
        </w:rPr>
        <w:t>i</w:t>
      </w:r>
      <w:r w:rsidR="00A33704" w:rsidRPr="00291574">
        <w:rPr>
          <w:rFonts w:asciiTheme="minorHAnsi" w:hAnsiTheme="minorHAnsi" w:cstheme="minorHAnsi"/>
        </w:rPr>
        <w:t>ndirect or direct decision maker for a grant outcome</w:t>
      </w:r>
    </w:p>
    <w:p w14:paraId="7FC8924A" w14:textId="76F9118A" w:rsidR="00A33704" w:rsidRPr="00291574" w:rsidRDefault="00731930" w:rsidP="00021422">
      <w:pPr>
        <w:pStyle w:val="ListParagraph"/>
        <w:numPr>
          <w:ilvl w:val="1"/>
          <w:numId w:val="15"/>
        </w:numPr>
        <w:spacing w:before="120"/>
        <w:ind w:left="1077"/>
        <w:rPr>
          <w:rFonts w:asciiTheme="minorHAnsi" w:hAnsiTheme="minorHAnsi" w:cstheme="minorHAnsi"/>
        </w:rPr>
      </w:pPr>
      <w:r w:rsidRPr="00291574">
        <w:rPr>
          <w:rFonts w:asciiTheme="minorHAnsi" w:hAnsiTheme="minorHAnsi" w:cstheme="minorHAnsi"/>
        </w:rPr>
        <w:t>s</w:t>
      </w:r>
      <w:r w:rsidR="00A33704" w:rsidRPr="00291574">
        <w:rPr>
          <w:rFonts w:asciiTheme="minorHAnsi" w:hAnsiTheme="minorHAnsi" w:cstheme="minorHAnsi"/>
        </w:rPr>
        <w:t>upport of MRFF</w:t>
      </w:r>
      <w:r w:rsidRPr="00291574">
        <w:rPr>
          <w:rFonts w:asciiTheme="minorHAnsi" w:hAnsiTheme="minorHAnsi" w:cstheme="minorHAnsi"/>
        </w:rPr>
        <w:t>-</w:t>
      </w:r>
      <w:r w:rsidR="00A33704" w:rsidRPr="00291574">
        <w:rPr>
          <w:rFonts w:asciiTheme="minorHAnsi" w:hAnsiTheme="minorHAnsi" w:cstheme="minorHAnsi"/>
        </w:rPr>
        <w:t>related External Advisory Panels and the Australian Medical Research Advisory Board</w:t>
      </w:r>
    </w:p>
    <w:p w14:paraId="59C49A17" w14:textId="74740259" w:rsidR="00A33704" w:rsidRPr="00291574" w:rsidRDefault="00731930" w:rsidP="00021422">
      <w:pPr>
        <w:pStyle w:val="ListParagraph"/>
        <w:numPr>
          <w:ilvl w:val="1"/>
          <w:numId w:val="15"/>
        </w:numPr>
        <w:spacing w:before="120"/>
        <w:ind w:left="1077"/>
        <w:rPr>
          <w:rFonts w:asciiTheme="minorHAnsi" w:hAnsiTheme="minorHAnsi" w:cstheme="minorHAnsi"/>
        </w:rPr>
      </w:pPr>
      <w:r w:rsidRPr="00291574">
        <w:rPr>
          <w:rFonts w:asciiTheme="minorHAnsi" w:hAnsiTheme="minorHAnsi" w:cstheme="minorHAnsi"/>
        </w:rPr>
        <w:t>d</w:t>
      </w:r>
      <w:r w:rsidR="00A33704" w:rsidRPr="00291574">
        <w:rPr>
          <w:rFonts w:asciiTheme="minorHAnsi" w:hAnsiTheme="minorHAnsi" w:cstheme="minorHAnsi"/>
        </w:rPr>
        <w:t xml:space="preserve">evelopment </w:t>
      </w:r>
      <w:r w:rsidRPr="00291574">
        <w:rPr>
          <w:rFonts w:asciiTheme="minorHAnsi" w:hAnsiTheme="minorHAnsi" w:cstheme="minorHAnsi"/>
        </w:rPr>
        <w:t xml:space="preserve">of </w:t>
      </w:r>
      <w:r w:rsidR="00A33704" w:rsidRPr="00291574">
        <w:rPr>
          <w:rFonts w:asciiTheme="minorHAnsi" w:hAnsiTheme="minorHAnsi" w:cstheme="minorHAnsi"/>
        </w:rPr>
        <w:t>or participation in the Government or Department’s response to Parliamentary Inquiries that lead to specific grant opportunities</w:t>
      </w:r>
    </w:p>
    <w:p w14:paraId="665841B7" w14:textId="178BCC54" w:rsidR="00A33704" w:rsidRPr="00291574" w:rsidRDefault="00731930" w:rsidP="00021422">
      <w:pPr>
        <w:pStyle w:val="ListParagraph"/>
        <w:numPr>
          <w:ilvl w:val="1"/>
          <w:numId w:val="15"/>
        </w:numPr>
        <w:spacing w:before="120"/>
        <w:ind w:left="1077"/>
        <w:rPr>
          <w:rFonts w:asciiTheme="minorHAnsi" w:hAnsiTheme="minorHAnsi" w:cstheme="minorHAnsi"/>
        </w:rPr>
      </w:pPr>
      <w:r w:rsidRPr="00291574">
        <w:rPr>
          <w:rFonts w:asciiTheme="minorHAnsi" w:hAnsiTheme="minorHAnsi" w:cstheme="minorHAnsi"/>
        </w:rPr>
        <w:t>d</w:t>
      </w:r>
      <w:r w:rsidR="00A33704" w:rsidRPr="00291574">
        <w:rPr>
          <w:rFonts w:asciiTheme="minorHAnsi" w:hAnsiTheme="minorHAnsi" w:cstheme="minorHAnsi"/>
        </w:rPr>
        <w:t xml:space="preserve">evelopment </w:t>
      </w:r>
      <w:r w:rsidR="005136DB" w:rsidRPr="00291574">
        <w:rPr>
          <w:rFonts w:asciiTheme="minorHAnsi" w:hAnsiTheme="minorHAnsi" w:cstheme="minorHAnsi"/>
        </w:rPr>
        <w:t xml:space="preserve">of </w:t>
      </w:r>
      <w:r w:rsidR="00A33704" w:rsidRPr="00291574">
        <w:rPr>
          <w:rFonts w:asciiTheme="minorHAnsi" w:hAnsiTheme="minorHAnsi" w:cstheme="minorHAnsi"/>
        </w:rPr>
        <w:t xml:space="preserve">or participation in </w:t>
      </w:r>
      <w:r w:rsidRPr="00291574">
        <w:rPr>
          <w:rFonts w:asciiTheme="minorHAnsi" w:hAnsiTheme="minorHAnsi" w:cstheme="minorHAnsi"/>
        </w:rPr>
        <w:t>a</w:t>
      </w:r>
      <w:r w:rsidR="00A33704" w:rsidRPr="00291574">
        <w:rPr>
          <w:rFonts w:asciiTheme="minorHAnsi" w:hAnsiTheme="minorHAnsi" w:cstheme="minorHAnsi"/>
        </w:rPr>
        <w:t xml:space="preserve">dvice to Government by Health-related committees that lead to the specific grant opportunities. </w:t>
      </w:r>
    </w:p>
    <w:p w14:paraId="1B852B44" w14:textId="17BCA045" w:rsidR="00E62671" w:rsidRPr="00291574" w:rsidRDefault="00731930" w:rsidP="00021422">
      <w:pPr>
        <w:pStyle w:val="ListParagraph"/>
        <w:numPr>
          <w:ilvl w:val="1"/>
          <w:numId w:val="15"/>
        </w:numPr>
        <w:spacing w:before="120"/>
        <w:ind w:left="1077"/>
        <w:rPr>
          <w:rFonts w:asciiTheme="minorHAnsi" w:hAnsiTheme="minorHAnsi" w:cstheme="minorHAnsi"/>
        </w:rPr>
      </w:pPr>
      <w:r w:rsidRPr="00291574">
        <w:rPr>
          <w:rFonts w:asciiTheme="minorHAnsi" w:hAnsiTheme="minorHAnsi" w:cstheme="minorHAnsi"/>
        </w:rPr>
        <w:t>p</w:t>
      </w:r>
      <w:r w:rsidR="00A33704" w:rsidRPr="00291574">
        <w:rPr>
          <w:rFonts w:asciiTheme="minorHAnsi" w:hAnsiTheme="minorHAnsi" w:cstheme="minorHAnsi"/>
        </w:rPr>
        <w:t xml:space="preserve">ublicly accessible processes for providing data or advice </w:t>
      </w:r>
    </w:p>
    <w:p w14:paraId="351A974A" w14:textId="3C031C88" w:rsidR="00332636" w:rsidRPr="00465CDA" w:rsidRDefault="00731930" w:rsidP="00021422">
      <w:pPr>
        <w:pStyle w:val="ListParagraph"/>
        <w:numPr>
          <w:ilvl w:val="1"/>
          <w:numId w:val="15"/>
        </w:numPr>
        <w:spacing w:before="120"/>
        <w:ind w:left="1077"/>
        <w:rPr>
          <w:rFonts w:asciiTheme="minorHAnsi" w:hAnsiTheme="minorHAnsi" w:cstheme="minorHAnsi"/>
        </w:rPr>
      </w:pPr>
      <w:r w:rsidRPr="00291574">
        <w:rPr>
          <w:rFonts w:asciiTheme="minorHAnsi" w:hAnsiTheme="minorHAnsi" w:cstheme="minorHAnsi"/>
        </w:rPr>
        <w:t>a</w:t>
      </w:r>
      <w:r w:rsidR="00A33704" w:rsidRPr="00291574">
        <w:rPr>
          <w:rFonts w:asciiTheme="minorHAnsi" w:hAnsiTheme="minorHAnsi" w:cstheme="minorHAnsi"/>
        </w:rPr>
        <w:t xml:space="preserve">ctivities agreed by both parties </w:t>
      </w:r>
      <w:r w:rsidRPr="00291574">
        <w:rPr>
          <w:rFonts w:asciiTheme="minorHAnsi" w:hAnsiTheme="minorHAnsi" w:cstheme="minorHAnsi"/>
        </w:rPr>
        <w:t xml:space="preserve">that are governed by a memorandum of understanding, for example </w:t>
      </w:r>
      <w:r w:rsidR="00A33704" w:rsidRPr="00291574">
        <w:rPr>
          <w:rFonts w:asciiTheme="minorHAnsi" w:hAnsiTheme="minorHAnsi" w:cstheme="minorHAnsi"/>
        </w:rPr>
        <w:t>the Department of Health and Australian National University Memorandum of Understanding</w:t>
      </w:r>
      <w:r w:rsidRPr="00291574">
        <w:rPr>
          <w:rFonts w:asciiTheme="minorHAnsi" w:hAnsiTheme="minorHAnsi" w:cstheme="minorHAnsi"/>
        </w:rPr>
        <w:t>.</w:t>
      </w:r>
    </w:p>
    <w:bookmarkEnd w:id="2"/>
    <w:p w14:paraId="7DC1633C" w14:textId="4823F4E2" w:rsidR="00541703" w:rsidRDefault="00F54B22" w:rsidP="00021422">
      <w:pPr>
        <w:pStyle w:val="ListParagraph"/>
        <w:numPr>
          <w:ilvl w:val="0"/>
          <w:numId w:val="23"/>
        </w:numPr>
        <w:spacing w:before="120"/>
        <w:ind w:left="714" w:hanging="357"/>
        <w:rPr>
          <w:rFonts w:asciiTheme="minorHAnsi" w:hAnsiTheme="minorHAnsi" w:cstheme="minorHAnsi"/>
        </w:rPr>
      </w:pPr>
      <w:r>
        <w:rPr>
          <w:rFonts w:asciiTheme="minorHAnsi" w:hAnsiTheme="minorHAnsi" w:cstheme="minorHAnsi"/>
        </w:rPr>
        <w:lastRenderedPageBreak/>
        <w:t>Activities that are seen to support the objectives of the Department of Health, particularly to support research programs to produce outcomes that can support the development and implementation of evidence based policies and programs. Examples might include</w:t>
      </w:r>
    </w:p>
    <w:p w14:paraId="0D81DC63" w14:textId="3DBA8165" w:rsidR="00F54B22" w:rsidRDefault="00F54B22" w:rsidP="00021422">
      <w:pPr>
        <w:pStyle w:val="ListParagraph"/>
        <w:numPr>
          <w:ilvl w:val="1"/>
          <w:numId w:val="15"/>
        </w:numPr>
        <w:spacing w:before="120"/>
        <w:ind w:left="1434" w:hanging="357"/>
        <w:rPr>
          <w:rFonts w:asciiTheme="minorHAnsi" w:hAnsiTheme="minorHAnsi" w:cstheme="minorHAnsi"/>
        </w:rPr>
      </w:pPr>
      <w:r>
        <w:rPr>
          <w:rFonts w:asciiTheme="minorHAnsi" w:hAnsiTheme="minorHAnsi" w:cstheme="minorHAnsi"/>
        </w:rPr>
        <w:t>Participating on an advisory or management board for a research project, particularly where the research project aligns with an officer’s responsibilities with the department</w:t>
      </w:r>
    </w:p>
    <w:p w14:paraId="2B741E63" w14:textId="571632B0" w:rsidR="00F54B22" w:rsidRPr="00F54B22" w:rsidRDefault="00F54B22" w:rsidP="00021422">
      <w:pPr>
        <w:pStyle w:val="ListParagraph"/>
        <w:numPr>
          <w:ilvl w:val="1"/>
          <w:numId w:val="15"/>
        </w:numPr>
        <w:spacing w:before="120"/>
        <w:ind w:left="1434" w:hanging="357"/>
        <w:rPr>
          <w:rFonts w:asciiTheme="minorHAnsi" w:hAnsiTheme="minorHAnsi" w:cstheme="minorHAnsi"/>
        </w:rPr>
      </w:pPr>
      <w:r>
        <w:rPr>
          <w:rFonts w:asciiTheme="minorHAnsi" w:hAnsiTheme="minorHAnsi" w:cstheme="minorHAnsi"/>
        </w:rPr>
        <w:t>Contributing to the implementation of a project, including participating in structured processes as part of providing input and advic</w:t>
      </w:r>
      <w:r w:rsidR="00E35972">
        <w:rPr>
          <w:rFonts w:asciiTheme="minorHAnsi" w:hAnsiTheme="minorHAnsi" w:cstheme="minorHAnsi"/>
        </w:rPr>
        <w:t>e</w:t>
      </w:r>
    </w:p>
    <w:p w14:paraId="601E6DA4" w14:textId="0E831CDE" w:rsidR="00E62671" w:rsidRPr="00291574" w:rsidRDefault="00E62671" w:rsidP="00021422">
      <w:pPr>
        <w:pStyle w:val="ListParagraph"/>
        <w:numPr>
          <w:ilvl w:val="0"/>
          <w:numId w:val="23"/>
        </w:numPr>
        <w:spacing w:before="120"/>
        <w:ind w:left="714" w:hanging="357"/>
        <w:rPr>
          <w:rFonts w:asciiTheme="minorHAnsi" w:hAnsiTheme="minorHAnsi" w:cstheme="minorHAnsi"/>
        </w:rPr>
      </w:pPr>
      <w:r w:rsidRPr="00291574">
        <w:rPr>
          <w:rFonts w:asciiTheme="minorHAnsi" w:hAnsiTheme="minorHAnsi" w:cstheme="minorHAnsi"/>
        </w:rPr>
        <w:t xml:space="preserve">Activities that are undertaken by </w:t>
      </w:r>
      <w:r w:rsidR="001468DD" w:rsidRPr="00291574">
        <w:rPr>
          <w:rFonts w:asciiTheme="minorHAnsi" w:hAnsiTheme="minorHAnsi" w:cstheme="minorHAnsi"/>
        </w:rPr>
        <w:t>an</w:t>
      </w:r>
      <w:r w:rsidRPr="00291574">
        <w:rPr>
          <w:rFonts w:asciiTheme="minorHAnsi" w:hAnsiTheme="minorHAnsi" w:cstheme="minorHAnsi"/>
        </w:rPr>
        <w:t xml:space="preserve"> employee outside of their employment in the </w:t>
      </w:r>
      <w:r w:rsidR="009F20F1">
        <w:rPr>
          <w:rFonts w:asciiTheme="minorHAnsi" w:hAnsiTheme="minorHAnsi" w:cstheme="minorHAnsi"/>
        </w:rPr>
        <w:t>Department</w:t>
      </w:r>
      <w:r w:rsidR="00732364" w:rsidRPr="00291574">
        <w:rPr>
          <w:rFonts w:asciiTheme="minorHAnsi" w:hAnsiTheme="minorHAnsi" w:cstheme="minorHAnsi"/>
          <w:vertAlign w:val="superscript"/>
        </w:rPr>
        <w:footnoteReference w:id="3"/>
      </w:r>
      <w:r w:rsidRPr="00291574">
        <w:rPr>
          <w:rFonts w:asciiTheme="minorHAnsi" w:hAnsiTheme="minorHAnsi" w:cstheme="minorHAnsi"/>
        </w:rPr>
        <w:t>. Examples might include:</w:t>
      </w:r>
    </w:p>
    <w:p w14:paraId="0C97DA78" w14:textId="09A35EE9" w:rsidR="00A20A39" w:rsidRPr="00291574" w:rsidRDefault="00731930" w:rsidP="00021422">
      <w:pPr>
        <w:pStyle w:val="ListParagraph"/>
        <w:numPr>
          <w:ilvl w:val="1"/>
          <w:numId w:val="15"/>
        </w:numPr>
        <w:spacing w:before="120"/>
        <w:ind w:left="1434" w:hanging="357"/>
        <w:rPr>
          <w:rFonts w:asciiTheme="minorHAnsi" w:hAnsiTheme="minorHAnsi" w:cstheme="minorHAnsi"/>
        </w:rPr>
      </w:pPr>
      <w:r w:rsidRPr="00291574">
        <w:rPr>
          <w:rFonts w:asciiTheme="minorHAnsi" w:hAnsiTheme="minorHAnsi" w:cstheme="minorHAnsi"/>
        </w:rPr>
        <w:t>s</w:t>
      </w:r>
      <w:r w:rsidR="00A20A39" w:rsidRPr="00291574">
        <w:rPr>
          <w:rFonts w:asciiTheme="minorHAnsi" w:hAnsiTheme="minorHAnsi" w:cstheme="minorHAnsi"/>
        </w:rPr>
        <w:t>tudying or undertaking medical research work while employed in</w:t>
      </w:r>
      <w:r w:rsidR="009F20F1">
        <w:rPr>
          <w:rFonts w:asciiTheme="minorHAnsi" w:hAnsiTheme="minorHAnsi" w:cstheme="minorHAnsi"/>
        </w:rPr>
        <w:t xml:space="preserve"> the</w:t>
      </w:r>
      <w:r w:rsidR="00A20A39" w:rsidRPr="00291574">
        <w:rPr>
          <w:rFonts w:asciiTheme="minorHAnsi" w:hAnsiTheme="minorHAnsi" w:cstheme="minorHAnsi"/>
        </w:rPr>
        <w:t xml:space="preserve"> </w:t>
      </w:r>
      <w:r w:rsidR="009F20F1">
        <w:rPr>
          <w:rFonts w:asciiTheme="minorHAnsi" w:hAnsiTheme="minorHAnsi" w:cstheme="minorHAnsi"/>
        </w:rPr>
        <w:t>Department</w:t>
      </w:r>
      <w:r w:rsidR="00A20A39" w:rsidRPr="00291574">
        <w:rPr>
          <w:rFonts w:asciiTheme="minorHAnsi" w:hAnsiTheme="minorHAnsi" w:cstheme="minorHAnsi"/>
        </w:rPr>
        <w:t xml:space="preserve"> (areas not directly related to HMRO, MRFF initiatives or grants</w:t>
      </w:r>
      <w:r w:rsidR="009F20F1">
        <w:rPr>
          <w:rFonts w:asciiTheme="minorHAnsi" w:hAnsiTheme="minorHAnsi" w:cstheme="minorHAnsi"/>
        </w:rPr>
        <w:t>)</w:t>
      </w:r>
    </w:p>
    <w:p w14:paraId="7553DA30" w14:textId="4D74C789" w:rsidR="00A33704" w:rsidRDefault="00731930" w:rsidP="00021422">
      <w:pPr>
        <w:pStyle w:val="ListParagraph"/>
        <w:numPr>
          <w:ilvl w:val="1"/>
          <w:numId w:val="15"/>
        </w:numPr>
        <w:spacing w:before="120"/>
        <w:ind w:left="1434" w:hanging="357"/>
        <w:rPr>
          <w:rFonts w:asciiTheme="minorHAnsi" w:hAnsiTheme="minorHAnsi" w:cstheme="minorHAnsi"/>
        </w:rPr>
      </w:pPr>
      <w:r w:rsidRPr="00291574">
        <w:rPr>
          <w:rFonts w:asciiTheme="minorHAnsi" w:hAnsiTheme="minorHAnsi" w:cstheme="minorHAnsi"/>
        </w:rPr>
        <w:t xml:space="preserve">activities undertaken by </w:t>
      </w:r>
      <w:r w:rsidR="00A20A39" w:rsidRPr="00291574">
        <w:rPr>
          <w:rFonts w:asciiTheme="minorHAnsi" w:hAnsiTheme="minorHAnsi" w:cstheme="minorHAnsi"/>
        </w:rPr>
        <w:t xml:space="preserve">the </w:t>
      </w:r>
      <w:r w:rsidR="00A33704" w:rsidRPr="00291574">
        <w:rPr>
          <w:rFonts w:asciiTheme="minorHAnsi" w:hAnsiTheme="minorHAnsi" w:cstheme="minorHAnsi"/>
        </w:rPr>
        <w:t>scholars of Sir Roland Wilson Foundation PhD and Pat Turner Scholarship</w:t>
      </w:r>
      <w:r w:rsidR="003F2498" w:rsidRPr="00291574">
        <w:rPr>
          <w:rFonts w:asciiTheme="minorHAnsi" w:hAnsiTheme="minorHAnsi" w:cstheme="minorHAnsi"/>
        </w:rPr>
        <w:t>.</w:t>
      </w:r>
    </w:p>
    <w:p w14:paraId="1417A904" w14:textId="377CF0C8" w:rsidR="00332636" w:rsidRPr="00332636" w:rsidRDefault="00332636" w:rsidP="00021422">
      <w:pPr>
        <w:spacing w:before="120"/>
        <w:rPr>
          <w:rFonts w:asciiTheme="minorHAnsi" w:hAnsiTheme="minorHAnsi" w:cstheme="minorHAnsi"/>
        </w:rPr>
      </w:pPr>
      <w:r w:rsidRPr="00291574">
        <w:rPr>
          <w:rFonts w:asciiTheme="minorHAnsi" w:hAnsiTheme="minorHAnsi" w:cstheme="minorHAnsi"/>
          <w:sz w:val="22"/>
          <w:szCs w:val="22"/>
        </w:rPr>
        <w:t xml:space="preserve">Such activities must not otherwise conflict with a person’s duties as an employee of the </w:t>
      </w:r>
      <w:r>
        <w:rPr>
          <w:rFonts w:asciiTheme="minorHAnsi" w:hAnsiTheme="minorHAnsi" w:cstheme="minorHAnsi"/>
          <w:sz w:val="22"/>
          <w:szCs w:val="22"/>
        </w:rPr>
        <w:t>Department.</w:t>
      </w:r>
    </w:p>
    <w:p w14:paraId="135643B1" w14:textId="3116F0B3" w:rsidR="008E50CF" w:rsidRPr="00291574" w:rsidRDefault="00850D14" w:rsidP="008E50CF">
      <w:pPr>
        <w:pStyle w:val="ListParagraph"/>
        <w:numPr>
          <w:ilvl w:val="0"/>
          <w:numId w:val="13"/>
        </w:numPr>
        <w:spacing w:before="240"/>
        <w:ind w:left="357" w:hanging="357"/>
        <w:outlineLvl w:val="1"/>
        <w:rPr>
          <w:rFonts w:asciiTheme="minorHAnsi" w:hAnsiTheme="minorHAnsi" w:cstheme="minorHAnsi"/>
          <w:b/>
        </w:rPr>
      </w:pPr>
      <w:r w:rsidRPr="00291574">
        <w:rPr>
          <w:rFonts w:asciiTheme="minorHAnsi" w:hAnsiTheme="minorHAnsi" w:cstheme="minorHAnsi"/>
          <w:b/>
        </w:rPr>
        <w:t>Manage</w:t>
      </w:r>
      <w:r w:rsidR="008D1B5A" w:rsidRPr="00291574">
        <w:rPr>
          <w:rFonts w:asciiTheme="minorHAnsi" w:hAnsiTheme="minorHAnsi" w:cstheme="minorHAnsi"/>
          <w:b/>
        </w:rPr>
        <w:t>ment</w:t>
      </w:r>
      <w:r w:rsidRPr="00291574">
        <w:rPr>
          <w:rFonts w:asciiTheme="minorHAnsi" w:hAnsiTheme="minorHAnsi" w:cstheme="minorHAnsi"/>
          <w:b/>
        </w:rPr>
        <w:t xml:space="preserve"> of the policy</w:t>
      </w:r>
    </w:p>
    <w:p w14:paraId="581CD60C" w14:textId="0A90882E" w:rsidR="00E65BB1" w:rsidRPr="00291574" w:rsidRDefault="00E65BB1" w:rsidP="00786C99">
      <w:pPr>
        <w:pStyle w:val="ListParagraph"/>
        <w:numPr>
          <w:ilvl w:val="1"/>
          <w:numId w:val="13"/>
        </w:numPr>
        <w:spacing w:before="120" w:after="160"/>
        <w:ind w:left="425" w:hanging="431"/>
        <w:outlineLvl w:val="1"/>
        <w:rPr>
          <w:rFonts w:asciiTheme="minorHAnsi" w:hAnsiTheme="minorHAnsi" w:cstheme="minorHAnsi"/>
          <w:b/>
        </w:rPr>
      </w:pPr>
      <w:r w:rsidRPr="00291574">
        <w:rPr>
          <w:rFonts w:asciiTheme="minorHAnsi" w:hAnsiTheme="minorHAnsi" w:cstheme="minorHAnsi"/>
          <w:b/>
        </w:rPr>
        <w:t>Responsibility</w:t>
      </w:r>
    </w:p>
    <w:p w14:paraId="468DFEE9" w14:textId="6A6BACC8" w:rsidR="00E65BB1" w:rsidRPr="00291574" w:rsidRDefault="00160142" w:rsidP="00E65BB1">
      <w:pPr>
        <w:spacing w:before="120"/>
        <w:rPr>
          <w:rFonts w:asciiTheme="minorHAnsi" w:hAnsiTheme="minorHAnsi" w:cstheme="minorHAnsi"/>
          <w:sz w:val="22"/>
          <w:szCs w:val="22"/>
        </w:rPr>
      </w:pPr>
      <w:r w:rsidRPr="00291574">
        <w:rPr>
          <w:rFonts w:asciiTheme="minorHAnsi" w:hAnsiTheme="minorHAnsi" w:cstheme="minorHAnsi"/>
          <w:sz w:val="22"/>
          <w:szCs w:val="22"/>
        </w:rPr>
        <w:t xml:space="preserve">The </w:t>
      </w:r>
      <w:r w:rsidR="00E65BB1" w:rsidRPr="00291574">
        <w:rPr>
          <w:rFonts w:asciiTheme="minorHAnsi" w:hAnsiTheme="minorHAnsi" w:cstheme="minorHAnsi"/>
          <w:sz w:val="22"/>
          <w:szCs w:val="22"/>
        </w:rPr>
        <w:t xml:space="preserve">CEO </w:t>
      </w:r>
      <w:r w:rsidR="006212DD" w:rsidRPr="00291574">
        <w:rPr>
          <w:rFonts w:asciiTheme="minorHAnsi" w:hAnsiTheme="minorHAnsi" w:cstheme="minorHAnsi"/>
          <w:sz w:val="22"/>
          <w:szCs w:val="22"/>
        </w:rPr>
        <w:t>of the HMRO has</w:t>
      </w:r>
      <w:r w:rsidRPr="00291574">
        <w:rPr>
          <w:rFonts w:asciiTheme="minorHAnsi" w:hAnsiTheme="minorHAnsi" w:cstheme="minorHAnsi"/>
          <w:sz w:val="22"/>
          <w:szCs w:val="22"/>
        </w:rPr>
        <w:t xml:space="preserve"> responsibility for th</w:t>
      </w:r>
      <w:r w:rsidR="00541703" w:rsidRPr="00291574">
        <w:rPr>
          <w:rFonts w:asciiTheme="minorHAnsi" w:hAnsiTheme="minorHAnsi" w:cstheme="minorHAnsi"/>
          <w:sz w:val="22"/>
          <w:szCs w:val="22"/>
        </w:rPr>
        <w:t>e application of this policy</w:t>
      </w:r>
      <w:r w:rsidR="006212DD" w:rsidRPr="00291574">
        <w:rPr>
          <w:rFonts w:asciiTheme="minorHAnsi" w:hAnsiTheme="minorHAnsi" w:cstheme="minorHAnsi"/>
          <w:sz w:val="22"/>
          <w:szCs w:val="22"/>
        </w:rPr>
        <w:t xml:space="preserve"> </w:t>
      </w:r>
      <w:r w:rsidR="00E65BB1" w:rsidRPr="00291574">
        <w:rPr>
          <w:rFonts w:asciiTheme="minorHAnsi" w:hAnsiTheme="minorHAnsi" w:cstheme="minorHAnsi"/>
          <w:sz w:val="22"/>
          <w:szCs w:val="22"/>
        </w:rPr>
        <w:t xml:space="preserve">including decisions regarding exemptions from the provisions of this policy. </w:t>
      </w:r>
    </w:p>
    <w:p w14:paraId="4D03BB46" w14:textId="42761199" w:rsidR="00E65BB1" w:rsidRPr="00291574" w:rsidRDefault="00E65BB1" w:rsidP="00E65BB1">
      <w:pPr>
        <w:spacing w:before="120"/>
        <w:rPr>
          <w:rFonts w:asciiTheme="minorHAnsi" w:hAnsiTheme="minorHAnsi" w:cstheme="minorHAnsi"/>
          <w:sz w:val="22"/>
          <w:szCs w:val="22"/>
        </w:rPr>
      </w:pPr>
      <w:r w:rsidRPr="00291574">
        <w:rPr>
          <w:rFonts w:asciiTheme="minorHAnsi" w:hAnsiTheme="minorHAnsi" w:cstheme="minorHAnsi"/>
          <w:sz w:val="22"/>
          <w:szCs w:val="22"/>
        </w:rPr>
        <w:t>The HMRO should be contacted if there are questions about the application of this policy.</w:t>
      </w:r>
    </w:p>
    <w:p w14:paraId="3C4DEA75" w14:textId="77777777" w:rsidR="00E65BB1" w:rsidRPr="00291574" w:rsidRDefault="00E65BB1" w:rsidP="00786C99">
      <w:pPr>
        <w:pStyle w:val="ListParagraph"/>
        <w:numPr>
          <w:ilvl w:val="1"/>
          <w:numId w:val="13"/>
        </w:numPr>
        <w:spacing w:before="120" w:after="160"/>
        <w:ind w:left="425" w:hanging="431"/>
        <w:outlineLvl w:val="1"/>
        <w:rPr>
          <w:rFonts w:asciiTheme="minorHAnsi" w:hAnsiTheme="minorHAnsi" w:cstheme="minorHAnsi"/>
          <w:b/>
        </w:rPr>
      </w:pPr>
      <w:r w:rsidRPr="00291574">
        <w:rPr>
          <w:rFonts w:asciiTheme="minorHAnsi" w:hAnsiTheme="minorHAnsi" w:cstheme="minorHAnsi"/>
          <w:b/>
        </w:rPr>
        <w:t>Compliance</w:t>
      </w:r>
    </w:p>
    <w:p w14:paraId="690A7E76" w14:textId="467CAD0F" w:rsidR="00911718" w:rsidRDefault="00911718" w:rsidP="00E65BB1">
      <w:pPr>
        <w:spacing w:before="120"/>
        <w:rPr>
          <w:rFonts w:asciiTheme="minorHAnsi" w:hAnsiTheme="minorHAnsi" w:cstheme="minorHAnsi"/>
          <w:sz w:val="22"/>
          <w:szCs w:val="22"/>
        </w:rPr>
      </w:pPr>
      <w:r>
        <w:rPr>
          <w:rFonts w:asciiTheme="minorHAnsi" w:hAnsiTheme="minorHAnsi" w:cstheme="minorHAnsi"/>
          <w:sz w:val="22"/>
          <w:szCs w:val="22"/>
        </w:rPr>
        <w:t>It is expected that staff will adhere to this policy. T</w:t>
      </w:r>
      <w:r w:rsidR="00E65BB1" w:rsidRPr="00291574">
        <w:rPr>
          <w:rFonts w:asciiTheme="minorHAnsi" w:hAnsiTheme="minorHAnsi" w:cstheme="minorHAnsi"/>
          <w:sz w:val="22"/>
          <w:szCs w:val="22"/>
        </w:rPr>
        <w:t xml:space="preserve">he CEO </w:t>
      </w:r>
      <w:r w:rsidR="00A05878" w:rsidRPr="00291574">
        <w:rPr>
          <w:rFonts w:asciiTheme="minorHAnsi" w:hAnsiTheme="minorHAnsi" w:cstheme="minorHAnsi"/>
          <w:sz w:val="22"/>
          <w:szCs w:val="22"/>
        </w:rPr>
        <w:t xml:space="preserve">of the HMRO </w:t>
      </w:r>
      <w:r>
        <w:rPr>
          <w:rFonts w:asciiTheme="minorHAnsi" w:hAnsiTheme="minorHAnsi" w:cstheme="minorHAnsi"/>
          <w:sz w:val="22"/>
          <w:szCs w:val="22"/>
        </w:rPr>
        <w:t>will</w:t>
      </w:r>
      <w:r w:rsidRPr="00291574">
        <w:rPr>
          <w:rFonts w:asciiTheme="minorHAnsi" w:hAnsiTheme="minorHAnsi" w:cstheme="minorHAnsi"/>
          <w:sz w:val="22"/>
          <w:szCs w:val="22"/>
        </w:rPr>
        <w:t xml:space="preserve"> </w:t>
      </w:r>
      <w:r>
        <w:rPr>
          <w:rFonts w:asciiTheme="minorHAnsi" w:hAnsiTheme="minorHAnsi" w:cstheme="minorHAnsi"/>
          <w:sz w:val="22"/>
          <w:szCs w:val="22"/>
        </w:rPr>
        <w:t>provide advice to staff and their supervisors to support implementation of this policy, as required.</w:t>
      </w:r>
    </w:p>
    <w:p w14:paraId="50B94DB7" w14:textId="1F1729B9" w:rsidR="00E65BB1" w:rsidRPr="00291574" w:rsidRDefault="00E65BB1" w:rsidP="00786C99">
      <w:pPr>
        <w:pStyle w:val="ListParagraph"/>
        <w:numPr>
          <w:ilvl w:val="1"/>
          <w:numId w:val="13"/>
        </w:numPr>
        <w:spacing w:before="120" w:after="160"/>
        <w:ind w:left="425" w:hanging="431"/>
        <w:outlineLvl w:val="1"/>
        <w:rPr>
          <w:rFonts w:asciiTheme="minorHAnsi" w:hAnsiTheme="minorHAnsi" w:cstheme="minorHAnsi"/>
          <w:b/>
        </w:rPr>
      </w:pPr>
      <w:r w:rsidRPr="00291574">
        <w:rPr>
          <w:rFonts w:asciiTheme="minorHAnsi" w:hAnsiTheme="minorHAnsi" w:cstheme="minorHAnsi"/>
          <w:b/>
        </w:rPr>
        <w:t>Exemptions</w:t>
      </w:r>
    </w:p>
    <w:p w14:paraId="6375A51E" w14:textId="13656B1C" w:rsidR="00E65BB1" w:rsidRPr="00291574" w:rsidRDefault="00E65BB1" w:rsidP="00E62671">
      <w:pPr>
        <w:spacing w:before="120"/>
        <w:rPr>
          <w:rFonts w:asciiTheme="minorHAnsi" w:hAnsiTheme="minorHAnsi" w:cstheme="minorHAnsi"/>
          <w:sz w:val="22"/>
          <w:szCs w:val="22"/>
        </w:rPr>
      </w:pPr>
      <w:r w:rsidRPr="00291574">
        <w:rPr>
          <w:rFonts w:asciiTheme="minorHAnsi" w:hAnsiTheme="minorHAnsi" w:cstheme="minorHAnsi"/>
          <w:sz w:val="22"/>
          <w:szCs w:val="22"/>
        </w:rPr>
        <w:t>Any request for an exemption from any part of this policy must be made in writing to the CEO</w:t>
      </w:r>
      <w:r w:rsidR="00A05878" w:rsidRPr="00291574">
        <w:rPr>
          <w:rFonts w:asciiTheme="minorHAnsi" w:hAnsiTheme="minorHAnsi" w:cstheme="minorHAnsi"/>
          <w:sz w:val="22"/>
          <w:szCs w:val="22"/>
        </w:rPr>
        <w:t xml:space="preserve"> of the HMRO</w:t>
      </w:r>
      <w:r w:rsidRPr="00291574">
        <w:rPr>
          <w:rFonts w:asciiTheme="minorHAnsi" w:hAnsiTheme="minorHAnsi" w:cstheme="minorHAnsi"/>
          <w:sz w:val="22"/>
          <w:szCs w:val="22"/>
        </w:rPr>
        <w:t>, and must specify:</w:t>
      </w:r>
    </w:p>
    <w:p w14:paraId="56F7F24E" w14:textId="721A7642" w:rsidR="00E65BB1" w:rsidRPr="00291574" w:rsidRDefault="00E65BB1"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The nature of the exemption sought</w:t>
      </w:r>
    </w:p>
    <w:p w14:paraId="7C37C027" w14:textId="4BABCAC6" w:rsidR="00E65BB1" w:rsidRPr="00291574" w:rsidRDefault="00E65BB1"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The reason for the exemption</w:t>
      </w:r>
    </w:p>
    <w:p w14:paraId="188EFA47" w14:textId="1B71938C" w:rsidR="00E65BB1" w:rsidRPr="00291574" w:rsidRDefault="00E65BB1"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The duration of the exemption</w:t>
      </w:r>
    </w:p>
    <w:p w14:paraId="6F361C27" w14:textId="35480752" w:rsidR="00E65BB1" w:rsidRPr="00291574" w:rsidRDefault="00E65BB1" w:rsidP="00021422">
      <w:pPr>
        <w:pStyle w:val="ListParagraph"/>
        <w:numPr>
          <w:ilvl w:val="0"/>
          <w:numId w:val="15"/>
        </w:numPr>
        <w:spacing w:before="120"/>
        <w:ind w:left="714" w:hanging="357"/>
        <w:rPr>
          <w:rFonts w:asciiTheme="minorHAnsi" w:hAnsiTheme="minorHAnsi" w:cstheme="minorHAnsi"/>
        </w:rPr>
      </w:pPr>
      <w:r w:rsidRPr="00291574">
        <w:rPr>
          <w:rFonts w:asciiTheme="minorHAnsi" w:hAnsiTheme="minorHAnsi" w:cstheme="minorHAnsi"/>
        </w:rPr>
        <w:t>To whom the exemption applies</w:t>
      </w:r>
    </w:p>
    <w:p w14:paraId="02350FC2" w14:textId="4793CEF5" w:rsidR="00EB77BC" w:rsidRDefault="00E65BB1" w:rsidP="00786C99">
      <w:pPr>
        <w:spacing w:before="120"/>
        <w:rPr>
          <w:rFonts w:asciiTheme="minorHAnsi" w:hAnsiTheme="minorHAnsi" w:cstheme="minorHAnsi"/>
          <w:sz w:val="22"/>
          <w:szCs w:val="22"/>
        </w:rPr>
      </w:pPr>
      <w:r w:rsidRPr="00291574">
        <w:rPr>
          <w:rFonts w:asciiTheme="minorHAnsi" w:hAnsiTheme="minorHAnsi" w:cstheme="minorHAnsi"/>
          <w:sz w:val="22"/>
          <w:szCs w:val="22"/>
        </w:rPr>
        <w:t>No exemption is considered to have been granted until the CEO provides written confirmation that this is the case. The CEO has sole discretion regarding any conditions attached to an exemption.</w:t>
      </w:r>
      <w:r w:rsidR="00EB77BC">
        <w:rPr>
          <w:rFonts w:asciiTheme="minorHAnsi" w:hAnsiTheme="minorHAnsi" w:cstheme="minorHAnsi"/>
          <w:sz w:val="22"/>
          <w:szCs w:val="22"/>
        </w:rPr>
        <w:br w:type="page"/>
      </w:r>
    </w:p>
    <w:p w14:paraId="33B4BDAF" w14:textId="57D23F6F" w:rsidR="00A67310" w:rsidRPr="00291574" w:rsidRDefault="000372FE" w:rsidP="00E65BB1">
      <w:pPr>
        <w:pStyle w:val="ListParagraph"/>
        <w:numPr>
          <w:ilvl w:val="0"/>
          <w:numId w:val="13"/>
        </w:numPr>
        <w:spacing w:before="240"/>
        <w:ind w:left="357" w:hanging="357"/>
        <w:outlineLvl w:val="1"/>
        <w:rPr>
          <w:rFonts w:asciiTheme="minorHAnsi" w:hAnsiTheme="minorHAnsi" w:cstheme="minorHAnsi"/>
          <w:b/>
        </w:rPr>
      </w:pPr>
      <w:r w:rsidRPr="00291574">
        <w:rPr>
          <w:rFonts w:asciiTheme="minorHAnsi" w:hAnsiTheme="minorHAnsi" w:cstheme="minorHAnsi"/>
          <w:b/>
        </w:rPr>
        <w:lastRenderedPageBreak/>
        <w:t>Related policies and frameworks</w:t>
      </w:r>
    </w:p>
    <w:p w14:paraId="6E9524B0" w14:textId="77777777" w:rsidR="009F0E09" w:rsidRPr="00291574" w:rsidRDefault="000372FE" w:rsidP="000372FE">
      <w:pPr>
        <w:spacing w:before="120"/>
        <w:rPr>
          <w:rFonts w:asciiTheme="minorHAnsi" w:hAnsiTheme="minorHAnsi" w:cstheme="minorHAnsi"/>
          <w:sz w:val="22"/>
          <w:szCs w:val="22"/>
        </w:rPr>
      </w:pPr>
      <w:r w:rsidRPr="00291574">
        <w:rPr>
          <w:rFonts w:asciiTheme="minorHAnsi" w:hAnsiTheme="minorHAnsi" w:cstheme="minorHAnsi"/>
          <w:sz w:val="22"/>
          <w:szCs w:val="22"/>
        </w:rPr>
        <w:t>This policy does not override or supplant the responsibilities of employees in relation to other governance and probity frameworks.</w:t>
      </w:r>
      <w:r w:rsidR="009F0E09" w:rsidRPr="00291574">
        <w:rPr>
          <w:rFonts w:asciiTheme="minorHAnsi" w:hAnsiTheme="minorHAnsi" w:cstheme="minorHAnsi"/>
          <w:sz w:val="22"/>
          <w:szCs w:val="22"/>
        </w:rPr>
        <w:t xml:space="preserve"> The following in particular may be relevant in relation to employee participation in activities funded by the MRFF:</w:t>
      </w:r>
    </w:p>
    <w:p w14:paraId="4C816EFF" w14:textId="6FEE3D33" w:rsidR="00703F19" w:rsidRPr="00291574" w:rsidRDefault="009F0E09" w:rsidP="00A67310">
      <w:pPr>
        <w:rPr>
          <w:rFonts w:asciiTheme="minorHAnsi" w:hAnsiTheme="minorHAnsi" w:cstheme="minorHAnsi"/>
          <w:sz w:val="22"/>
          <w:szCs w:val="22"/>
        </w:rPr>
      </w:pPr>
      <w:r w:rsidRPr="00291574">
        <w:rPr>
          <w:rFonts w:asciiTheme="minorHAnsi" w:hAnsiTheme="minorHAnsi" w:cstheme="minorHAnsi"/>
          <w:sz w:val="22"/>
          <w:szCs w:val="22"/>
        </w:rPr>
        <w:t xml:space="preserve">The APS Code of Conduct in section 13 of the </w:t>
      </w:r>
      <w:r w:rsidR="00703F19" w:rsidRPr="00291574">
        <w:rPr>
          <w:rFonts w:asciiTheme="minorHAnsi" w:hAnsiTheme="minorHAnsi" w:cstheme="minorHAnsi"/>
          <w:i/>
          <w:iCs/>
          <w:sz w:val="22"/>
          <w:szCs w:val="22"/>
        </w:rPr>
        <w:t xml:space="preserve">Public Service Act 1999 </w:t>
      </w:r>
      <w:hyperlink r:id="rId8" w:history="1">
        <w:r w:rsidR="00703F19" w:rsidRPr="00291574">
          <w:rPr>
            <w:rStyle w:val="Hyperlink"/>
            <w:rFonts w:asciiTheme="minorHAnsi" w:hAnsiTheme="minorHAnsi" w:cstheme="minorHAnsi"/>
            <w:sz w:val="22"/>
            <w:szCs w:val="22"/>
          </w:rPr>
          <w:t>https://www.legislation.gov.au/Details/C2019C00057</w:t>
        </w:r>
      </w:hyperlink>
      <w:r w:rsidR="00703F19" w:rsidRPr="00291574">
        <w:rPr>
          <w:rFonts w:asciiTheme="minorHAnsi" w:hAnsiTheme="minorHAnsi" w:cstheme="minorHAnsi"/>
          <w:sz w:val="22"/>
          <w:szCs w:val="22"/>
        </w:rPr>
        <w:t xml:space="preserve"> </w:t>
      </w:r>
    </w:p>
    <w:p w14:paraId="5D6E177D" w14:textId="1B72DF45" w:rsidR="00DB2B44" w:rsidRPr="00291574" w:rsidRDefault="00DB2B44" w:rsidP="00A67310">
      <w:pPr>
        <w:rPr>
          <w:rFonts w:asciiTheme="minorHAnsi" w:hAnsiTheme="minorHAnsi" w:cstheme="minorHAnsi"/>
          <w:sz w:val="22"/>
          <w:szCs w:val="22"/>
        </w:rPr>
      </w:pPr>
      <w:r w:rsidRPr="00291574">
        <w:rPr>
          <w:rFonts w:asciiTheme="minorHAnsi" w:hAnsiTheme="minorHAnsi" w:cstheme="minorHAnsi"/>
          <w:sz w:val="22"/>
          <w:szCs w:val="22"/>
        </w:rPr>
        <w:t xml:space="preserve">Sections 25-29 of </w:t>
      </w:r>
      <w:r w:rsidR="009F0E09" w:rsidRPr="00291574">
        <w:rPr>
          <w:rFonts w:asciiTheme="minorHAnsi" w:hAnsiTheme="minorHAnsi" w:cstheme="minorHAnsi"/>
          <w:sz w:val="22"/>
          <w:szCs w:val="22"/>
        </w:rPr>
        <w:t xml:space="preserve">the </w:t>
      </w:r>
      <w:r w:rsidRPr="00291574">
        <w:rPr>
          <w:rFonts w:asciiTheme="minorHAnsi" w:hAnsiTheme="minorHAnsi" w:cstheme="minorHAnsi"/>
          <w:i/>
          <w:iCs/>
          <w:sz w:val="22"/>
          <w:szCs w:val="22"/>
        </w:rPr>
        <w:t>Public Governance, Performance and Accountability Act 2013</w:t>
      </w:r>
      <w:r w:rsidRPr="00291574">
        <w:rPr>
          <w:rFonts w:asciiTheme="minorHAnsi" w:hAnsiTheme="minorHAnsi" w:cstheme="minorHAnsi"/>
          <w:sz w:val="22"/>
          <w:szCs w:val="22"/>
        </w:rPr>
        <w:t xml:space="preserve"> </w:t>
      </w:r>
      <w:hyperlink r:id="rId9" w:history="1">
        <w:r w:rsidRPr="00291574">
          <w:rPr>
            <w:rStyle w:val="Hyperlink"/>
            <w:rFonts w:asciiTheme="minorHAnsi" w:hAnsiTheme="minorHAnsi" w:cstheme="minorHAnsi"/>
            <w:sz w:val="22"/>
            <w:szCs w:val="22"/>
          </w:rPr>
          <w:t>https://www.legislation.gov.au/Details/C2017C00269</w:t>
        </w:r>
      </w:hyperlink>
      <w:r w:rsidRPr="00291574">
        <w:rPr>
          <w:rFonts w:asciiTheme="minorHAnsi" w:hAnsiTheme="minorHAnsi" w:cstheme="minorHAnsi"/>
          <w:sz w:val="22"/>
          <w:szCs w:val="22"/>
        </w:rPr>
        <w:t xml:space="preserve"> </w:t>
      </w:r>
    </w:p>
    <w:p w14:paraId="2C8A6B5F" w14:textId="76BE3841" w:rsidR="009F0E09" w:rsidRPr="00291574" w:rsidRDefault="00B434DF" w:rsidP="00A67310">
      <w:pPr>
        <w:rPr>
          <w:rFonts w:asciiTheme="minorHAnsi" w:hAnsiTheme="minorHAnsi" w:cstheme="minorHAnsi"/>
          <w:sz w:val="22"/>
          <w:szCs w:val="22"/>
        </w:rPr>
      </w:pPr>
      <w:r w:rsidRPr="00291574">
        <w:rPr>
          <w:rFonts w:asciiTheme="minorHAnsi" w:hAnsiTheme="minorHAnsi" w:cstheme="minorHAnsi"/>
          <w:sz w:val="22"/>
          <w:szCs w:val="22"/>
        </w:rPr>
        <w:t>Commonwealth Grants Rules and Guidelines</w:t>
      </w:r>
      <w:r w:rsidR="006B34B4" w:rsidRPr="00291574">
        <w:rPr>
          <w:rFonts w:asciiTheme="minorHAnsi" w:hAnsiTheme="minorHAnsi" w:cstheme="minorHAnsi"/>
          <w:sz w:val="22"/>
          <w:szCs w:val="22"/>
        </w:rPr>
        <w:t xml:space="preserve"> 2017 (CGRGs), </w:t>
      </w:r>
      <w:r w:rsidR="009D6E7D" w:rsidRPr="00291574">
        <w:rPr>
          <w:rFonts w:asciiTheme="minorHAnsi" w:hAnsiTheme="minorHAnsi" w:cstheme="minorHAnsi"/>
          <w:sz w:val="22"/>
          <w:szCs w:val="22"/>
        </w:rPr>
        <w:t>particularly</w:t>
      </w:r>
      <w:r w:rsidR="006B34B4" w:rsidRPr="00291574">
        <w:rPr>
          <w:rFonts w:asciiTheme="minorHAnsi" w:hAnsiTheme="minorHAnsi" w:cstheme="minorHAnsi"/>
          <w:sz w:val="22"/>
          <w:szCs w:val="22"/>
        </w:rPr>
        <w:t xml:space="preserve"> </w:t>
      </w:r>
      <w:r w:rsidR="009F0E09" w:rsidRPr="00291574">
        <w:rPr>
          <w:rFonts w:asciiTheme="minorHAnsi" w:hAnsiTheme="minorHAnsi" w:cstheme="minorHAnsi"/>
          <w:sz w:val="22"/>
          <w:szCs w:val="22"/>
        </w:rPr>
        <w:t>sections 12 (Governance and Accountability) and 13 (Probity and Transparency)</w:t>
      </w:r>
    </w:p>
    <w:p w14:paraId="671AD1F0" w14:textId="0D0BDE6C" w:rsidR="0057155C" w:rsidRPr="00291574" w:rsidRDefault="00DE37FE" w:rsidP="00A67310">
      <w:pPr>
        <w:rPr>
          <w:rFonts w:asciiTheme="minorHAnsi" w:hAnsiTheme="minorHAnsi" w:cstheme="minorHAnsi"/>
          <w:sz w:val="22"/>
          <w:szCs w:val="22"/>
        </w:rPr>
      </w:pPr>
      <w:hyperlink r:id="rId10" w:history="1">
        <w:r w:rsidR="009F0E09" w:rsidRPr="00291574">
          <w:rPr>
            <w:rStyle w:val="Hyperlink"/>
            <w:rFonts w:asciiTheme="minorHAnsi" w:hAnsiTheme="minorHAnsi" w:cstheme="minorHAnsi"/>
            <w:sz w:val="22"/>
            <w:szCs w:val="22"/>
          </w:rPr>
          <w:t>https://www.finance.gov.au/sites/default/files/2019-11/commonwealth-grants-rules-and-guidelines.pdf</w:t>
        </w:r>
      </w:hyperlink>
      <w:r w:rsidR="00BD11B9" w:rsidRPr="00291574">
        <w:rPr>
          <w:rFonts w:asciiTheme="minorHAnsi" w:hAnsiTheme="minorHAnsi" w:cstheme="minorHAnsi"/>
          <w:sz w:val="22"/>
          <w:szCs w:val="22"/>
        </w:rPr>
        <w:t xml:space="preserve"> </w:t>
      </w:r>
    </w:p>
    <w:p w14:paraId="5EB7BE4D" w14:textId="24FECB2D" w:rsidR="008D4B6F" w:rsidRPr="00291574" w:rsidRDefault="00DA108F" w:rsidP="00BD11B9">
      <w:pPr>
        <w:rPr>
          <w:rFonts w:asciiTheme="minorHAnsi" w:hAnsiTheme="minorHAnsi" w:cstheme="minorHAnsi"/>
          <w:sz w:val="22"/>
          <w:szCs w:val="22"/>
        </w:rPr>
      </w:pPr>
      <w:r w:rsidRPr="00291574">
        <w:rPr>
          <w:rFonts w:asciiTheme="minorHAnsi" w:hAnsiTheme="minorHAnsi" w:cstheme="minorHAnsi"/>
          <w:sz w:val="22"/>
          <w:szCs w:val="22"/>
        </w:rPr>
        <w:t>Department of Finance General duties of officials (RMG 203)</w:t>
      </w:r>
      <w:r w:rsidR="00BD11B9" w:rsidRPr="00291574">
        <w:rPr>
          <w:rFonts w:asciiTheme="minorHAnsi" w:hAnsiTheme="minorHAnsi" w:cstheme="minorHAnsi"/>
          <w:sz w:val="22"/>
          <w:szCs w:val="22"/>
        </w:rPr>
        <w:t xml:space="preserve"> </w:t>
      </w:r>
      <w:hyperlink r:id="rId11" w:history="1">
        <w:r w:rsidR="00BD11B9" w:rsidRPr="00291574">
          <w:rPr>
            <w:rStyle w:val="Hyperlink"/>
            <w:rFonts w:asciiTheme="minorHAnsi" w:hAnsiTheme="minorHAnsi" w:cstheme="minorHAnsi"/>
            <w:sz w:val="22"/>
            <w:szCs w:val="22"/>
          </w:rPr>
          <w:t>https://www.finance.gov.au/government/managing-commonwealth-resources/general-duties-officials-rmg-203</w:t>
        </w:r>
      </w:hyperlink>
      <w:r w:rsidR="00BD11B9" w:rsidRPr="00291574">
        <w:rPr>
          <w:rFonts w:asciiTheme="minorHAnsi" w:hAnsiTheme="minorHAnsi" w:cstheme="minorHAnsi"/>
          <w:sz w:val="22"/>
          <w:szCs w:val="22"/>
        </w:rPr>
        <w:t xml:space="preserve"> </w:t>
      </w:r>
    </w:p>
    <w:sectPr w:rsidR="008D4B6F" w:rsidRPr="0029157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19FC4" w14:textId="77777777" w:rsidR="00E11C17" w:rsidRDefault="00E11C17" w:rsidP="00EE4125">
      <w:pPr>
        <w:spacing w:after="0" w:line="240" w:lineRule="auto"/>
      </w:pPr>
      <w:r>
        <w:separator/>
      </w:r>
    </w:p>
  </w:endnote>
  <w:endnote w:type="continuationSeparator" w:id="0">
    <w:p w14:paraId="312927D3" w14:textId="77777777" w:rsidR="00E11C17" w:rsidRDefault="00E11C17" w:rsidP="00EE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573054"/>
      <w:docPartObj>
        <w:docPartGallery w:val="Page Numbers (Bottom of Page)"/>
        <w:docPartUnique/>
      </w:docPartObj>
    </w:sdtPr>
    <w:sdtEndPr/>
    <w:sdtContent>
      <w:sdt>
        <w:sdtPr>
          <w:id w:val="1728636285"/>
          <w:docPartObj>
            <w:docPartGallery w:val="Page Numbers (Top of Page)"/>
            <w:docPartUnique/>
          </w:docPartObj>
        </w:sdtPr>
        <w:sdtEndPr/>
        <w:sdtContent>
          <w:p w14:paraId="2C83476F" w14:textId="2919F130" w:rsidR="00C74FE9" w:rsidRDefault="00C74FE9">
            <w:pPr>
              <w:pStyle w:val="Footer"/>
              <w:jc w:val="center"/>
            </w:pPr>
            <w:r w:rsidRPr="00C74FE9">
              <w:rPr>
                <w:rFonts w:asciiTheme="minorHAnsi" w:hAnsiTheme="minorHAnsi" w:cstheme="minorHAnsi"/>
                <w:sz w:val="18"/>
                <w:szCs w:val="18"/>
              </w:rPr>
              <w:t xml:space="preserve">Page </w:t>
            </w:r>
            <w:r w:rsidRPr="00C74FE9">
              <w:rPr>
                <w:rFonts w:asciiTheme="minorHAnsi" w:hAnsiTheme="minorHAnsi" w:cstheme="minorHAnsi"/>
                <w:b/>
                <w:bCs/>
                <w:sz w:val="18"/>
                <w:szCs w:val="18"/>
              </w:rPr>
              <w:fldChar w:fldCharType="begin"/>
            </w:r>
            <w:r w:rsidRPr="00C74FE9">
              <w:rPr>
                <w:rFonts w:asciiTheme="minorHAnsi" w:hAnsiTheme="minorHAnsi" w:cstheme="minorHAnsi"/>
                <w:b/>
                <w:bCs/>
                <w:sz w:val="18"/>
                <w:szCs w:val="18"/>
              </w:rPr>
              <w:instrText xml:space="preserve"> PAGE </w:instrText>
            </w:r>
            <w:r w:rsidRPr="00C74FE9">
              <w:rPr>
                <w:rFonts w:asciiTheme="minorHAnsi" w:hAnsiTheme="minorHAnsi" w:cstheme="minorHAnsi"/>
                <w:b/>
                <w:bCs/>
                <w:sz w:val="18"/>
                <w:szCs w:val="18"/>
              </w:rPr>
              <w:fldChar w:fldCharType="separate"/>
            </w:r>
            <w:r w:rsidRPr="00C74FE9">
              <w:rPr>
                <w:rFonts w:asciiTheme="minorHAnsi" w:hAnsiTheme="minorHAnsi" w:cstheme="minorHAnsi"/>
                <w:b/>
                <w:bCs/>
                <w:noProof/>
                <w:sz w:val="18"/>
                <w:szCs w:val="18"/>
              </w:rPr>
              <w:t>2</w:t>
            </w:r>
            <w:r w:rsidRPr="00C74FE9">
              <w:rPr>
                <w:rFonts w:asciiTheme="minorHAnsi" w:hAnsiTheme="minorHAnsi" w:cstheme="minorHAnsi"/>
                <w:b/>
                <w:bCs/>
                <w:sz w:val="18"/>
                <w:szCs w:val="18"/>
              </w:rPr>
              <w:fldChar w:fldCharType="end"/>
            </w:r>
            <w:r w:rsidRPr="00C74FE9">
              <w:rPr>
                <w:rFonts w:asciiTheme="minorHAnsi" w:hAnsiTheme="minorHAnsi" w:cstheme="minorHAnsi"/>
                <w:sz w:val="18"/>
                <w:szCs w:val="18"/>
              </w:rPr>
              <w:t xml:space="preserve"> of </w:t>
            </w:r>
            <w:r w:rsidRPr="00C74FE9">
              <w:rPr>
                <w:rFonts w:asciiTheme="minorHAnsi" w:hAnsiTheme="minorHAnsi" w:cstheme="minorHAnsi"/>
                <w:b/>
                <w:bCs/>
                <w:sz w:val="18"/>
                <w:szCs w:val="18"/>
              </w:rPr>
              <w:fldChar w:fldCharType="begin"/>
            </w:r>
            <w:r w:rsidRPr="00C74FE9">
              <w:rPr>
                <w:rFonts w:asciiTheme="minorHAnsi" w:hAnsiTheme="minorHAnsi" w:cstheme="minorHAnsi"/>
                <w:b/>
                <w:bCs/>
                <w:sz w:val="18"/>
                <w:szCs w:val="18"/>
              </w:rPr>
              <w:instrText xml:space="preserve"> NUMPAGES  </w:instrText>
            </w:r>
            <w:r w:rsidRPr="00C74FE9">
              <w:rPr>
                <w:rFonts w:asciiTheme="minorHAnsi" w:hAnsiTheme="minorHAnsi" w:cstheme="minorHAnsi"/>
                <w:b/>
                <w:bCs/>
                <w:sz w:val="18"/>
                <w:szCs w:val="18"/>
              </w:rPr>
              <w:fldChar w:fldCharType="separate"/>
            </w:r>
            <w:r w:rsidRPr="00C74FE9">
              <w:rPr>
                <w:rFonts w:asciiTheme="minorHAnsi" w:hAnsiTheme="minorHAnsi" w:cstheme="minorHAnsi"/>
                <w:b/>
                <w:bCs/>
                <w:noProof/>
                <w:sz w:val="18"/>
                <w:szCs w:val="18"/>
              </w:rPr>
              <w:t>2</w:t>
            </w:r>
            <w:r w:rsidRPr="00C74FE9">
              <w:rPr>
                <w:rFonts w:asciiTheme="minorHAnsi" w:hAnsiTheme="minorHAnsi" w:cstheme="minorHAnsi"/>
                <w:b/>
                <w:bCs/>
                <w:sz w:val="18"/>
                <w:szCs w:val="18"/>
              </w:rPr>
              <w:fldChar w:fldCharType="end"/>
            </w:r>
          </w:p>
        </w:sdtContent>
      </w:sdt>
    </w:sdtContent>
  </w:sdt>
  <w:p w14:paraId="31E6B13A" w14:textId="77777777" w:rsidR="00C74FE9" w:rsidRDefault="00C7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8AE05" w14:textId="77777777" w:rsidR="00E11C17" w:rsidRDefault="00E11C17" w:rsidP="00EE4125">
      <w:pPr>
        <w:spacing w:after="0" w:line="240" w:lineRule="auto"/>
      </w:pPr>
      <w:r>
        <w:separator/>
      </w:r>
    </w:p>
  </w:footnote>
  <w:footnote w:type="continuationSeparator" w:id="0">
    <w:p w14:paraId="42C68DF4" w14:textId="77777777" w:rsidR="00E11C17" w:rsidRDefault="00E11C17" w:rsidP="00EE4125">
      <w:pPr>
        <w:spacing w:after="0" w:line="240" w:lineRule="auto"/>
      </w:pPr>
      <w:r>
        <w:continuationSeparator/>
      </w:r>
    </w:p>
  </w:footnote>
  <w:footnote w:id="1">
    <w:p w14:paraId="2620660F" w14:textId="6FB4D379" w:rsidR="00D5378F" w:rsidRPr="002F0CA2" w:rsidRDefault="00D5378F" w:rsidP="00D5378F">
      <w:pPr>
        <w:pStyle w:val="FootnoteText"/>
        <w:rPr>
          <w:rFonts w:asciiTheme="minorHAnsi" w:hAnsiTheme="minorHAnsi" w:cstheme="minorHAnsi"/>
        </w:rPr>
      </w:pPr>
      <w:r w:rsidRPr="002F0CA2">
        <w:rPr>
          <w:rStyle w:val="FootnoteReference"/>
          <w:rFonts w:asciiTheme="minorHAnsi" w:hAnsiTheme="minorHAnsi" w:cstheme="minorHAnsi"/>
        </w:rPr>
        <w:footnoteRef/>
      </w:r>
      <w:r w:rsidRPr="002F0CA2">
        <w:rPr>
          <w:rFonts w:asciiTheme="minorHAnsi" w:hAnsiTheme="minorHAnsi" w:cstheme="minorHAnsi"/>
        </w:rPr>
        <w:t xml:space="preserve"> For Cancer Australia, this policy applies only with respect to the Australian Brain Cancer Mission.</w:t>
      </w:r>
    </w:p>
  </w:footnote>
  <w:footnote w:id="2">
    <w:p w14:paraId="7D2C07B6" w14:textId="68209EB7" w:rsidR="00541703" w:rsidRPr="00A82588" w:rsidRDefault="00541703" w:rsidP="00541703">
      <w:pPr>
        <w:pStyle w:val="FootnoteText"/>
        <w:rPr>
          <w:rFonts w:asciiTheme="minorHAnsi" w:hAnsiTheme="minorHAnsi" w:cstheme="minorHAnsi"/>
        </w:rPr>
      </w:pPr>
      <w:r w:rsidRPr="00A82588">
        <w:rPr>
          <w:rStyle w:val="FootnoteReference"/>
          <w:rFonts w:asciiTheme="minorHAnsi" w:hAnsiTheme="minorHAnsi" w:cstheme="minorHAnsi"/>
        </w:rPr>
        <w:footnoteRef/>
      </w:r>
      <w:r w:rsidRPr="00A82588">
        <w:rPr>
          <w:rFonts w:asciiTheme="minorHAnsi" w:hAnsiTheme="minorHAnsi" w:cstheme="minorHAnsi"/>
        </w:rPr>
        <w:t xml:space="preserve"> </w:t>
      </w:r>
      <w:r w:rsidR="001468DD">
        <w:rPr>
          <w:rFonts w:asciiTheme="minorHAnsi" w:hAnsiTheme="minorHAnsi" w:cstheme="minorHAnsi"/>
        </w:rPr>
        <w:t>Arising from a perception that</w:t>
      </w:r>
      <w:r>
        <w:rPr>
          <w:rFonts w:asciiTheme="minorHAnsi" w:hAnsiTheme="minorHAnsi" w:cstheme="minorHAnsi"/>
        </w:rPr>
        <w:t xml:space="preserve"> participation</w:t>
      </w:r>
      <w:r w:rsidRPr="00A82588">
        <w:rPr>
          <w:rFonts w:asciiTheme="minorHAnsi" w:hAnsiTheme="minorHAnsi" w:cstheme="minorHAnsi"/>
        </w:rPr>
        <w:t xml:space="preserve"> </w:t>
      </w:r>
      <w:r>
        <w:rPr>
          <w:rFonts w:asciiTheme="minorHAnsi" w:hAnsiTheme="minorHAnsi" w:cstheme="minorHAnsi"/>
        </w:rPr>
        <w:t>is</w:t>
      </w:r>
      <w:r w:rsidRPr="00A82588">
        <w:rPr>
          <w:rFonts w:asciiTheme="minorHAnsi" w:hAnsiTheme="minorHAnsi" w:cstheme="minorHAnsi"/>
        </w:rPr>
        <w:t xml:space="preserve"> improperly influencing </w:t>
      </w:r>
      <w:r w:rsidR="001468DD">
        <w:rPr>
          <w:rFonts w:asciiTheme="minorHAnsi" w:hAnsiTheme="minorHAnsi" w:cstheme="minorHAnsi"/>
        </w:rPr>
        <w:t>an employee</w:t>
      </w:r>
      <w:r w:rsidRPr="00A82588">
        <w:rPr>
          <w:rFonts w:asciiTheme="minorHAnsi" w:hAnsiTheme="minorHAnsi" w:cstheme="minorHAnsi"/>
        </w:rPr>
        <w:t xml:space="preserve"> when performing their official duties. Apparent </w:t>
      </w:r>
      <w:r w:rsidR="001468DD">
        <w:rPr>
          <w:rFonts w:asciiTheme="minorHAnsi" w:hAnsiTheme="minorHAnsi" w:cstheme="minorHAnsi"/>
        </w:rPr>
        <w:t xml:space="preserve">conflicts of </w:t>
      </w:r>
      <w:r w:rsidRPr="00A82588">
        <w:rPr>
          <w:rFonts w:asciiTheme="minorHAnsi" w:hAnsiTheme="minorHAnsi" w:cstheme="minorHAnsi"/>
        </w:rPr>
        <w:t xml:space="preserve">interests exist regardless of whether or not the interest is actually influencing the </w:t>
      </w:r>
      <w:r w:rsidR="001468DD">
        <w:rPr>
          <w:rFonts w:asciiTheme="minorHAnsi" w:hAnsiTheme="minorHAnsi" w:cstheme="minorHAnsi"/>
        </w:rPr>
        <w:t>employee</w:t>
      </w:r>
      <w:r w:rsidRPr="00A82588">
        <w:rPr>
          <w:rFonts w:asciiTheme="minorHAnsi" w:hAnsiTheme="minorHAnsi" w:cstheme="minorHAnsi"/>
        </w:rPr>
        <w:t>.</w:t>
      </w:r>
    </w:p>
  </w:footnote>
  <w:footnote w:id="3">
    <w:p w14:paraId="6BD627D8" w14:textId="0E1F6377" w:rsidR="00732364" w:rsidRDefault="00732364">
      <w:pPr>
        <w:pStyle w:val="FootnoteText"/>
      </w:pPr>
      <w:r>
        <w:rPr>
          <w:rStyle w:val="FootnoteReference"/>
        </w:rPr>
        <w:footnoteRef/>
      </w:r>
      <w:r>
        <w:t xml:space="preserve"> </w:t>
      </w:r>
      <w:r w:rsidR="000C177B" w:rsidRPr="001468DD">
        <w:rPr>
          <w:rFonts w:asciiTheme="minorHAnsi" w:hAnsiTheme="minorHAnsi" w:cstheme="minorHAnsi"/>
        </w:rPr>
        <w:t>I</w:t>
      </w:r>
      <w:r w:rsidR="001468DD" w:rsidRPr="001468DD">
        <w:rPr>
          <w:rFonts w:asciiTheme="minorHAnsi" w:hAnsiTheme="minorHAnsi" w:cstheme="minorHAnsi"/>
        </w:rPr>
        <w:t>.e. activities that are undertaken in accordance with the outside employment policy of the relevant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723D" w14:textId="2E3BCC28" w:rsidR="00EF6436" w:rsidRDefault="00CF7994">
    <w:pPr>
      <w:pStyle w:val="Header"/>
    </w:pPr>
    <w:r w:rsidRPr="00311318">
      <w:rPr>
        <w:noProof/>
        <w:lang w:eastAsia="en-AU"/>
      </w:rPr>
      <w:drawing>
        <wp:inline distT="0" distB="0" distL="0" distR="0" wp14:anchorId="7B81007F" wp14:editId="19543085">
          <wp:extent cx="5731510" cy="1497330"/>
          <wp:effectExtent l="0" t="0" r="2540" b="7620"/>
          <wp:docPr id="4" name="Picture 4" descr="MRFF logo" title="MR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97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B16"/>
    <w:multiLevelType w:val="hybridMultilevel"/>
    <w:tmpl w:val="D2D0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070B6"/>
    <w:multiLevelType w:val="hybridMultilevel"/>
    <w:tmpl w:val="B26A342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E0C2157"/>
    <w:multiLevelType w:val="hybridMultilevel"/>
    <w:tmpl w:val="A284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C2B44"/>
    <w:multiLevelType w:val="hybridMultilevel"/>
    <w:tmpl w:val="0906A106"/>
    <w:lvl w:ilvl="0" w:tplc="A5565CFE">
      <w:start w:val="16"/>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C80CB0"/>
    <w:multiLevelType w:val="hybridMultilevel"/>
    <w:tmpl w:val="D2E8B8D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F3191E"/>
    <w:multiLevelType w:val="hybridMultilevel"/>
    <w:tmpl w:val="D806FA6C"/>
    <w:lvl w:ilvl="0" w:tplc="988A665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B0A23"/>
    <w:multiLevelType w:val="hybridMultilevel"/>
    <w:tmpl w:val="1820F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A1EAF"/>
    <w:multiLevelType w:val="hybridMultilevel"/>
    <w:tmpl w:val="A4606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66548"/>
    <w:multiLevelType w:val="hybridMultilevel"/>
    <w:tmpl w:val="B4B4D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35D52"/>
    <w:multiLevelType w:val="hybridMultilevel"/>
    <w:tmpl w:val="61102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012341"/>
    <w:multiLevelType w:val="multilevel"/>
    <w:tmpl w:val="468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728C2"/>
    <w:multiLevelType w:val="hybridMultilevel"/>
    <w:tmpl w:val="9542B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6351D1"/>
    <w:multiLevelType w:val="hybridMultilevel"/>
    <w:tmpl w:val="21F2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06282"/>
    <w:multiLevelType w:val="hybridMultilevel"/>
    <w:tmpl w:val="E1588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6813AA"/>
    <w:multiLevelType w:val="hybridMultilevel"/>
    <w:tmpl w:val="823CD666"/>
    <w:lvl w:ilvl="0" w:tplc="C2A49F7A">
      <w:start w:val="16"/>
      <w:numFmt w:val="bullet"/>
      <w:pStyle w:val="Bullet1"/>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2101271"/>
    <w:multiLevelType w:val="hybridMultilevel"/>
    <w:tmpl w:val="682C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52F92"/>
    <w:multiLevelType w:val="hybridMultilevel"/>
    <w:tmpl w:val="87DA1F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6743B0"/>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872A36"/>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F02554"/>
    <w:multiLevelType w:val="hybridMultilevel"/>
    <w:tmpl w:val="B5761444"/>
    <w:lvl w:ilvl="0" w:tplc="AD308436">
      <w:start w:val="1"/>
      <w:numFmt w:val="decimal"/>
      <w:lvlText w:val="%1."/>
      <w:lvlJc w:val="left"/>
      <w:pPr>
        <w:ind w:left="720" w:hanging="360"/>
      </w:pPr>
      <w:rPr>
        <w:rFonts w:hint="default"/>
        <w:color w:val="1F497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CD5CBA"/>
    <w:multiLevelType w:val="hybridMultilevel"/>
    <w:tmpl w:val="27764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A3D4017"/>
    <w:multiLevelType w:val="multilevel"/>
    <w:tmpl w:val="FD08E74A"/>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680407"/>
    <w:multiLevelType w:val="hybridMultilevel"/>
    <w:tmpl w:val="79FC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D414B9"/>
    <w:multiLevelType w:val="multilevel"/>
    <w:tmpl w:val="4EEC24E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9"/>
  </w:num>
  <w:num w:numId="4">
    <w:abstractNumId w:val="10"/>
  </w:num>
  <w:num w:numId="5">
    <w:abstractNumId w:val="19"/>
  </w:num>
  <w:num w:numId="6">
    <w:abstractNumId w:val="3"/>
  </w:num>
  <w:num w:numId="7">
    <w:abstractNumId w:val="14"/>
  </w:num>
  <w:num w:numId="8">
    <w:abstractNumId w:val="21"/>
  </w:num>
  <w:num w:numId="9">
    <w:abstractNumId w:val="15"/>
  </w:num>
  <w:num w:numId="10">
    <w:abstractNumId w:val="12"/>
  </w:num>
  <w:num w:numId="11">
    <w:abstractNumId w:val="13"/>
  </w:num>
  <w:num w:numId="12">
    <w:abstractNumId w:val="16"/>
  </w:num>
  <w:num w:numId="13">
    <w:abstractNumId w:val="17"/>
  </w:num>
  <w:num w:numId="14">
    <w:abstractNumId w:val="4"/>
  </w:num>
  <w:num w:numId="15">
    <w:abstractNumId w:val="7"/>
  </w:num>
  <w:num w:numId="16">
    <w:abstractNumId w:val="23"/>
  </w:num>
  <w:num w:numId="17">
    <w:abstractNumId w:val="1"/>
  </w:num>
  <w:num w:numId="18">
    <w:abstractNumId w:val="2"/>
  </w:num>
  <w:num w:numId="19">
    <w:abstractNumId w:val="11"/>
  </w:num>
  <w:num w:numId="20">
    <w:abstractNumId w:val="0"/>
  </w:num>
  <w:num w:numId="21">
    <w:abstractNumId w:val="5"/>
  </w:num>
  <w:num w:numId="22">
    <w:abstractNumId w:val="18"/>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D0"/>
    <w:rsid w:val="000015FB"/>
    <w:rsid w:val="00005394"/>
    <w:rsid w:val="00006F4E"/>
    <w:rsid w:val="000153FD"/>
    <w:rsid w:val="00017A22"/>
    <w:rsid w:val="00021422"/>
    <w:rsid w:val="00031EEB"/>
    <w:rsid w:val="00032D4A"/>
    <w:rsid w:val="00035681"/>
    <w:rsid w:val="000372FE"/>
    <w:rsid w:val="0004671F"/>
    <w:rsid w:val="00047094"/>
    <w:rsid w:val="00077EFB"/>
    <w:rsid w:val="00085130"/>
    <w:rsid w:val="00094A3F"/>
    <w:rsid w:val="00096713"/>
    <w:rsid w:val="000A40BE"/>
    <w:rsid w:val="000A4678"/>
    <w:rsid w:val="000A7DCE"/>
    <w:rsid w:val="000C177B"/>
    <w:rsid w:val="000C2C83"/>
    <w:rsid w:val="000C413F"/>
    <w:rsid w:val="000C5EF7"/>
    <w:rsid w:val="000D16DB"/>
    <w:rsid w:val="000D5C5A"/>
    <w:rsid w:val="000D6192"/>
    <w:rsid w:val="000E2A4C"/>
    <w:rsid w:val="000F2488"/>
    <w:rsid w:val="00107832"/>
    <w:rsid w:val="00123157"/>
    <w:rsid w:val="001367FA"/>
    <w:rsid w:val="00142CAE"/>
    <w:rsid w:val="001468DD"/>
    <w:rsid w:val="00146FEA"/>
    <w:rsid w:val="001507F7"/>
    <w:rsid w:val="001525A7"/>
    <w:rsid w:val="00155B0D"/>
    <w:rsid w:val="00160142"/>
    <w:rsid w:val="00160ED0"/>
    <w:rsid w:val="001614E1"/>
    <w:rsid w:val="00174DEA"/>
    <w:rsid w:val="001804BE"/>
    <w:rsid w:val="001832F5"/>
    <w:rsid w:val="00190883"/>
    <w:rsid w:val="001B3230"/>
    <w:rsid w:val="001B485F"/>
    <w:rsid w:val="001B7EA4"/>
    <w:rsid w:val="001C157A"/>
    <w:rsid w:val="001C4316"/>
    <w:rsid w:val="001C5136"/>
    <w:rsid w:val="001D794D"/>
    <w:rsid w:val="001E2D34"/>
    <w:rsid w:val="001E79A9"/>
    <w:rsid w:val="001F778F"/>
    <w:rsid w:val="002009BE"/>
    <w:rsid w:val="00201385"/>
    <w:rsid w:val="00215AA2"/>
    <w:rsid w:val="002313D0"/>
    <w:rsid w:val="0023552C"/>
    <w:rsid w:val="002541CA"/>
    <w:rsid w:val="002605FA"/>
    <w:rsid w:val="00265374"/>
    <w:rsid w:val="00276B6B"/>
    <w:rsid w:val="00277F57"/>
    <w:rsid w:val="00280050"/>
    <w:rsid w:val="00291574"/>
    <w:rsid w:val="002918B5"/>
    <w:rsid w:val="00295386"/>
    <w:rsid w:val="002B3511"/>
    <w:rsid w:val="002B4302"/>
    <w:rsid w:val="002C4D0A"/>
    <w:rsid w:val="002C6ACC"/>
    <w:rsid w:val="002D24F4"/>
    <w:rsid w:val="002D72E5"/>
    <w:rsid w:val="002E21D0"/>
    <w:rsid w:val="002E3396"/>
    <w:rsid w:val="002E6CBB"/>
    <w:rsid w:val="002F0CA2"/>
    <w:rsid w:val="002F2398"/>
    <w:rsid w:val="00304A53"/>
    <w:rsid w:val="00314387"/>
    <w:rsid w:val="003161AC"/>
    <w:rsid w:val="003237C3"/>
    <w:rsid w:val="003268C8"/>
    <w:rsid w:val="00332636"/>
    <w:rsid w:val="00341DDB"/>
    <w:rsid w:val="00352F43"/>
    <w:rsid w:val="0036345C"/>
    <w:rsid w:val="00366CBF"/>
    <w:rsid w:val="00375BA4"/>
    <w:rsid w:val="00377917"/>
    <w:rsid w:val="003933AD"/>
    <w:rsid w:val="003C388A"/>
    <w:rsid w:val="003C693B"/>
    <w:rsid w:val="003C7D93"/>
    <w:rsid w:val="003D035D"/>
    <w:rsid w:val="003E4085"/>
    <w:rsid w:val="003F2498"/>
    <w:rsid w:val="00400A47"/>
    <w:rsid w:val="004015AB"/>
    <w:rsid w:val="00427409"/>
    <w:rsid w:val="00453B25"/>
    <w:rsid w:val="00455523"/>
    <w:rsid w:val="00456860"/>
    <w:rsid w:val="004644FE"/>
    <w:rsid w:val="00465CDA"/>
    <w:rsid w:val="00466C04"/>
    <w:rsid w:val="0047000A"/>
    <w:rsid w:val="00472579"/>
    <w:rsid w:val="004801D8"/>
    <w:rsid w:val="00483849"/>
    <w:rsid w:val="0049636E"/>
    <w:rsid w:val="004A2B96"/>
    <w:rsid w:val="004B0E08"/>
    <w:rsid w:val="004D5A3F"/>
    <w:rsid w:val="004D693D"/>
    <w:rsid w:val="004E2105"/>
    <w:rsid w:val="004F0702"/>
    <w:rsid w:val="004F31FD"/>
    <w:rsid w:val="00510CA1"/>
    <w:rsid w:val="00511010"/>
    <w:rsid w:val="005136DB"/>
    <w:rsid w:val="005166EA"/>
    <w:rsid w:val="00524108"/>
    <w:rsid w:val="00532C84"/>
    <w:rsid w:val="005334DB"/>
    <w:rsid w:val="005357ED"/>
    <w:rsid w:val="00540E50"/>
    <w:rsid w:val="00541703"/>
    <w:rsid w:val="005463CC"/>
    <w:rsid w:val="00557FB7"/>
    <w:rsid w:val="005603E1"/>
    <w:rsid w:val="00563A9E"/>
    <w:rsid w:val="00566704"/>
    <w:rsid w:val="0057155C"/>
    <w:rsid w:val="00571A06"/>
    <w:rsid w:val="0058122B"/>
    <w:rsid w:val="005869D3"/>
    <w:rsid w:val="005A23FC"/>
    <w:rsid w:val="005A6518"/>
    <w:rsid w:val="005B1457"/>
    <w:rsid w:val="005C6EF0"/>
    <w:rsid w:val="005D3127"/>
    <w:rsid w:val="005D7E1A"/>
    <w:rsid w:val="005E12E0"/>
    <w:rsid w:val="006026E9"/>
    <w:rsid w:val="0060352A"/>
    <w:rsid w:val="006212DD"/>
    <w:rsid w:val="00630F3A"/>
    <w:rsid w:val="006315D6"/>
    <w:rsid w:val="006316DF"/>
    <w:rsid w:val="00635604"/>
    <w:rsid w:val="006365FE"/>
    <w:rsid w:val="006430FF"/>
    <w:rsid w:val="00646AF4"/>
    <w:rsid w:val="00651AFE"/>
    <w:rsid w:val="0065284E"/>
    <w:rsid w:val="00660C2A"/>
    <w:rsid w:val="00660F7C"/>
    <w:rsid w:val="006620A9"/>
    <w:rsid w:val="0067078D"/>
    <w:rsid w:val="006713F5"/>
    <w:rsid w:val="00674D0E"/>
    <w:rsid w:val="0067595A"/>
    <w:rsid w:val="00677AD2"/>
    <w:rsid w:val="006936D5"/>
    <w:rsid w:val="006B34B4"/>
    <w:rsid w:val="006C19A2"/>
    <w:rsid w:val="006C6D47"/>
    <w:rsid w:val="006D100F"/>
    <w:rsid w:val="006D3377"/>
    <w:rsid w:val="006D35CB"/>
    <w:rsid w:val="006E1C11"/>
    <w:rsid w:val="006F0A29"/>
    <w:rsid w:val="006F7FCE"/>
    <w:rsid w:val="00702832"/>
    <w:rsid w:val="00703F19"/>
    <w:rsid w:val="00716B4B"/>
    <w:rsid w:val="00720DF9"/>
    <w:rsid w:val="007276E7"/>
    <w:rsid w:val="00731930"/>
    <w:rsid w:val="00732364"/>
    <w:rsid w:val="007345CA"/>
    <w:rsid w:val="0074043C"/>
    <w:rsid w:val="007457A3"/>
    <w:rsid w:val="00753199"/>
    <w:rsid w:val="007659D2"/>
    <w:rsid w:val="0078055B"/>
    <w:rsid w:val="00786C99"/>
    <w:rsid w:val="00793BA5"/>
    <w:rsid w:val="007A5D73"/>
    <w:rsid w:val="007A65DF"/>
    <w:rsid w:val="007A6D0A"/>
    <w:rsid w:val="007B03CB"/>
    <w:rsid w:val="007B3407"/>
    <w:rsid w:val="007B4B12"/>
    <w:rsid w:val="007B5764"/>
    <w:rsid w:val="007B5E4A"/>
    <w:rsid w:val="007F7004"/>
    <w:rsid w:val="008010B5"/>
    <w:rsid w:val="00802C7E"/>
    <w:rsid w:val="00805F95"/>
    <w:rsid w:val="00807A79"/>
    <w:rsid w:val="00820453"/>
    <w:rsid w:val="00822154"/>
    <w:rsid w:val="0082465D"/>
    <w:rsid w:val="00827A7A"/>
    <w:rsid w:val="008346C8"/>
    <w:rsid w:val="00834F64"/>
    <w:rsid w:val="0083701A"/>
    <w:rsid w:val="00843D90"/>
    <w:rsid w:val="00847E12"/>
    <w:rsid w:val="00850D14"/>
    <w:rsid w:val="00851C6B"/>
    <w:rsid w:val="00852ACD"/>
    <w:rsid w:val="008607C1"/>
    <w:rsid w:val="00863183"/>
    <w:rsid w:val="008641D8"/>
    <w:rsid w:val="00872505"/>
    <w:rsid w:val="00882AC6"/>
    <w:rsid w:val="00886AB7"/>
    <w:rsid w:val="0089004E"/>
    <w:rsid w:val="00891270"/>
    <w:rsid w:val="008A5928"/>
    <w:rsid w:val="008A79A5"/>
    <w:rsid w:val="008B1410"/>
    <w:rsid w:val="008B72DF"/>
    <w:rsid w:val="008D1B5A"/>
    <w:rsid w:val="008D4B6F"/>
    <w:rsid w:val="008E0BE5"/>
    <w:rsid w:val="008E13F3"/>
    <w:rsid w:val="008E2DF8"/>
    <w:rsid w:val="008E50CF"/>
    <w:rsid w:val="008F7A7A"/>
    <w:rsid w:val="00900668"/>
    <w:rsid w:val="00900CB3"/>
    <w:rsid w:val="00904B39"/>
    <w:rsid w:val="00911718"/>
    <w:rsid w:val="00917B8E"/>
    <w:rsid w:val="0092245A"/>
    <w:rsid w:val="00930030"/>
    <w:rsid w:val="00940404"/>
    <w:rsid w:val="00947509"/>
    <w:rsid w:val="00960D40"/>
    <w:rsid w:val="00962865"/>
    <w:rsid w:val="00990137"/>
    <w:rsid w:val="009A089B"/>
    <w:rsid w:val="009A36DC"/>
    <w:rsid w:val="009A5A0C"/>
    <w:rsid w:val="009A7C95"/>
    <w:rsid w:val="009B06AB"/>
    <w:rsid w:val="009B2D3F"/>
    <w:rsid w:val="009C5B73"/>
    <w:rsid w:val="009D0C18"/>
    <w:rsid w:val="009D3F30"/>
    <w:rsid w:val="009D6E7D"/>
    <w:rsid w:val="009F0E09"/>
    <w:rsid w:val="009F20F1"/>
    <w:rsid w:val="00A00B01"/>
    <w:rsid w:val="00A048A3"/>
    <w:rsid w:val="00A05878"/>
    <w:rsid w:val="00A1126F"/>
    <w:rsid w:val="00A15BC9"/>
    <w:rsid w:val="00A20A39"/>
    <w:rsid w:val="00A330EA"/>
    <w:rsid w:val="00A33704"/>
    <w:rsid w:val="00A420AF"/>
    <w:rsid w:val="00A42C83"/>
    <w:rsid w:val="00A55B6A"/>
    <w:rsid w:val="00A61742"/>
    <w:rsid w:val="00A66885"/>
    <w:rsid w:val="00A67310"/>
    <w:rsid w:val="00A73B4D"/>
    <w:rsid w:val="00A82588"/>
    <w:rsid w:val="00A83035"/>
    <w:rsid w:val="00A8796C"/>
    <w:rsid w:val="00A92CB9"/>
    <w:rsid w:val="00A959CE"/>
    <w:rsid w:val="00A972FB"/>
    <w:rsid w:val="00AB2503"/>
    <w:rsid w:val="00AC145C"/>
    <w:rsid w:val="00AD1D5F"/>
    <w:rsid w:val="00AD3C9B"/>
    <w:rsid w:val="00AD5DAA"/>
    <w:rsid w:val="00B011AA"/>
    <w:rsid w:val="00B04682"/>
    <w:rsid w:val="00B1403A"/>
    <w:rsid w:val="00B142A8"/>
    <w:rsid w:val="00B21C10"/>
    <w:rsid w:val="00B277C2"/>
    <w:rsid w:val="00B27848"/>
    <w:rsid w:val="00B279C3"/>
    <w:rsid w:val="00B3151B"/>
    <w:rsid w:val="00B37E71"/>
    <w:rsid w:val="00B434DF"/>
    <w:rsid w:val="00B50423"/>
    <w:rsid w:val="00B517BA"/>
    <w:rsid w:val="00B53F19"/>
    <w:rsid w:val="00B55185"/>
    <w:rsid w:val="00B761FD"/>
    <w:rsid w:val="00B81E60"/>
    <w:rsid w:val="00B82EFD"/>
    <w:rsid w:val="00B833A2"/>
    <w:rsid w:val="00B90649"/>
    <w:rsid w:val="00B92A61"/>
    <w:rsid w:val="00B96EB7"/>
    <w:rsid w:val="00B973F3"/>
    <w:rsid w:val="00BA0D06"/>
    <w:rsid w:val="00BA11B8"/>
    <w:rsid w:val="00BA408D"/>
    <w:rsid w:val="00BB57E5"/>
    <w:rsid w:val="00BB6B03"/>
    <w:rsid w:val="00BC0CFC"/>
    <w:rsid w:val="00BC5F5B"/>
    <w:rsid w:val="00BD11B9"/>
    <w:rsid w:val="00BD1266"/>
    <w:rsid w:val="00BE20B4"/>
    <w:rsid w:val="00BE5925"/>
    <w:rsid w:val="00BE7439"/>
    <w:rsid w:val="00BF6746"/>
    <w:rsid w:val="00C02929"/>
    <w:rsid w:val="00C02C42"/>
    <w:rsid w:val="00C07666"/>
    <w:rsid w:val="00C12C65"/>
    <w:rsid w:val="00C17217"/>
    <w:rsid w:val="00C2119D"/>
    <w:rsid w:val="00C2266E"/>
    <w:rsid w:val="00C329F3"/>
    <w:rsid w:val="00C42167"/>
    <w:rsid w:val="00C44BF0"/>
    <w:rsid w:val="00C47A6C"/>
    <w:rsid w:val="00C51806"/>
    <w:rsid w:val="00C5259F"/>
    <w:rsid w:val="00C56C05"/>
    <w:rsid w:val="00C56F72"/>
    <w:rsid w:val="00C63C4A"/>
    <w:rsid w:val="00C6403E"/>
    <w:rsid w:val="00C74FE9"/>
    <w:rsid w:val="00C8139E"/>
    <w:rsid w:val="00C901E8"/>
    <w:rsid w:val="00CA1497"/>
    <w:rsid w:val="00CA3A9B"/>
    <w:rsid w:val="00CA5FD8"/>
    <w:rsid w:val="00CC344E"/>
    <w:rsid w:val="00CD3825"/>
    <w:rsid w:val="00CD6108"/>
    <w:rsid w:val="00CD781D"/>
    <w:rsid w:val="00CE2C1F"/>
    <w:rsid w:val="00CE47E9"/>
    <w:rsid w:val="00CF7994"/>
    <w:rsid w:val="00D051CF"/>
    <w:rsid w:val="00D065DC"/>
    <w:rsid w:val="00D07A4D"/>
    <w:rsid w:val="00D131CE"/>
    <w:rsid w:val="00D1373D"/>
    <w:rsid w:val="00D2317F"/>
    <w:rsid w:val="00D25ACA"/>
    <w:rsid w:val="00D26924"/>
    <w:rsid w:val="00D30D50"/>
    <w:rsid w:val="00D3671E"/>
    <w:rsid w:val="00D3735A"/>
    <w:rsid w:val="00D43066"/>
    <w:rsid w:val="00D44604"/>
    <w:rsid w:val="00D506EB"/>
    <w:rsid w:val="00D5378F"/>
    <w:rsid w:val="00D65F87"/>
    <w:rsid w:val="00D6740A"/>
    <w:rsid w:val="00D70381"/>
    <w:rsid w:val="00D7627A"/>
    <w:rsid w:val="00D77DA3"/>
    <w:rsid w:val="00D800E3"/>
    <w:rsid w:val="00D840DB"/>
    <w:rsid w:val="00DA108F"/>
    <w:rsid w:val="00DA10D8"/>
    <w:rsid w:val="00DB0C50"/>
    <w:rsid w:val="00DB2B44"/>
    <w:rsid w:val="00DB5DF0"/>
    <w:rsid w:val="00DB789F"/>
    <w:rsid w:val="00DC1E29"/>
    <w:rsid w:val="00DC53AB"/>
    <w:rsid w:val="00DC5A19"/>
    <w:rsid w:val="00DC7E54"/>
    <w:rsid w:val="00DE0968"/>
    <w:rsid w:val="00DE1FFA"/>
    <w:rsid w:val="00DE37FE"/>
    <w:rsid w:val="00DF2199"/>
    <w:rsid w:val="00E11C17"/>
    <w:rsid w:val="00E224F7"/>
    <w:rsid w:val="00E24F3C"/>
    <w:rsid w:val="00E35972"/>
    <w:rsid w:val="00E4397F"/>
    <w:rsid w:val="00E55D4B"/>
    <w:rsid w:val="00E622B6"/>
    <w:rsid w:val="00E62671"/>
    <w:rsid w:val="00E65BB1"/>
    <w:rsid w:val="00E720E5"/>
    <w:rsid w:val="00E755DB"/>
    <w:rsid w:val="00E778F7"/>
    <w:rsid w:val="00E8067E"/>
    <w:rsid w:val="00E82750"/>
    <w:rsid w:val="00E868EC"/>
    <w:rsid w:val="00E962AC"/>
    <w:rsid w:val="00EA3ED9"/>
    <w:rsid w:val="00EB1AB1"/>
    <w:rsid w:val="00EB38CC"/>
    <w:rsid w:val="00EB77BC"/>
    <w:rsid w:val="00ED02E9"/>
    <w:rsid w:val="00EE0F69"/>
    <w:rsid w:val="00EE4125"/>
    <w:rsid w:val="00EE6F07"/>
    <w:rsid w:val="00EF0B4F"/>
    <w:rsid w:val="00EF6436"/>
    <w:rsid w:val="00EF7A14"/>
    <w:rsid w:val="00F0293A"/>
    <w:rsid w:val="00F02995"/>
    <w:rsid w:val="00F126E7"/>
    <w:rsid w:val="00F12D46"/>
    <w:rsid w:val="00F14D6C"/>
    <w:rsid w:val="00F22332"/>
    <w:rsid w:val="00F23BA6"/>
    <w:rsid w:val="00F25D35"/>
    <w:rsid w:val="00F44222"/>
    <w:rsid w:val="00F479B3"/>
    <w:rsid w:val="00F506B8"/>
    <w:rsid w:val="00F5110E"/>
    <w:rsid w:val="00F54B22"/>
    <w:rsid w:val="00F566B5"/>
    <w:rsid w:val="00F616A1"/>
    <w:rsid w:val="00F7124B"/>
    <w:rsid w:val="00F87834"/>
    <w:rsid w:val="00F91CD9"/>
    <w:rsid w:val="00F92CEA"/>
    <w:rsid w:val="00F950FE"/>
    <w:rsid w:val="00FA6A0F"/>
    <w:rsid w:val="00FB423E"/>
    <w:rsid w:val="00FC7263"/>
    <w:rsid w:val="00FD13D7"/>
    <w:rsid w:val="00FD7BEE"/>
    <w:rsid w:val="00FD7F7C"/>
    <w:rsid w:val="00FE4E23"/>
    <w:rsid w:val="00FF170F"/>
    <w:rsid w:val="00FF24AA"/>
    <w:rsid w:val="00FF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C492D"/>
  <w15:chartTrackingRefBased/>
  <w15:docId w15:val="{28C33861-75D6-47BC-A282-6AFC2EC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CE2C1F"/>
    <w:pPr>
      <w:keepNext/>
      <w:numPr>
        <w:numId w:val="8"/>
      </w:numPr>
      <w:spacing w:before="240" w:after="120" w:line="280" w:lineRule="atLeast"/>
      <w:ind w:left="426" w:hanging="426"/>
      <w:outlineLvl w:val="1"/>
    </w:pPr>
    <w:rPr>
      <w:rFonts w:ascii="Arial" w:eastAsiaTheme="majorEastAsia" w:hAnsi="Arial" w:cstheme="minorHAnsi"/>
      <w:b/>
      <w:bCs/>
      <w:color w:val="264F90"/>
      <w:sz w:val="32"/>
      <w:szCs w:val="32"/>
    </w:rPr>
  </w:style>
  <w:style w:type="paragraph" w:styleId="Heading3">
    <w:name w:val="heading 3"/>
    <w:basedOn w:val="Heading2"/>
    <w:next w:val="Normal"/>
    <w:link w:val="Heading3Char"/>
    <w:qFormat/>
    <w:rsid w:val="00CE2C1F"/>
    <w:pPr>
      <w:ind w:left="720" w:hanging="360"/>
      <w:outlineLvl w:val="2"/>
    </w:pPr>
    <w:rPr>
      <w:rFonts w:cs="Arial"/>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A0C"/>
    <w:pPr>
      <w:spacing w:after="0" w:line="240" w:lineRule="auto"/>
      <w:ind w:left="720"/>
    </w:pPr>
    <w:rPr>
      <w:rFonts w:ascii="Calibri" w:hAnsi="Calibri" w:cs="Calibri"/>
      <w:sz w:val="22"/>
      <w:szCs w:val="22"/>
    </w:rPr>
  </w:style>
  <w:style w:type="character" w:styleId="Hyperlink">
    <w:name w:val="Hyperlink"/>
    <w:basedOn w:val="DefaultParagraphFont"/>
    <w:uiPriority w:val="99"/>
    <w:unhideWhenUsed/>
    <w:rsid w:val="00A67310"/>
    <w:rPr>
      <w:color w:val="0563C1" w:themeColor="hyperlink"/>
      <w:u w:val="single"/>
    </w:rPr>
  </w:style>
  <w:style w:type="paragraph" w:customStyle="1" w:styleId="subsection">
    <w:name w:val="subsection"/>
    <w:basedOn w:val="Normal"/>
    <w:rsid w:val="00703F19"/>
    <w:pPr>
      <w:spacing w:before="100" w:beforeAutospacing="1" w:after="100" w:afterAutospacing="1" w:line="240" w:lineRule="auto"/>
    </w:pPr>
    <w:rPr>
      <w:rFonts w:eastAsia="Times New Roman"/>
      <w:lang w:eastAsia="en-AU"/>
    </w:rPr>
  </w:style>
  <w:style w:type="paragraph" w:customStyle="1" w:styleId="paragraph">
    <w:name w:val="paragraph"/>
    <w:basedOn w:val="Normal"/>
    <w:rsid w:val="00703F19"/>
    <w:pPr>
      <w:spacing w:before="100" w:beforeAutospacing="1" w:after="100" w:afterAutospacing="1" w:line="240" w:lineRule="auto"/>
    </w:pPr>
    <w:rPr>
      <w:rFonts w:eastAsia="Times New Roman"/>
      <w:lang w:eastAsia="en-AU"/>
    </w:rPr>
  </w:style>
  <w:style w:type="paragraph" w:customStyle="1" w:styleId="Bullet1">
    <w:name w:val="Bullet 1"/>
    <w:basedOn w:val="Normal"/>
    <w:link w:val="Bullet1Char"/>
    <w:autoRedefine/>
    <w:qFormat/>
    <w:rsid w:val="00807A79"/>
    <w:pPr>
      <w:numPr>
        <w:numId w:val="7"/>
      </w:numPr>
      <w:suppressAutoHyphens/>
      <w:spacing w:before="60" w:after="60" w:line="276" w:lineRule="auto"/>
    </w:pPr>
    <w:rPr>
      <w:rFonts w:ascii="Arial" w:hAnsi="Arial" w:cstheme="minorHAnsi"/>
      <w:sz w:val="20"/>
      <w:szCs w:val="22"/>
    </w:rPr>
  </w:style>
  <w:style w:type="character" w:customStyle="1" w:styleId="Bullet1Char">
    <w:name w:val="Bullet 1 Char"/>
    <w:basedOn w:val="DefaultParagraphFont"/>
    <w:link w:val="Bullet1"/>
    <w:locked/>
    <w:rsid w:val="00807A79"/>
    <w:rPr>
      <w:rFonts w:ascii="Arial" w:hAnsi="Arial" w:cstheme="minorHAnsi"/>
      <w:sz w:val="20"/>
      <w:szCs w:val="22"/>
    </w:rPr>
  </w:style>
  <w:style w:type="character" w:customStyle="1" w:styleId="Heading2Char">
    <w:name w:val="Heading 2 Char"/>
    <w:basedOn w:val="DefaultParagraphFont"/>
    <w:link w:val="Heading2"/>
    <w:rsid w:val="00CE2C1F"/>
    <w:rPr>
      <w:rFonts w:ascii="Arial" w:eastAsiaTheme="majorEastAsia" w:hAnsi="Arial" w:cstheme="minorHAnsi"/>
      <w:b/>
      <w:bCs/>
      <w:color w:val="264F90"/>
      <w:sz w:val="32"/>
      <w:szCs w:val="32"/>
    </w:rPr>
  </w:style>
  <w:style w:type="character" w:customStyle="1" w:styleId="Heading3Char">
    <w:name w:val="Heading 3 Char"/>
    <w:basedOn w:val="DefaultParagraphFont"/>
    <w:link w:val="Heading3"/>
    <w:rsid w:val="00CE2C1F"/>
    <w:rPr>
      <w:rFonts w:ascii="Arial" w:eastAsiaTheme="majorEastAsia" w:hAnsi="Arial" w:cs="Arial"/>
      <w:bCs/>
      <w:color w:val="264F90"/>
      <w:szCs w:val="32"/>
    </w:rPr>
  </w:style>
  <w:style w:type="character" w:styleId="CommentReference">
    <w:name w:val="annotation reference"/>
    <w:basedOn w:val="DefaultParagraphFont"/>
    <w:uiPriority w:val="99"/>
    <w:semiHidden/>
    <w:unhideWhenUsed/>
    <w:rsid w:val="00D051CF"/>
    <w:rPr>
      <w:sz w:val="16"/>
      <w:szCs w:val="16"/>
    </w:rPr>
  </w:style>
  <w:style w:type="paragraph" w:styleId="CommentText">
    <w:name w:val="annotation text"/>
    <w:basedOn w:val="Normal"/>
    <w:link w:val="CommentTextChar"/>
    <w:uiPriority w:val="99"/>
    <w:unhideWhenUsed/>
    <w:rsid w:val="00D051CF"/>
    <w:pPr>
      <w:spacing w:line="240" w:lineRule="auto"/>
    </w:pPr>
    <w:rPr>
      <w:sz w:val="20"/>
      <w:szCs w:val="20"/>
    </w:rPr>
  </w:style>
  <w:style w:type="character" w:customStyle="1" w:styleId="CommentTextChar">
    <w:name w:val="Comment Text Char"/>
    <w:basedOn w:val="DefaultParagraphFont"/>
    <w:link w:val="CommentText"/>
    <w:uiPriority w:val="99"/>
    <w:rsid w:val="00D051CF"/>
    <w:rPr>
      <w:sz w:val="20"/>
      <w:szCs w:val="20"/>
    </w:rPr>
  </w:style>
  <w:style w:type="paragraph" w:styleId="CommentSubject">
    <w:name w:val="annotation subject"/>
    <w:basedOn w:val="CommentText"/>
    <w:next w:val="CommentText"/>
    <w:link w:val="CommentSubjectChar"/>
    <w:uiPriority w:val="99"/>
    <w:semiHidden/>
    <w:unhideWhenUsed/>
    <w:rsid w:val="00D051CF"/>
    <w:rPr>
      <w:b/>
      <w:bCs/>
    </w:rPr>
  </w:style>
  <w:style w:type="character" w:customStyle="1" w:styleId="CommentSubjectChar">
    <w:name w:val="Comment Subject Char"/>
    <w:basedOn w:val="CommentTextChar"/>
    <w:link w:val="CommentSubject"/>
    <w:uiPriority w:val="99"/>
    <w:semiHidden/>
    <w:rsid w:val="00D051CF"/>
    <w:rPr>
      <w:b/>
      <w:bCs/>
      <w:sz w:val="20"/>
      <w:szCs w:val="20"/>
    </w:rPr>
  </w:style>
  <w:style w:type="paragraph" w:styleId="BalloonText">
    <w:name w:val="Balloon Text"/>
    <w:basedOn w:val="Normal"/>
    <w:link w:val="BalloonTextChar"/>
    <w:uiPriority w:val="99"/>
    <w:semiHidden/>
    <w:unhideWhenUsed/>
    <w:rsid w:val="00D0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1CF"/>
    <w:rPr>
      <w:rFonts w:ascii="Segoe UI" w:hAnsi="Segoe UI" w:cs="Segoe UI"/>
      <w:sz w:val="18"/>
      <w:szCs w:val="18"/>
    </w:rPr>
  </w:style>
  <w:style w:type="paragraph" w:styleId="FootnoteText">
    <w:name w:val="footnote text"/>
    <w:basedOn w:val="Normal"/>
    <w:link w:val="FootnoteTextChar"/>
    <w:uiPriority w:val="99"/>
    <w:semiHidden/>
    <w:unhideWhenUsed/>
    <w:rsid w:val="00EE4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125"/>
    <w:rPr>
      <w:sz w:val="20"/>
      <w:szCs w:val="20"/>
    </w:rPr>
  </w:style>
  <w:style w:type="character" w:styleId="FootnoteReference">
    <w:name w:val="footnote reference"/>
    <w:basedOn w:val="DefaultParagraphFont"/>
    <w:uiPriority w:val="99"/>
    <w:semiHidden/>
    <w:unhideWhenUsed/>
    <w:rsid w:val="00EE4125"/>
    <w:rPr>
      <w:vertAlign w:val="superscript"/>
    </w:rPr>
  </w:style>
  <w:style w:type="character" w:styleId="FollowedHyperlink">
    <w:name w:val="FollowedHyperlink"/>
    <w:basedOn w:val="DefaultParagraphFont"/>
    <w:uiPriority w:val="99"/>
    <w:semiHidden/>
    <w:unhideWhenUsed/>
    <w:rsid w:val="007457A3"/>
    <w:rPr>
      <w:color w:val="954F72" w:themeColor="followedHyperlink"/>
      <w:u w:val="single"/>
    </w:rPr>
  </w:style>
  <w:style w:type="table" w:styleId="TableGrid">
    <w:name w:val="Table Grid"/>
    <w:basedOn w:val="TableNormal"/>
    <w:uiPriority w:val="39"/>
    <w:rsid w:val="008D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36"/>
  </w:style>
  <w:style w:type="paragraph" w:styleId="Footer">
    <w:name w:val="footer"/>
    <w:basedOn w:val="Normal"/>
    <w:link w:val="FooterChar"/>
    <w:uiPriority w:val="99"/>
    <w:unhideWhenUsed/>
    <w:rsid w:val="00EF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36"/>
  </w:style>
  <w:style w:type="character" w:customStyle="1" w:styleId="Heading1Char">
    <w:name w:val="Heading 1 Char"/>
    <w:basedOn w:val="DefaultParagraphFont"/>
    <w:link w:val="Heading1"/>
    <w:uiPriority w:val="9"/>
    <w:rsid w:val="00CA1497"/>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C813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39E"/>
    <w:rPr>
      <w:sz w:val="20"/>
      <w:szCs w:val="20"/>
    </w:rPr>
  </w:style>
  <w:style w:type="character" w:styleId="EndnoteReference">
    <w:name w:val="endnote reference"/>
    <w:basedOn w:val="DefaultParagraphFont"/>
    <w:uiPriority w:val="99"/>
    <w:semiHidden/>
    <w:unhideWhenUsed/>
    <w:rsid w:val="00C8139E"/>
    <w:rPr>
      <w:vertAlign w:val="superscript"/>
    </w:rPr>
  </w:style>
  <w:style w:type="paragraph" w:styleId="Revision">
    <w:name w:val="Revision"/>
    <w:hidden/>
    <w:uiPriority w:val="99"/>
    <w:semiHidden/>
    <w:rsid w:val="00C329F3"/>
    <w:pPr>
      <w:spacing w:after="0" w:line="240" w:lineRule="auto"/>
    </w:pPr>
  </w:style>
  <w:style w:type="character" w:styleId="UnresolvedMention">
    <w:name w:val="Unresolved Mention"/>
    <w:basedOn w:val="DefaultParagraphFont"/>
    <w:uiPriority w:val="99"/>
    <w:semiHidden/>
    <w:unhideWhenUsed/>
    <w:rsid w:val="009F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57244">
      <w:bodyDiv w:val="1"/>
      <w:marLeft w:val="0"/>
      <w:marRight w:val="0"/>
      <w:marTop w:val="0"/>
      <w:marBottom w:val="0"/>
      <w:divBdr>
        <w:top w:val="none" w:sz="0" w:space="0" w:color="auto"/>
        <w:left w:val="none" w:sz="0" w:space="0" w:color="auto"/>
        <w:bottom w:val="none" w:sz="0" w:space="0" w:color="auto"/>
        <w:right w:val="none" w:sz="0" w:space="0" w:color="auto"/>
      </w:divBdr>
    </w:div>
    <w:div w:id="727804030">
      <w:bodyDiv w:val="1"/>
      <w:marLeft w:val="0"/>
      <w:marRight w:val="0"/>
      <w:marTop w:val="0"/>
      <w:marBottom w:val="0"/>
      <w:divBdr>
        <w:top w:val="none" w:sz="0" w:space="0" w:color="auto"/>
        <w:left w:val="none" w:sz="0" w:space="0" w:color="auto"/>
        <w:bottom w:val="none" w:sz="0" w:space="0" w:color="auto"/>
        <w:right w:val="none" w:sz="0" w:space="0" w:color="auto"/>
      </w:divBdr>
    </w:div>
    <w:div w:id="761948824">
      <w:bodyDiv w:val="1"/>
      <w:marLeft w:val="0"/>
      <w:marRight w:val="0"/>
      <w:marTop w:val="0"/>
      <w:marBottom w:val="0"/>
      <w:divBdr>
        <w:top w:val="none" w:sz="0" w:space="0" w:color="auto"/>
        <w:left w:val="none" w:sz="0" w:space="0" w:color="auto"/>
        <w:bottom w:val="none" w:sz="0" w:space="0" w:color="auto"/>
        <w:right w:val="none" w:sz="0" w:space="0" w:color="auto"/>
      </w:divBdr>
    </w:div>
    <w:div w:id="774642187">
      <w:bodyDiv w:val="1"/>
      <w:marLeft w:val="0"/>
      <w:marRight w:val="0"/>
      <w:marTop w:val="0"/>
      <w:marBottom w:val="0"/>
      <w:divBdr>
        <w:top w:val="none" w:sz="0" w:space="0" w:color="auto"/>
        <w:left w:val="none" w:sz="0" w:space="0" w:color="auto"/>
        <w:bottom w:val="none" w:sz="0" w:space="0" w:color="auto"/>
        <w:right w:val="none" w:sz="0" w:space="0" w:color="auto"/>
      </w:divBdr>
    </w:div>
    <w:div w:id="854809167">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209882114">
      <w:bodyDiv w:val="1"/>
      <w:marLeft w:val="0"/>
      <w:marRight w:val="0"/>
      <w:marTop w:val="0"/>
      <w:marBottom w:val="0"/>
      <w:divBdr>
        <w:top w:val="none" w:sz="0" w:space="0" w:color="auto"/>
        <w:left w:val="none" w:sz="0" w:space="0" w:color="auto"/>
        <w:bottom w:val="none" w:sz="0" w:space="0" w:color="auto"/>
        <w:right w:val="none" w:sz="0" w:space="0" w:color="auto"/>
      </w:divBdr>
    </w:div>
    <w:div w:id="1447966874">
      <w:bodyDiv w:val="1"/>
      <w:marLeft w:val="0"/>
      <w:marRight w:val="0"/>
      <w:marTop w:val="0"/>
      <w:marBottom w:val="0"/>
      <w:divBdr>
        <w:top w:val="none" w:sz="0" w:space="0" w:color="auto"/>
        <w:left w:val="none" w:sz="0" w:space="0" w:color="auto"/>
        <w:bottom w:val="none" w:sz="0" w:space="0" w:color="auto"/>
        <w:right w:val="none" w:sz="0" w:space="0" w:color="auto"/>
      </w:divBdr>
    </w:div>
    <w:div w:id="1520461653">
      <w:bodyDiv w:val="1"/>
      <w:marLeft w:val="0"/>
      <w:marRight w:val="0"/>
      <w:marTop w:val="0"/>
      <w:marBottom w:val="0"/>
      <w:divBdr>
        <w:top w:val="none" w:sz="0" w:space="0" w:color="auto"/>
        <w:left w:val="none" w:sz="0" w:space="0" w:color="auto"/>
        <w:bottom w:val="none" w:sz="0" w:space="0" w:color="auto"/>
        <w:right w:val="none" w:sz="0" w:space="0" w:color="auto"/>
      </w:divBdr>
    </w:div>
    <w:div w:id="1576430652">
      <w:bodyDiv w:val="1"/>
      <w:marLeft w:val="0"/>
      <w:marRight w:val="0"/>
      <w:marTop w:val="0"/>
      <w:marBottom w:val="0"/>
      <w:divBdr>
        <w:top w:val="none" w:sz="0" w:space="0" w:color="auto"/>
        <w:left w:val="none" w:sz="0" w:space="0" w:color="auto"/>
        <w:bottom w:val="none" w:sz="0" w:space="0" w:color="auto"/>
        <w:right w:val="none" w:sz="0" w:space="0" w:color="auto"/>
      </w:divBdr>
    </w:div>
    <w:div w:id="1586769345">
      <w:bodyDiv w:val="1"/>
      <w:marLeft w:val="0"/>
      <w:marRight w:val="0"/>
      <w:marTop w:val="0"/>
      <w:marBottom w:val="0"/>
      <w:divBdr>
        <w:top w:val="none" w:sz="0" w:space="0" w:color="auto"/>
        <w:left w:val="none" w:sz="0" w:space="0" w:color="auto"/>
        <w:bottom w:val="none" w:sz="0" w:space="0" w:color="auto"/>
        <w:right w:val="none" w:sz="0" w:space="0" w:color="auto"/>
      </w:divBdr>
    </w:div>
    <w:div w:id="1623615214">
      <w:bodyDiv w:val="1"/>
      <w:marLeft w:val="0"/>
      <w:marRight w:val="0"/>
      <w:marTop w:val="0"/>
      <w:marBottom w:val="0"/>
      <w:divBdr>
        <w:top w:val="none" w:sz="0" w:space="0" w:color="auto"/>
        <w:left w:val="none" w:sz="0" w:space="0" w:color="auto"/>
        <w:bottom w:val="none" w:sz="0" w:space="0" w:color="auto"/>
        <w:right w:val="none" w:sz="0" w:space="0" w:color="auto"/>
      </w:divBdr>
    </w:div>
    <w:div w:id="1755009966">
      <w:bodyDiv w:val="1"/>
      <w:marLeft w:val="0"/>
      <w:marRight w:val="0"/>
      <w:marTop w:val="0"/>
      <w:marBottom w:val="0"/>
      <w:divBdr>
        <w:top w:val="none" w:sz="0" w:space="0" w:color="auto"/>
        <w:left w:val="none" w:sz="0" w:space="0" w:color="auto"/>
        <w:bottom w:val="none" w:sz="0" w:space="0" w:color="auto"/>
        <w:right w:val="none" w:sz="0" w:space="0" w:color="auto"/>
      </w:divBdr>
    </w:div>
    <w:div w:id="1934195785">
      <w:bodyDiv w:val="1"/>
      <w:marLeft w:val="0"/>
      <w:marRight w:val="0"/>
      <w:marTop w:val="0"/>
      <w:marBottom w:val="0"/>
      <w:divBdr>
        <w:top w:val="none" w:sz="0" w:space="0" w:color="auto"/>
        <w:left w:val="none" w:sz="0" w:space="0" w:color="auto"/>
        <w:bottom w:val="none" w:sz="0" w:space="0" w:color="auto"/>
        <w:right w:val="none" w:sz="0" w:space="0" w:color="auto"/>
      </w:divBdr>
    </w:div>
    <w:div w:id="2052075524">
      <w:bodyDiv w:val="1"/>
      <w:marLeft w:val="0"/>
      <w:marRight w:val="0"/>
      <w:marTop w:val="0"/>
      <w:marBottom w:val="0"/>
      <w:divBdr>
        <w:top w:val="none" w:sz="0" w:space="0" w:color="auto"/>
        <w:left w:val="none" w:sz="0" w:space="0" w:color="auto"/>
        <w:bottom w:val="none" w:sz="0" w:space="0" w:color="auto"/>
        <w:right w:val="none" w:sz="0" w:space="0" w:color="auto"/>
      </w:divBdr>
    </w:div>
    <w:div w:id="212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9C0005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managing-commonwealth-resources/general-duties-officials-rmg-2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ance.gov.au/sites/default/files/2019-11/commonwealth-grants-rules-and-guidelines.pdf" TargetMode="External"/><Relationship Id="rId4" Type="http://schemas.openxmlformats.org/officeDocument/2006/relationships/settings" Target="settings.xml"/><Relationship Id="rId9" Type="http://schemas.openxmlformats.org/officeDocument/2006/relationships/hyperlink" Target="https://www.legislation.gov.au/Details/C2017C0026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5F03-A48B-4173-9EC3-9A316772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5418</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(MRFF) Policy Statement – Participation by Department of Health employees in research activities funded by the MRFF</dc:title>
  <dc:subject/>
  <dc:creator>Australian Government Department of Health</dc:creator>
  <cp:keywords>Medical Research Future Fund; MRFF; policy statement</cp:keywords>
  <dc:description/>
  <cp:lastModifiedBy>JACOB, Reuben</cp:lastModifiedBy>
  <cp:revision>204</cp:revision>
  <dcterms:created xsi:type="dcterms:W3CDTF">2021-02-07T22:14:00Z</dcterms:created>
  <dcterms:modified xsi:type="dcterms:W3CDTF">2022-03-17T23:20:00Z</dcterms:modified>
</cp:coreProperties>
</file>