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964FD" w14:textId="77777777" w:rsidR="00B27CAD" w:rsidRPr="00B27CAD" w:rsidRDefault="00AB15C5" w:rsidP="00162D8C">
      <w:pPr>
        <w:pStyle w:val="Heading1"/>
      </w:pPr>
      <w:bookmarkStart w:id="0" w:name="_Hlk82004734"/>
      <w:r w:rsidRPr="00B27CAD">
        <w:t xml:space="preserve">The </w:t>
      </w:r>
      <w:r w:rsidR="00B27CAD" w:rsidRPr="00B27CAD">
        <w:t>Health Technology Assessment (HTA)</w:t>
      </w:r>
    </w:p>
    <w:bookmarkEnd w:id="0"/>
    <w:p w14:paraId="48A3FBE0" w14:textId="77777777" w:rsidR="00B27CAD" w:rsidRDefault="00B27CAD" w:rsidP="00162D8C">
      <w:pPr>
        <w:pStyle w:val="Heading1"/>
        <w:rPr>
          <w:iCs/>
        </w:rPr>
      </w:pPr>
      <w:r w:rsidRPr="00B27CAD">
        <w:t>Consumer Consultative Committee</w:t>
      </w:r>
      <w:r>
        <w:t xml:space="preserve"> (CCC)</w:t>
      </w:r>
    </w:p>
    <w:p w14:paraId="5602A288" w14:textId="77777777" w:rsidR="00B27CAD" w:rsidRPr="00B27CAD" w:rsidRDefault="00B27CAD" w:rsidP="00B27CAD"/>
    <w:p w14:paraId="3E22134C" w14:textId="77777777" w:rsidR="00B27CAD" w:rsidRPr="00162D8C" w:rsidRDefault="00B27CAD" w:rsidP="00162D8C">
      <w:pPr>
        <w:pStyle w:val="Heading2"/>
      </w:pPr>
      <w:r w:rsidRPr="00162D8C">
        <w:t>HTA CCC Communique – 14 July 2021</w:t>
      </w:r>
    </w:p>
    <w:p w14:paraId="3C4B26EC" w14:textId="77777777" w:rsidR="00B27CAD" w:rsidRPr="00B27CAD" w:rsidRDefault="00B27CAD" w:rsidP="00B27CAD">
      <w:pPr>
        <w:jc w:val="center"/>
        <w:rPr>
          <w:rFonts w:cs="Arial"/>
          <w:bCs/>
          <w:iCs/>
          <w:color w:val="358189"/>
          <w:sz w:val="36"/>
          <w:szCs w:val="36"/>
        </w:rPr>
      </w:pPr>
    </w:p>
    <w:p w14:paraId="2A20FD2F" w14:textId="77777777" w:rsidR="00AB15C5" w:rsidRPr="00162D8C" w:rsidRDefault="00B27CAD" w:rsidP="00162D8C">
      <w:pPr>
        <w:pStyle w:val="Heading3"/>
        <w:sectPr w:rsidR="00AB15C5" w:rsidRPr="00162D8C" w:rsidSect="00B27CAD">
          <w:footerReference w:type="default" r:id="rId8"/>
          <w:headerReference w:type="first" r:id="rId9"/>
          <w:footerReference w:type="first" r:id="rId10"/>
          <w:pgSz w:w="11906" w:h="16838"/>
          <w:pgMar w:top="1701" w:right="1418" w:bottom="1418" w:left="1418" w:header="851" w:footer="510" w:gutter="0"/>
          <w:cols w:space="708"/>
          <w:titlePg/>
          <w:docGrid w:linePitch="360"/>
        </w:sectPr>
      </w:pPr>
      <w:r w:rsidRPr="00162D8C">
        <w:t>16th meeting of the HTA CCC follow</w:t>
      </w:r>
      <w:r w:rsidR="002D16F4" w:rsidRPr="00162D8C">
        <w:t>ed</w:t>
      </w:r>
      <w:r w:rsidRPr="00162D8C">
        <w:t xml:space="preserve"> by a </w:t>
      </w:r>
      <w:r w:rsidR="00AC7C86" w:rsidRPr="00162D8C">
        <w:t xml:space="preserve">combined HTA CCC and </w:t>
      </w:r>
      <w:r w:rsidRPr="00162D8C">
        <w:t>HTA satellite group meeting.</w:t>
      </w:r>
    </w:p>
    <w:p w14:paraId="4E9DB88F" w14:textId="77777777" w:rsidR="00AB15C5" w:rsidRPr="00AB15C5" w:rsidRDefault="00AB15C5" w:rsidP="00AB15C5"/>
    <w:p w14:paraId="13BE208A" w14:textId="77777777" w:rsidR="00991F3E" w:rsidRPr="00162D8C" w:rsidRDefault="00991F3E" w:rsidP="00162D8C">
      <w:pPr>
        <w:pStyle w:val="Heading4"/>
      </w:pPr>
      <w:r w:rsidRPr="00162D8C">
        <w:t>Attendees</w:t>
      </w:r>
      <w:r w:rsidR="00350981" w:rsidRPr="00162D8C">
        <w:t xml:space="preserve"> </w:t>
      </w:r>
      <w:r w:rsidR="002D16F4" w:rsidRPr="00162D8C">
        <w:t xml:space="preserve">at </w:t>
      </w:r>
      <w:r w:rsidR="00350981" w:rsidRPr="00162D8C">
        <w:t>the HTA CCC</w:t>
      </w:r>
      <w:r w:rsidR="005722A7" w:rsidRPr="00162D8C">
        <w:t xml:space="preserve"> meeting</w:t>
      </w:r>
    </w:p>
    <w:p w14:paraId="7FF318C2" w14:textId="59645288" w:rsidR="00991F3E" w:rsidRPr="0097681D" w:rsidRDefault="00991F3E" w:rsidP="0097681D">
      <w:bookmarkStart w:id="1" w:name="_Hlk81291011"/>
      <w:r w:rsidRPr="0097681D">
        <w:t xml:space="preserve">Consumer representatives </w:t>
      </w:r>
      <w:bookmarkEnd w:id="1"/>
      <w:r w:rsidRPr="0097681D">
        <w:t>from the Pharmaceutical Benefits Advisory Committee (PBAC)</w:t>
      </w:r>
      <w:r w:rsidR="00350981" w:rsidRPr="0097681D">
        <w:t xml:space="preserve"> and its subcommittee</w:t>
      </w:r>
      <w:r w:rsidR="002D16F4" w:rsidRPr="0097681D">
        <w:t>,</w:t>
      </w:r>
      <w:r w:rsidR="00350981" w:rsidRPr="0097681D">
        <w:t xml:space="preserve"> the Drug Utilisation Sub-Committee,</w:t>
      </w:r>
      <w:r w:rsidRPr="0097681D">
        <w:t xml:space="preserve"> the Prostheses List Advisory Committee and the Medical Services Advisory Committee (MSAC) and their subcommittees as well as a consumer representative from the Therapeutic Goods Administration</w:t>
      </w:r>
      <w:r w:rsidR="00955321" w:rsidRPr="0097681D">
        <w:t xml:space="preserve"> (TGA)</w:t>
      </w:r>
      <w:r w:rsidR="00331BD0" w:rsidRPr="0097681D">
        <w:t xml:space="preserve"> </w:t>
      </w:r>
      <w:r w:rsidRPr="0097681D">
        <w:t xml:space="preserve">Advisory Committee on Medicines, and the Advisory Committee on Medical Devices. </w:t>
      </w:r>
    </w:p>
    <w:p w14:paraId="2C09C762" w14:textId="77777777" w:rsidR="00991F3E" w:rsidRPr="0097681D" w:rsidRDefault="00991F3E" w:rsidP="0097681D">
      <w:bookmarkStart w:id="2" w:name="_Hlk81290963"/>
      <w:r w:rsidRPr="0097681D">
        <w:t xml:space="preserve">Departmental representatives </w:t>
      </w:r>
      <w:bookmarkEnd w:id="2"/>
      <w:r w:rsidRPr="0097681D">
        <w:t>from the C</w:t>
      </w:r>
      <w:r w:rsidR="005722A7" w:rsidRPr="0097681D">
        <w:t xml:space="preserve">onsumer </w:t>
      </w:r>
      <w:r w:rsidRPr="0097681D">
        <w:t>E</w:t>
      </w:r>
      <w:r w:rsidR="005722A7" w:rsidRPr="0097681D">
        <w:t xml:space="preserve">vidence and </w:t>
      </w:r>
      <w:r w:rsidRPr="0097681D">
        <w:t>E</w:t>
      </w:r>
      <w:r w:rsidR="005722A7" w:rsidRPr="0097681D">
        <w:t xml:space="preserve">ngagement </w:t>
      </w:r>
      <w:r w:rsidRPr="0097681D">
        <w:t>U</w:t>
      </w:r>
      <w:r w:rsidR="005722A7" w:rsidRPr="0097681D">
        <w:t>nit</w:t>
      </w:r>
      <w:r w:rsidRPr="0097681D">
        <w:t xml:space="preserve"> </w:t>
      </w:r>
      <w:r w:rsidR="00CF71A0" w:rsidRPr="0097681D">
        <w:t xml:space="preserve">(CEEU) </w:t>
      </w:r>
      <w:r w:rsidRPr="0097681D">
        <w:t>and the Office of Health Technology Assessment (OHTA) Support Unit.</w:t>
      </w:r>
    </w:p>
    <w:p w14:paraId="0E32CCA7" w14:textId="77777777" w:rsidR="00350981" w:rsidRPr="00AB15C5" w:rsidRDefault="00350981" w:rsidP="00C973D2">
      <w:pPr>
        <w:pStyle w:val="Heading4"/>
      </w:pPr>
      <w:r w:rsidRPr="00AB15C5">
        <w:t xml:space="preserve">Attendees </w:t>
      </w:r>
      <w:r w:rsidR="002D16F4">
        <w:t>at</w:t>
      </w:r>
      <w:r w:rsidR="002D16F4" w:rsidRPr="00AB15C5">
        <w:t xml:space="preserve"> </w:t>
      </w:r>
      <w:r w:rsidRPr="00AB15C5">
        <w:t xml:space="preserve">the HTA CCC and </w:t>
      </w:r>
      <w:r w:rsidR="001425A4" w:rsidRPr="00AB15C5">
        <w:t>s</w:t>
      </w:r>
      <w:r w:rsidRPr="00AB15C5">
        <w:t>atellite group</w:t>
      </w:r>
      <w:r w:rsidR="005722A7">
        <w:t xml:space="preserve"> meeting</w:t>
      </w:r>
    </w:p>
    <w:p w14:paraId="4DE1D22C" w14:textId="77777777" w:rsidR="001425A4" w:rsidRPr="001425A4" w:rsidRDefault="001425A4" w:rsidP="00350981">
      <w:pPr>
        <w:rPr>
          <w:bCs/>
        </w:rPr>
      </w:pPr>
      <w:r w:rsidRPr="0028002D">
        <w:rPr>
          <w:bCs/>
        </w:rPr>
        <w:t>The satellite group includes consumer committee members from other HTA committees across the Department of Health</w:t>
      </w:r>
      <w:r w:rsidR="0067409E">
        <w:rPr>
          <w:bCs/>
        </w:rPr>
        <w:t>, in addition to the attendees listed above</w:t>
      </w:r>
      <w:r w:rsidRPr="0028002D">
        <w:rPr>
          <w:bCs/>
        </w:rPr>
        <w:t xml:space="preserve">. </w:t>
      </w:r>
    </w:p>
    <w:p w14:paraId="6B48C1F7" w14:textId="274B1975" w:rsidR="001425A4" w:rsidRDefault="0067409E" w:rsidP="00350981">
      <w:r>
        <w:t>C</w:t>
      </w:r>
      <w:r w:rsidR="001425A4" w:rsidRPr="001425A4">
        <w:t xml:space="preserve">onsumer representatives from </w:t>
      </w:r>
      <w:r w:rsidR="00CF71A0">
        <w:t xml:space="preserve">the </w:t>
      </w:r>
      <w:r w:rsidR="001425A4" w:rsidRPr="001425A4">
        <w:t>Ophthalmic Prostheses Clinical Advisory Group</w:t>
      </w:r>
      <w:r w:rsidR="00CF71A0">
        <w:t>,</w:t>
      </w:r>
      <w:r w:rsidR="001425A4" w:rsidRPr="001425A4">
        <w:t xml:space="preserve"> Hip Prosthes</w:t>
      </w:r>
      <w:r w:rsidR="00CF71A0">
        <w:t>e</w:t>
      </w:r>
      <w:r w:rsidR="001425A4" w:rsidRPr="001425A4">
        <w:t>s Clinical Advisory Group</w:t>
      </w:r>
      <w:r w:rsidR="00CF71A0">
        <w:t xml:space="preserve">, </w:t>
      </w:r>
      <w:r w:rsidR="001425A4" w:rsidRPr="001425A4">
        <w:t>Knee Prosthes</w:t>
      </w:r>
      <w:r w:rsidR="00CF71A0">
        <w:t>e</w:t>
      </w:r>
      <w:r w:rsidR="001425A4" w:rsidRPr="001425A4">
        <w:t>s Clinical Advisory Group, Cardiothoracic Prostheses Clinical Advisory Group, Life Saving Drugs Program</w:t>
      </w:r>
      <w:r w:rsidR="00CF71A0">
        <w:t xml:space="preserve"> Expert Panel,</w:t>
      </w:r>
      <w:r w:rsidR="001425A4" w:rsidRPr="001425A4">
        <w:t xml:space="preserve"> </w:t>
      </w:r>
      <w:r w:rsidR="00CF71A0">
        <w:t>Stoma</w:t>
      </w:r>
      <w:r w:rsidR="001425A4" w:rsidRPr="001425A4">
        <w:t xml:space="preserve"> Product Assessment Panel, TGA Advisory Committee on Biologicals, TGA Advisory Committee on </w:t>
      </w:r>
      <w:r w:rsidR="005722A7">
        <w:t>V</w:t>
      </w:r>
      <w:r w:rsidR="001425A4" w:rsidRPr="001425A4">
        <w:t xml:space="preserve">accines, MSAC Immunoglobulin Review Committee and </w:t>
      </w:r>
      <w:r w:rsidR="00CF71A0">
        <w:t xml:space="preserve">the </w:t>
      </w:r>
      <w:r w:rsidR="001425A4" w:rsidRPr="001425A4">
        <w:t>TGA Advisory Committee on Medicines Scheduling</w:t>
      </w:r>
      <w:r w:rsidR="00CF71A0">
        <w:t>.</w:t>
      </w:r>
    </w:p>
    <w:p w14:paraId="614614B8" w14:textId="77777777" w:rsidR="001425A4" w:rsidRPr="00AB15C5" w:rsidRDefault="001425A4" w:rsidP="00C973D2">
      <w:pPr>
        <w:pStyle w:val="Heading4"/>
      </w:pPr>
      <w:r w:rsidRPr="00AB15C5">
        <w:t xml:space="preserve">Guest speaker </w:t>
      </w:r>
    </w:p>
    <w:p w14:paraId="5895B793" w14:textId="77777777" w:rsidR="00350981" w:rsidRPr="001425A4" w:rsidRDefault="001425A4" w:rsidP="00350981">
      <w:r>
        <w:t>Professor Kirstin Howard</w:t>
      </w:r>
      <w:r w:rsidR="0067409E">
        <w:t>,</w:t>
      </w:r>
      <w:r w:rsidRPr="0096483B">
        <w:t xml:space="preserve"> Chair of the </w:t>
      </w:r>
      <w:r w:rsidR="002D16F4">
        <w:t>PBAC</w:t>
      </w:r>
      <w:r w:rsidRPr="0096483B">
        <w:t xml:space="preserve"> Economic Sub Committee (PBAC ESC)</w:t>
      </w:r>
      <w:r w:rsidR="00CF71A0">
        <w:t xml:space="preserve"> was invited as guest speaker for the HTA CCC and satellite group meeting</w:t>
      </w:r>
      <w:r w:rsidR="0067409E">
        <w:t>.</w:t>
      </w:r>
    </w:p>
    <w:p w14:paraId="63CD7385" w14:textId="77777777" w:rsidR="00991F3E" w:rsidRPr="00AB15C5" w:rsidRDefault="00991F3E" w:rsidP="00C973D2">
      <w:pPr>
        <w:pStyle w:val="Heading4"/>
      </w:pPr>
      <w:bookmarkStart w:id="3" w:name="_Hlk82003470"/>
      <w:r w:rsidRPr="00AB15C5">
        <w:t>Outcomes</w:t>
      </w:r>
      <w:r w:rsidR="00CF71A0">
        <w:t xml:space="preserve"> </w:t>
      </w:r>
      <w:r w:rsidR="00CF71A0" w:rsidRPr="001C4FAF">
        <w:t>for the HTA CCC</w:t>
      </w:r>
      <w:r w:rsidR="00CF71A0">
        <w:t xml:space="preserve"> meeting</w:t>
      </w:r>
    </w:p>
    <w:bookmarkEnd w:id="3"/>
    <w:p w14:paraId="5BD58EB4" w14:textId="77777777" w:rsidR="001425A4" w:rsidRDefault="001425A4" w:rsidP="00A931B4">
      <w:pPr>
        <w:ind w:right="-144"/>
      </w:pPr>
      <w:r>
        <w:t xml:space="preserve">The Chair, Jo Watson, provided an update on activities since the previous HTA CCC meeting held on 14 May 2021. The Chair provided a membership update welcoming Susannah Morris </w:t>
      </w:r>
      <w:r>
        <w:lastRenderedPageBreak/>
        <w:t xml:space="preserve">as the new consumer representative on the PBAC. The Chair also welcomed </w:t>
      </w:r>
      <w:r w:rsidR="005B327B">
        <w:t>Janell</w:t>
      </w:r>
      <w:r w:rsidR="00A931B4">
        <w:t>e</w:t>
      </w:r>
      <w:r w:rsidR="003E367F">
        <w:t xml:space="preserve"> </w:t>
      </w:r>
      <w:r w:rsidR="005B327B">
        <w:t>Bowden</w:t>
      </w:r>
      <w:r w:rsidR="0067409E">
        <w:t>,</w:t>
      </w:r>
      <w:r>
        <w:t xml:space="preserve"> who had recently started with the CEEU as a part-time project co-ordinator.</w:t>
      </w:r>
    </w:p>
    <w:p w14:paraId="2AD083FB" w14:textId="0B17EA24" w:rsidR="001425A4" w:rsidRPr="00AB15C5" w:rsidRDefault="001425A4" w:rsidP="001425A4">
      <w:r>
        <w:t>The CEEU provided an update on the MSAC Guidelines and changes to the MSAC process</w:t>
      </w:r>
      <w:r w:rsidR="0067409E">
        <w:t>,</w:t>
      </w:r>
      <w:r>
        <w:t xml:space="preserve"> noting </w:t>
      </w:r>
      <w:r w:rsidR="002D16F4">
        <w:t xml:space="preserve">there </w:t>
      </w:r>
      <w:r w:rsidR="0067409E">
        <w:t>are</w:t>
      </w:r>
      <w:r>
        <w:t xml:space="preserve"> now two distinct periods for consultatio</w:t>
      </w:r>
      <w:r w:rsidR="0067409E">
        <w:t>n</w:t>
      </w:r>
      <w:r w:rsidR="00927784">
        <w:t xml:space="preserve"> </w:t>
      </w:r>
      <w:r w:rsidR="0067409E">
        <w:t>as of</w:t>
      </w:r>
      <w:r>
        <w:t xml:space="preserve"> 1 July </w:t>
      </w:r>
      <w:r w:rsidRPr="00331BD0">
        <w:t>202</w:t>
      </w:r>
      <w:r w:rsidR="00143D95" w:rsidRPr="00331BD0">
        <w:t>1</w:t>
      </w:r>
      <w:r w:rsidR="00F31572" w:rsidRPr="00331BD0">
        <w:t>. The first of these periods is prior to the meeting of the PICO Advisory Sub-Committee (PASC) and the second prior to MSAC’s consideration of the application</w:t>
      </w:r>
      <w:r w:rsidR="00A70D71" w:rsidRPr="00331BD0">
        <w:t xml:space="preserve">. </w:t>
      </w:r>
      <w:r w:rsidRPr="00331BD0">
        <w:t xml:space="preserve">The CEEU also advised that the </w:t>
      </w:r>
      <w:r w:rsidR="00CF71A0" w:rsidRPr="00331BD0">
        <w:t xml:space="preserve">OHTA </w:t>
      </w:r>
      <w:r w:rsidRPr="00331BD0">
        <w:t>consultation hub contract had been finalised and hoped the hub would be live for the</w:t>
      </w:r>
      <w:r>
        <w:t xml:space="preserve"> publication of the </w:t>
      </w:r>
      <w:r w:rsidR="003E367F" w:rsidRPr="00331BD0">
        <w:t>March 2022</w:t>
      </w:r>
      <w:r w:rsidR="002D16F4" w:rsidRPr="00331BD0">
        <w:t xml:space="preserve"> </w:t>
      </w:r>
      <w:r w:rsidRPr="00331BD0">
        <w:t>PBAC</w:t>
      </w:r>
      <w:r>
        <w:t xml:space="preserve"> agenda.</w:t>
      </w:r>
    </w:p>
    <w:p w14:paraId="1C63FFF0" w14:textId="77777777" w:rsidR="001425A4" w:rsidRPr="00AB15C5" w:rsidRDefault="001425A4" w:rsidP="00C973D2">
      <w:pPr>
        <w:pStyle w:val="Heading4"/>
      </w:pPr>
      <w:r w:rsidRPr="00AB15C5">
        <w:t xml:space="preserve">Outcomes </w:t>
      </w:r>
      <w:r w:rsidR="002D16F4">
        <w:t xml:space="preserve">for the joint </w:t>
      </w:r>
      <w:r w:rsidRPr="00AB15C5">
        <w:t>HTA CCC and Satellite meeting</w:t>
      </w:r>
    </w:p>
    <w:p w14:paraId="435E662A" w14:textId="77777777" w:rsidR="001425A4" w:rsidRDefault="001425A4" w:rsidP="001425A4">
      <w:r>
        <w:t xml:space="preserve">The Chair, Jo Watson, opened the joint HTA CCC and </w:t>
      </w:r>
      <w:r w:rsidR="00CF71A0">
        <w:t>s</w:t>
      </w:r>
      <w:r>
        <w:t>atellite meeting welcoming all the members.</w:t>
      </w:r>
    </w:p>
    <w:p w14:paraId="17823A25" w14:textId="77777777" w:rsidR="001425A4" w:rsidRDefault="001425A4" w:rsidP="001425A4">
      <w:r>
        <w:t>Sally Wortley, from the CEEU, presented the draft OHTA consultation hub and asked those attending the meeting for feedback regarding the layout and what information should be provided on the initial pages to help orientate consumer groups to HTA processes. Attendees indicated the importance of lay language and suggested that short video presentations would be helpful o</w:t>
      </w:r>
      <w:r w:rsidR="0067409E">
        <w:t>n</w:t>
      </w:r>
      <w:r>
        <w:t xml:space="preserve"> how to use the hub and about HTA processes.</w:t>
      </w:r>
    </w:p>
    <w:p w14:paraId="79FD4B98" w14:textId="77777777" w:rsidR="001425A4" w:rsidRDefault="001425A4" w:rsidP="001425A4">
      <w:r>
        <w:t xml:space="preserve">The Chair welcomed Professor Howard who gave an overview of her role as Chair of the PBAC ESC. Professor Howard’s invitation to speak at the HTA CCC is part of the mentoring project which aims to connect consumer members with other members of HTA committees. During the open discussion attendees asked about economic approaches to capturing values and preferences, how patient outcomes measures could be used in </w:t>
      </w:r>
      <w:r w:rsidR="00F8288D">
        <w:t>HTA</w:t>
      </w:r>
      <w:r w:rsidR="0067409E">
        <w:t>,</w:t>
      </w:r>
      <w:r>
        <w:t xml:space="preserve"> as well the need to influence further 'downstream' at the research stage.</w:t>
      </w:r>
    </w:p>
    <w:p w14:paraId="054A023B" w14:textId="77777777" w:rsidR="001425A4" w:rsidRDefault="001425A4" w:rsidP="001425A4">
      <w:r>
        <w:t xml:space="preserve">Janelle Bowden, from the CEEU led a discussion about the upcoming consumer symposium including suggestions of topics and content. Attendees noted the following topics of interest: clinical registries, the Medical Benefits Schedule Review and gene therapy/genomic technologies. Attendees also noted that a session introducing HTA was needed and this would be best placed as a resource that participants could access prior to the symposium. Further it should be short and engaging rather than trying to introduce too many technical terms. </w:t>
      </w:r>
    </w:p>
    <w:p w14:paraId="0344363A" w14:textId="77777777" w:rsidR="001425A4" w:rsidRDefault="001425A4" w:rsidP="001425A4">
      <w:r>
        <w:t xml:space="preserve">There was general agreement that a broad range of individual consumer and consumer organisations should be invited including those not traditionally involved in HTA discussions. The </w:t>
      </w:r>
      <w:r w:rsidR="0067409E">
        <w:t>following</w:t>
      </w:r>
      <w:r>
        <w:t xml:space="preserve"> HTA CCC meeting </w:t>
      </w:r>
      <w:r w:rsidR="0067409E">
        <w:t>wa</w:t>
      </w:r>
      <w:r>
        <w:t>s scheduled for 17 September 2021</w:t>
      </w:r>
      <w:r w:rsidR="0067409E">
        <w:t>, with a focus on</w:t>
      </w:r>
      <w:r>
        <w:t xml:space="preserve"> provid</w:t>
      </w:r>
      <w:r w:rsidR="0067409E">
        <w:t>ing</w:t>
      </w:r>
      <w:r>
        <w:t xml:space="preserve"> HTA CCC members with an update of activities before the HTA Consumer Symposium on 23 September 2021.</w:t>
      </w:r>
    </w:p>
    <w:p w14:paraId="6AE109A9" w14:textId="77777777" w:rsidR="0098122D" w:rsidRPr="0098122D" w:rsidRDefault="0098122D" w:rsidP="001425A4"/>
    <w:sectPr w:rsidR="0098122D" w:rsidRPr="0098122D" w:rsidSect="009724AB">
      <w:footerReference w:type="default" r:id="rId11"/>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D797C" w14:textId="77777777" w:rsidR="00DA4251" w:rsidRDefault="00DA4251" w:rsidP="006B56BB">
      <w:r>
        <w:separator/>
      </w:r>
    </w:p>
    <w:p w14:paraId="191A35F5" w14:textId="77777777" w:rsidR="00DA4251" w:rsidRDefault="00DA4251"/>
  </w:endnote>
  <w:endnote w:type="continuationSeparator" w:id="0">
    <w:p w14:paraId="6E0D0220" w14:textId="77777777" w:rsidR="00DA4251" w:rsidRDefault="00DA4251" w:rsidP="006B56BB">
      <w:r>
        <w:continuationSeparator/>
      </w:r>
    </w:p>
    <w:p w14:paraId="04177ABE" w14:textId="77777777" w:rsidR="00DA4251" w:rsidRDefault="00DA4251"/>
  </w:endnote>
  <w:endnote w:type="continuationNotice" w:id="1">
    <w:p w14:paraId="2693CC62" w14:textId="77777777" w:rsidR="00DA4251" w:rsidRDefault="00DA4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0AA5F" w14:textId="77777777" w:rsidR="00AB15C5" w:rsidRPr="0068134A" w:rsidRDefault="00AB15C5" w:rsidP="0068134A">
    <w:pPr>
      <w:pStyle w:val="Footer"/>
      <w:tabs>
        <w:tab w:val="clear" w:pos="4513"/>
      </w:tabs>
    </w:pPr>
    <w:r>
      <w:t xml:space="preserve">Department of Health – </w:t>
    </w:r>
    <w:r w:rsidRPr="0068134A">
      <w:t>Short-term home support for older Australians on leave from residential aged care</w:t>
    </w:r>
    <w:sdt>
      <w:sdtPr>
        <w:id w:val="-1188745167"/>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FA199" w14:textId="77777777" w:rsidR="00AB15C5" w:rsidRPr="00DE3355" w:rsidRDefault="00AB15C5" w:rsidP="00AC24B7">
    <w:pPr>
      <w:pStyle w:val="Footer"/>
      <w:tabs>
        <w:tab w:val="clear" w:pos="4513"/>
      </w:tabs>
    </w:pPr>
    <w:r>
      <w:t>HTA CCC – Communique – 14 July 2021</w:t>
    </w:r>
    <w:sdt>
      <w:sdtPr>
        <w:id w:val="7245770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F31572">
          <w:rPr>
            <w:noProof/>
          </w:rPr>
          <w:t>1</w:t>
        </w:r>
        <w:r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DC25B" w14:textId="77777777" w:rsidR="00440411" w:rsidRPr="0068134A" w:rsidRDefault="003E367F" w:rsidP="0068134A">
    <w:pPr>
      <w:pStyle w:val="Footer"/>
      <w:tabs>
        <w:tab w:val="clear" w:pos="4513"/>
      </w:tabs>
    </w:pPr>
    <w:r>
      <w:t xml:space="preserve">HTA CCC – Communique – 14 July 2021                                                                                              </w:t>
    </w:r>
    <w:r w:rsidR="00440411" w:rsidRPr="003D033A">
      <w:fldChar w:fldCharType="begin"/>
    </w:r>
    <w:r w:rsidR="00440411" w:rsidRPr="003D033A">
      <w:instrText xml:space="preserve"> PAGE   \* MERGEFORMAT </w:instrText>
    </w:r>
    <w:r w:rsidR="00440411" w:rsidRPr="003D033A">
      <w:fldChar w:fldCharType="separate"/>
    </w:r>
    <w:r w:rsidR="008D1D67">
      <w:rPr>
        <w:noProof/>
      </w:rPr>
      <w:t>2</w:t>
    </w:r>
    <w:r w:rsidR="00440411"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C9A3F" w14:textId="77777777" w:rsidR="00DA4251" w:rsidRDefault="00DA4251" w:rsidP="006B56BB">
      <w:r>
        <w:separator/>
      </w:r>
    </w:p>
    <w:p w14:paraId="6DF64B69" w14:textId="77777777" w:rsidR="00DA4251" w:rsidRDefault="00DA4251"/>
  </w:footnote>
  <w:footnote w:type="continuationSeparator" w:id="0">
    <w:p w14:paraId="55AE9FA2" w14:textId="77777777" w:rsidR="00DA4251" w:rsidRDefault="00DA4251" w:rsidP="006B56BB">
      <w:r>
        <w:continuationSeparator/>
      </w:r>
    </w:p>
    <w:p w14:paraId="272EE2B8" w14:textId="77777777" w:rsidR="00DA4251" w:rsidRDefault="00DA4251"/>
  </w:footnote>
  <w:footnote w:type="continuationNotice" w:id="1">
    <w:p w14:paraId="743A9F44" w14:textId="77777777" w:rsidR="00DA4251" w:rsidRDefault="00DA42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685FF" w14:textId="77777777" w:rsidR="00AB15C5" w:rsidRDefault="00AB15C5">
    <w:pPr>
      <w:pStyle w:val="Header"/>
    </w:pPr>
    <w:r>
      <w:rPr>
        <w:noProof/>
        <w:lang w:val="en-US"/>
      </w:rPr>
      <w:drawing>
        <wp:inline distT="0" distB="0" distL="0" distR="0" wp14:anchorId="1563207F" wp14:editId="16E26EB9">
          <wp:extent cx="5765470" cy="958215"/>
          <wp:effectExtent l="0" t="0" r="6985" b="0"/>
          <wp:docPr id="2" name="Picture 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r="1581"/>
                  <a:stretch/>
                </pic:blipFill>
                <pic:spPr bwMode="auto">
                  <a:xfrm>
                    <a:off x="0" y="0"/>
                    <a:ext cx="5772805" cy="95943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3"/>
  </w:num>
  <w:num w:numId="3">
    <w:abstractNumId w:val="30"/>
  </w:num>
  <w:num w:numId="4">
    <w:abstractNumId w:val="8"/>
  </w:num>
  <w:num w:numId="5">
    <w:abstractNumId w:val="8"/>
    <w:lvlOverride w:ilvl="0">
      <w:startOverride w:val="1"/>
    </w:lvlOverride>
  </w:num>
  <w:num w:numId="6">
    <w:abstractNumId w:val="11"/>
  </w:num>
  <w:num w:numId="7">
    <w:abstractNumId w:val="20"/>
  </w:num>
  <w:num w:numId="8">
    <w:abstractNumId w:val="2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2"/>
  </w:num>
  <w:num w:numId="17">
    <w:abstractNumId w:val="13"/>
  </w:num>
  <w:num w:numId="18">
    <w:abstractNumId w:val="14"/>
  </w:num>
  <w:num w:numId="19">
    <w:abstractNumId w:val="16"/>
  </w:num>
  <w:num w:numId="20">
    <w:abstractNumId w:val="17"/>
  </w:num>
  <w:num w:numId="21">
    <w:abstractNumId w:val="31"/>
  </w:num>
  <w:num w:numId="22">
    <w:abstractNumId w:val="10"/>
  </w:num>
  <w:num w:numId="23">
    <w:abstractNumId w:val="13"/>
  </w:num>
  <w:num w:numId="24">
    <w:abstractNumId w:val="16"/>
  </w:num>
  <w:num w:numId="25">
    <w:abstractNumId w:val="30"/>
  </w:num>
  <w:num w:numId="26">
    <w:abstractNumId w:val="8"/>
  </w:num>
  <w:num w:numId="27">
    <w:abstractNumId w:val="18"/>
  </w:num>
  <w:num w:numId="28">
    <w:abstractNumId w:val="27"/>
  </w:num>
  <w:num w:numId="29">
    <w:abstractNumId w:val="21"/>
  </w:num>
  <w:num w:numId="30">
    <w:abstractNumId w:val="22"/>
  </w:num>
  <w:num w:numId="31">
    <w:abstractNumId w:val="12"/>
  </w:num>
  <w:num w:numId="32">
    <w:abstractNumId w:val="9"/>
  </w:num>
  <w:num w:numId="33">
    <w:abstractNumId w:val="15"/>
  </w:num>
  <w:num w:numId="34">
    <w:abstractNumId w:val="19"/>
  </w:num>
  <w:num w:numId="35">
    <w:abstractNumId w:val="28"/>
  </w:num>
  <w:num w:numId="36">
    <w:abstractNumId w:val="25"/>
  </w:num>
  <w:num w:numId="37">
    <w:abstractNumId w:val="2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3E"/>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48AB"/>
    <w:rsid w:val="00067456"/>
    <w:rsid w:val="00071506"/>
    <w:rsid w:val="0007154F"/>
    <w:rsid w:val="00081AB1"/>
    <w:rsid w:val="00090316"/>
    <w:rsid w:val="00093981"/>
    <w:rsid w:val="000A5882"/>
    <w:rsid w:val="000B067A"/>
    <w:rsid w:val="000B1540"/>
    <w:rsid w:val="000B1E53"/>
    <w:rsid w:val="000B33FD"/>
    <w:rsid w:val="000B4ABA"/>
    <w:rsid w:val="000C243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25A4"/>
    <w:rsid w:val="00143D95"/>
    <w:rsid w:val="00144908"/>
    <w:rsid w:val="001571C7"/>
    <w:rsid w:val="00161094"/>
    <w:rsid w:val="00162D8C"/>
    <w:rsid w:val="0017665C"/>
    <w:rsid w:val="00177AD2"/>
    <w:rsid w:val="001815A8"/>
    <w:rsid w:val="001840FA"/>
    <w:rsid w:val="00190079"/>
    <w:rsid w:val="0019622E"/>
    <w:rsid w:val="001966A7"/>
    <w:rsid w:val="001A4627"/>
    <w:rsid w:val="001A4979"/>
    <w:rsid w:val="001A5442"/>
    <w:rsid w:val="001B15D3"/>
    <w:rsid w:val="001B3443"/>
    <w:rsid w:val="001C0326"/>
    <w:rsid w:val="001C192F"/>
    <w:rsid w:val="001C3C42"/>
    <w:rsid w:val="001C4FAF"/>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182"/>
    <w:rsid w:val="002803AD"/>
    <w:rsid w:val="00282052"/>
    <w:rsid w:val="0028519E"/>
    <w:rsid w:val="002856A5"/>
    <w:rsid w:val="002872ED"/>
    <w:rsid w:val="002905C2"/>
    <w:rsid w:val="00295AF2"/>
    <w:rsid w:val="00295C91"/>
    <w:rsid w:val="00297151"/>
    <w:rsid w:val="002B20E6"/>
    <w:rsid w:val="002B42A3"/>
    <w:rsid w:val="002C0CDD"/>
    <w:rsid w:val="002C38C4"/>
    <w:rsid w:val="002D16F4"/>
    <w:rsid w:val="002E1A1D"/>
    <w:rsid w:val="002E4081"/>
    <w:rsid w:val="002E5B78"/>
    <w:rsid w:val="002F3AE3"/>
    <w:rsid w:val="0030464B"/>
    <w:rsid w:val="00305D17"/>
    <w:rsid w:val="0030786C"/>
    <w:rsid w:val="003233DE"/>
    <w:rsid w:val="0032466B"/>
    <w:rsid w:val="0032580C"/>
    <w:rsid w:val="00331BD0"/>
    <w:rsid w:val="003330EB"/>
    <w:rsid w:val="003415FD"/>
    <w:rsid w:val="003429F0"/>
    <w:rsid w:val="00345A82"/>
    <w:rsid w:val="0035097A"/>
    <w:rsid w:val="00350981"/>
    <w:rsid w:val="003540A4"/>
    <w:rsid w:val="00357BCC"/>
    <w:rsid w:val="00360E4E"/>
    <w:rsid w:val="00370AAA"/>
    <w:rsid w:val="00373CEA"/>
    <w:rsid w:val="00375F77"/>
    <w:rsid w:val="003765C1"/>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29A5"/>
    <w:rsid w:val="003E367F"/>
    <w:rsid w:val="003E5265"/>
    <w:rsid w:val="003F0955"/>
    <w:rsid w:val="003F5F4D"/>
    <w:rsid w:val="003F646F"/>
    <w:rsid w:val="00400F00"/>
    <w:rsid w:val="00404F8B"/>
    <w:rsid w:val="00405256"/>
    <w:rsid w:val="00410031"/>
    <w:rsid w:val="00415C81"/>
    <w:rsid w:val="00432378"/>
    <w:rsid w:val="00440411"/>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A85"/>
    <w:rsid w:val="004C6BCF"/>
    <w:rsid w:val="004D58BF"/>
    <w:rsid w:val="004E4335"/>
    <w:rsid w:val="004E621B"/>
    <w:rsid w:val="004F13EE"/>
    <w:rsid w:val="004F2022"/>
    <w:rsid w:val="004F7C05"/>
    <w:rsid w:val="00501C94"/>
    <w:rsid w:val="00506432"/>
    <w:rsid w:val="0052051D"/>
    <w:rsid w:val="00545EE6"/>
    <w:rsid w:val="0054768D"/>
    <w:rsid w:val="005550E7"/>
    <w:rsid w:val="005564FB"/>
    <w:rsid w:val="005572C7"/>
    <w:rsid w:val="005622C2"/>
    <w:rsid w:val="005650ED"/>
    <w:rsid w:val="005722A7"/>
    <w:rsid w:val="00575754"/>
    <w:rsid w:val="00576A2A"/>
    <w:rsid w:val="00581FBA"/>
    <w:rsid w:val="00591E20"/>
    <w:rsid w:val="00595408"/>
    <w:rsid w:val="00595E84"/>
    <w:rsid w:val="005A0C59"/>
    <w:rsid w:val="005A48EB"/>
    <w:rsid w:val="005A6CFB"/>
    <w:rsid w:val="005B327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409E"/>
    <w:rsid w:val="0067697A"/>
    <w:rsid w:val="0068134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0E51"/>
    <w:rsid w:val="007334F8"/>
    <w:rsid w:val="007339CD"/>
    <w:rsid w:val="007359D8"/>
    <w:rsid w:val="007362D4"/>
    <w:rsid w:val="007375FA"/>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1D67"/>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784"/>
    <w:rsid w:val="009344DE"/>
    <w:rsid w:val="00945E7F"/>
    <w:rsid w:val="00955321"/>
    <w:rsid w:val="009557C1"/>
    <w:rsid w:val="00960D6E"/>
    <w:rsid w:val="009724AB"/>
    <w:rsid w:val="00974B59"/>
    <w:rsid w:val="0097681D"/>
    <w:rsid w:val="0098122D"/>
    <w:rsid w:val="0098340B"/>
    <w:rsid w:val="00986830"/>
    <w:rsid w:val="00991F3E"/>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0D71"/>
    <w:rsid w:val="00A72454"/>
    <w:rsid w:val="00A77696"/>
    <w:rsid w:val="00A80557"/>
    <w:rsid w:val="00A81D33"/>
    <w:rsid w:val="00A8341C"/>
    <w:rsid w:val="00A930AE"/>
    <w:rsid w:val="00A931B4"/>
    <w:rsid w:val="00A959DE"/>
    <w:rsid w:val="00AA1A95"/>
    <w:rsid w:val="00AA260F"/>
    <w:rsid w:val="00AB15C5"/>
    <w:rsid w:val="00AB1EE7"/>
    <w:rsid w:val="00AB4B37"/>
    <w:rsid w:val="00AB5762"/>
    <w:rsid w:val="00AC24B7"/>
    <w:rsid w:val="00AC2679"/>
    <w:rsid w:val="00AC4BE4"/>
    <w:rsid w:val="00AC7C86"/>
    <w:rsid w:val="00AD05E6"/>
    <w:rsid w:val="00AD0D3F"/>
    <w:rsid w:val="00AE1D7D"/>
    <w:rsid w:val="00AE2A8B"/>
    <w:rsid w:val="00AE3F64"/>
    <w:rsid w:val="00AE704C"/>
    <w:rsid w:val="00AF7386"/>
    <w:rsid w:val="00AF7934"/>
    <w:rsid w:val="00B00B81"/>
    <w:rsid w:val="00B04580"/>
    <w:rsid w:val="00B04B09"/>
    <w:rsid w:val="00B16A51"/>
    <w:rsid w:val="00B27CAD"/>
    <w:rsid w:val="00B32222"/>
    <w:rsid w:val="00B3618D"/>
    <w:rsid w:val="00B36233"/>
    <w:rsid w:val="00B42851"/>
    <w:rsid w:val="00B42DB0"/>
    <w:rsid w:val="00B45AC7"/>
    <w:rsid w:val="00B5372F"/>
    <w:rsid w:val="00B54577"/>
    <w:rsid w:val="00B61129"/>
    <w:rsid w:val="00B67E7F"/>
    <w:rsid w:val="00B839B2"/>
    <w:rsid w:val="00B94252"/>
    <w:rsid w:val="00B9715A"/>
    <w:rsid w:val="00BA14BE"/>
    <w:rsid w:val="00BA2732"/>
    <w:rsid w:val="00BA293D"/>
    <w:rsid w:val="00BA4216"/>
    <w:rsid w:val="00BA49BC"/>
    <w:rsid w:val="00BA56B7"/>
    <w:rsid w:val="00BA6161"/>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009B"/>
    <w:rsid w:val="00C4631F"/>
    <w:rsid w:val="00C47CDE"/>
    <w:rsid w:val="00C50E16"/>
    <w:rsid w:val="00C55258"/>
    <w:rsid w:val="00C74F9E"/>
    <w:rsid w:val="00C82EEB"/>
    <w:rsid w:val="00C971DC"/>
    <w:rsid w:val="00C973D2"/>
    <w:rsid w:val="00CA16B7"/>
    <w:rsid w:val="00CA556A"/>
    <w:rsid w:val="00CA62AE"/>
    <w:rsid w:val="00CB5B1A"/>
    <w:rsid w:val="00CC220B"/>
    <w:rsid w:val="00CC5C43"/>
    <w:rsid w:val="00CD02AE"/>
    <w:rsid w:val="00CD2A4F"/>
    <w:rsid w:val="00CE03CA"/>
    <w:rsid w:val="00CE22F1"/>
    <w:rsid w:val="00CE50F2"/>
    <w:rsid w:val="00CE6502"/>
    <w:rsid w:val="00CF2331"/>
    <w:rsid w:val="00CF71A0"/>
    <w:rsid w:val="00CF7D3C"/>
    <w:rsid w:val="00D01F09"/>
    <w:rsid w:val="00D147EB"/>
    <w:rsid w:val="00D34667"/>
    <w:rsid w:val="00D401E1"/>
    <w:rsid w:val="00D408B4"/>
    <w:rsid w:val="00D524C8"/>
    <w:rsid w:val="00D70E24"/>
    <w:rsid w:val="00D72B61"/>
    <w:rsid w:val="00DA3D1D"/>
    <w:rsid w:val="00DA4251"/>
    <w:rsid w:val="00DB3E7A"/>
    <w:rsid w:val="00DB6286"/>
    <w:rsid w:val="00DB645F"/>
    <w:rsid w:val="00DB76E9"/>
    <w:rsid w:val="00DC0A67"/>
    <w:rsid w:val="00DC1D5E"/>
    <w:rsid w:val="00DC5220"/>
    <w:rsid w:val="00DD2061"/>
    <w:rsid w:val="00DD7DAB"/>
    <w:rsid w:val="00DE3355"/>
    <w:rsid w:val="00DE40CE"/>
    <w:rsid w:val="00DE6AD6"/>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3BFF"/>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24E1"/>
    <w:rsid w:val="00F06C10"/>
    <w:rsid w:val="00F1096F"/>
    <w:rsid w:val="00F12589"/>
    <w:rsid w:val="00F12595"/>
    <w:rsid w:val="00F134D9"/>
    <w:rsid w:val="00F1403D"/>
    <w:rsid w:val="00F1463F"/>
    <w:rsid w:val="00F21302"/>
    <w:rsid w:val="00F24CF6"/>
    <w:rsid w:val="00F31572"/>
    <w:rsid w:val="00F321DE"/>
    <w:rsid w:val="00F33777"/>
    <w:rsid w:val="00F40648"/>
    <w:rsid w:val="00F47DA2"/>
    <w:rsid w:val="00F519FC"/>
    <w:rsid w:val="00F6239D"/>
    <w:rsid w:val="00F715D2"/>
    <w:rsid w:val="00F7274F"/>
    <w:rsid w:val="00F74E84"/>
    <w:rsid w:val="00F76FA8"/>
    <w:rsid w:val="00F8288D"/>
    <w:rsid w:val="00F93F08"/>
    <w:rsid w:val="00F94CED"/>
    <w:rsid w:val="00FA02BB"/>
    <w:rsid w:val="00FA2CEE"/>
    <w:rsid w:val="00FA318C"/>
    <w:rsid w:val="00FB6F92"/>
    <w:rsid w:val="00FB7859"/>
    <w:rsid w:val="00FC026E"/>
    <w:rsid w:val="00FC5124"/>
    <w:rsid w:val="00FD4731"/>
    <w:rsid w:val="00FD6768"/>
    <w:rsid w:val="00FD6FC2"/>
    <w:rsid w:val="00FF0AB0"/>
    <w:rsid w:val="00FF28AC"/>
    <w:rsid w:val="00FF5B83"/>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E77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B15C5"/>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styleId="Revision">
    <w:name w:val="Revision"/>
    <w:hidden/>
    <w:uiPriority w:val="99"/>
    <w:semiHidden/>
    <w:rsid w:val="00CF71A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00C08-E8FC-4EE1-B15D-E1A80C91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3788</Characters>
  <Application>Microsoft Office Word</Application>
  <DocSecurity>0</DocSecurity>
  <Lines>66</Lines>
  <Paragraphs>24</Paragraphs>
  <ScaleCrop>false</ScaleCrop>
  <HeadingPairs>
    <vt:vector size="2" baseType="variant">
      <vt:variant>
        <vt:lpstr>Title</vt:lpstr>
      </vt:variant>
      <vt:variant>
        <vt:i4>1</vt:i4>
      </vt:variant>
    </vt:vector>
  </HeadingPairs>
  <TitlesOfParts>
    <vt:vector size="1" baseType="lpstr">
      <vt:lpstr>HTA CCC Communique – 14 July 2021</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July 2021 communique – Health Technology Assessment Consumer Consultative Committee</dc:title>
  <dc:subject/>
  <dc:creator/>
  <cp:keywords/>
  <dc:description/>
  <cp:lastModifiedBy/>
  <cp:revision>1</cp:revision>
  <dcterms:created xsi:type="dcterms:W3CDTF">2022-03-02T22:02:00Z</dcterms:created>
  <dcterms:modified xsi:type="dcterms:W3CDTF">2022-03-02T22:06:00Z</dcterms:modified>
</cp:coreProperties>
</file>