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D6373" w14:textId="01CD6735" w:rsidR="009713F2" w:rsidRPr="000D3D52" w:rsidRDefault="423116F1" w:rsidP="4789B095">
      <w:pPr>
        <w:pStyle w:val="Title"/>
        <w:spacing w:before="240"/>
        <w:ind w:left="90" w:right="-450"/>
        <w:rPr>
          <w:sz w:val="44"/>
          <w:szCs w:val="44"/>
        </w:rPr>
        <w:sectPr w:rsidR="009713F2" w:rsidRPr="000D3D52" w:rsidSect="009F6E07">
          <w:headerReference w:type="default" r:id="rId11"/>
          <w:footerReference w:type="default" r:id="rId12"/>
          <w:headerReference w:type="first" r:id="rId13"/>
          <w:footerReference w:type="first" r:id="rId14"/>
          <w:pgSz w:w="11906" w:h="16838"/>
          <w:pgMar w:top="1276" w:right="566" w:bottom="1418" w:left="630" w:header="794" w:footer="680" w:gutter="0"/>
          <w:cols w:space="708"/>
          <w:titlePg/>
          <w:docGrid w:linePitch="360"/>
        </w:sectPr>
      </w:pPr>
      <w:r w:rsidRPr="4789B095">
        <w:rPr>
          <w:sz w:val="44"/>
          <w:szCs w:val="44"/>
        </w:rPr>
        <w:t>Health support for aged care in flood</w:t>
      </w:r>
      <w:r w:rsidR="05973B5D" w:rsidRPr="4789B095">
        <w:rPr>
          <w:sz w:val="44"/>
          <w:szCs w:val="44"/>
        </w:rPr>
        <w:t>-</w:t>
      </w:r>
      <w:r w:rsidRPr="4789B095">
        <w:rPr>
          <w:sz w:val="44"/>
          <w:szCs w:val="44"/>
        </w:rPr>
        <w:t>affected regions</w:t>
      </w:r>
    </w:p>
    <w:p w14:paraId="2B511022" w14:textId="1E35C377" w:rsidR="4789B095" w:rsidRDefault="4789B095" w:rsidP="4789B095">
      <w:pPr>
        <w:rPr>
          <w:rFonts w:eastAsia="Arial" w:cs="Arial"/>
          <w:color w:val="000000" w:themeColor="text1"/>
        </w:rPr>
      </w:pPr>
      <w:r w:rsidRPr="4789B095">
        <w:rPr>
          <w:rFonts w:eastAsia="Arial" w:cs="Arial"/>
          <w:color w:val="000000" w:themeColor="text1"/>
        </w:rPr>
        <w:t>The Australian Government has a range of supports to help Australians that are being impacted by flooding across the east coast of Australia, including additional support to Residential Aged Care Facilities (RACFs) and Home and Community Aged Care providers in these regions. This factsheet outlines these supports.</w:t>
      </w:r>
    </w:p>
    <w:p w14:paraId="327979A6" w14:textId="54AD229A" w:rsidR="0017107F" w:rsidRPr="00F1611B" w:rsidRDefault="0017107F" w:rsidP="0017107F">
      <w:pPr>
        <w:pStyle w:val="Boxtype"/>
        <w:ind w:left="0"/>
      </w:pPr>
      <w:r w:rsidRPr="00F1611B">
        <w:rPr>
          <w:b/>
          <w:sz w:val="28"/>
        </w:rPr>
        <w:t>Emergency Contacts</w:t>
      </w:r>
      <w:r w:rsidRPr="0017107F">
        <w:t xml:space="preserve"> </w:t>
      </w:r>
      <w:r w:rsidRPr="0017107F">
        <w:t>–</w:t>
      </w:r>
      <w:r w:rsidRPr="00F1611B">
        <w:t xml:space="preserve"> How </w:t>
      </w:r>
      <w:r w:rsidRPr="0017107F">
        <w:t>should</w:t>
      </w:r>
      <w:r w:rsidRPr="00F1611B">
        <w:t xml:space="preserve"> people seek assistance?</w:t>
      </w:r>
    </w:p>
    <w:p w14:paraId="45EE0706" w14:textId="77777777" w:rsidR="0017107F" w:rsidRDefault="0017107F" w:rsidP="00844A3F">
      <w:pPr>
        <w:pStyle w:val="Boxtype"/>
        <w:numPr>
          <w:ilvl w:val="0"/>
          <w:numId w:val="17"/>
        </w:numPr>
        <w:tabs>
          <w:tab w:val="left" w:pos="426"/>
        </w:tabs>
        <w:ind w:left="0" w:firstLine="0"/>
      </w:pPr>
      <w:r w:rsidRPr="4789B095">
        <w:rPr>
          <w:b/>
          <w:bCs/>
        </w:rPr>
        <w:t>In an emergency or life threatening situation</w:t>
      </w:r>
      <w:r>
        <w:t>, call Triple Zero (000)</w:t>
      </w:r>
    </w:p>
    <w:p w14:paraId="2F760A8A" w14:textId="77777777" w:rsidR="00F64974" w:rsidRDefault="0017107F" w:rsidP="0017107F">
      <w:pPr>
        <w:pStyle w:val="Boxtype"/>
        <w:numPr>
          <w:ilvl w:val="0"/>
          <w:numId w:val="17"/>
        </w:numPr>
        <w:tabs>
          <w:tab w:val="left" w:pos="426"/>
        </w:tabs>
        <w:ind w:left="0" w:firstLine="0"/>
      </w:pPr>
      <w:r w:rsidRPr="0017107F">
        <w:rPr>
          <w:b/>
          <w:bCs/>
        </w:rPr>
        <w:t>In Queensland</w:t>
      </w:r>
      <w:r>
        <w:t xml:space="preserve"> (QLD), for non-life threatening flood and storm emergency assistance contact the </w:t>
      </w:r>
      <w:r w:rsidRPr="0017107F">
        <w:rPr>
          <w:b/>
          <w:bCs/>
        </w:rPr>
        <w:t>Queensland Fire and Emergency Services</w:t>
      </w:r>
      <w:r>
        <w:t xml:space="preserve"> </w:t>
      </w:r>
      <w:hyperlink r:id="rId15">
        <w:r w:rsidRPr="4789B095">
          <w:rPr>
            <w:rStyle w:val="Hyperlink"/>
          </w:rPr>
          <w:t>https://www.qfes.qld.gov.au/</w:t>
        </w:r>
      </w:hyperlink>
      <w:r>
        <w:t xml:space="preserve"> or </w:t>
      </w:r>
      <w:r w:rsidRPr="0017107F">
        <w:rPr>
          <w:b/>
          <w:bCs/>
        </w:rPr>
        <w:t>call 13 74 68.</w:t>
      </w:r>
      <w:r>
        <w:t xml:space="preserve"> </w:t>
      </w:r>
    </w:p>
    <w:p w14:paraId="0F9875BD" w14:textId="1BF56024" w:rsidR="0017107F" w:rsidRPr="00F64974" w:rsidRDefault="0017107F" w:rsidP="0017107F">
      <w:pPr>
        <w:pStyle w:val="Boxtype"/>
        <w:numPr>
          <w:ilvl w:val="0"/>
          <w:numId w:val="17"/>
        </w:numPr>
        <w:tabs>
          <w:tab w:val="left" w:pos="426"/>
        </w:tabs>
        <w:ind w:left="0" w:firstLine="0"/>
      </w:pPr>
      <w:r w:rsidRPr="00F64974">
        <w:rPr>
          <w:b/>
          <w:bCs/>
        </w:rPr>
        <w:t>In New South Wales</w:t>
      </w:r>
      <w:r>
        <w:t xml:space="preserve"> (NSW), for non-life threatening flood and storm emergency assistance  contact the </w:t>
      </w:r>
      <w:r w:rsidRPr="00F64974">
        <w:rPr>
          <w:b/>
          <w:bCs/>
        </w:rPr>
        <w:t>New South Wales State Emergency Service</w:t>
      </w:r>
      <w:r>
        <w:t xml:space="preserve"> </w:t>
      </w:r>
      <w:hyperlink r:id="rId16">
        <w:r w:rsidRPr="4789B095">
          <w:rPr>
            <w:rStyle w:val="Hyperlink"/>
          </w:rPr>
          <w:t>www.ses.nsw.gov.au</w:t>
        </w:r>
      </w:hyperlink>
      <w:r>
        <w:t xml:space="preserve"> or call </w:t>
      </w:r>
      <w:r w:rsidRPr="00F64974">
        <w:rPr>
          <w:b/>
          <w:bCs/>
        </w:rPr>
        <w:t>132 500</w:t>
      </w:r>
    </w:p>
    <w:p w14:paraId="72089C12" w14:textId="6AD90250" w:rsidR="4789B095" w:rsidRDefault="4789B095" w:rsidP="00E25984">
      <w:pPr>
        <w:pStyle w:val="Heading1"/>
      </w:pPr>
      <w:r w:rsidRPr="4789B095">
        <w:t xml:space="preserve">Providers </w:t>
      </w:r>
      <w:r w:rsidRPr="00E25984">
        <w:t>impacted</w:t>
      </w:r>
      <w:r w:rsidRPr="4789B095">
        <w:t xml:space="preserve"> by current flooding events</w:t>
      </w:r>
    </w:p>
    <w:p w14:paraId="5E889462" w14:textId="1DACF6F0" w:rsidR="4789B095" w:rsidRDefault="4789B095" w:rsidP="00E25984">
      <w:pPr>
        <w:pStyle w:val="Heading2"/>
      </w:pPr>
      <w:r w:rsidRPr="4789B095">
        <w:rPr>
          <w:rFonts w:eastAsia="Arial"/>
        </w:rPr>
        <w:t>All aged care providers</w:t>
      </w:r>
    </w:p>
    <w:p w14:paraId="42636BB0" w14:textId="2A98106B" w:rsidR="4789B095" w:rsidRDefault="4789B095" w:rsidP="4789B095">
      <w:pPr>
        <w:rPr>
          <w:rFonts w:eastAsia="Arial" w:cs="Arial"/>
          <w:color w:val="000000" w:themeColor="text1"/>
        </w:rPr>
      </w:pPr>
      <w:r w:rsidRPr="4789B095">
        <w:rPr>
          <w:rFonts w:eastAsia="Arial" w:cs="Arial"/>
          <w:color w:val="000000" w:themeColor="text1"/>
        </w:rPr>
        <w:t>All aged care providers should activate their existing emergency management plans to respond to flood and weather emergencies. This should consider:</w:t>
      </w:r>
    </w:p>
    <w:p w14:paraId="6A719D26" w14:textId="33CB3394" w:rsidR="4789B095" w:rsidRDefault="4789B095" w:rsidP="4789B095">
      <w:pPr>
        <w:pStyle w:val="ListParagraph"/>
        <w:numPr>
          <w:ilvl w:val="0"/>
          <w:numId w:val="8"/>
        </w:numPr>
        <w:rPr>
          <w:rFonts w:eastAsia="Arial" w:cs="Arial"/>
          <w:color w:val="000000" w:themeColor="text1"/>
          <w:szCs w:val="22"/>
        </w:rPr>
      </w:pPr>
      <w:r w:rsidRPr="4789B095">
        <w:rPr>
          <w:rFonts w:eastAsia="Arial" w:cs="Arial"/>
          <w:color w:val="000000" w:themeColor="text1"/>
        </w:rPr>
        <w:t>How safe and quality care of residents will continue to be delivered, and where this will occur, should potential evacuation be required.</w:t>
      </w:r>
    </w:p>
    <w:p w14:paraId="29366789" w14:textId="473865A1" w:rsidR="4789B095" w:rsidRDefault="4789B095" w:rsidP="4789B095">
      <w:pPr>
        <w:pStyle w:val="ListParagraph"/>
        <w:numPr>
          <w:ilvl w:val="0"/>
          <w:numId w:val="8"/>
        </w:numPr>
        <w:rPr>
          <w:color w:val="000000" w:themeColor="text1"/>
          <w:szCs w:val="22"/>
        </w:rPr>
      </w:pPr>
      <w:r w:rsidRPr="4789B095">
        <w:rPr>
          <w:rFonts w:eastAsia="Arial" w:cs="Arial"/>
          <w:color w:val="000000" w:themeColor="text1"/>
        </w:rPr>
        <w:t xml:space="preserve">How you will access additional disaster management supports, as required. </w:t>
      </w:r>
    </w:p>
    <w:p w14:paraId="4DC64AE2" w14:textId="6FDDB947" w:rsidR="4789B095" w:rsidRDefault="4789B095" w:rsidP="4789B095">
      <w:pPr>
        <w:rPr>
          <w:rFonts w:eastAsia="Arial" w:cs="Arial"/>
          <w:color w:val="000000" w:themeColor="text1"/>
        </w:rPr>
      </w:pPr>
      <w:r w:rsidRPr="4789B095">
        <w:rPr>
          <w:rFonts w:eastAsia="Arial" w:cs="Arial"/>
          <w:color w:val="000000" w:themeColor="text1"/>
        </w:rPr>
        <w:t>Providers should remain aware of their surroundings and heed the advice of emergency management authorities as directed – resident and care recipient safety must always be prioritised.</w:t>
      </w:r>
    </w:p>
    <w:p w14:paraId="35A97061" w14:textId="6A93E827" w:rsidR="4789B095" w:rsidRDefault="4789B095" w:rsidP="4789B095">
      <w:pPr>
        <w:rPr>
          <w:rFonts w:eastAsia="Arial" w:cs="Arial"/>
          <w:color w:val="000000" w:themeColor="text1"/>
        </w:rPr>
      </w:pPr>
      <w:r w:rsidRPr="4789B095">
        <w:rPr>
          <w:rFonts w:eastAsia="Arial" w:cs="Arial"/>
          <w:color w:val="000000" w:themeColor="text1"/>
        </w:rPr>
        <w:t xml:space="preserve">Providers are required to continue to deliver appropriate care in accordance with their emergency risk management plan and their relevant aged care program, and provide regular advice to staff, family and care recipients. </w:t>
      </w:r>
    </w:p>
    <w:p w14:paraId="77EF98FF" w14:textId="7C53BF70" w:rsidR="4789B095" w:rsidRDefault="4789B095" w:rsidP="4789B095">
      <w:pPr>
        <w:rPr>
          <w:rFonts w:eastAsia="Arial" w:cs="Arial"/>
          <w:color w:val="000000" w:themeColor="text1"/>
        </w:rPr>
      </w:pPr>
      <w:r w:rsidRPr="4789B095">
        <w:rPr>
          <w:rFonts w:eastAsia="Arial" w:cs="Arial"/>
          <w:color w:val="000000" w:themeColor="text1"/>
        </w:rPr>
        <w:t>Providers should also consider mechanisms for providing ongoing access to primary care (for example utilising telehealth arrangements where possible) and medical supplies, including pharmacy and prescription medicines through existing or alternate supply chains.</w:t>
      </w:r>
    </w:p>
    <w:p w14:paraId="7DA09D88" w14:textId="4F293527" w:rsidR="4789B095" w:rsidRDefault="4789B095" w:rsidP="4789B095">
      <w:pPr>
        <w:rPr>
          <w:rFonts w:eastAsia="Arial" w:cs="Arial"/>
          <w:color w:val="000000" w:themeColor="text1"/>
        </w:rPr>
      </w:pPr>
      <w:r w:rsidRPr="4789B095">
        <w:rPr>
          <w:rFonts w:eastAsia="Arial" w:cs="Arial"/>
          <w:color w:val="000000" w:themeColor="text1"/>
        </w:rPr>
        <w:t>More information on emergency planning and response for RACFs and in-home and community aged care providers is provided further below.</w:t>
      </w:r>
    </w:p>
    <w:p w14:paraId="54812D46" w14:textId="13BA4D2C" w:rsidR="4789B095" w:rsidRDefault="4789B095" w:rsidP="00E25984">
      <w:pPr>
        <w:pStyle w:val="Heading1"/>
      </w:pPr>
      <w:r w:rsidRPr="4789B095">
        <w:t>Disaster supports for aged care</w:t>
      </w:r>
    </w:p>
    <w:p w14:paraId="18146C9A" w14:textId="65F167C3" w:rsidR="4789B095" w:rsidRDefault="4789B095" w:rsidP="00E25984">
      <w:pPr>
        <w:pStyle w:val="Heading2"/>
      </w:pPr>
      <w:r w:rsidRPr="4789B095">
        <w:rPr>
          <w:rFonts w:eastAsia="Arial"/>
        </w:rPr>
        <w:t>State government support arrangements</w:t>
      </w:r>
    </w:p>
    <w:p w14:paraId="040D3F87" w14:textId="77000F31" w:rsidR="4789B095" w:rsidRDefault="4789B095" w:rsidP="4789B095">
      <w:pPr>
        <w:rPr>
          <w:rFonts w:eastAsia="Arial" w:cs="Arial"/>
          <w:color w:val="000000" w:themeColor="text1"/>
        </w:rPr>
      </w:pPr>
      <w:r w:rsidRPr="4789B095">
        <w:rPr>
          <w:rFonts w:eastAsia="Arial" w:cs="Arial"/>
          <w:color w:val="000000" w:themeColor="text1"/>
        </w:rPr>
        <w:t>A wide range of state-government disaster support arrangements have been activated in response to the current flooding. These provide both immediate logistical and operational based support, as well as assistance to help with the longer-term impacts, such as repairs and recovery.</w:t>
      </w:r>
    </w:p>
    <w:p w14:paraId="38985EFA" w14:textId="6AEB20AB" w:rsidR="4789B095" w:rsidRDefault="4789B095" w:rsidP="4789B095">
      <w:pPr>
        <w:rPr>
          <w:rFonts w:eastAsia="Arial" w:cs="Arial"/>
          <w:color w:val="000000" w:themeColor="text1"/>
        </w:rPr>
      </w:pPr>
      <w:r w:rsidRPr="4789B095">
        <w:rPr>
          <w:rFonts w:eastAsia="Arial" w:cs="Arial"/>
          <w:color w:val="000000" w:themeColor="text1"/>
        </w:rPr>
        <w:lastRenderedPageBreak/>
        <w:t>To make sure that appropriate support is provided as quickly and as possible, all aged care providers must follow existing state and government to request help. These channels are well developed and will guarantee that requests are prioritised as part of whole of government response efforts.</w:t>
      </w:r>
    </w:p>
    <w:p w14:paraId="578AA838" w14:textId="01977618" w:rsidR="4789B095" w:rsidRDefault="4789B095" w:rsidP="4789B095">
      <w:pPr>
        <w:rPr>
          <w:rFonts w:eastAsia="Arial" w:cs="Arial"/>
          <w:color w:val="000000" w:themeColor="text1"/>
        </w:rPr>
      </w:pPr>
      <w:r w:rsidRPr="4789B095">
        <w:rPr>
          <w:rFonts w:eastAsia="Arial" w:cs="Arial"/>
          <w:color w:val="000000" w:themeColor="text1"/>
        </w:rPr>
        <w:t>The Department of Health State Offices will support providers with connections to services, where required, including connecting in directly to state emergency operations centres.</w:t>
      </w:r>
    </w:p>
    <w:p w14:paraId="239D3C25" w14:textId="476A471C" w:rsidR="4789B095" w:rsidRDefault="4789B095" w:rsidP="00E25984">
      <w:pPr>
        <w:pStyle w:val="Heading3"/>
      </w:pPr>
      <w:r w:rsidRPr="4789B095">
        <w:t>In Queensland:</w:t>
      </w:r>
    </w:p>
    <w:p w14:paraId="6633594B" w14:textId="07A9BC6C" w:rsidR="4789B095" w:rsidRDefault="4789B095" w:rsidP="4789B095">
      <w:pPr>
        <w:pStyle w:val="ListParagraph"/>
        <w:numPr>
          <w:ilvl w:val="0"/>
          <w:numId w:val="7"/>
        </w:numPr>
        <w:spacing w:before="80"/>
        <w:rPr>
          <w:rFonts w:eastAsia="Arial" w:cs="Arial"/>
          <w:color w:val="000000" w:themeColor="text1"/>
          <w:szCs w:val="22"/>
        </w:rPr>
      </w:pPr>
      <w:r w:rsidRPr="4789B095">
        <w:rPr>
          <w:rFonts w:eastAsia="Arial" w:cs="Arial"/>
          <w:color w:val="000000" w:themeColor="text1"/>
        </w:rPr>
        <w:t>Enact business continuity and evacuation plans.</w:t>
      </w:r>
    </w:p>
    <w:p w14:paraId="56603661" w14:textId="61BE561F" w:rsidR="4789B095" w:rsidRDefault="4789B095" w:rsidP="4789B095">
      <w:pPr>
        <w:pStyle w:val="ListParagraph"/>
        <w:numPr>
          <w:ilvl w:val="0"/>
          <w:numId w:val="7"/>
        </w:numPr>
        <w:rPr>
          <w:rFonts w:eastAsia="Arial" w:cs="Arial"/>
          <w:color w:val="000000" w:themeColor="text1"/>
          <w:szCs w:val="22"/>
        </w:rPr>
      </w:pPr>
      <w:r w:rsidRPr="4789B095">
        <w:rPr>
          <w:rFonts w:eastAsia="Arial" w:cs="Arial"/>
          <w:color w:val="000000" w:themeColor="text1"/>
        </w:rPr>
        <w:t>Request assistance through the Local Council which will have a Local Disaster Management Plan and will link providers to the Local Disaster Management Group (LDMG) supports.</w:t>
      </w:r>
    </w:p>
    <w:p w14:paraId="7BF13456" w14:textId="0D937253" w:rsidR="4789B095" w:rsidRDefault="4789B095" w:rsidP="4789B095">
      <w:pPr>
        <w:pStyle w:val="ListParagraph"/>
        <w:numPr>
          <w:ilvl w:val="0"/>
          <w:numId w:val="7"/>
        </w:numPr>
        <w:rPr>
          <w:rFonts w:eastAsia="Arial" w:cs="Arial"/>
          <w:color w:val="000000" w:themeColor="text1"/>
          <w:szCs w:val="22"/>
        </w:rPr>
      </w:pPr>
      <w:r w:rsidRPr="4789B095">
        <w:rPr>
          <w:rFonts w:eastAsia="Arial" w:cs="Arial"/>
          <w:color w:val="000000" w:themeColor="text1"/>
        </w:rPr>
        <w:t>Local Councils and LDMGs are best placed to support providers for a range of needs, including food, clean up and evacuation. Local Councils will escalate any issues that require support beyond local assistance.</w:t>
      </w:r>
    </w:p>
    <w:p w14:paraId="1649819C" w14:textId="5D6E899F" w:rsidR="4789B095" w:rsidRDefault="4789B095" w:rsidP="00E25984">
      <w:pPr>
        <w:pStyle w:val="Heading3"/>
      </w:pPr>
      <w:r w:rsidRPr="4789B095">
        <w:t>In New South Wales:</w:t>
      </w:r>
    </w:p>
    <w:p w14:paraId="7C699B4E" w14:textId="0DE576F0" w:rsidR="4789B095" w:rsidRDefault="4789B095" w:rsidP="4789B095">
      <w:pPr>
        <w:pStyle w:val="ListParagraph"/>
        <w:numPr>
          <w:ilvl w:val="0"/>
          <w:numId w:val="6"/>
        </w:numPr>
        <w:rPr>
          <w:rFonts w:eastAsia="Arial" w:cs="Arial"/>
          <w:color w:val="000000" w:themeColor="text1"/>
          <w:szCs w:val="22"/>
        </w:rPr>
      </w:pPr>
      <w:r w:rsidRPr="4789B095">
        <w:rPr>
          <w:rFonts w:eastAsia="Arial" w:cs="Arial"/>
          <w:color w:val="000000" w:themeColor="text1"/>
        </w:rPr>
        <w:t>Activate emergency risk management plans; ensuring decisions are timely and informed and where it may culminate in a partial or complete evacuation of the facility.</w:t>
      </w:r>
    </w:p>
    <w:p w14:paraId="4908EB05" w14:textId="60613C38" w:rsidR="4789B095" w:rsidRDefault="4789B095" w:rsidP="4789B095">
      <w:pPr>
        <w:pStyle w:val="ListParagraph"/>
        <w:numPr>
          <w:ilvl w:val="0"/>
          <w:numId w:val="6"/>
        </w:numPr>
        <w:rPr>
          <w:rFonts w:eastAsia="Arial" w:cs="Arial"/>
          <w:color w:val="000000" w:themeColor="text1"/>
          <w:szCs w:val="22"/>
        </w:rPr>
      </w:pPr>
      <w:r w:rsidRPr="4789B095">
        <w:rPr>
          <w:rFonts w:eastAsia="Arial" w:cs="Arial"/>
          <w:color w:val="000000" w:themeColor="text1"/>
        </w:rPr>
        <w:t xml:space="preserve">Liaise with local emergency services via Triple Zero (000) to determine the seriousness of an emergency and the level of risk posed to the facility and care recipients. </w:t>
      </w:r>
    </w:p>
    <w:p w14:paraId="7B2975D4" w14:textId="12255B90" w:rsidR="4789B095" w:rsidRDefault="4789B095" w:rsidP="4789B095">
      <w:pPr>
        <w:pStyle w:val="ListParagraph"/>
        <w:numPr>
          <w:ilvl w:val="0"/>
          <w:numId w:val="6"/>
        </w:numPr>
        <w:rPr>
          <w:rFonts w:eastAsia="Arial" w:cs="Arial"/>
          <w:color w:val="000000" w:themeColor="text1"/>
          <w:szCs w:val="22"/>
        </w:rPr>
      </w:pPr>
      <w:r w:rsidRPr="4789B095">
        <w:rPr>
          <w:rFonts w:eastAsia="Arial" w:cs="Arial"/>
          <w:color w:val="000000" w:themeColor="text1"/>
        </w:rPr>
        <w:t xml:space="preserve">Confirm that emergency services will link in at the Local Health District level to prioritise and deliver supports. </w:t>
      </w:r>
    </w:p>
    <w:p w14:paraId="6CCA92D1" w14:textId="092593FA" w:rsidR="4789B095" w:rsidRDefault="4789B095" w:rsidP="4789B095">
      <w:pPr>
        <w:pStyle w:val="ListParagraph"/>
        <w:numPr>
          <w:ilvl w:val="0"/>
          <w:numId w:val="6"/>
        </w:numPr>
        <w:rPr>
          <w:rFonts w:eastAsia="Arial" w:cs="Arial"/>
          <w:color w:val="000000" w:themeColor="text1"/>
          <w:szCs w:val="22"/>
        </w:rPr>
      </w:pPr>
      <w:r w:rsidRPr="4789B095">
        <w:rPr>
          <w:rFonts w:eastAsia="Arial" w:cs="Arial"/>
          <w:color w:val="000000" w:themeColor="text1"/>
        </w:rPr>
        <w:t>Continue to deliver appropriate care in accordance with emergency risk management plans and keep staff, family and care recipients well informed.</w:t>
      </w:r>
    </w:p>
    <w:p w14:paraId="1EE35360" w14:textId="382619E6" w:rsidR="4789B095" w:rsidRDefault="4789B095" w:rsidP="00E25984">
      <w:pPr>
        <w:pStyle w:val="Heading1"/>
      </w:pPr>
      <w:r w:rsidRPr="4789B095">
        <w:t>Access to workforce support to assist with floods</w:t>
      </w:r>
    </w:p>
    <w:p w14:paraId="1D1E6C61" w14:textId="67FFECFB" w:rsidR="4789B095" w:rsidRDefault="4789B095" w:rsidP="4789B095">
      <w:pPr>
        <w:rPr>
          <w:rFonts w:eastAsia="Arial" w:cs="Arial"/>
          <w:color w:val="000000" w:themeColor="text1"/>
        </w:rPr>
      </w:pPr>
      <w:r w:rsidRPr="4789B095">
        <w:rPr>
          <w:rFonts w:eastAsia="Arial" w:cs="Arial"/>
          <w:color w:val="000000" w:themeColor="text1"/>
        </w:rPr>
        <w:t xml:space="preserve">All aged care providers should review their workforce management plans so there are options for sourcing surge workforce if you need it: </w:t>
      </w:r>
    </w:p>
    <w:p w14:paraId="5CF46B08" w14:textId="726AA56E" w:rsidR="4789B095" w:rsidRDefault="4789B095" w:rsidP="4789B095">
      <w:pPr>
        <w:pStyle w:val="ListParagraph"/>
        <w:numPr>
          <w:ilvl w:val="0"/>
          <w:numId w:val="5"/>
        </w:numPr>
        <w:rPr>
          <w:rFonts w:eastAsia="Arial" w:cs="Arial"/>
          <w:color w:val="000000" w:themeColor="text1"/>
          <w:szCs w:val="22"/>
        </w:rPr>
      </w:pPr>
      <w:r w:rsidRPr="4789B095">
        <w:rPr>
          <w:rFonts w:eastAsia="Arial" w:cs="Arial"/>
          <w:color w:val="000000" w:themeColor="text1"/>
        </w:rPr>
        <w:t>Plan for staff being unable to attend work due to road closures. Consider other roles for staff unable to attend including providing updates to families</w:t>
      </w:r>
    </w:p>
    <w:p w14:paraId="06DA604E" w14:textId="5F78EA77" w:rsidR="4789B095" w:rsidRDefault="4789B095" w:rsidP="4789B095">
      <w:pPr>
        <w:pStyle w:val="ListParagraph"/>
        <w:numPr>
          <w:ilvl w:val="0"/>
          <w:numId w:val="11"/>
        </w:numPr>
        <w:tabs>
          <w:tab w:val="left" w:pos="0"/>
          <w:tab w:val="left" w:pos="720"/>
        </w:tabs>
        <w:ind w:left="720"/>
        <w:rPr>
          <w:rFonts w:eastAsia="Arial" w:cs="Arial"/>
          <w:color w:val="000000" w:themeColor="text1"/>
          <w:szCs w:val="22"/>
        </w:rPr>
      </w:pPr>
      <w:r w:rsidRPr="4789B095">
        <w:rPr>
          <w:rFonts w:eastAsia="Arial" w:cs="Arial"/>
          <w:color w:val="000000" w:themeColor="text1"/>
        </w:rPr>
        <w:t>Remember you may need to replace all types of staff: personal care workers, and cooking and cleaning staff to administration and management staff</w:t>
      </w:r>
    </w:p>
    <w:p w14:paraId="0D42DDC1" w14:textId="046712AD" w:rsidR="4789B095" w:rsidRDefault="4789B095" w:rsidP="4789B095">
      <w:pPr>
        <w:pStyle w:val="ListParagraph"/>
        <w:numPr>
          <w:ilvl w:val="0"/>
          <w:numId w:val="11"/>
        </w:numPr>
        <w:tabs>
          <w:tab w:val="left" w:pos="0"/>
          <w:tab w:val="left" w:pos="720"/>
        </w:tabs>
        <w:ind w:left="720"/>
        <w:rPr>
          <w:rFonts w:eastAsia="Arial" w:cs="Arial"/>
          <w:color w:val="000000" w:themeColor="text1"/>
          <w:szCs w:val="22"/>
        </w:rPr>
      </w:pPr>
      <w:r w:rsidRPr="4789B095">
        <w:rPr>
          <w:rFonts w:eastAsia="Arial" w:cs="Arial"/>
          <w:color w:val="000000" w:themeColor="text1"/>
        </w:rPr>
        <w:t>Make sure you have a plan on how to orientate surge workforce and who will supervise these staff</w:t>
      </w:r>
    </w:p>
    <w:p w14:paraId="4E18D932" w14:textId="43819D6B" w:rsidR="4789B095" w:rsidRDefault="4789B095" w:rsidP="4789B095">
      <w:pPr>
        <w:pStyle w:val="ListParagraph"/>
        <w:numPr>
          <w:ilvl w:val="0"/>
          <w:numId w:val="5"/>
        </w:numPr>
        <w:rPr>
          <w:rFonts w:eastAsia="Arial" w:cs="Arial"/>
          <w:color w:val="000000" w:themeColor="text1"/>
          <w:szCs w:val="22"/>
        </w:rPr>
      </w:pPr>
      <w:r w:rsidRPr="4789B095">
        <w:rPr>
          <w:rFonts w:eastAsia="Arial" w:cs="Arial"/>
          <w:color w:val="000000" w:themeColor="text1"/>
        </w:rPr>
        <w:t>Think about options for fatigue management including for staff who are trapped due to road closures. If needed, provide facilities for staff to sleep and take breaks.</w:t>
      </w:r>
    </w:p>
    <w:p w14:paraId="52E188D3" w14:textId="1757862B" w:rsidR="4789B095" w:rsidRDefault="4789B095" w:rsidP="00E25984">
      <w:pPr>
        <w:pStyle w:val="Heading1"/>
      </w:pPr>
      <w:r w:rsidRPr="4789B095">
        <w:t>Access to Personal Protective Equipment (PPE) and Rapid Antigen Tests (RATs)</w:t>
      </w:r>
    </w:p>
    <w:p w14:paraId="38AC0BF8" w14:textId="55C88042" w:rsidR="4789B095" w:rsidRDefault="4789B095" w:rsidP="4789B095">
      <w:pPr>
        <w:rPr>
          <w:rFonts w:eastAsia="Arial" w:cs="Arial"/>
          <w:color w:val="000000" w:themeColor="text1"/>
        </w:rPr>
      </w:pPr>
      <w:r w:rsidRPr="4789B095">
        <w:rPr>
          <w:rFonts w:eastAsia="Arial" w:cs="Arial"/>
          <w:color w:val="000000" w:themeColor="text1"/>
        </w:rPr>
        <w:t xml:space="preserve">The delivery of PPE and RATs will be prioritised through the National Medical Stockpile (NMS) to RACFs in affected areas to ensure these facilities can continue to manage any COVID-19 outbreaks. Providers can replenish their stock of PPE and RATs if it is destroyed during a flooding event by: </w:t>
      </w:r>
    </w:p>
    <w:p w14:paraId="25CAF056" w14:textId="43758163" w:rsidR="4789B095" w:rsidRDefault="4789B095" w:rsidP="4789B095">
      <w:pPr>
        <w:pStyle w:val="ListParagraph"/>
        <w:numPr>
          <w:ilvl w:val="0"/>
          <w:numId w:val="3"/>
        </w:numPr>
        <w:rPr>
          <w:rFonts w:eastAsia="Arial" w:cs="Arial"/>
          <w:color w:val="000000" w:themeColor="text1"/>
          <w:szCs w:val="22"/>
        </w:rPr>
      </w:pPr>
      <w:r w:rsidRPr="4789B095">
        <w:rPr>
          <w:rFonts w:eastAsia="Arial" w:cs="Arial"/>
          <w:color w:val="000000" w:themeColor="text1"/>
        </w:rPr>
        <w:t xml:space="preserve">PPE can be sourced utilising the </w:t>
      </w:r>
      <w:r w:rsidRPr="4789B095">
        <w:rPr>
          <w:color w:val="0563C1"/>
          <w:sz w:val="21"/>
          <w:szCs w:val="21"/>
          <w:u w:val="single"/>
        </w:rPr>
        <w:t>online ordering form</w:t>
      </w:r>
      <w:r w:rsidRPr="4789B095">
        <w:rPr>
          <w:rFonts w:eastAsia="Arial" w:cs="Arial"/>
          <w:color w:val="000000" w:themeColor="text1"/>
        </w:rPr>
        <w:t>.</w:t>
      </w:r>
    </w:p>
    <w:p w14:paraId="2498C3C4" w14:textId="2048DBED" w:rsidR="4789B095" w:rsidRDefault="4789B095" w:rsidP="4789B095">
      <w:pPr>
        <w:pStyle w:val="ListParagraph"/>
        <w:numPr>
          <w:ilvl w:val="0"/>
          <w:numId w:val="3"/>
        </w:numPr>
        <w:tabs>
          <w:tab w:val="left" w:pos="0"/>
          <w:tab w:val="left" w:pos="720"/>
        </w:tabs>
        <w:rPr>
          <w:rFonts w:eastAsia="Arial" w:cs="Arial"/>
          <w:color w:val="000000" w:themeColor="text1"/>
          <w:szCs w:val="22"/>
        </w:rPr>
      </w:pPr>
      <w:r w:rsidRPr="4789B095">
        <w:rPr>
          <w:rFonts w:eastAsia="Arial" w:cs="Arial"/>
          <w:color w:val="000000" w:themeColor="text1"/>
        </w:rPr>
        <w:t>RATs can be ordered through the existing pathway in situations of urgency.</w:t>
      </w:r>
    </w:p>
    <w:p w14:paraId="1377F75E" w14:textId="729A79E4" w:rsidR="4789B095" w:rsidRDefault="4789B095" w:rsidP="00E25984">
      <w:pPr>
        <w:pStyle w:val="Heading1"/>
      </w:pPr>
      <w:r w:rsidRPr="4789B095">
        <w:t xml:space="preserve">Emergency leave provisions to support permanent residents temporarily relocating with family during the floods </w:t>
      </w:r>
    </w:p>
    <w:p w14:paraId="1B503BE6" w14:textId="79420603" w:rsidR="4789B095" w:rsidRDefault="4789B095" w:rsidP="4789B095">
      <w:pPr>
        <w:rPr>
          <w:rFonts w:eastAsia="Arial" w:cs="Arial"/>
          <w:color w:val="000000" w:themeColor="text1"/>
        </w:rPr>
      </w:pPr>
      <w:r w:rsidRPr="4789B095">
        <w:rPr>
          <w:rFonts w:eastAsia="Arial" w:cs="Arial"/>
          <w:color w:val="000000" w:themeColor="text1"/>
        </w:rPr>
        <w:t>Emergency leave provisions are available for residents who would like to temporarily relocate from their RACF to stay with family during the floods, and during the clean-up period afterwards. Aged care providers will continue to be paid residential subsidies when their residents are on emergency leave.</w:t>
      </w:r>
    </w:p>
    <w:p w14:paraId="44FA7AB3" w14:textId="7AEF738F" w:rsidR="4789B095" w:rsidRDefault="4789B095" w:rsidP="00E25984">
      <w:pPr>
        <w:pStyle w:val="Heading1"/>
      </w:pPr>
      <w:r w:rsidRPr="4789B095">
        <w:t xml:space="preserve">Emergency allocation of residential aged care places </w:t>
      </w:r>
    </w:p>
    <w:p w14:paraId="73934F92" w14:textId="2A3447AC" w:rsidR="4789B095" w:rsidRDefault="4789B095" w:rsidP="4789B095">
      <w:pPr>
        <w:rPr>
          <w:rFonts w:eastAsia="Arial" w:cs="Arial"/>
          <w:color w:val="000000" w:themeColor="text1"/>
        </w:rPr>
      </w:pPr>
      <w:r w:rsidRPr="4789B095">
        <w:rPr>
          <w:rFonts w:eastAsia="Arial" w:cs="Arial"/>
          <w:color w:val="000000" w:themeColor="text1"/>
        </w:rPr>
        <w:lastRenderedPageBreak/>
        <w:t xml:space="preserve">Where required, emergency allocation of residential aged care places will be processed as part of standard emergency management processes. Aged care providers should contact the Department of Health State Office in their state for further information. </w:t>
      </w:r>
    </w:p>
    <w:p w14:paraId="743EDA06" w14:textId="01ADC49C" w:rsidR="4789B095" w:rsidRDefault="4789B095" w:rsidP="00E25984">
      <w:pPr>
        <w:pStyle w:val="Heading1"/>
        <w:keepNext/>
      </w:pPr>
      <w:r w:rsidRPr="4789B095">
        <w:t>Disaster recovery funding arrangements</w:t>
      </w:r>
    </w:p>
    <w:p w14:paraId="49AD681D" w14:textId="55D60D27" w:rsidR="4789B095" w:rsidRDefault="4789B095" w:rsidP="4789B095">
      <w:pPr>
        <w:rPr>
          <w:rFonts w:eastAsia="Arial" w:cs="Arial"/>
          <w:color w:val="000000" w:themeColor="text1"/>
        </w:rPr>
      </w:pPr>
      <w:r w:rsidRPr="4789B095">
        <w:rPr>
          <w:rFonts w:eastAsia="Arial" w:cs="Arial"/>
          <w:color w:val="000000" w:themeColor="text1"/>
        </w:rPr>
        <w:t xml:space="preserve">A range of supports have been activated under the joint Commonwealth-State Disaster Recovery Funding Arrangements. This includes supports for eligible older Australians in their own homes for structural repairs and replacement of household items. Some residential aged care providers may also be eligible for additional grants based on their circumstances. </w:t>
      </w:r>
    </w:p>
    <w:p w14:paraId="4A1A5037" w14:textId="1A1BB95B" w:rsidR="4789B095" w:rsidRDefault="4789B095" w:rsidP="4789B095">
      <w:pPr>
        <w:rPr>
          <w:rFonts w:eastAsia="Arial" w:cs="Arial"/>
          <w:color w:val="000000" w:themeColor="text1"/>
        </w:rPr>
      </w:pPr>
      <w:r w:rsidRPr="4789B095">
        <w:rPr>
          <w:rFonts w:eastAsia="Arial" w:cs="Arial"/>
          <w:color w:val="000000" w:themeColor="text1"/>
        </w:rPr>
        <w:t xml:space="preserve">In addition, clean-up and recovery grants may be made available to assist businesses, to resume trading as soon as possible. The grants may be used for clean-up activities, replacement of damaged equipment and stock, and other general repairs. Jurisdictions determine the locations in which these supports are activated and the associated eligibility criteria. </w:t>
      </w:r>
    </w:p>
    <w:p w14:paraId="19930366" w14:textId="09E54ABA" w:rsidR="4789B095" w:rsidRDefault="4789B095" w:rsidP="4789B095">
      <w:pPr>
        <w:rPr>
          <w:rFonts w:eastAsia="Arial" w:cs="Arial"/>
          <w:color w:val="0563C1"/>
          <w:sz w:val="24"/>
          <w:u w:val="single"/>
        </w:rPr>
      </w:pPr>
      <w:r w:rsidRPr="4789B095">
        <w:rPr>
          <w:rFonts w:eastAsia="Arial" w:cs="Arial"/>
          <w:color w:val="000000" w:themeColor="text1"/>
        </w:rPr>
        <w:t xml:space="preserve">Further information is available from the National Recovery and Resilience Agency: </w:t>
      </w:r>
      <w:r w:rsidRPr="4789B095">
        <w:rPr>
          <w:color w:val="0563C1"/>
          <w:sz w:val="21"/>
          <w:szCs w:val="21"/>
          <w:u w:val="single"/>
        </w:rPr>
        <w:t>National Recovery and Resilience Agency.</w:t>
      </w:r>
    </w:p>
    <w:p w14:paraId="6AFFA5D8" w14:textId="0C7C5635" w:rsidR="4789B095" w:rsidRDefault="4789B095" w:rsidP="00E25984">
      <w:pPr>
        <w:pStyle w:val="Heading1"/>
      </w:pPr>
      <w:r w:rsidRPr="4789B095">
        <w:t>Wellbeing supports</w:t>
      </w:r>
    </w:p>
    <w:p w14:paraId="74DC4BB8" w14:textId="7E4B6F6F" w:rsidR="4789B095" w:rsidRDefault="4789B095" w:rsidP="4789B095">
      <w:pPr>
        <w:rPr>
          <w:rFonts w:eastAsia="Arial" w:cs="Arial"/>
          <w:color w:val="000000" w:themeColor="text1"/>
        </w:rPr>
      </w:pPr>
      <w:r w:rsidRPr="4789B095">
        <w:rPr>
          <w:rFonts w:eastAsia="Arial" w:cs="Arial"/>
          <w:color w:val="000000" w:themeColor="text1"/>
          <w:szCs w:val="22"/>
        </w:rPr>
        <w:t xml:space="preserve">The </w:t>
      </w:r>
      <w:r w:rsidRPr="4789B095">
        <w:rPr>
          <w:rFonts w:eastAsia="Arial" w:cs="Arial"/>
          <w:color w:val="000000" w:themeColor="text1"/>
        </w:rPr>
        <w:t>Older Persons Advocacy Network (OPAN) is available to support older people and their wellbeing during these extreme weather events on 1800 700 600.</w:t>
      </w:r>
    </w:p>
    <w:p w14:paraId="6B7BC936" w14:textId="46712AC7" w:rsidR="4789B095" w:rsidRDefault="4789B095" w:rsidP="4789B095">
      <w:pPr>
        <w:rPr>
          <w:rFonts w:eastAsia="Arial" w:cs="Arial"/>
          <w:color w:val="000000" w:themeColor="text1"/>
        </w:rPr>
      </w:pPr>
      <w:r w:rsidRPr="4789B095">
        <w:rPr>
          <w:rFonts w:eastAsia="Arial" w:cs="Arial"/>
          <w:color w:val="000000" w:themeColor="text1"/>
        </w:rPr>
        <w:t>A referral program is available for in-home and community aged care services providers, or any concerned parties, to ensure older Australians are safe, healthy, and are not missing out on services due to this challenging time. The service is complementary to the work of home care providers in continuing to connect with the older Australians they assist.</w:t>
      </w:r>
    </w:p>
    <w:p w14:paraId="47329C0C" w14:textId="4E5EE79B" w:rsidR="4789B095" w:rsidRDefault="4789B095" w:rsidP="4789B095">
      <w:pPr>
        <w:rPr>
          <w:rFonts w:eastAsia="Arial" w:cs="Arial"/>
          <w:color w:val="000000" w:themeColor="text1"/>
        </w:rPr>
      </w:pPr>
      <w:r w:rsidRPr="4789B095">
        <w:rPr>
          <w:rFonts w:eastAsia="Arial" w:cs="Arial"/>
          <w:color w:val="000000" w:themeColor="text1"/>
        </w:rPr>
        <w:t>These Wellbeing Checks can be arranged in two ways:</w:t>
      </w:r>
    </w:p>
    <w:p w14:paraId="22538DCE" w14:textId="104FF115" w:rsidR="4789B095" w:rsidRDefault="4789B095" w:rsidP="4789B095">
      <w:pPr>
        <w:pStyle w:val="ListParagraph"/>
        <w:numPr>
          <w:ilvl w:val="0"/>
          <w:numId w:val="4"/>
        </w:numPr>
        <w:rPr>
          <w:rFonts w:eastAsia="Arial" w:cs="Arial"/>
          <w:color w:val="000000" w:themeColor="text1"/>
          <w:szCs w:val="22"/>
        </w:rPr>
      </w:pPr>
      <w:r w:rsidRPr="4789B095">
        <w:rPr>
          <w:rFonts w:eastAsia="Arial" w:cs="Arial"/>
          <w:color w:val="000000" w:themeColor="text1"/>
        </w:rPr>
        <w:t>Clients can ring to register for these wellbeing call backs, or</w:t>
      </w:r>
    </w:p>
    <w:p w14:paraId="6067A841" w14:textId="7714AF10" w:rsidR="4789B095" w:rsidRDefault="4789B095" w:rsidP="4789B095">
      <w:pPr>
        <w:pStyle w:val="ListParagraph"/>
        <w:numPr>
          <w:ilvl w:val="0"/>
          <w:numId w:val="11"/>
        </w:numPr>
        <w:tabs>
          <w:tab w:val="left" w:pos="0"/>
          <w:tab w:val="left" w:pos="720"/>
        </w:tabs>
        <w:ind w:left="720"/>
        <w:rPr>
          <w:rFonts w:eastAsia="Arial" w:cs="Arial"/>
          <w:color w:val="000000" w:themeColor="text1"/>
          <w:szCs w:val="22"/>
        </w:rPr>
      </w:pPr>
      <w:r w:rsidRPr="4789B095">
        <w:rPr>
          <w:rFonts w:eastAsia="Arial" w:cs="Arial"/>
          <w:color w:val="000000" w:themeColor="text1"/>
        </w:rPr>
        <w:t>providers can register the clients’ interest on their behalf (with client consent to be contacted).</w:t>
      </w:r>
    </w:p>
    <w:p w14:paraId="7E2E55C1" w14:textId="77777777" w:rsidR="00E25984" w:rsidRPr="00E25984" w:rsidRDefault="00E25984" w:rsidP="00E25984">
      <w:pPr>
        <w:pStyle w:val="Boxtype"/>
        <w:rPr>
          <w:rFonts w:eastAsia="Arial"/>
        </w:rPr>
      </w:pPr>
      <w:r w:rsidRPr="00E25984">
        <w:rPr>
          <w:rFonts w:eastAsia="Arial"/>
          <w:color w:val="358189"/>
        </w:rPr>
        <w:t>Senior Rights Service</w:t>
      </w:r>
      <w:r w:rsidRPr="00E25984">
        <w:rPr>
          <w:rFonts w:eastAsia="Arial"/>
        </w:rPr>
        <w:t xml:space="preserve"> is the </w:t>
      </w:r>
      <w:r w:rsidRPr="00E25984">
        <w:rPr>
          <w:rFonts w:eastAsia="Arial"/>
          <w:color w:val="358189"/>
          <w:szCs w:val="22"/>
        </w:rPr>
        <w:t>NSW OPAN</w:t>
      </w:r>
      <w:r w:rsidRPr="00E25984">
        <w:rPr>
          <w:rFonts w:eastAsia="Arial"/>
        </w:rPr>
        <w:t xml:space="preserve"> member and </w:t>
      </w:r>
      <w:r w:rsidRPr="00E25984">
        <w:rPr>
          <w:rFonts w:eastAsia="Arial"/>
          <w:color w:val="358189"/>
          <w:szCs w:val="22"/>
        </w:rPr>
        <w:t>Aged and Disability Advocates Australia</w:t>
      </w:r>
      <w:r w:rsidRPr="00E25984">
        <w:rPr>
          <w:rFonts w:eastAsia="Arial"/>
        </w:rPr>
        <w:t xml:space="preserve"> are the </w:t>
      </w:r>
      <w:r w:rsidRPr="00E25984">
        <w:rPr>
          <w:rFonts w:eastAsia="Arial"/>
          <w:color w:val="358189"/>
          <w:szCs w:val="22"/>
        </w:rPr>
        <w:t>QLD OPAN member</w:t>
      </w:r>
      <w:r w:rsidRPr="00E25984">
        <w:rPr>
          <w:rFonts w:eastAsia="Arial"/>
          <w:szCs w:val="22"/>
        </w:rPr>
        <w:t xml:space="preserve">, </w:t>
      </w:r>
      <w:r w:rsidRPr="00E25984">
        <w:rPr>
          <w:rFonts w:eastAsia="Arial"/>
        </w:rPr>
        <w:t>who can be contacted on 1800 700 600: 8am-8pm Monday-Friday and10am-4pm Saturday.</w:t>
      </w:r>
    </w:p>
    <w:p w14:paraId="6183D54D" w14:textId="49845376" w:rsidR="4789B095" w:rsidRDefault="4789B095" w:rsidP="00E25984">
      <w:pPr>
        <w:pStyle w:val="Heading1"/>
      </w:pPr>
      <w:r w:rsidRPr="4789B095">
        <w:t>Additional information on emergency planning and response</w:t>
      </w:r>
    </w:p>
    <w:p w14:paraId="6F2B55DA" w14:textId="28169233" w:rsidR="4789B095" w:rsidRDefault="4789B095" w:rsidP="00E25984">
      <w:pPr>
        <w:pStyle w:val="Heading2"/>
        <w:rPr>
          <w:rFonts w:eastAsia="Arial"/>
        </w:rPr>
      </w:pPr>
      <w:r w:rsidRPr="4789B095">
        <w:rPr>
          <w:rFonts w:eastAsia="Arial"/>
        </w:rPr>
        <w:t>Residential aged care providers</w:t>
      </w:r>
    </w:p>
    <w:p w14:paraId="2CF650F8" w14:textId="07BFE611" w:rsidR="4789B095" w:rsidRDefault="4789B095" w:rsidP="4789B095">
      <w:pPr>
        <w:rPr>
          <w:rFonts w:eastAsia="Arial" w:cs="Arial"/>
          <w:color w:val="000000" w:themeColor="text1"/>
        </w:rPr>
      </w:pPr>
      <w:r w:rsidRPr="4789B095">
        <w:rPr>
          <w:rFonts w:eastAsia="Arial" w:cs="Arial"/>
          <w:color w:val="000000" w:themeColor="text1"/>
        </w:rPr>
        <w:t xml:space="preserve">Residential aged care providers should work with their staff to make sure they are familiar with how each service will respond to an emergency including: </w:t>
      </w:r>
    </w:p>
    <w:p w14:paraId="2A9E81BA" w14:textId="094F3C25" w:rsidR="4789B095" w:rsidRDefault="4789B095" w:rsidP="4789B095">
      <w:pPr>
        <w:pStyle w:val="ListParagraph"/>
        <w:numPr>
          <w:ilvl w:val="0"/>
          <w:numId w:val="2"/>
        </w:numPr>
        <w:rPr>
          <w:rFonts w:eastAsia="Arial" w:cs="Arial"/>
          <w:color w:val="000000" w:themeColor="text1"/>
          <w:szCs w:val="22"/>
        </w:rPr>
      </w:pPr>
      <w:r w:rsidRPr="4789B095">
        <w:rPr>
          <w:rFonts w:eastAsia="Arial" w:cs="Arial"/>
          <w:color w:val="000000" w:themeColor="text1"/>
        </w:rPr>
        <w:t>Make sure all staff know who will lead a response to a flood or weather emergency on each shift.</w:t>
      </w:r>
    </w:p>
    <w:p w14:paraId="3EFDB442" w14:textId="3FC4CD76" w:rsidR="4789B095" w:rsidRDefault="4789B095" w:rsidP="4789B095">
      <w:pPr>
        <w:pStyle w:val="ListParagraph"/>
        <w:numPr>
          <w:ilvl w:val="0"/>
          <w:numId w:val="11"/>
        </w:numPr>
        <w:tabs>
          <w:tab w:val="left" w:pos="0"/>
          <w:tab w:val="left" w:pos="720"/>
        </w:tabs>
        <w:ind w:left="720"/>
        <w:rPr>
          <w:rFonts w:eastAsia="Arial" w:cs="Arial"/>
          <w:color w:val="000000" w:themeColor="text1"/>
          <w:szCs w:val="22"/>
        </w:rPr>
      </w:pPr>
      <w:r w:rsidRPr="4789B095">
        <w:rPr>
          <w:rFonts w:eastAsia="Arial" w:cs="Arial"/>
          <w:color w:val="000000" w:themeColor="text1"/>
        </w:rPr>
        <w:t>Make sure the leadership team is contactable after hours and on public holidays – consider an on-call roster.</w:t>
      </w:r>
    </w:p>
    <w:p w14:paraId="44EF0CCB" w14:textId="4FE5C703" w:rsidR="4789B095" w:rsidRDefault="4789B095" w:rsidP="4789B095">
      <w:pPr>
        <w:pStyle w:val="ListParagraph"/>
        <w:numPr>
          <w:ilvl w:val="0"/>
          <w:numId w:val="2"/>
        </w:numPr>
        <w:rPr>
          <w:rFonts w:eastAsia="Arial" w:cs="Arial"/>
          <w:color w:val="000000" w:themeColor="text1"/>
          <w:szCs w:val="22"/>
        </w:rPr>
      </w:pPr>
      <w:r w:rsidRPr="4789B095">
        <w:rPr>
          <w:rFonts w:eastAsia="Arial" w:cs="Arial"/>
          <w:color w:val="000000" w:themeColor="text1"/>
        </w:rPr>
        <w:t>Remind team leaders or shift supervisors about how to activate the emergency management plan including how to contact emergency services from state governments for help.</w:t>
      </w:r>
    </w:p>
    <w:p w14:paraId="6DD7F9A9" w14:textId="5495D952" w:rsidR="4789B095" w:rsidRDefault="4789B095" w:rsidP="00E25984">
      <w:pPr>
        <w:pStyle w:val="Heading2"/>
        <w:rPr>
          <w:rFonts w:eastAsia="Arial"/>
        </w:rPr>
      </w:pPr>
      <w:r w:rsidRPr="4789B095">
        <w:rPr>
          <w:rFonts w:eastAsia="Arial"/>
        </w:rPr>
        <w:t>In-home (HCP) and community aged care (CHSP) providers</w:t>
      </w:r>
    </w:p>
    <w:p w14:paraId="7814CDBC" w14:textId="2BE39B7E" w:rsidR="4789B095" w:rsidRDefault="4789B095" w:rsidP="4789B095">
      <w:pPr>
        <w:rPr>
          <w:rFonts w:eastAsia="Arial" w:cs="Arial"/>
          <w:color w:val="000000" w:themeColor="text1"/>
        </w:rPr>
      </w:pPr>
      <w:r w:rsidRPr="4789B095">
        <w:rPr>
          <w:rFonts w:eastAsia="Arial" w:cs="Arial"/>
          <w:color w:val="000000" w:themeColor="text1"/>
        </w:rPr>
        <w:t xml:space="preserve">In-home and community aged care providers should have emergency plans in place for all care recipients: </w:t>
      </w:r>
    </w:p>
    <w:p w14:paraId="3249B370" w14:textId="60848EC9" w:rsidR="4789B095" w:rsidRDefault="4789B095" w:rsidP="4789B095">
      <w:pPr>
        <w:pStyle w:val="ListParagraph"/>
        <w:numPr>
          <w:ilvl w:val="0"/>
          <w:numId w:val="1"/>
        </w:numPr>
        <w:rPr>
          <w:rFonts w:eastAsia="Arial" w:cs="Arial"/>
          <w:color w:val="000000" w:themeColor="text1"/>
          <w:szCs w:val="22"/>
        </w:rPr>
      </w:pPr>
      <w:r w:rsidRPr="4789B095">
        <w:rPr>
          <w:rFonts w:eastAsia="Arial" w:cs="Arial"/>
          <w:color w:val="000000" w:themeColor="text1"/>
        </w:rPr>
        <w:t>Staff should be aware of these plans and be able to implement if regular staff or care recipients are impacted by the emergency.</w:t>
      </w:r>
    </w:p>
    <w:p w14:paraId="6F7FF67A" w14:textId="616C6714" w:rsidR="4789B095" w:rsidRDefault="4789B095" w:rsidP="4789B095">
      <w:pPr>
        <w:pStyle w:val="ListParagraph"/>
        <w:numPr>
          <w:ilvl w:val="0"/>
          <w:numId w:val="1"/>
        </w:numPr>
        <w:rPr>
          <w:rFonts w:eastAsia="Arial" w:cs="Arial"/>
          <w:color w:val="000000" w:themeColor="text1"/>
          <w:szCs w:val="22"/>
        </w:rPr>
      </w:pPr>
      <w:r w:rsidRPr="4789B095">
        <w:rPr>
          <w:rFonts w:eastAsia="Arial" w:cs="Arial"/>
          <w:color w:val="000000" w:themeColor="text1"/>
        </w:rPr>
        <w:t>Plans should be implemented if either staff are unavailable to provide services or the care recipient is impacted.</w:t>
      </w:r>
    </w:p>
    <w:p w14:paraId="7B458935" w14:textId="79C575D0" w:rsidR="4789B095" w:rsidRDefault="4789B095" w:rsidP="4789B095">
      <w:pPr>
        <w:pStyle w:val="ListParagraph"/>
        <w:numPr>
          <w:ilvl w:val="0"/>
          <w:numId w:val="1"/>
        </w:numPr>
        <w:rPr>
          <w:rFonts w:eastAsia="Arial" w:cs="Arial"/>
          <w:color w:val="000000" w:themeColor="text1"/>
          <w:szCs w:val="22"/>
        </w:rPr>
      </w:pPr>
      <w:r w:rsidRPr="4789B095">
        <w:rPr>
          <w:rFonts w:eastAsia="Arial" w:cs="Arial"/>
          <w:color w:val="000000" w:themeColor="text1"/>
        </w:rPr>
        <w:lastRenderedPageBreak/>
        <w:t>Staff and care recipients should access emergency support provided by the state/local government and/or emergency services in the first instance i.e., help with flood clean up or emergency accommodation.</w:t>
      </w:r>
    </w:p>
    <w:p w14:paraId="182874A0" w14:textId="79A7B856" w:rsidR="4789B095" w:rsidRDefault="4789B095" w:rsidP="4789B095">
      <w:pPr>
        <w:pStyle w:val="ListParagraph"/>
        <w:numPr>
          <w:ilvl w:val="0"/>
          <w:numId w:val="1"/>
        </w:numPr>
        <w:rPr>
          <w:rFonts w:eastAsia="Arial" w:cs="Arial"/>
          <w:color w:val="000000" w:themeColor="text1"/>
          <w:szCs w:val="22"/>
        </w:rPr>
      </w:pPr>
      <w:r w:rsidRPr="4789B095">
        <w:rPr>
          <w:rFonts w:eastAsia="Arial" w:cs="Arial"/>
          <w:color w:val="000000" w:themeColor="text1"/>
        </w:rPr>
        <w:t>Providers must undertake welfare checks and remain in regular contact with their care recipients, where possible.</w:t>
      </w:r>
    </w:p>
    <w:p w14:paraId="06EA1999" w14:textId="6D2ADE82" w:rsidR="4789B095" w:rsidRDefault="4789B095" w:rsidP="4789B095">
      <w:pPr>
        <w:pStyle w:val="ListParagraph"/>
        <w:numPr>
          <w:ilvl w:val="0"/>
          <w:numId w:val="1"/>
        </w:numPr>
        <w:rPr>
          <w:rFonts w:eastAsia="Arial" w:cs="Arial"/>
          <w:color w:val="000000" w:themeColor="text1"/>
          <w:szCs w:val="22"/>
        </w:rPr>
      </w:pPr>
      <w:r w:rsidRPr="4789B095">
        <w:rPr>
          <w:rFonts w:eastAsia="Arial" w:cs="Arial"/>
          <w:color w:val="000000" w:themeColor="text1"/>
        </w:rPr>
        <w:t>Delivery of in-home and community services that are necessary for the health and safety of care recipients must continue where it is safe to do so. Where a HCP provider cannot continue to provide essential services to a care recipient, they should support the affected care recipient to receive services from another provider willing and able to provide these services, or to a higher needs care setting such as a residential aged care facility or hospital.</w:t>
      </w:r>
    </w:p>
    <w:p w14:paraId="66142A18" w14:textId="35982C07" w:rsidR="4789B095" w:rsidRDefault="4789B095" w:rsidP="4789B095">
      <w:pPr>
        <w:pStyle w:val="ListParagraph"/>
        <w:numPr>
          <w:ilvl w:val="0"/>
          <w:numId w:val="1"/>
        </w:numPr>
        <w:rPr>
          <w:rFonts w:eastAsia="Arial" w:cs="Arial"/>
          <w:color w:val="000000" w:themeColor="text1"/>
          <w:szCs w:val="22"/>
        </w:rPr>
      </w:pPr>
      <w:r w:rsidRPr="4789B095">
        <w:rPr>
          <w:rFonts w:eastAsia="Arial" w:cs="Arial"/>
          <w:color w:val="000000" w:themeColor="text1"/>
        </w:rPr>
        <w:t>CHSP providers should contact their Funding Arrangement Manager about any major disruptions to normal service delivery at their earliest opportunity.</w:t>
      </w:r>
    </w:p>
    <w:p w14:paraId="79B81736" w14:textId="5A6A62D8" w:rsidR="4789B095" w:rsidRDefault="4789B095" w:rsidP="4789B095">
      <w:pPr>
        <w:pStyle w:val="ListParagraph"/>
        <w:numPr>
          <w:ilvl w:val="0"/>
          <w:numId w:val="1"/>
        </w:numPr>
        <w:rPr>
          <w:rFonts w:eastAsia="Arial" w:cs="Arial"/>
          <w:color w:val="000000" w:themeColor="text1"/>
          <w:szCs w:val="22"/>
        </w:rPr>
      </w:pPr>
      <w:r w:rsidRPr="4789B095">
        <w:rPr>
          <w:rFonts w:eastAsia="Arial" w:cs="Arial"/>
          <w:color w:val="000000" w:themeColor="text1"/>
        </w:rPr>
        <w:t>CHSP providers can use their 100 per cent flexibility to urgently re-distribute funding to cover any additional service costs. CHSP providers can also apply for emergency funding under the CHSP Ad Hoc Proposals (GO4264) grant funding opportunity as a response to an unforeseen and exceptional circumstance. Applications are open until 30 June 2022.</w:t>
      </w:r>
    </w:p>
    <w:p w14:paraId="1B796CDD" w14:textId="00DAF60E" w:rsidR="4789B095" w:rsidRDefault="4789B095" w:rsidP="00E25984">
      <w:pPr>
        <w:pStyle w:val="Heading1"/>
      </w:pPr>
      <w:r w:rsidRPr="4789B095">
        <w:t>Aged care state and territory emergency contacts</w:t>
      </w:r>
    </w:p>
    <w:p w14:paraId="2677EC38" w14:textId="34C2C32B" w:rsidR="4789B095" w:rsidRDefault="4789B095" w:rsidP="4789B095">
      <w:pPr>
        <w:rPr>
          <w:rFonts w:eastAsia="Arial" w:cs="Arial"/>
          <w:color w:val="000000" w:themeColor="text1"/>
        </w:rPr>
      </w:pPr>
      <w:r w:rsidRPr="4789B095">
        <w:rPr>
          <w:rFonts w:eastAsia="Arial" w:cs="Arial"/>
          <w:color w:val="000000" w:themeColor="text1"/>
        </w:rPr>
        <w:t>Aged care service providers can call the Australian Government Department of Health in their state or territory if they need help to find vacancies or resources to manage an emergency. These numbers are always monitored:</w:t>
      </w:r>
    </w:p>
    <w:p w14:paraId="0D986E87" w14:textId="63EC8C1E" w:rsidR="4789B095" w:rsidRDefault="4789B095" w:rsidP="4789B095">
      <w:pPr>
        <w:pStyle w:val="ListParagraph"/>
        <w:numPr>
          <w:ilvl w:val="0"/>
          <w:numId w:val="11"/>
        </w:numPr>
        <w:tabs>
          <w:tab w:val="left" w:pos="0"/>
          <w:tab w:val="left" w:pos="720"/>
        </w:tabs>
        <w:ind w:left="720"/>
        <w:rPr>
          <w:rFonts w:eastAsia="Arial" w:cs="Arial"/>
          <w:color w:val="000000" w:themeColor="text1"/>
          <w:szCs w:val="22"/>
        </w:rPr>
      </w:pPr>
      <w:r w:rsidRPr="4789B095">
        <w:rPr>
          <w:rFonts w:eastAsia="Arial" w:cs="Arial"/>
          <w:color w:val="000000" w:themeColor="text1"/>
        </w:rPr>
        <w:t xml:space="preserve">Victoria/Tasmania: </w:t>
      </w:r>
      <w:r w:rsidRPr="4789B095">
        <w:rPr>
          <w:rFonts w:eastAsia="Arial" w:cs="Arial"/>
          <w:b/>
          <w:bCs/>
          <w:color w:val="000000" w:themeColor="text1"/>
        </w:rPr>
        <w:t>1800 078 709</w:t>
      </w:r>
    </w:p>
    <w:p w14:paraId="7AE6609F" w14:textId="1C74FB45" w:rsidR="4789B095" w:rsidRDefault="4789B095" w:rsidP="4789B095">
      <w:pPr>
        <w:pStyle w:val="ListParagraph"/>
        <w:numPr>
          <w:ilvl w:val="0"/>
          <w:numId w:val="11"/>
        </w:numPr>
        <w:tabs>
          <w:tab w:val="left" w:pos="0"/>
          <w:tab w:val="left" w:pos="720"/>
        </w:tabs>
        <w:ind w:left="720"/>
        <w:rPr>
          <w:rFonts w:eastAsia="Arial" w:cs="Arial"/>
          <w:color w:val="000000" w:themeColor="text1"/>
          <w:szCs w:val="22"/>
        </w:rPr>
      </w:pPr>
      <w:r w:rsidRPr="4789B095">
        <w:rPr>
          <w:rFonts w:eastAsia="Arial" w:cs="Arial"/>
          <w:color w:val="000000" w:themeColor="text1"/>
        </w:rPr>
        <w:t>New South Wales / Australian Capital Territory:</w:t>
      </w:r>
      <w:r w:rsidRPr="4789B095">
        <w:rPr>
          <w:rFonts w:eastAsia="Arial" w:cs="Arial"/>
          <w:b/>
          <w:bCs/>
          <w:color w:val="000000" w:themeColor="text1"/>
        </w:rPr>
        <w:t>1800 852 649</w:t>
      </w:r>
    </w:p>
    <w:p w14:paraId="5B3BF8F2" w14:textId="6F0169F6" w:rsidR="4789B095" w:rsidRDefault="4789B095" w:rsidP="4789B095">
      <w:pPr>
        <w:pStyle w:val="ListParagraph"/>
        <w:numPr>
          <w:ilvl w:val="0"/>
          <w:numId w:val="11"/>
        </w:numPr>
        <w:tabs>
          <w:tab w:val="left" w:pos="0"/>
          <w:tab w:val="left" w:pos="720"/>
        </w:tabs>
        <w:ind w:left="720"/>
        <w:rPr>
          <w:rFonts w:eastAsia="Arial" w:cs="Arial"/>
          <w:color w:val="000000" w:themeColor="text1"/>
          <w:szCs w:val="22"/>
        </w:rPr>
      </w:pPr>
      <w:r w:rsidRPr="4789B095">
        <w:rPr>
          <w:rFonts w:eastAsia="Arial" w:cs="Arial"/>
          <w:color w:val="000000" w:themeColor="text1"/>
        </w:rPr>
        <w:t xml:space="preserve">South Australia: </w:t>
      </w:r>
      <w:r w:rsidRPr="4789B095">
        <w:rPr>
          <w:rFonts w:eastAsia="Arial" w:cs="Arial"/>
          <w:b/>
          <w:bCs/>
          <w:color w:val="000000" w:themeColor="text1"/>
        </w:rPr>
        <w:t>1800 288 475</w:t>
      </w:r>
    </w:p>
    <w:p w14:paraId="106D5B0D" w14:textId="2DD92D31" w:rsidR="4789B095" w:rsidRDefault="4789B095" w:rsidP="4789B095">
      <w:pPr>
        <w:pStyle w:val="ListParagraph"/>
        <w:numPr>
          <w:ilvl w:val="0"/>
          <w:numId w:val="11"/>
        </w:numPr>
        <w:tabs>
          <w:tab w:val="left" w:pos="0"/>
          <w:tab w:val="left" w:pos="720"/>
        </w:tabs>
        <w:ind w:left="720"/>
        <w:rPr>
          <w:rFonts w:eastAsia="Arial" w:cs="Arial"/>
          <w:color w:val="000000" w:themeColor="text1"/>
          <w:szCs w:val="22"/>
        </w:rPr>
      </w:pPr>
      <w:r w:rsidRPr="4789B095">
        <w:rPr>
          <w:rFonts w:eastAsia="Arial" w:cs="Arial"/>
          <w:color w:val="000000" w:themeColor="text1"/>
        </w:rPr>
        <w:t xml:space="preserve">Queensland: </w:t>
      </w:r>
      <w:r w:rsidRPr="4789B095">
        <w:rPr>
          <w:rFonts w:eastAsia="Arial" w:cs="Arial"/>
          <w:b/>
          <w:bCs/>
          <w:color w:val="000000" w:themeColor="text1"/>
        </w:rPr>
        <w:t>1800 300 125</w:t>
      </w:r>
    </w:p>
    <w:p w14:paraId="41C8F989" w14:textId="4FEB42CE" w:rsidR="4789B095" w:rsidRDefault="4789B095" w:rsidP="4789B095">
      <w:pPr>
        <w:pStyle w:val="ListParagraph"/>
        <w:numPr>
          <w:ilvl w:val="0"/>
          <w:numId w:val="11"/>
        </w:numPr>
        <w:tabs>
          <w:tab w:val="left" w:pos="0"/>
          <w:tab w:val="left" w:pos="720"/>
        </w:tabs>
        <w:ind w:left="720"/>
        <w:rPr>
          <w:rFonts w:eastAsia="Arial" w:cs="Arial"/>
          <w:color w:val="000000" w:themeColor="text1"/>
          <w:szCs w:val="22"/>
        </w:rPr>
      </w:pPr>
      <w:r w:rsidRPr="4789B095">
        <w:rPr>
          <w:rFonts w:eastAsia="Arial" w:cs="Arial"/>
          <w:color w:val="000000" w:themeColor="text1"/>
        </w:rPr>
        <w:t xml:space="preserve">Western Australia: </w:t>
      </w:r>
      <w:r w:rsidRPr="4789B095">
        <w:rPr>
          <w:rFonts w:eastAsia="Arial" w:cs="Arial"/>
          <w:b/>
          <w:bCs/>
          <w:color w:val="000000" w:themeColor="text1"/>
        </w:rPr>
        <w:t>1800 733 923</w:t>
      </w:r>
    </w:p>
    <w:p w14:paraId="1C97EFBB" w14:textId="0014C543" w:rsidR="4789B095" w:rsidRDefault="4789B095" w:rsidP="4789B095">
      <w:pPr>
        <w:pStyle w:val="ListParagraph"/>
        <w:numPr>
          <w:ilvl w:val="0"/>
          <w:numId w:val="11"/>
        </w:numPr>
        <w:tabs>
          <w:tab w:val="left" w:pos="0"/>
          <w:tab w:val="left" w:pos="720"/>
        </w:tabs>
        <w:ind w:left="720"/>
        <w:rPr>
          <w:rFonts w:eastAsia="Arial" w:cs="Arial"/>
          <w:color w:val="000000" w:themeColor="text1"/>
          <w:szCs w:val="22"/>
        </w:rPr>
      </w:pPr>
      <w:r w:rsidRPr="4789B095">
        <w:rPr>
          <w:rFonts w:eastAsia="Arial" w:cs="Arial"/>
          <w:color w:val="000000" w:themeColor="text1"/>
        </w:rPr>
        <w:t xml:space="preserve">Northern Territory: </w:t>
      </w:r>
      <w:r w:rsidRPr="4789B095">
        <w:rPr>
          <w:rFonts w:eastAsia="Arial" w:cs="Arial"/>
          <w:b/>
          <w:bCs/>
          <w:color w:val="000000" w:themeColor="text1"/>
        </w:rPr>
        <w:t>1800 355 348</w:t>
      </w:r>
    </w:p>
    <w:p w14:paraId="2F666633" w14:textId="5A2E0479" w:rsidR="4789B095" w:rsidRDefault="4789B095" w:rsidP="00E25984">
      <w:pPr>
        <w:pStyle w:val="Heading1"/>
      </w:pPr>
      <w:r w:rsidRPr="4789B095">
        <w:t>More information</w:t>
      </w:r>
    </w:p>
    <w:p w14:paraId="0182060E" w14:textId="631EBD21" w:rsidR="4789B095" w:rsidRPr="00E25984" w:rsidRDefault="4789B095" w:rsidP="4789B095">
      <w:pPr>
        <w:rPr>
          <w:rFonts w:eastAsia="Arial" w:cs="Arial"/>
          <w:color w:val="000000" w:themeColor="text1"/>
        </w:rPr>
      </w:pPr>
      <w:r w:rsidRPr="4789B095">
        <w:rPr>
          <w:rFonts w:eastAsia="Arial" w:cs="Arial"/>
          <w:color w:val="000000" w:themeColor="text1"/>
        </w:rPr>
        <w:t xml:space="preserve">More information can be found on the </w:t>
      </w:r>
      <w:r w:rsidRPr="4789B095">
        <w:rPr>
          <w:color w:val="0563C1"/>
          <w:sz w:val="21"/>
          <w:szCs w:val="21"/>
          <w:u w:val="single"/>
        </w:rPr>
        <w:t>Service Continuity and Emergency Events in Aged Care page</w:t>
      </w:r>
      <w:r w:rsidRPr="4789B095">
        <w:rPr>
          <w:rFonts w:eastAsia="Arial" w:cs="Arial"/>
          <w:color w:val="000000" w:themeColor="text1"/>
        </w:rPr>
        <w:t>, on the Department of Health’s website, including emergency contact numbers for each State Office.</w:t>
      </w:r>
    </w:p>
    <w:sectPr w:rsidR="4789B095" w:rsidRPr="00E25984" w:rsidSect="00EE6A5F">
      <w:headerReference w:type="default" r:id="rId17"/>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50171" w14:textId="77777777" w:rsidR="00236C18" w:rsidRDefault="00236C18" w:rsidP="009713F2">
      <w:r>
        <w:separator/>
      </w:r>
    </w:p>
  </w:endnote>
  <w:endnote w:type="continuationSeparator" w:id="0">
    <w:p w14:paraId="774AFB85" w14:textId="77777777" w:rsidR="00236C18" w:rsidRDefault="00236C18" w:rsidP="009713F2">
      <w:r>
        <w:continuationSeparator/>
      </w:r>
    </w:p>
  </w:endnote>
  <w:endnote w:type="continuationNotice" w:id="1">
    <w:p w14:paraId="23ECA53D" w14:textId="77777777" w:rsidR="00236C18" w:rsidRDefault="00236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E15D3" w14:textId="6F69C02D" w:rsidR="009011A4" w:rsidRPr="003D033A" w:rsidRDefault="00F64974" w:rsidP="3B04C51D">
    <w:pPr>
      <w:pStyle w:val="Footer"/>
      <w:tabs>
        <w:tab w:val="clear" w:pos="4513"/>
      </w:tabs>
      <w:jc w:val="right"/>
      <w:rPr>
        <w:noProof/>
      </w:rPr>
    </w:pPr>
    <w:sdt>
      <w:sdtPr>
        <w:id w:val="1409324386"/>
        <w:docPartObj>
          <w:docPartGallery w:val="Page Numbers (Bottom of Page)"/>
          <w:docPartUnique/>
        </w:docPartObj>
      </w:sdtPr>
      <w:sdtEndPr>
        <w:rPr>
          <w:noProof/>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92D5B" w14:textId="2E4FAB1F" w:rsidR="009011A4" w:rsidRPr="00DE3355" w:rsidRDefault="0013079F" w:rsidP="009011A4">
    <w:pPr>
      <w:pStyle w:val="Footer"/>
      <w:tabs>
        <w:tab w:val="clear" w:pos="4513"/>
      </w:tabs>
    </w:pPr>
    <w:r>
      <w:t xml:space="preserve">Department of Health </w:t>
    </w:r>
    <w:r w:rsidR="009713F2">
      <w:t>–</w:t>
    </w:r>
    <w:r>
      <w:t xml:space="preserve"> </w:t>
    </w:r>
    <w:r w:rsidR="009713F2">
      <w:t>Flood supports</w:t>
    </w:r>
    <w:r w:rsidRPr="003D033A">
      <w:t xml:space="preserve"> </w:t>
    </w:r>
    <w:sdt>
      <w:sdtPr>
        <w:id w:val="-183903453"/>
        <w:docPartObj>
          <w:docPartGallery w:val="Page Numbers (Bottom of Page)"/>
          <w:docPartUnique/>
        </w:docPartObj>
      </w:sdtPr>
      <w:sdtEndPr/>
      <w:sdtContent>
        <w:r w:rsidR="009713F2">
          <w:t>factsheet</w:t>
        </w:r>
        <w:r>
          <w:tab/>
        </w:r>
        <w:r w:rsidRPr="003D033A">
          <w:fldChar w:fldCharType="begin"/>
        </w:r>
        <w:r w:rsidRPr="003D033A">
          <w:instrText xml:space="preserve"> PAGE   \* MERGEFORMAT </w:instrText>
        </w:r>
        <w:r w:rsidRPr="003D033A">
          <w:fldChar w:fldCharType="separate"/>
        </w:r>
        <w:r>
          <w:rPr>
            <w:noProof/>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E089C" w14:textId="77777777" w:rsidR="00236C18" w:rsidRDefault="00236C18" w:rsidP="009713F2">
      <w:r>
        <w:separator/>
      </w:r>
    </w:p>
  </w:footnote>
  <w:footnote w:type="continuationSeparator" w:id="0">
    <w:p w14:paraId="72983B0A" w14:textId="77777777" w:rsidR="00236C18" w:rsidRDefault="00236C18" w:rsidP="009713F2">
      <w:r>
        <w:continuationSeparator/>
      </w:r>
    </w:p>
  </w:footnote>
  <w:footnote w:type="continuationNotice" w:id="1">
    <w:p w14:paraId="78775874" w14:textId="77777777" w:rsidR="00236C18" w:rsidRDefault="00236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3B04C51D" w14:paraId="6E27A19E" w14:textId="77777777" w:rsidTr="3B04C51D">
      <w:tc>
        <w:tcPr>
          <w:tcW w:w="3020" w:type="dxa"/>
        </w:tcPr>
        <w:p w14:paraId="484D95DC" w14:textId="08FC915E" w:rsidR="3B04C51D" w:rsidRDefault="3B04C51D" w:rsidP="3B04C51D">
          <w:pPr>
            <w:pStyle w:val="Header"/>
            <w:ind w:left="-115"/>
            <w:rPr>
              <w:szCs w:val="22"/>
            </w:rPr>
          </w:pPr>
        </w:p>
      </w:tc>
      <w:tc>
        <w:tcPr>
          <w:tcW w:w="3020" w:type="dxa"/>
        </w:tcPr>
        <w:p w14:paraId="660FF886" w14:textId="001D4298" w:rsidR="3B04C51D" w:rsidRDefault="3B04C51D" w:rsidP="3B04C51D">
          <w:pPr>
            <w:pStyle w:val="Header"/>
            <w:jc w:val="center"/>
            <w:rPr>
              <w:szCs w:val="22"/>
            </w:rPr>
          </w:pPr>
        </w:p>
      </w:tc>
      <w:tc>
        <w:tcPr>
          <w:tcW w:w="3020" w:type="dxa"/>
        </w:tcPr>
        <w:p w14:paraId="5A8E26B3" w14:textId="2F70F4EC" w:rsidR="3B04C51D" w:rsidRDefault="3B04C51D" w:rsidP="3B04C51D">
          <w:pPr>
            <w:pStyle w:val="Header"/>
            <w:ind w:right="-115"/>
            <w:jc w:val="right"/>
            <w:rPr>
              <w:szCs w:val="22"/>
            </w:rPr>
          </w:pPr>
        </w:p>
      </w:tc>
    </w:tr>
  </w:tbl>
  <w:p w14:paraId="28D8216C" w14:textId="1A347301" w:rsidR="3B04C51D" w:rsidRDefault="3B04C51D" w:rsidP="3B04C51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1022" w14:textId="77777777" w:rsidR="009011A4" w:rsidRDefault="0013079F">
    <w:pPr>
      <w:pStyle w:val="Header"/>
    </w:pPr>
    <w:r>
      <w:rPr>
        <w:noProof/>
        <w:lang w:eastAsia="en-AU"/>
      </w:rPr>
      <w:drawing>
        <wp:inline distT="0" distB="0" distL="0" distR="0" wp14:anchorId="0E9AFF43" wp14:editId="4398271C">
          <wp:extent cx="5865806" cy="959485"/>
          <wp:effectExtent l="0" t="0" r="1905" b="0"/>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5806" cy="959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0C7A" w14:textId="77777777" w:rsidR="009011A4" w:rsidRDefault="009011A4" w:rsidP="009011A4">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613F6"/>
    <w:multiLevelType w:val="hybridMultilevel"/>
    <w:tmpl w:val="E7E84194"/>
    <w:lvl w:ilvl="0" w:tplc="2F648650">
      <w:start w:val="1"/>
      <w:numFmt w:val="bullet"/>
      <w:lvlText w:val="·"/>
      <w:lvlJc w:val="left"/>
      <w:pPr>
        <w:ind w:left="720" w:hanging="360"/>
      </w:pPr>
      <w:rPr>
        <w:rFonts w:ascii="Symbol" w:hAnsi="Symbol" w:hint="default"/>
      </w:rPr>
    </w:lvl>
    <w:lvl w:ilvl="1" w:tplc="35A219BE">
      <w:start w:val="1"/>
      <w:numFmt w:val="bullet"/>
      <w:lvlText w:val="o"/>
      <w:lvlJc w:val="left"/>
      <w:pPr>
        <w:ind w:left="1440" w:hanging="360"/>
      </w:pPr>
      <w:rPr>
        <w:rFonts w:ascii="Courier New" w:hAnsi="Courier New" w:hint="default"/>
      </w:rPr>
    </w:lvl>
    <w:lvl w:ilvl="2" w:tplc="177C5786">
      <w:start w:val="1"/>
      <w:numFmt w:val="bullet"/>
      <w:lvlText w:val=""/>
      <w:lvlJc w:val="left"/>
      <w:pPr>
        <w:ind w:left="2160" w:hanging="360"/>
      </w:pPr>
      <w:rPr>
        <w:rFonts w:ascii="Wingdings" w:hAnsi="Wingdings" w:hint="default"/>
      </w:rPr>
    </w:lvl>
    <w:lvl w:ilvl="3" w:tplc="29748AAC">
      <w:start w:val="1"/>
      <w:numFmt w:val="bullet"/>
      <w:lvlText w:val=""/>
      <w:lvlJc w:val="left"/>
      <w:pPr>
        <w:ind w:left="2880" w:hanging="360"/>
      </w:pPr>
      <w:rPr>
        <w:rFonts w:ascii="Symbol" w:hAnsi="Symbol" w:hint="default"/>
      </w:rPr>
    </w:lvl>
    <w:lvl w:ilvl="4" w:tplc="7DA8FB2C">
      <w:start w:val="1"/>
      <w:numFmt w:val="bullet"/>
      <w:lvlText w:val="o"/>
      <w:lvlJc w:val="left"/>
      <w:pPr>
        <w:ind w:left="3600" w:hanging="360"/>
      </w:pPr>
      <w:rPr>
        <w:rFonts w:ascii="Courier New" w:hAnsi="Courier New" w:hint="default"/>
      </w:rPr>
    </w:lvl>
    <w:lvl w:ilvl="5" w:tplc="56A8016A">
      <w:start w:val="1"/>
      <w:numFmt w:val="bullet"/>
      <w:lvlText w:val=""/>
      <w:lvlJc w:val="left"/>
      <w:pPr>
        <w:ind w:left="4320" w:hanging="360"/>
      </w:pPr>
      <w:rPr>
        <w:rFonts w:ascii="Wingdings" w:hAnsi="Wingdings" w:hint="default"/>
      </w:rPr>
    </w:lvl>
    <w:lvl w:ilvl="6" w:tplc="BB7C239A">
      <w:start w:val="1"/>
      <w:numFmt w:val="bullet"/>
      <w:lvlText w:val=""/>
      <w:lvlJc w:val="left"/>
      <w:pPr>
        <w:ind w:left="5040" w:hanging="360"/>
      </w:pPr>
      <w:rPr>
        <w:rFonts w:ascii="Symbol" w:hAnsi="Symbol" w:hint="default"/>
      </w:rPr>
    </w:lvl>
    <w:lvl w:ilvl="7" w:tplc="52A27406">
      <w:start w:val="1"/>
      <w:numFmt w:val="bullet"/>
      <w:lvlText w:val="o"/>
      <w:lvlJc w:val="left"/>
      <w:pPr>
        <w:ind w:left="5760" w:hanging="360"/>
      </w:pPr>
      <w:rPr>
        <w:rFonts w:ascii="Courier New" w:hAnsi="Courier New" w:hint="default"/>
      </w:rPr>
    </w:lvl>
    <w:lvl w:ilvl="8" w:tplc="7C1A910A">
      <w:start w:val="1"/>
      <w:numFmt w:val="bullet"/>
      <w:lvlText w:val=""/>
      <w:lvlJc w:val="left"/>
      <w:pPr>
        <w:ind w:left="6480" w:hanging="360"/>
      </w:pPr>
      <w:rPr>
        <w:rFonts w:ascii="Wingdings" w:hAnsi="Wingdings" w:hint="default"/>
      </w:rPr>
    </w:lvl>
  </w:abstractNum>
  <w:abstractNum w:abstractNumId="1" w15:restartNumberingAfterBreak="0">
    <w:nsid w:val="103D1F83"/>
    <w:multiLevelType w:val="hybridMultilevel"/>
    <w:tmpl w:val="3CE801B0"/>
    <w:lvl w:ilvl="0" w:tplc="365E3294">
      <w:start w:val="1"/>
      <w:numFmt w:val="bullet"/>
      <w:lvlText w:val=""/>
      <w:lvlJc w:val="left"/>
      <w:pPr>
        <w:ind w:left="720" w:hanging="360"/>
      </w:pPr>
      <w:rPr>
        <w:rFonts w:ascii="Symbol" w:hAnsi="Symbol" w:hint="default"/>
      </w:rPr>
    </w:lvl>
    <w:lvl w:ilvl="1" w:tplc="A956E9C0">
      <w:start w:val="1"/>
      <w:numFmt w:val="bullet"/>
      <w:lvlText w:val="o"/>
      <w:lvlJc w:val="left"/>
      <w:pPr>
        <w:ind w:left="1440" w:hanging="360"/>
      </w:pPr>
      <w:rPr>
        <w:rFonts w:ascii="Courier New" w:hAnsi="Courier New" w:hint="default"/>
      </w:rPr>
    </w:lvl>
    <w:lvl w:ilvl="2" w:tplc="202C7D9E">
      <w:start w:val="1"/>
      <w:numFmt w:val="bullet"/>
      <w:lvlText w:val=""/>
      <w:lvlJc w:val="left"/>
      <w:pPr>
        <w:ind w:left="2160" w:hanging="360"/>
      </w:pPr>
      <w:rPr>
        <w:rFonts w:ascii="Wingdings" w:hAnsi="Wingdings" w:hint="default"/>
      </w:rPr>
    </w:lvl>
    <w:lvl w:ilvl="3" w:tplc="79F8B9C8">
      <w:start w:val="1"/>
      <w:numFmt w:val="bullet"/>
      <w:lvlText w:val=""/>
      <w:lvlJc w:val="left"/>
      <w:pPr>
        <w:ind w:left="2880" w:hanging="360"/>
      </w:pPr>
      <w:rPr>
        <w:rFonts w:ascii="Symbol" w:hAnsi="Symbol" w:hint="default"/>
      </w:rPr>
    </w:lvl>
    <w:lvl w:ilvl="4" w:tplc="E4D09716">
      <w:start w:val="1"/>
      <w:numFmt w:val="bullet"/>
      <w:lvlText w:val="o"/>
      <w:lvlJc w:val="left"/>
      <w:pPr>
        <w:ind w:left="3600" w:hanging="360"/>
      </w:pPr>
      <w:rPr>
        <w:rFonts w:ascii="Courier New" w:hAnsi="Courier New" w:hint="default"/>
      </w:rPr>
    </w:lvl>
    <w:lvl w:ilvl="5" w:tplc="AFEA2D9C">
      <w:start w:val="1"/>
      <w:numFmt w:val="bullet"/>
      <w:lvlText w:val=""/>
      <w:lvlJc w:val="left"/>
      <w:pPr>
        <w:ind w:left="4320" w:hanging="360"/>
      </w:pPr>
      <w:rPr>
        <w:rFonts w:ascii="Wingdings" w:hAnsi="Wingdings" w:hint="default"/>
      </w:rPr>
    </w:lvl>
    <w:lvl w:ilvl="6" w:tplc="12EA1E8A">
      <w:start w:val="1"/>
      <w:numFmt w:val="bullet"/>
      <w:lvlText w:val=""/>
      <w:lvlJc w:val="left"/>
      <w:pPr>
        <w:ind w:left="5040" w:hanging="360"/>
      </w:pPr>
      <w:rPr>
        <w:rFonts w:ascii="Symbol" w:hAnsi="Symbol" w:hint="default"/>
      </w:rPr>
    </w:lvl>
    <w:lvl w:ilvl="7" w:tplc="1E2AA1AC">
      <w:start w:val="1"/>
      <w:numFmt w:val="bullet"/>
      <w:lvlText w:val="o"/>
      <w:lvlJc w:val="left"/>
      <w:pPr>
        <w:ind w:left="5760" w:hanging="360"/>
      </w:pPr>
      <w:rPr>
        <w:rFonts w:ascii="Courier New" w:hAnsi="Courier New" w:hint="default"/>
      </w:rPr>
    </w:lvl>
    <w:lvl w:ilvl="8" w:tplc="E78A3D58">
      <w:start w:val="1"/>
      <w:numFmt w:val="bullet"/>
      <w:lvlText w:val=""/>
      <w:lvlJc w:val="left"/>
      <w:pPr>
        <w:ind w:left="6480" w:hanging="360"/>
      </w:pPr>
      <w:rPr>
        <w:rFonts w:ascii="Wingdings" w:hAnsi="Wingdings" w:hint="default"/>
      </w:rPr>
    </w:lvl>
  </w:abstractNum>
  <w:abstractNum w:abstractNumId="2" w15:restartNumberingAfterBreak="0">
    <w:nsid w:val="1115788E"/>
    <w:multiLevelType w:val="hybridMultilevel"/>
    <w:tmpl w:val="5D0C0D3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46690"/>
    <w:multiLevelType w:val="hybridMultilevel"/>
    <w:tmpl w:val="EFDAF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2205F5"/>
    <w:multiLevelType w:val="hybridMultilevel"/>
    <w:tmpl w:val="FFFFFFFF"/>
    <w:lvl w:ilvl="0" w:tplc="7B62CC2E">
      <w:start w:val="1"/>
      <w:numFmt w:val="bullet"/>
      <w:lvlText w:val=""/>
      <w:lvlJc w:val="left"/>
      <w:pPr>
        <w:ind w:left="720" w:hanging="360"/>
      </w:pPr>
      <w:rPr>
        <w:rFonts w:ascii="Symbol" w:hAnsi="Symbol" w:hint="default"/>
      </w:rPr>
    </w:lvl>
    <w:lvl w:ilvl="1" w:tplc="ADEE0778">
      <w:start w:val="1"/>
      <w:numFmt w:val="bullet"/>
      <w:lvlText w:val="o"/>
      <w:lvlJc w:val="left"/>
      <w:pPr>
        <w:ind w:left="1440" w:hanging="360"/>
      </w:pPr>
      <w:rPr>
        <w:rFonts w:ascii="Courier New" w:hAnsi="Courier New" w:hint="default"/>
      </w:rPr>
    </w:lvl>
    <w:lvl w:ilvl="2" w:tplc="C51C401A">
      <w:start w:val="1"/>
      <w:numFmt w:val="bullet"/>
      <w:lvlText w:val=""/>
      <w:lvlJc w:val="left"/>
      <w:pPr>
        <w:ind w:left="2160" w:hanging="360"/>
      </w:pPr>
      <w:rPr>
        <w:rFonts w:ascii="Wingdings" w:hAnsi="Wingdings" w:hint="default"/>
      </w:rPr>
    </w:lvl>
    <w:lvl w:ilvl="3" w:tplc="7820E43E">
      <w:start w:val="1"/>
      <w:numFmt w:val="bullet"/>
      <w:lvlText w:val=""/>
      <w:lvlJc w:val="left"/>
      <w:pPr>
        <w:ind w:left="2880" w:hanging="360"/>
      </w:pPr>
      <w:rPr>
        <w:rFonts w:ascii="Symbol" w:hAnsi="Symbol" w:hint="default"/>
      </w:rPr>
    </w:lvl>
    <w:lvl w:ilvl="4" w:tplc="B42EF554">
      <w:start w:val="1"/>
      <w:numFmt w:val="bullet"/>
      <w:lvlText w:val="o"/>
      <w:lvlJc w:val="left"/>
      <w:pPr>
        <w:ind w:left="3600" w:hanging="360"/>
      </w:pPr>
      <w:rPr>
        <w:rFonts w:ascii="Courier New" w:hAnsi="Courier New" w:hint="default"/>
      </w:rPr>
    </w:lvl>
    <w:lvl w:ilvl="5" w:tplc="1E0AD1CC">
      <w:start w:val="1"/>
      <w:numFmt w:val="bullet"/>
      <w:lvlText w:val=""/>
      <w:lvlJc w:val="left"/>
      <w:pPr>
        <w:ind w:left="4320" w:hanging="360"/>
      </w:pPr>
      <w:rPr>
        <w:rFonts w:ascii="Wingdings" w:hAnsi="Wingdings" w:hint="default"/>
      </w:rPr>
    </w:lvl>
    <w:lvl w:ilvl="6" w:tplc="F866F444">
      <w:start w:val="1"/>
      <w:numFmt w:val="bullet"/>
      <w:lvlText w:val=""/>
      <w:lvlJc w:val="left"/>
      <w:pPr>
        <w:ind w:left="5040" w:hanging="360"/>
      </w:pPr>
      <w:rPr>
        <w:rFonts w:ascii="Symbol" w:hAnsi="Symbol" w:hint="default"/>
      </w:rPr>
    </w:lvl>
    <w:lvl w:ilvl="7" w:tplc="844851B6">
      <w:start w:val="1"/>
      <w:numFmt w:val="bullet"/>
      <w:lvlText w:val="o"/>
      <w:lvlJc w:val="left"/>
      <w:pPr>
        <w:ind w:left="5760" w:hanging="360"/>
      </w:pPr>
      <w:rPr>
        <w:rFonts w:ascii="Courier New" w:hAnsi="Courier New" w:hint="default"/>
      </w:rPr>
    </w:lvl>
    <w:lvl w:ilvl="8" w:tplc="49DAA634">
      <w:start w:val="1"/>
      <w:numFmt w:val="bullet"/>
      <w:lvlText w:val=""/>
      <w:lvlJc w:val="left"/>
      <w:pPr>
        <w:ind w:left="6480" w:hanging="360"/>
      </w:pPr>
      <w:rPr>
        <w:rFonts w:ascii="Wingdings" w:hAnsi="Wingdings" w:hint="default"/>
      </w:rPr>
    </w:lvl>
  </w:abstractNum>
  <w:abstractNum w:abstractNumId="6" w15:restartNumberingAfterBreak="0">
    <w:nsid w:val="1BD160DA"/>
    <w:multiLevelType w:val="hybridMultilevel"/>
    <w:tmpl w:val="901C1406"/>
    <w:lvl w:ilvl="0" w:tplc="6E6ECB02">
      <w:start w:val="1"/>
      <w:numFmt w:val="bullet"/>
      <w:lvlText w:val=""/>
      <w:lvlJc w:val="left"/>
      <w:pPr>
        <w:ind w:left="720" w:hanging="360"/>
      </w:pPr>
      <w:rPr>
        <w:rFonts w:ascii="Symbol" w:hAnsi="Symbol" w:hint="default"/>
      </w:rPr>
    </w:lvl>
    <w:lvl w:ilvl="1" w:tplc="88BAAED6">
      <w:start w:val="1"/>
      <w:numFmt w:val="bullet"/>
      <w:lvlText w:val="o"/>
      <w:lvlJc w:val="left"/>
      <w:pPr>
        <w:ind w:left="1440" w:hanging="360"/>
      </w:pPr>
      <w:rPr>
        <w:rFonts w:ascii="Courier New" w:hAnsi="Courier New" w:hint="default"/>
      </w:rPr>
    </w:lvl>
    <w:lvl w:ilvl="2" w:tplc="B568FA26">
      <w:start w:val="1"/>
      <w:numFmt w:val="bullet"/>
      <w:lvlText w:val=""/>
      <w:lvlJc w:val="left"/>
      <w:pPr>
        <w:ind w:left="2160" w:hanging="360"/>
      </w:pPr>
      <w:rPr>
        <w:rFonts w:ascii="Wingdings" w:hAnsi="Wingdings" w:hint="default"/>
      </w:rPr>
    </w:lvl>
    <w:lvl w:ilvl="3" w:tplc="19E483FA">
      <w:start w:val="1"/>
      <w:numFmt w:val="bullet"/>
      <w:lvlText w:val=""/>
      <w:lvlJc w:val="left"/>
      <w:pPr>
        <w:ind w:left="2880" w:hanging="360"/>
      </w:pPr>
      <w:rPr>
        <w:rFonts w:ascii="Symbol" w:hAnsi="Symbol" w:hint="default"/>
      </w:rPr>
    </w:lvl>
    <w:lvl w:ilvl="4" w:tplc="84AAE284">
      <w:start w:val="1"/>
      <w:numFmt w:val="bullet"/>
      <w:lvlText w:val="o"/>
      <w:lvlJc w:val="left"/>
      <w:pPr>
        <w:ind w:left="3600" w:hanging="360"/>
      </w:pPr>
      <w:rPr>
        <w:rFonts w:ascii="Courier New" w:hAnsi="Courier New" w:hint="default"/>
      </w:rPr>
    </w:lvl>
    <w:lvl w:ilvl="5" w:tplc="8B84DF7A">
      <w:start w:val="1"/>
      <w:numFmt w:val="bullet"/>
      <w:lvlText w:val=""/>
      <w:lvlJc w:val="left"/>
      <w:pPr>
        <w:ind w:left="4320" w:hanging="360"/>
      </w:pPr>
      <w:rPr>
        <w:rFonts w:ascii="Wingdings" w:hAnsi="Wingdings" w:hint="default"/>
      </w:rPr>
    </w:lvl>
    <w:lvl w:ilvl="6" w:tplc="E44CF7C2">
      <w:start w:val="1"/>
      <w:numFmt w:val="bullet"/>
      <w:lvlText w:val=""/>
      <w:lvlJc w:val="left"/>
      <w:pPr>
        <w:ind w:left="5040" w:hanging="360"/>
      </w:pPr>
      <w:rPr>
        <w:rFonts w:ascii="Symbol" w:hAnsi="Symbol" w:hint="default"/>
      </w:rPr>
    </w:lvl>
    <w:lvl w:ilvl="7" w:tplc="71C292BE">
      <w:start w:val="1"/>
      <w:numFmt w:val="bullet"/>
      <w:lvlText w:val="o"/>
      <w:lvlJc w:val="left"/>
      <w:pPr>
        <w:ind w:left="5760" w:hanging="360"/>
      </w:pPr>
      <w:rPr>
        <w:rFonts w:ascii="Courier New" w:hAnsi="Courier New" w:hint="default"/>
      </w:rPr>
    </w:lvl>
    <w:lvl w:ilvl="8" w:tplc="07C6BBC2">
      <w:start w:val="1"/>
      <w:numFmt w:val="bullet"/>
      <w:lvlText w:val=""/>
      <w:lvlJc w:val="left"/>
      <w:pPr>
        <w:ind w:left="6480" w:hanging="360"/>
      </w:pPr>
      <w:rPr>
        <w:rFonts w:ascii="Wingdings" w:hAnsi="Wingdings" w:hint="default"/>
      </w:rPr>
    </w:lvl>
  </w:abstractNum>
  <w:abstractNum w:abstractNumId="7" w15:restartNumberingAfterBreak="0">
    <w:nsid w:val="1C867D22"/>
    <w:multiLevelType w:val="hybridMultilevel"/>
    <w:tmpl w:val="1AEAD8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F6B48FD"/>
    <w:multiLevelType w:val="hybridMultilevel"/>
    <w:tmpl w:val="EBE2FCF0"/>
    <w:lvl w:ilvl="0" w:tplc="AD52D32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435101E"/>
    <w:multiLevelType w:val="hybridMultilevel"/>
    <w:tmpl w:val="0602C272"/>
    <w:lvl w:ilvl="0" w:tplc="3D009CE4">
      <w:start w:val="1"/>
      <w:numFmt w:val="bullet"/>
      <w:lvlText w:val=""/>
      <w:lvlJc w:val="left"/>
      <w:pPr>
        <w:ind w:left="720" w:hanging="360"/>
      </w:pPr>
      <w:rPr>
        <w:rFonts w:ascii="Symbol" w:hAnsi="Symbol" w:hint="default"/>
      </w:rPr>
    </w:lvl>
    <w:lvl w:ilvl="1" w:tplc="85023E6E">
      <w:start w:val="1"/>
      <w:numFmt w:val="bullet"/>
      <w:lvlText w:val="o"/>
      <w:lvlJc w:val="left"/>
      <w:pPr>
        <w:ind w:left="1440" w:hanging="360"/>
      </w:pPr>
      <w:rPr>
        <w:rFonts w:ascii="Courier New" w:hAnsi="Courier New" w:hint="default"/>
      </w:rPr>
    </w:lvl>
    <w:lvl w:ilvl="2" w:tplc="9190EBE4">
      <w:start w:val="1"/>
      <w:numFmt w:val="bullet"/>
      <w:lvlText w:val=""/>
      <w:lvlJc w:val="left"/>
      <w:pPr>
        <w:ind w:left="2160" w:hanging="360"/>
      </w:pPr>
      <w:rPr>
        <w:rFonts w:ascii="Wingdings" w:hAnsi="Wingdings" w:hint="default"/>
      </w:rPr>
    </w:lvl>
    <w:lvl w:ilvl="3" w:tplc="1F149D70">
      <w:start w:val="1"/>
      <w:numFmt w:val="bullet"/>
      <w:lvlText w:val=""/>
      <w:lvlJc w:val="left"/>
      <w:pPr>
        <w:ind w:left="2880" w:hanging="360"/>
      </w:pPr>
      <w:rPr>
        <w:rFonts w:ascii="Symbol" w:hAnsi="Symbol" w:hint="default"/>
      </w:rPr>
    </w:lvl>
    <w:lvl w:ilvl="4" w:tplc="4B78A9A8">
      <w:start w:val="1"/>
      <w:numFmt w:val="bullet"/>
      <w:lvlText w:val="o"/>
      <w:lvlJc w:val="left"/>
      <w:pPr>
        <w:ind w:left="3600" w:hanging="360"/>
      </w:pPr>
      <w:rPr>
        <w:rFonts w:ascii="Courier New" w:hAnsi="Courier New" w:hint="default"/>
      </w:rPr>
    </w:lvl>
    <w:lvl w:ilvl="5" w:tplc="210C2FDA">
      <w:start w:val="1"/>
      <w:numFmt w:val="bullet"/>
      <w:lvlText w:val=""/>
      <w:lvlJc w:val="left"/>
      <w:pPr>
        <w:ind w:left="4320" w:hanging="360"/>
      </w:pPr>
      <w:rPr>
        <w:rFonts w:ascii="Wingdings" w:hAnsi="Wingdings" w:hint="default"/>
      </w:rPr>
    </w:lvl>
    <w:lvl w:ilvl="6" w:tplc="353EDB76">
      <w:start w:val="1"/>
      <w:numFmt w:val="bullet"/>
      <w:lvlText w:val=""/>
      <w:lvlJc w:val="left"/>
      <w:pPr>
        <w:ind w:left="5040" w:hanging="360"/>
      </w:pPr>
      <w:rPr>
        <w:rFonts w:ascii="Symbol" w:hAnsi="Symbol" w:hint="default"/>
      </w:rPr>
    </w:lvl>
    <w:lvl w:ilvl="7" w:tplc="E3C8F102">
      <w:start w:val="1"/>
      <w:numFmt w:val="bullet"/>
      <w:lvlText w:val="o"/>
      <w:lvlJc w:val="left"/>
      <w:pPr>
        <w:ind w:left="5760" w:hanging="360"/>
      </w:pPr>
      <w:rPr>
        <w:rFonts w:ascii="Courier New" w:hAnsi="Courier New" w:hint="default"/>
      </w:rPr>
    </w:lvl>
    <w:lvl w:ilvl="8" w:tplc="9DC05BD0">
      <w:start w:val="1"/>
      <w:numFmt w:val="bullet"/>
      <w:lvlText w:val=""/>
      <w:lvlJc w:val="left"/>
      <w:pPr>
        <w:ind w:left="6480" w:hanging="360"/>
      </w:pPr>
      <w:rPr>
        <w:rFonts w:ascii="Wingdings" w:hAnsi="Wingdings" w:hint="default"/>
      </w:rPr>
    </w:lvl>
  </w:abstractNum>
  <w:abstractNum w:abstractNumId="10" w15:restartNumberingAfterBreak="0">
    <w:nsid w:val="3D3C6854"/>
    <w:multiLevelType w:val="hybridMultilevel"/>
    <w:tmpl w:val="55AE7FEE"/>
    <w:lvl w:ilvl="0" w:tplc="587AB17C">
      <w:start w:val="1"/>
      <w:numFmt w:val="bullet"/>
      <w:lvlText w:val=""/>
      <w:lvlJc w:val="left"/>
      <w:pPr>
        <w:ind w:left="720" w:hanging="360"/>
      </w:pPr>
      <w:rPr>
        <w:rFonts w:ascii="Symbol" w:hAnsi="Symbol" w:hint="default"/>
      </w:rPr>
    </w:lvl>
    <w:lvl w:ilvl="1" w:tplc="7D1C0FF4">
      <w:start w:val="1"/>
      <w:numFmt w:val="bullet"/>
      <w:lvlText w:val="o"/>
      <w:lvlJc w:val="left"/>
      <w:pPr>
        <w:ind w:left="1440" w:hanging="360"/>
      </w:pPr>
      <w:rPr>
        <w:rFonts w:ascii="Courier New" w:hAnsi="Courier New" w:hint="default"/>
      </w:rPr>
    </w:lvl>
    <w:lvl w:ilvl="2" w:tplc="765E90F0">
      <w:start w:val="1"/>
      <w:numFmt w:val="bullet"/>
      <w:lvlText w:val=""/>
      <w:lvlJc w:val="left"/>
      <w:pPr>
        <w:ind w:left="2160" w:hanging="360"/>
      </w:pPr>
      <w:rPr>
        <w:rFonts w:ascii="Wingdings" w:hAnsi="Wingdings" w:hint="default"/>
      </w:rPr>
    </w:lvl>
    <w:lvl w:ilvl="3" w:tplc="C67C04A0">
      <w:start w:val="1"/>
      <w:numFmt w:val="bullet"/>
      <w:lvlText w:val=""/>
      <w:lvlJc w:val="left"/>
      <w:pPr>
        <w:ind w:left="2880" w:hanging="360"/>
      </w:pPr>
      <w:rPr>
        <w:rFonts w:ascii="Symbol" w:hAnsi="Symbol" w:hint="default"/>
      </w:rPr>
    </w:lvl>
    <w:lvl w:ilvl="4" w:tplc="B2C85AC2">
      <w:start w:val="1"/>
      <w:numFmt w:val="bullet"/>
      <w:lvlText w:val="o"/>
      <w:lvlJc w:val="left"/>
      <w:pPr>
        <w:ind w:left="3600" w:hanging="360"/>
      </w:pPr>
      <w:rPr>
        <w:rFonts w:ascii="Courier New" w:hAnsi="Courier New" w:hint="default"/>
      </w:rPr>
    </w:lvl>
    <w:lvl w:ilvl="5" w:tplc="49EAE768">
      <w:start w:val="1"/>
      <w:numFmt w:val="bullet"/>
      <w:lvlText w:val=""/>
      <w:lvlJc w:val="left"/>
      <w:pPr>
        <w:ind w:left="4320" w:hanging="360"/>
      </w:pPr>
      <w:rPr>
        <w:rFonts w:ascii="Wingdings" w:hAnsi="Wingdings" w:hint="default"/>
      </w:rPr>
    </w:lvl>
    <w:lvl w:ilvl="6" w:tplc="3E62A9FE">
      <w:start w:val="1"/>
      <w:numFmt w:val="bullet"/>
      <w:lvlText w:val=""/>
      <w:lvlJc w:val="left"/>
      <w:pPr>
        <w:ind w:left="5040" w:hanging="360"/>
      </w:pPr>
      <w:rPr>
        <w:rFonts w:ascii="Symbol" w:hAnsi="Symbol" w:hint="default"/>
      </w:rPr>
    </w:lvl>
    <w:lvl w:ilvl="7" w:tplc="2236FA7A">
      <w:start w:val="1"/>
      <w:numFmt w:val="bullet"/>
      <w:lvlText w:val="o"/>
      <w:lvlJc w:val="left"/>
      <w:pPr>
        <w:ind w:left="5760" w:hanging="360"/>
      </w:pPr>
      <w:rPr>
        <w:rFonts w:ascii="Courier New" w:hAnsi="Courier New" w:hint="default"/>
      </w:rPr>
    </w:lvl>
    <w:lvl w:ilvl="8" w:tplc="D78A672C">
      <w:start w:val="1"/>
      <w:numFmt w:val="bullet"/>
      <w:lvlText w:val=""/>
      <w:lvlJc w:val="left"/>
      <w:pPr>
        <w:ind w:left="6480" w:hanging="360"/>
      </w:pPr>
      <w:rPr>
        <w:rFonts w:ascii="Wingdings" w:hAnsi="Wingdings" w:hint="default"/>
      </w:rPr>
    </w:lvl>
  </w:abstractNum>
  <w:abstractNum w:abstractNumId="11" w15:restartNumberingAfterBreak="0">
    <w:nsid w:val="41E23EF1"/>
    <w:multiLevelType w:val="hybridMultilevel"/>
    <w:tmpl w:val="83E2DC32"/>
    <w:lvl w:ilvl="0" w:tplc="FB4A09CC">
      <w:start w:val="23"/>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3A08E3"/>
    <w:multiLevelType w:val="hybridMultilevel"/>
    <w:tmpl w:val="54444166"/>
    <w:lvl w:ilvl="0" w:tplc="73F26D94">
      <w:start w:val="1"/>
      <w:numFmt w:val="bullet"/>
      <w:lvlText w:val=""/>
      <w:lvlJc w:val="left"/>
      <w:pPr>
        <w:ind w:left="720" w:hanging="360"/>
      </w:pPr>
      <w:rPr>
        <w:rFonts w:ascii="Symbol" w:hAnsi="Symbol" w:hint="default"/>
      </w:rPr>
    </w:lvl>
    <w:lvl w:ilvl="1" w:tplc="2AF8F860">
      <w:start w:val="1"/>
      <w:numFmt w:val="bullet"/>
      <w:lvlText w:val="o"/>
      <w:lvlJc w:val="left"/>
      <w:pPr>
        <w:ind w:left="1440" w:hanging="360"/>
      </w:pPr>
      <w:rPr>
        <w:rFonts w:ascii="Courier New" w:hAnsi="Courier New" w:hint="default"/>
      </w:rPr>
    </w:lvl>
    <w:lvl w:ilvl="2" w:tplc="16B0A6DE">
      <w:start w:val="1"/>
      <w:numFmt w:val="bullet"/>
      <w:lvlText w:val=""/>
      <w:lvlJc w:val="left"/>
      <w:pPr>
        <w:ind w:left="2160" w:hanging="360"/>
      </w:pPr>
      <w:rPr>
        <w:rFonts w:ascii="Wingdings" w:hAnsi="Wingdings" w:hint="default"/>
      </w:rPr>
    </w:lvl>
    <w:lvl w:ilvl="3" w:tplc="1222F07C">
      <w:start w:val="1"/>
      <w:numFmt w:val="bullet"/>
      <w:lvlText w:val=""/>
      <w:lvlJc w:val="left"/>
      <w:pPr>
        <w:ind w:left="2880" w:hanging="360"/>
      </w:pPr>
      <w:rPr>
        <w:rFonts w:ascii="Symbol" w:hAnsi="Symbol" w:hint="default"/>
      </w:rPr>
    </w:lvl>
    <w:lvl w:ilvl="4" w:tplc="6854CDC8">
      <w:start w:val="1"/>
      <w:numFmt w:val="bullet"/>
      <w:lvlText w:val="o"/>
      <w:lvlJc w:val="left"/>
      <w:pPr>
        <w:ind w:left="3600" w:hanging="360"/>
      </w:pPr>
      <w:rPr>
        <w:rFonts w:ascii="Courier New" w:hAnsi="Courier New" w:hint="default"/>
      </w:rPr>
    </w:lvl>
    <w:lvl w:ilvl="5" w:tplc="EE20E4D2">
      <w:start w:val="1"/>
      <w:numFmt w:val="bullet"/>
      <w:lvlText w:val=""/>
      <w:lvlJc w:val="left"/>
      <w:pPr>
        <w:ind w:left="4320" w:hanging="360"/>
      </w:pPr>
      <w:rPr>
        <w:rFonts w:ascii="Wingdings" w:hAnsi="Wingdings" w:hint="default"/>
      </w:rPr>
    </w:lvl>
    <w:lvl w:ilvl="6" w:tplc="E1D06516">
      <w:start w:val="1"/>
      <w:numFmt w:val="bullet"/>
      <w:lvlText w:val=""/>
      <w:lvlJc w:val="left"/>
      <w:pPr>
        <w:ind w:left="5040" w:hanging="360"/>
      </w:pPr>
      <w:rPr>
        <w:rFonts w:ascii="Symbol" w:hAnsi="Symbol" w:hint="default"/>
      </w:rPr>
    </w:lvl>
    <w:lvl w:ilvl="7" w:tplc="5750153E">
      <w:start w:val="1"/>
      <w:numFmt w:val="bullet"/>
      <w:lvlText w:val="o"/>
      <w:lvlJc w:val="left"/>
      <w:pPr>
        <w:ind w:left="5760" w:hanging="360"/>
      </w:pPr>
      <w:rPr>
        <w:rFonts w:ascii="Courier New" w:hAnsi="Courier New" w:hint="default"/>
      </w:rPr>
    </w:lvl>
    <w:lvl w:ilvl="8" w:tplc="7224575A">
      <w:start w:val="1"/>
      <w:numFmt w:val="bullet"/>
      <w:lvlText w:val=""/>
      <w:lvlJc w:val="left"/>
      <w:pPr>
        <w:ind w:left="6480" w:hanging="360"/>
      </w:pPr>
      <w:rPr>
        <w:rFonts w:ascii="Wingdings" w:hAnsi="Wingdings" w:hint="default"/>
      </w:rPr>
    </w:lvl>
  </w:abstractNum>
  <w:abstractNum w:abstractNumId="13" w15:restartNumberingAfterBreak="0">
    <w:nsid w:val="4F582CA4"/>
    <w:multiLevelType w:val="hybridMultilevel"/>
    <w:tmpl w:val="BA18AAE0"/>
    <w:lvl w:ilvl="0" w:tplc="D8222706">
      <w:start w:val="1"/>
      <w:numFmt w:val="bullet"/>
      <w:lvlText w:val=""/>
      <w:lvlJc w:val="left"/>
      <w:pPr>
        <w:ind w:left="720" w:hanging="360"/>
      </w:pPr>
      <w:rPr>
        <w:rFonts w:ascii="Symbol" w:hAnsi="Symbol" w:hint="default"/>
      </w:rPr>
    </w:lvl>
    <w:lvl w:ilvl="1" w:tplc="63A2B300">
      <w:start w:val="1"/>
      <w:numFmt w:val="bullet"/>
      <w:lvlText w:val="o"/>
      <w:lvlJc w:val="left"/>
      <w:pPr>
        <w:ind w:left="1440" w:hanging="360"/>
      </w:pPr>
      <w:rPr>
        <w:rFonts w:ascii="Courier New" w:hAnsi="Courier New" w:hint="default"/>
      </w:rPr>
    </w:lvl>
    <w:lvl w:ilvl="2" w:tplc="B4964F7E">
      <w:start w:val="1"/>
      <w:numFmt w:val="bullet"/>
      <w:lvlText w:val=""/>
      <w:lvlJc w:val="left"/>
      <w:pPr>
        <w:ind w:left="2160" w:hanging="360"/>
      </w:pPr>
      <w:rPr>
        <w:rFonts w:ascii="Wingdings" w:hAnsi="Wingdings" w:hint="default"/>
      </w:rPr>
    </w:lvl>
    <w:lvl w:ilvl="3" w:tplc="FDECF490">
      <w:start w:val="1"/>
      <w:numFmt w:val="bullet"/>
      <w:lvlText w:val=""/>
      <w:lvlJc w:val="left"/>
      <w:pPr>
        <w:ind w:left="2880" w:hanging="360"/>
      </w:pPr>
      <w:rPr>
        <w:rFonts w:ascii="Symbol" w:hAnsi="Symbol" w:hint="default"/>
      </w:rPr>
    </w:lvl>
    <w:lvl w:ilvl="4" w:tplc="F5E4ECFA">
      <w:start w:val="1"/>
      <w:numFmt w:val="bullet"/>
      <w:lvlText w:val="o"/>
      <w:lvlJc w:val="left"/>
      <w:pPr>
        <w:ind w:left="3600" w:hanging="360"/>
      </w:pPr>
      <w:rPr>
        <w:rFonts w:ascii="Courier New" w:hAnsi="Courier New" w:hint="default"/>
      </w:rPr>
    </w:lvl>
    <w:lvl w:ilvl="5" w:tplc="B5AAC6F0">
      <w:start w:val="1"/>
      <w:numFmt w:val="bullet"/>
      <w:lvlText w:val=""/>
      <w:lvlJc w:val="left"/>
      <w:pPr>
        <w:ind w:left="4320" w:hanging="360"/>
      </w:pPr>
      <w:rPr>
        <w:rFonts w:ascii="Wingdings" w:hAnsi="Wingdings" w:hint="default"/>
      </w:rPr>
    </w:lvl>
    <w:lvl w:ilvl="6" w:tplc="793EC106">
      <w:start w:val="1"/>
      <w:numFmt w:val="bullet"/>
      <w:lvlText w:val=""/>
      <w:lvlJc w:val="left"/>
      <w:pPr>
        <w:ind w:left="5040" w:hanging="360"/>
      </w:pPr>
      <w:rPr>
        <w:rFonts w:ascii="Symbol" w:hAnsi="Symbol" w:hint="default"/>
      </w:rPr>
    </w:lvl>
    <w:lvl w:ilvl="7" w:tplc="97065148">
      <w:start w:val="1"/>
      <w:numFmt w:val="bullet"/>
      <w:lvlText w:val="o"/>
      <w:lvlJc w:val="left"/>
      <w:pPr>
        <w:ind w:left="5760" w:hanging="360"/>
      </w:pPr>
      <w:rPr>
        <w:rFonts w:ascii="Courier New" w:hAnsi="Courier New" w:hint="default"/>
      </w:rPr>
    </w:lvl>
    <w:lvl w:ilvl="8" w:tplc="CCCC30BE">
      <w:start w:val="1"/>
      <w:numFmt w:val="bullet"/>
      <w:lvlText w:val=""/>
      <w:lvlJc w:val="left"/>
      <w:pPr>
        <w:ind w:left="6480" w:hanging="360"/>
      </w:pPr>
      <w:rPr>
        <w:rFonts w:ascii="Wingdings" w:hAnsi="Wingdings" w:hint="default"/>
      </w:rPr>
    </w:lvl>
  </w:abstractNum>
  <w:abstractNum w:abstractNumId="14" w15:restartNumberingAfterBreak="0">
    <w:nsid w:val="53436820"/>
    <w:multiLevelType w:val="hybridMultilevel"/>
    <w:tmpl w:val="CF5C9A94"/>
    <w:lvl w:ilvl="0" w:tplc="94F4ED78">
      <w:start w:val="1"/>
      <w:numFmt w:val="bullet"/>
      <w:lvlText w:val=""/>
      <w:lvlJc w:val="left"/>
      <w:pPr>
        <w:ind w:left="720" w:hanging="360"/>
      </w:pPr>
      <w:rPr>
        <w:rFonts w:ascii="Symbol" w:hAnsi="Symbol" w:hint="default"/>
      </w:rPr>
    </w:lvl>
    <w:lvl w:ilvl="1" w:tplc="CF629374">
      <w:start w:val="1"/>
      <w:numFmt w:val="bullet"/>
      <w:lvlText w:val="o"/>
      <w:lvlJc w:val="left"/>
      <w:pPr>
        <w:ind w:left="1440" w:hanging="360"/>
      </w:pPr>
      <w:rPr>
        <w:rFonts w:ascii="Courier New" w:hAnsi="Courier New" w:hint="default"/>
      </w:rPr>
    </w:lvl>
    <w:lvl w:ilvl="2" w:tplc="4F96ADC6">
      <w:start w:val="1"/>
      <w:numFmt w:val="bullet"/>
      <w:lvlText w:val=""/>
      <w:lvlJc w:val="left"/>
      <w:pPr>
        <w:ind w:left="2160" w:hanging="360"/>
      </w:pPr>
      <w:rPr>
        <w:rFonts w:ascii="Wingdings" w:hAnsi="Wingdings" w:hint="default"/>
      </w:rPr>
    </w:lvl>
    <w:lvl w:ilvl="3" w:tplc="28FCACE6">
      <w:start w:val="1"/>
      <w:numFmt w:val="bullet"/>
      <w:lvlText w:val=""/>
      <w:lvlJc w:val="left"/>
      <w:pPr>
        <w:ind w:left="2880" w:hanging="360"/>
      </w:pPr>
      <w:rPr>
        <w:rFonts w:ascii="Symbol" w:hAnsi="Symbol" w:hint="default"/>
      </w:rPr>
    </w:lvl>
    <w:lvl w:ilvl="4" w:tplc="91BE8EDA">
      <w:start w:val="1"/>
      <w:numFmt w:val="bullet"/>
      <w:lvlText w:val="o"/>
      <w:lvlJc w:val="left"/>
      <w:pPr>
        <w:ind w:left="3600" w:hanging="360"/>
      </w:pPr>
      <w:rPr>
        <w:rFonts w:ascii="Courier New" w:hAnsi="Courier New" w:hint="default"/>
      </w:rPr>
    </w:lvl>
    <w:lvl w:ilvl="5" w:tplc="D05E26C8">
      <w:start w:val="1"/>
      <w:numFmt w:val="bullet"/>
      <w:lvlText w:val=""/>
      <w:lvlJc w:val="left"/>
      <w:pPr>
        <w:ind w:left="4320" w:hanging="360"/>
      </w:pPr>
      <w:rPr>
        <w:rFonts w:ascii="Wingdings" w:hAnsi="Wingdings" w:hint="default"/>
      </w:rPr>
    </w:lvl>
    <w:lvl w:ilvl="6" w:tplc="356CC0A2">
      <w:start w:val="1"/>
      <w:numFmt w:val="bullet"/>
      <w:lvlText w:val=""/>
      <w:lvlJc w:val="left"/>
      <w:pPr>
        <w:ind w:left="5040" w:hanging="360"/>
      </w:pPr>
      <w:rPr>
        <w:rFonts w:ascii="Symbol" w:hAnsi="Symbol" w:hint="default"/>
      </w:rPr>
    </w:lvl>
    <w:lvl w:ilvl="7" w:tplc="89D6546C">
      <w:start w:val="1"/>
      <w:numFmt w:val="bullet"/>
      <w:lvlText w:val="o"/>
      <w:lvlJc w:val="left"/>
      <w:pPr>
        <w:ind w:left="5760" w:hanging="360"/>
      </w:pPr>
      <w:rPr>
        <w:rFonts w:ascii="Courier New" w:hAnsi="Courier New" w:hint="default"/>
      </w:rPr>
    </w:lvl>
    <w:lvl w:ilvl="8" w:tplc="2B223F0C">
      <w:start w:val="1"/>
      <w:numFmt w:val="bullet"/>
      <w:lvlText w:val=""/>
      <w:lvlJc w:val="left"/>
      <w:pPr>
        <w:ind w:left="6480" w:hanging="360"/>
      </w:pPr>
      <w:rPr>
        <w:rFonts w:ascii="Wingdings" w:hAnsi="Wingdings" w:hint="default"/>
      </w:rPr>
    </w:lvl>
  </w:abstractNum>
  <w:abstractNum w:abstractNumId="15" w15:restartNumberingAfterBreak="0">
    <w:nsid w:val="675B4D4A"/>
    <w:multiLevelType w:val="hybridMultilevel"/>
    <w:tmpl w:val="CEF4E72C"/>
    <w:lvl w:ilvl="0" w:tplc="34C2418E">
      <w:start w:val="1"/>
      <w:numFmt w:val="bullet"/>
      <w:lvlText w:val=""/>
      <w:lvlJc w:val="left"/>
      <w:pPr>
        <w:ind w:left="720" w:hanging="360"/>
      </w:pPr>
      <w:rPr>
        <w:rFonts w:ascii="Symbol" w:hAnsi="Symbol" w:hint="default"/>
      </w:rPr>
    </w:lvl>
    <w:lvl w:ilvl="1" w:tplc="2EB06814">
      <w:start w:val="1"/>
      <w:numFmt w:val="bullet"/>
      <w:lvlText w:val="o"/>
      <w:lvlJc w:val="left"/>
      <w:pPr>
        <w:ind w:left="1440" w:hanging="360"/>
      </w:pPr>
      <w:rPr>
        <w:rFonts w:ascii="Courier New" w:hAnsi="Courier New" w:hint="default"/>
      </w:rPr>
    </w:lvl>
    <w:lvl w:ilvl="2" w:tplc="2842B926">
      <w:start w:val="1"/>
      <w:numFmt w:val="bullet"/>
      <w:lvlText w:val=""/>
      <w:lvlJc w:val="left"/>
      <w:pPr>
        <w:ind w:left="2160" w:hanging="360"/>
      </w:pPr>
      <w:rPr>
        <w:rFonts w:ascii="Wingdings" w:hAnsi="Wingdings" w:hint="default"/>
      </w:rPr>
    </w:lvl>
    <w:lvl w:ilvl="3" w:tplc="7D267DAE">
      <w:start w:val="1"/>
      <w:numFmt w:val="bullet"/>
      <w:lvlText w:val=""/>
      <w:lvlJc w:val="left"/>
      <w:pPr>
        <w:ind w:left="2880" w:hanging="360"/>
      </w:pPr>
      <w:rPr>
        <w:rFonts w:ascii="Symbol" w:hAnsi="Symbol" w:hint="default"/>
      </w:rPr>
    </w:lvl>
    <w:lvl w:ilvl="4" w:tplc="E792741A">
      <w:start w:val="1"/>
      <w:numFmt w:val="bullet"/>
      <w:lvlText w:val="o"/>
      <w:lvlJc w:val="left"/>
      <w:pPr>
        <w:ind w:left="3600" w:hanging="360"/>
      </w:pPr>
      <w:rPr>
        <w:rFonts w:ascii="Courier New" w:hAnsi="Courier New" w:hint="default"/>
      </w:rPr>
    </w:lvl>
    <w:lvl w:ilvl="5" w:tplc="A45CCD2E">
      <w:start w:val="1"/>
      <w:numFmt w:val="bullet"/>
      <w:lvlText w:val=""/>
      <w:lvlJc w:val="left"/>
      <w:pPr>
        <w:ind w:left="4320" w:hanging="360"/>
      </w:pPr>
      <w:rPr>
        <w:rFonts w:ascii="Wingdings" w:hAnsi="Wingdings" w:hint="default"/>
      </w:rPr>
    </w:lvl>
    <w:lvl w:ilvl="6" w:tplc="E610A036">
      <w:start w:val="1"/>
      <w:numFmt w:val="bullet"/>
      <w:lvlText w:val=""/>
      <w:lvlJc w:val="left"/>
      <w:pPr>
        <w:ind w:left="5040" w:hanging="360"/>
      </w:pPr>
      <w:rPr>
        <w:rFonts w:ascii="Symbol" w:hAnsi="Symbol" w:hint="default"/>
      </w:rPr>
    </w:lvl>
    <w:lvl w:ilvl="7" w:tplc="DAE06D68">
      <w:start w:val="1"/>
      <w:numFmt w:val="bullet"/>
      <w:lvlText w:val="o"/>
      <w:lvlJc w:val="left"/>
      <w:pPr>
        <w:ind w:left="5760" w:hanging="360"/>
      </w:pPr>
      <w:rPr>
        <w:rFonts w:ascii="Courier New" w:hAnsi="Courier New" w:hint="default"/>
      </w:rPr>
    </w:lvl>
    <w:lvl w:ilvl="8" w:tplc="A9CC84F2">
      <w:start w:val="1"/>
      <w:numFmt w:val="bullet"/>
      <w:lvlText w:val=""/>
      <w:lvlJc w:val="left"/>
      <w:pPr>
        <w:ind w:left="6480" w:hanging="360"/>
      </w:pPr>
      <w:rPr>
        <w:rFonts w:ascii="Wingdings" w:hAnsi="Wingdings" w:hint="default"/>
      </w:rPr>
    </w:lvl>
  </w:abstractNum>
  <w:abstractNum w:abstractNumId="16" w15:restartNumberingAfterBreak="0">
    <w:nsid w:val="74E003A2"/>
    <w:multiLevelType w:val="hybridMultilevel"/>
    <w:tmpl w:val="F9DAAB68"/>
    <w:lvl w:ilvl="0" w:tplc="44E09F90">
      <w:start w:val="1"/>
      <w:numFmt w:val="bullet"/>
      <w:lvlText w:val=""/>
      <w:lvlJc w:val="left"/>
      <w:pPr>
        <w:ind w:left="720" w:hanging="360"/>
      </w:pPr>
      <w:rPr>
        <w:rFonts w:ascii="Symbol" w:hAnsi="Symbol" w:hint="default"/>
      </w:rPr>
    </w:lvl>
    <w:lvl w:ilvl="1" w:tplc="DECE0A4E">
      <w:start w:val="1"/>
      <w:numFmt w:val="bullet"/>
      <w:lvlText w:val="o"/>
      <w:lvlJc w:val="left"/>
      <w:pPr>
        <w:ind w:left="1440" w:hanging="360"/>
      </w:pPr>
      <w:rPr>
        <w:rFonts w:ascii="Courier New" w:hAnsi="Courier New" w:hint="default"/>
      </w:rPr>
    </w:lvl>
    <w:lvl w:ilvl="2" w:tplc="9492410E">
      <w:start w:val="1"/>
      <w:numFmt w:val="bullet"/>
      <w:lvlText w:val=""/>
      <w:lvlJc w:val="left"/>
      <w:pPr>
        <w:ind w:left="2160" w:hanging="360"/>
      </w:pPr>
      <w:rPr>
        <w:rFonts w:ascii="Wingdings" w:hAnsi="Wingdings" w:hint="default"/>
      </w:rPr>
    </w:lvl>
    <w:lvl w:ilvl="3" w:tplc="0700E96E">
      <w:start w:val="1"/>
      <w:numFmt w:val="bullet"/>
      <w:lvlText w:val=""/>
      <w:lvlJc w:val="left"/>
      <w:pPr>
        <w:ind w:left="2880" w:hanging="360"/>
      </w:pPr>
      <w:rPr>
        <w:rFonts w:ascii="Symbol" w:hAnsi="Symbol" w:hint="default"/>
      </w:rPr>
    </w:lvl>
    <w:lvl w:ilvl="4" w:tplc="BDD41DF6">
      <w:start w:val="1"/>
      <w:numFmt w:val="bullet"/>
      <w:lvlText w:val="o"/>
      <w:lvlJc w:val="left"/>
      <w:pPr>
        <w:ind w:left="3600" w:hanging="360"/>
      </w:pPr>
      <w:rPr>
        <w:rFonts w:ascii="Courier New" w:hAnsi="Courier New" w:hint="default"/>
      </w:rPr>
    </w:lvl>
    <w:lvl w:ilvl="5" w:tplc="A66C1474">
      <w:start w:val="1"/>
      <w:numFmt w:val="bullet"/>
      <w:lvlText w:val=""/>
      <w:lvlJc w:val="left"/>
      <w:pPr>
        <w:ind w:left="4320" w:hanging="360"/>
      </w:pPr>
      <w:rPr>
        <w:rFonts w:ascii="Wingdings" w:hAnsi="Wingdings" w:hint="default"/>
      </w:rPr>
    </w:lvl>
    <w:lvl w:ilvl="6" w:tplc="0CF6B5F8">
      <w:start w:val="1"/>
      <w:numFmt w:val="bullet"/>
      <w:lvlText w:val=""/>
      <w:lvlJc w:val="left"/>
      <w:pPr>
        <w:ind w:left="5040" w:hanging="360"/>
      </w:pPr>
      <w:rPr>
        <w:rFonts w:ascii="Symbol" w:hAnsi="Symbol" w:hint="default"/>
      </w:rPr>
    </w:lvl>
    <w:lvl w:ilvl="7" w:tplc="9B8E3E1C">
      <w:start w:val="1"/>
      <w:numFmt w:val="bullet"/>
      <w:lvlText w:val="o"/>
      <w:lvlJc w:val="left"/>
      <w:pPr>
        <w:ind w:left="5760" w:hanging="360"/>
      </w:pPr>
      <w:rPr>
        <w:rFonts w:ascii="Courier New" w:hAnsi="Courier New" w:hint="default"/>
      </w:rPr>
    </w:lvl>
    <w:lvl w:ilvl="8" w:tplc="46520B36">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5"/>
  </w:num>
  <w:num w:numId="4">
    <w:abstractNumId w:val="13"/>
  </w:num>
  <w:num w:numId="5">
    <w:abstractNumId w:val="6"/>
  </w:num>
  <w:num w:numId="6">
    <w:abstractNumId w:val="10"/>
  </w:num>
  <w:num w:numId="7">
    <w:abstractNumId w:val="12"/>
  </w:num>
  <w:num w:numId="8">
    <w:abstractNumId w:val="14"/>
  </w:num>
  <w:num w:numId="9">
    <w:abstractNumId w:val="0"/>
  </w:num>
  <w:num w:numId="10">
    <w:abstractNumId w:val="3"/>
  </w:num>
  <w:num w:numId="11">
    <w:abstractNumId w:val="4"/>
  </w:num>
  <w:num w:numId="12">
    <w:abstractNumId w:val="11"/>
  </w:num>
  <w:num w:numId="13">
    <w:abstractNumId w:val="7"/>
  </w:num>
  <w:num w:numId="14">
    <w:abstractNumId w:val="8"/>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F2"/>
    <w:rsid w:val="000B16F7"/>
    <w:rsid w:val="000D3D52"/>
    <w:rsid w:val="0013079F"/>
    <w:rsid w:val="00152338"/>
    <w:rsid w:val="00157133"/>
    <w:rsid w:val="0017107F"/>
    <w:rsid w:val="001B6E71"/>
    <w:rsid w:val="001F3A62"/>
    <w:rsid w:val="001F65B9"/>
    <w:rsid w:val="00236C18"/>
    <w:rsid w:val="00280050"/>
    <w:rsid w:val="002E7037"/>
    <w:rsid w:val="002E7866"/>
    <w:rsid w:val="002F3812"/>
    <w:rsid w:val="00345962"/>
    <w:rsid w:val="003B168C"/>
    <w:rsid w:val="003B2A20"/>
    <w:rsid w:val="003B7764"/>
    <w:rsid w:val="00426DB5"/>
    <w:rsid w:val="00445223"/>
    <w:rsid w:val="00471C1C"/>
    <w:rsid w:val="004942EC"/>
    <w:rsid w:val="004E6CA0"/>
    <w:rsid w:val="00533BE0"/>
    <w:rsid w:val="0055203D"/>
    <w:rsid w:val="0058377D"/>
    <w:rsid w:val="00586394"/>
    <w:rsid w:val="005B6FCF"/>
    <w:rsid w:val="005C6D1B"/>
    <w:rsid w:val="00610D8A"/>
    <w:rsid w:val="00665BEC"/>
    <w:rsid w:val="00676A52"/>
    <w:rsid w:val="006A0164"/>
    <w:rsid w:val="006D4CC3"/>
    <w:rsid w:val="006E26E0"/>
    <w:rsid w:val="00726B18"/>
    <w:rsid w:val="00785573"/>
    <w:rsid w:val="007C42EB"/>
    <w:rsid w:val="00826FA7"/>
    <w:rsid w:val="0083722D"/>
    <w:rsid w:val="00844A3F"/>
    <w:rsid w:val="00870583"/>
    <w:rsid w:val="00892D87"/>
    <w:rsid w:val="009011A4"/>
    <w:rsid w:val="00952DA1"/>
    <w:rsid w:val="00966811"/>
    <w:rsid w:val="009713F2"/>
    <w:rsid w:val="00976D58"/>
    <w:rsid w:val="009D7ABE"/>
    <w:rsid w:val="009F6E07"/>
    <w:rsid w:val="009F7E64"/>
    <w:rsid w:val="00A85BFA"/>
    <w:rsid w:val="00A87C3B"/>
    <w:rsid w:val="00A87D97"/>
    <w:rsid w:val="00AB069F"/>
    <w:rsid w:val="00AB2258"/>
    <w:rsid w:val="00B057DC"/>
    <w:rsid w:val="00B6115A"/>
    <w:rsid w:val="00C055C9"/>
    <w:rsid w:val="00CC5F18"/>
    <w:rsid w:val="00D5B31F"/>
    <w:rsid w:val="00D71A74"/>
    <w:rsid w:val="00DA43E1"/>
    <w:rsid w:val="00DA7918"/>
    <w:rsid w:val="00E22BE3"/>
    <w:rsid w:val="00E25984"/>
    <w:rsid w:val="00E363E0"/>
    <w:rsid w:val="00E52F06"/>
    <w:rsid w:val="00EA203C"/>
    <w:rsid w:val="00EA2A85"/>
    <w:rsid w:val="00EE6A5F"/>
    <w:rsid w:val="00F14D6C"/>
    <w:rsid w:val="00F1611B"/>
    <w:rsid w:val="00F64974"/>
    <w:rsid w:val="00FB35E2"/>
    <w:rsid w:val="00FC56EA"/>
    <w:rsid w:val="0135BA8A"/>
    <w:rsid w:val="029004BB"/>
    <w:rsid w:val="032A3EE5"/>
    <w:rsid w:val="045FF129"/>
    <w:rsid w:val="051D5640"/>
    <w:rsid w:val="0553A3CD"/>
    <w:rsid w:val="05973B5D"/>
    <w:rsid w:val="0717AE43"/>
    <w:rsid w:val="077368FD"/>
    <w:rsid w:val="092F70D5"/>
    <w:rsid w:val="0A060F5C"/>
    <w:rsid w:val="0AAB09BF"/>
    <w:rsid w:val="0B41DC56"/>
    <w:rsid w:val="0C03FB18"/>
    <w:rsid w:val="0C671197"/>
    <w:rsid w:val="0CDA0227"/>
    <w:rsid w:val="0F17EBFF"/>
    <w:rsid w:val="0F30710E"/>
    <w:rsid w:val="0FE80D45"/>
    <w:rsid w:val="10154D79"/>
    <w:rsid w:val="10D76C3B"/>
    <w:rsid w:val="11F03CDF"/>
    <w:rsid w:val="12A7283F"/>
    <w:rsid w:val="12B73F1A"/>
    <w:rsid w:val="14F2F394"/>
    <w:rsid w:val="15F52C59"/>
    <w:rsid w:val="160EDBCA"/>
    <w:rsid w:val="174AF5AF"/>
    <w:rsid w:val="1888504B"/>
    <w:rsid w:val="18FF8EA6"/>
    <w:rsid w:val="195EDDBF"/>
    <w:rsid w:val="1A652624"/>
    <w:rsid w:val="1AAB49B8"/>
    <w:rsid w:val="1B45A9C0"/>
    <w:rsid w:val="1BB4F07C"/>
    <w:rsid w:val="1BBFF10D"/>
    <w:rsid w:val="1CEFFBC9"/>
    <w:rsid w:val="1E8BCC2A"/>
    <w:rsid w:val="1FF873FA"/>
    <w:rsid w:val="200DDBC1"/>
    <w:rsid w:val="2088619F"/>
    <w:rsid w:val="21026149"/>
    <w:rsid w:val="2212F729"/>
    <w:rsid w:val="22D0583C"/>
    <w:rsid w:val="2364357B"/>
    <w:rsid w:val="246FFD55"/>
    <w:rsid w:val="250F060D"/>
    <w:rsid w:val="2566D353"/>
    <w:rsid w:val="2576C5FB"/>
    <w:rsid w:val="260BCDB6"/>
    <w:rsid w:val="2A833774"/>
    <w:rsid w:val="2B271276"/>
    <w:rsid w:val="2B942586"/>
    <w:rsid w:val="2CB0AF6D"/>
    <w:rsid w:val="2D55A9D0"/>
    <w:rsid w:val="2DBAD836"/>
    <w:rsid w:val="2EA9DD7A"/>
    <w:rsid w:val="328E4959"/>
    <w:rsid w:val="335AE36E"/>
    <w:rsid w:val="3424EEBB"/>
    <w:rsid w:val="34D4E9AF"/>
    <w:rsid w:val="3628D7E5"/>
    <w:rsid w:val="380C8A71"/>
    <w:rsid w:val="3824C1FC"/>
    <w:rsid w:val="38966F01"/>
    <w:rsid w:val="38B893EE"/>
    <w:rsid w:val="3A1B047B"/>
    <w:rsid w:val="3B04C51D"/>
    <w:rsid w:val="3B28427D"/>
    <w:rsid w:val="3BF034B0"/>
    <w:rsid w:val="3E4E4AAB"/>
    <w:rsid w:val="3EA10F18"/>
    <w:rsid w:val="3EEAA0E6"/>
    <w:rsid w:val="3FA06E51"/>
    <w:rsid w:val="3FC49A30"/>
    <w:rsid w:val="403CDF79"/>
    <w:rsid w:val="40C3A5D3"/>
    <w:rsid w:val="419A445A"/>
    <w:rsid w:val="42261660"/>
    <w:rsid w:val="423116F1"/>
    <w:rsid w:val="433DF1F2"/>
    <w:rsid w:val="444ADD42"/>
    <w:rsid w:val="44D1E51C"/>
    <w:rsid w:val="4514C51F"/>
    <w:rsid w:val="45CA6B21"/>
    <w:rsid w:val="463A992A"/>
    <w:rsid w:val="46ADF1A7"/>
    <w:rsid w:val="4717B0A4"/>
    <w:rsid w:val="47406DC8"/>
    <w:rsid w:val="4789B095"/>
    <w:rsid w:val="49BAADE8"/>
    <w:rsid w:val="4A89F91B"/>
    <w:rsid w:val="4C49F651"/>
    <w:rsid w:val="4CCF7A1D"/>
    <w:rsid w:val="4DA2499E"/>
    <w:rsid w:val="4DD8972B"/>
    <w:rsid w:val="4E7CC371"/>
    <w:rsid w:val="4F733709"/>
    <w:rsid w:val="50123B8D"/>
    <w:rsid w:val="503BAB90"/>
    <w:rsid w:val="50D2F6F1"/>
    <w:rsid w:val="5124DE24"/>
    <w:rsid w:val="51FEB0E5"/>
    <w:rsid w:val="522754C3"/>
    <w:rsid w:val="54D6E579"/>
    <w:rsid w:val="5577601C"/>
    <w:rsid w:val="55C2A37C"/>
    <w:rsid w:val="55D60C7C"/>
    <w:rsid w:val="575B60D2"/>
    <w:rsid w:val="598E03CA"/>
    <w:rsid w:val="59CB44C6"/>
    <w:rsid w:val="5A0A5901"/>
    <w:rsid w:val="5B610A23"/>
    <w:rsid w:val="5B8A1A09"/>
    <w:rsid w:val="5C97C965"/>
    <w:rsid w:val="5F663FE6"/>
    <w:rsid w:val="5F8EC8E5"/>
    <w:rsid w:val="5FAC65C5"/>
    <w:rsid w:val="610D43A9"/>
    <w:rsid w:val="6153380F"/>
    <w:rsid w:val="61917E21"/>
    <w:rsid w:val="61B15FA0"/>
    <w:rsid w:val="622420F1"/>
    <w:rsid w:val="623D4E65"/>
    <w:rsid w:val="637FA17E"/>
    <w:rsid w:val="6498ACF0"/>
    <w:rsid w:val="68217F90"/>
    <w:rsid w:val="69093577"/>
    <w:rsid w:val="698754A7"/>
    <w:rsid w:val="69B2A4A6"/>
    <w:rsid w:val="6B3FF7F5"/>
    <w:rsid w:val="6C2CD51E"/>
    <w:rsid w:val="6C5DB891"/>
    <w:rsid w:val="6CB4450B"/>
    <w:rsid w:val="6CDBC856"/>
    <w:rsid w:val="6DD78FCF"/>
    <w:rsid w:val="6E59C760"/>
    <w:rsid w:val="6ED29B9D"/>
    <w:rsid w:val="6FF597C1"/>
    <w:rsid w:val="71916822"/>
    <w:rsid w:val="725B5FB5"/>
    <w:rsid w:val="7441DFD8"/>
    <w:rsid w:val="75C174D1"/>
    <w:rsid w:val="7673B737"/>
    <w:rsid w:val="780B7F06"/>
    <w:rsid w:val="780F8798"/>
    <w:rsid w:val="783EB274"/>
    <w:rsid w:val="7A5E18F2"/>
    <w:rsid w:val="7A735653"/>
    <w:rsid w:val="7A84A312"/>
    <w:rsid w:val="7ADFA162"/>
    <w:rsid w:val="7BDFD6CC"/>
    <w:rsid w:val="7CA5C67A"/>
    <w:rsid w:val="7CBFEAF6"/>
    <w:rsid w:val="7D9E125C"/>
    <w:rsid w:val="7F39E2BD"/>
    <w:rsid w:val="7FCDB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673B8"/>
  <w15:chartTrackingRefBased/>
  <w15:docId w15:val="{E2B7C0AB-032B-4440-99BA-08CD9C36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5984"/>
    <w:pPr>
      <w:spacing w:before="120" w:after="120" w:line="240" w:lineRule="auto"/>
    </w:pPr>
    <w:rPr>
      <w:rFonts w:ascii="Arial" w:eastAsia="Times New Roman" w:hAnsi="Arial"/>
      <w:sz w:val="22"/>
    </w:rPr>
  </w:style>
  <w:style w:type="paragraph" w:styleId="Heading1">
    <w:name w:val="heading 1"/>
    <w:basedOn w:val="Normal"/>
    <w:next w:val="Normal"/>
    <w:link w:val="Heading1Char"/>
    <w:qFormat/>
    <w:rsid w:val="00E25984"/>
    <w:pPr>
      <w:outlineLvl w:val="0"/>
    </w:pPr>
    <w:rPr>
      <w:rFonts w:eastAsia="Arial"/>
      <w:color w:val="002060"/>
      <w:sz w:val="30"/>
      <w:szCs w:val="30"/>
    </w:rPr>
  </w:style>
  <w:style w:type="paragraph" w:styleId="Heading2">
    <w:name w:val="heading 2"/>
    <w:next w:val="Paragraphtext"/>
    <w:link w:val="Heading2Char"/>
    <w:qFormat/>
    <w:rsid w:val="009713F2"/>
    <w:pPr>
      <w:keepNext/>
      <w:spacing w:before="240" w:after="60" w:line="240" w:lineRule="auto"/>
      <w:outlineLvl w:val="1"/>
    </w:pPr>
    <w:rPr>
      <w:rFonts w:ascii="Arial" w:eastAsia="Times New Roman" w:hAnsi="Arial" w:cs="Arial"/>
      <w:bCs/>
      <w:iCs/>
      <w:color w:val="358189"/>
      <w:sz w:val="32"/>
      <w:szCs w:val="28"/>
    </w:rPr>
  </w:style>
  <w:style w:type="paragraph" w:styleId="Heading3">
    <w:name w:val="heading 3"/>
    <w:basedOn w:val="Heading1"/>
    <w:next w:val="Normal"/>
    <w:link w:val="Heading3Char"/>
    <w:qFormat/>
    <w:rsid w:val="00E2598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84"/>
    <w:rPr>
      <w:rFonts w:ascii="Arial" w:eastAsia="Arial" w:hAnsi="Arial"/>
      <w:color w:val="002060"/>
      <w:sz w:val="30"/>
      <w:szCs w:val="30"/>
    </w:rPr>
  </w:style>
  <w:style w:type="character" w:customStyle="1" w:styleId="Heading2Char">
    <w:name w:val="Heading 2 Char"/>
    <w:basedOn w:val="DefaultParagraphFont"/>
    <w:link w:val="Heading2"/>
    <w:rsid w:val="009713F2"/>
    <w:rPr>
      <w:rFonts w:ascii="Arial" w:eastAsia="Times New Roman" w:hAnsi="Arial" w:cs="Arial"/>
      <w:bCs/>
      <w:iCs/>
      <w:color w:val="358189"/>
      <w:sz w:val="32"/>
      <w:szCs w:val="28"/>
    </w:rPr>
  </w:style>
  <w:style w:type="character" w:customStyle="1" w:styleId="Heading3Char">
    <w:name w:val="Heading 3 Char"/>
    <w:basedOn w:val="DefaultParagraphFont"/>
    <w:link w:val="Heading3"/>
    <w:rsid w:val="00E25984"/>
    <w:rPr>
      <w:rFonts w:ascii="Arial" w:eastAsia="Arial" w:hAnsi="Arial"/>
      <w:color w:val="002060"/>
      <w:sz w:val="30"/>
      <w:szCs w:val="30"/>
    </w:rPr>
  </w:style>
  <w:style w:type="paragraph" w:customStyle="1" w:styleId="Paragraphtext">
    <w:name w:val="Paragraph text"/>
    <w:basedOn w:val="Normal"/>
    <w:qFormat/>
    <w:rsid w:val="009713F2"/>
    <w:pPr>
      <w:spacing w:after="60"/>
    </w:pPr>
    <w:rPr>
      <w:color w:val="000000" w:themeColor="text1"/>
      <w:sz w:val="21"/>
    </w:rPr>
  </w:style>
  <w:style w:type="paragraph" w:styleId="Title">
    <w:name w:val="Title"/>
    <w:basedOn w:val="Normal"/>
    <w:next w:val="Paragraphtext"/>
    <w:link w:val="TitleChar"/>
    <w:qFormat/>
    <w:rsid w:val="009713F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9713F2"/>
    <w:rPr>
      <w:rFonts w:ascii="Arial" w:eastAsiaTheme="majorEastAsia" w:hAnsi="Arial" w:cstheme="majorBidi"/>
      <w:color w:val="3F4A75"/>
      <w:kern w:val="28"/>
      <w:sz w:val="48"/>
      <w:szCs w:val="52"/>
    </w:rPr>
  </w:style>
  <w:style w:type="paragraph" w:customStyle="1" w:styleId="Boxheading">
    <w:name w:val="Box heading"/>
    <w:basedOn w:val="Boxtype"/>
    <w:rsid w:val="009713F2"/>
    <w:pPr>
      <w:spacing w:before="240"/>
    </w:pPr>
    <w:rPr>
      <w:rFonts w:cs="Times New Roman"/>
      <w:b/>
      <w:bCs/>
      <w:caps/>
      <w:color w:val="358189"/>
      <w:szCs w:val="20"/>
    </w:rPr>
  </w:style>
  <w:style w:type="paragraph" w:styleId="ListBullet">
    <w:name w:val="List Bullet"/>
    <w:basedOn w:val="Normal"/>
    <w:qFormat/>
    <w:rsid w:val="009713F2"/>
    <w:pPr>
      <w:numPr>
        <w:numId w:val="10"/>
      </w:numPr>
      <w:spacing w:before="60" w:after="60"/>
    </w:pPr>
    <w:rPr>
      <w:color w:val="000000" w:themeColor="text1"/>
      <w:sz w:val="21"/>
    </w:rPr>
  </w:style>
  <w:style w:type="paragraph" w:styleId="Header">
    <w:name w:val="header"/>
    <w:basedOn w:val="Normal"/>
    <w:link w:val="HeaderChar"/>
    <w:qFormat/>
    <w:rsid w:val="009713F2"/>
    <w:pPr>
      <w:tabs>
        <w:tab w:val="center" w:pos="4513"/>
        <w:tab w:val="right" w:pos="9026"/>
      </w:tabs>
    </w:pPr>
  </w:style>
  <w:style w:type="character" w:customStyle="1" w:styleId="HeaderChar">
    <w:name w:val="Header Char"/>
    <w:basedOn w:val="DefaultParagraphFont"/>
    <w:link w:val="Header"/>
    <w:rsid w:val="009713F2"/>
    <w:rPr>
      <w:rFonts w:ascii="Arial" w:eastAsia="Times New Roman" w:hAnsi="Arial"/>
      <w:sz w:val="22"/>
    </w:rPr>
  </w:style>
  <w:style w:type="paragraph" w:styleId="Footer">
    <w:name w:val="footer"/>
    <w:basedOn w:val="Normal"/>
    <w:link w:val="FooterChar"/>
    <w:uiPriority w:val="99"/>
    <w:qFormat/>
    <w:rsid w:val="009713F2"/>
    <w:pPr>
      <w:tabs>
        <w:tab w:val="center" w:pos="4513"/>
        <w:tab w:val="right" w:pos="9026"/>
      </w:tabs>
    </w:pPr>
    <w:rPr>
      <w:sz w:val="20"/>
    </w:rPr>
  </w:style>
  <w:style w:type="character" w:customStyle="1" w:styleId="FooterChar">
    <w:name w:val="Footer Char"/>
    <w:basedOn w:val="DefaultParagraphFont"/>
    <w:link w:val="Footer"/>
    <w:uiPriority w:val="99"/>
    <w:rsid w:val="009713F2"/>
    <w:rPr>
      <w:rFonts w:ascii="Arial" w:eastAsia="Times New Roman" w:hAnsi="Arial"/>
      <w:sz w:val="20"/>
    </w:rPr>
  </w:style>
  <w:style w:type="paragraph" w:customStyle="1" w:styleId="Headertext">
    <w:name w:val="Header text"/>
    <w:basedOn w:val="Normal"/>
    <w:rsid w:val="009713F2"/>
    <w:pPr>
      <w:jc w:val="right"/>
    </w:pPr>
    <w:rPr>
      <w:sz w:val="20"/>
    </w:rPr>
  </w:style>
  <w:style w:type="paragraph" w:customStyle="1" w:styleId="VisionBox">
    <w:name w:val="VisionBox"/>
    <w:basedOn w:val="Normal"/>
    <w:qFormat/>
    <w:rsid w:val="009713F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107F"/>
    <w:pPr>
      <w:pBdr>
        <w:top w:val="single" w:sz="6" w:space="20" w:color="358189"/>
        <w:left w:val="single" w:sz="6" w:space="10" w:color="358189"/>
        <w:bottom w:val="single" w:sz="6" w:space="10" w:color="358189"/>
        <w:right w:val="single" w:sz="6" w:space="10" w:color="358189"/>
      </w:pBdr>
      <w:spacing w:after="240"/>
      <w:ind w:left="510"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9713F2"/>
    <w:rPr>
      <w:b/>
      <w:caps/>
      <w:smallCaps w:val="0"/>
      <w:color w:val="358189"/>
      <w:bdr w:val="none" w:sz="0" w:space="0" w:color="auto"/>
    </w:rPr>
  </w:style>
  <w:style w:type="paragraph" w:customStyle="1" w:styleId="PolicyStatement">
    <w:name w:val="PolicyStatement"/>
    <w:basedOn w:val="Normal"/>
    <w:qFormat/>
    <w:rsid w:val="009713F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VisionBox"/>
    <w:rsid w:val="009713F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713F2"/>
    <w:pPr>
      <w:spacing w:after="0" w:line="240" w:lineRule="auto"/>
    </w:pPr>
    <w:rPr>
      <w:rFonts w:ascii="Arial" w:eastAsia="Times New Roman" w:hAnsi="Arial"/>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
    <w:name w:val="Table title"/>
    <w:basedOn w:val="Normal"/>
    <w:rsid w:val="009713F2"/>
    <w:rPr>
      <w:b/>
      <w:bCs/>
      <w:color w:val="000000" w:themeColor="text1"/>
      <w:szCs w:val="20"/>
    </w:rPr>
  </w:style>
  <w:style w:type="paragraph" w:customStyle="1" w:styleId="Tableheader">
    <w:name w:val="Table header"/>
    <w:basedOn w:val="Normal"/>
    <w:rsid w:val="009713F2"/>
    <w:pPr>
      <w:spacing w:before="80" w:after="80"/>
    </w:pPr>
    <w:rPr>
      <w:b/>
      <w:bCs/>
      <w:color w:val="FFFFFF" w:themeColor="background1"/>
      <w:szCs w:val="20"/>
    </w:rPr>
  </w:style>
  <w:style w:type="paragraph" w:customStyle="1" w:styleId="Tabletextleft">
    <w:name w:val="Table text left"/>
    <w:basedOn w:val="Normal"/>
    <w:rsid w:val="009713F2"/>
    <w:pPr>
      <w:spacing w:before="60" w:after="60"/>
    </w:pPr>
    <w:rPr>
      <w:color w:val="000000" w:themeColor="text1"/>
      <w:sz w:val="21"/>
      <w:szCs w:val="20"/>
    </w:rPr>
  </w:style>
  <w:style w:type="paragraph" w:customStyle="1" w:styleId="Tabletextright">
    <w:name w:val="Table text right"/>
    <w:basedOn w:val="Tabletextleft"/>
    <w:rsid w:val="009713F2"/>
    <w:pPr>
      <w:jc w:val="right"/>
    </w:pPr>
  </w:style>
  <w:style w:type="character" w:styleId="Hyperlink">
    <w:name w:val="Hyperlink"/>
    <w:basedOn w:val="DefaultParagraphFont"/>
    <w:uiPriority w:val="99"/>
    <w:qFormat/>
    <w:rsid w:val="009713F2"/>
    <w:rPr>
      <w:color w:val="0563C1" w:themeColor="hyperlink"/>
      <w:u w:val="single"/>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9713F2"/>
    <w:pPr>
      <w:ind w:left="720"/>
      <w:contextualSpacing/>
    </w:pPr>
  </w:style>
  <w:style w:type="paragraph" w:styleId="BodyText">
    <w:name w:val="Body Text"/>
    <w:basedOn w:val="Normal"/>
    <w:link w:val="BodyTextChar"/>
    <w:unhideWhenUsed/>
    <w:qFormat/>
    <w:rsid w:val="009713F2"/>
    <w:pPr>
      <w:spacing w:line="259" w:lineRule="auto"/>
    </w:pPr>
    <w:rPr>
      <w:sz w:val="24"/>
    </w:rPr>
  </w:style>
  <w:style w:type="character" w:customStyle="1" w:styleId="BodyTextChar">
    <w:name w:val="Body Text Char"/>
    <w:basedOn w:val="DefaultParagraphFont"/>
    <w:link w:val="BodyText"/>
    <w:qFormat/>
    <w:rsid w:val="009713F2"/>
    <w:rPr>
      <w:rFonts w:ascii="Arial" w:eastAsia="Times New Roman" w:hAnsi="Arial"/>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rsid w:val="009713F2"/>
    <w:rPr>
      <w:rFonts w:ascii="Arial" w:eastAsia="Times New Roman" w:hAnsi="Arial"/>
      <w:sz w:val="22"/>
    </w:rPr>
  </w:style>
  <w:style w:type="character" w:styleId="UnresolvedMention">
    <w:name w:val="Unresolved Mention"/>
    <w:basedOn w:val="DefaultParagraphFont"/>
    <w:uiPriority w:val="99"/>
    <w:unhideWhenUsed/>
    <w:rsid w:val="003B2A20"/>
    <w:rPr>
      <w:color w:val="605E5C"/>
      <w:shd w:val="clear" w:color="auto" w:fill="E1DFDD"/>
    </w:rPr>
  </w:style>
  <w:style w:type="paragraph" w:styleId="NormalWeb">
    <w:name w:val="Normal (Web)"/>
    <w:basedOn w:val="Normal"/>
    <w:uiPriority w:val="99"/>
    <w:semiHidden/>
    <w:unhideWhenUsed/>
    <w:rsid w:val="003B2A20"/>
    <w:pPr>
      <w:spacing w:before="100" w:beforeAutospacing="1" w:after="100" w:afterAutospacing="1"/>
    </w:pPr>
    <w:rPr>
      <w:rFonts w:ascii="Times New Roman" w:hAnsi="Times New Roman"/>
      <w:sz w:val="24"/>
      <w:lang w:eastAsia="en-AU"/>
    </w:rPr>
  </w:style>
  <w:style w:type="paragraph" w:styleId="CommentText">
    <w:name w:val="annotation text"/>
    <w:basedOn w:val="Normal"/>
    <w:link w:val="CommentTextChar"/>
    <w:uiPriority w:val="99"/>
    <w:unhideWhenUsed/>
    <w:rsid w:val="00610D8A"/>
    <w:pPr>
      <w:spacing w:after="160" w:line="259" w:lineRule="auto"/>
    </w:pPr>
    <w:rPr>
      <w:sz w:val="20"/>
      <w:szCs w:val="20"/>
    </w:rPr>
  </w:style>
  <w:style w:type="character" w:customStyle="1" w:styleId="CommentTextChar">
    <w:name w:val="Comment Text Char"/>
    <w:basedOn w:val="DefaultParagraphFont"/>
    <w:link w:val="CommentText"/>
    <w:uiPriority w:val="99"/>
    <w:qFormat/>
    <w:rsid w:val="00610D8A"/>
    <w:rPr>
      <w:rFonts w:ascii="Arial" w:eastAsia="Times New Roman" w:hAnsi="Arial"/>
      <w:sz w:val="20"/>
      <w:szCs w:val="20"/>
    </w:rPr>
  </w:style>
  <w:style w:type="character" w:styleId="CommentReference">
    <w:name w:val="annotation reference"/>
    <w:basedOn w:val="DefaultParagraphFont"/>
    <w:semiHidden/>
    <w:unhideWhenUsed/>
    <w:qFormat/>
    <w:rsid w:val="00610D8A"/>
    <w:rPr>
      <w:sz w:val="16"/>
      <w:szCs w:val="16"/>
    </w:rPr>
  </w:style>
  <w:style w:type="character" w:styleId="FollowedHyperlink">
    <w:name w:val="FollowedHyperlink"/>
    <w:basedOn w:val="DefaultParagraphFont"/>
    <w:uiPriority w:val="99"/>
    <w:semiHidden/>
    <w:unhideWhenUsed/>
    <w:rsid w:val="001F3A6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C5F18"/>
    <w:pPr>
      <w:spacing w:after="0" w:line="240" w:lineRule="auto"/>
    </w:pPr>
    <w:rPr>
      <w:b/>
      <w:bCs/>
    </w:rPr>
  </w:style>
  <w:style w:type="character" w:customStyle="1" w:styleId="CommentSubjectChar">
    <w:name w:val="Comment Subject Char"/>
    <w:basedOn w:val="CommentTextChar"/>
    <w:link w:val="CommentSubject"/>
    <w:uiPriority w:val="99"/>
    <w:semiHidden/>
    <w:rsid w:val="00CC5F18"/>
    <w:rPr>
      <w:rFonts w:ascii="Arial" w:eastAsia="Times New Roman" w:hAnsi="Arial"/>
      <w:b/>
      <w:bCs/>
      <w:sz w:val="20"/>
      <w:szCs w:val="20"/>
    </w:rPr>
  </w:style>
  <w:style w:type="table" w:styleId="TableGrid">
    <w:name w:val="Table Grid"/>
    <w:basedOn w:val="TableNormal"/>
    <w:uiPriority w:val="59"/>
    <w:rsid w:val="003B16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C055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220709">
      <w:bodyDiv w:val="1"/>
      <w:marLeft w:val="0"/>
      <w:marRight w:val="0"/>
      <w:marTop w:val="0"/>
      <w:marBottom w:val="0"/>
      <w:divBdr>
        <w:top w:val="none" w:sz="0" w:space="0" w:color="auto"/>
        <w:left w:val="none" w:sz="0" w:space="0" w:color="auto"/>
        <w:bottom w:val="none" w:sz="0" w:space="0" w:color="auto"/>
        <w:right w:val="none" w:sz="0" w:space="0" w:color="auto"/>
      </w:divBdr>
    </w:div>
    <w:div w:id="943877047">
      <w:bodyDiv w:val="1"/>
      <w:marLeft w:val="0"/>
      <w:marRight w:val="0"/>
      <w:marTop w:val="0"/>
      <w:marBottom w:val="0"/>
      <w:divBdr>
        <w:top w:val="none" w:sz="0" w:space="0" w:color="auto"/>
        <w:left w:val="none" w:sz="0" w:space="0" w:color="auto"/>
        <w:bottom w:val="none" w:sz="0" w:space="0" w:color="auto"/>
        <w:right w:val="none" w:sz="0" w:space="0" w:color="auto"/>
      </w:divBdr>
    </w:div>
    <w:div w:id="17266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es.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qfes.qld.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3e3d46-dbf0-429e-a578-4ead2dab9a43">
      <UserInfo>
        <DisplayName>KINDERMANN, Bindi</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54E6A9DB0744469E4393DD9E348EE6" ma:contentTypeVersion="6" ma:contentTypeDescription="Create a new document." ma:contentTypeScope="" ma:versionID="98cef22b040bed8d3f5c179fed14050f">
  <xsd:schema xmlns:xsd="http://www.w3.org/2001/XMLSchema" xmlns:xs="http://www.w3.org/2001/XMLSchema" xmlns:p="http://schemas.microsoft.com/office/2006/metadata/properties" xmlns:ns2="2a2220af-7b06-4401-8589-40fd11788b24" xmlns:ns3="0b3e3d46-dbf0-429e-a578-4ead2dab9a43" targetNamespace="http://schemas.microsoft.com/office/2006/metadata/properties" ma:root="true" ma:fieldsID="66278663a943fe0eacec9a6440b1f626" ns2:_="" ns3:_="">
    <xsd:import namespace="2a2220af-7b06-4401-8589-40fd11788b24"/>
    <xsd:import namespace="0b3e3d46-dbf0-429e-a578-4ead2dab9a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220af-7b06-4401-8589-40fd11788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e3d46-dbf0-429e-a578-4ead2dab9a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0FA7E-1E12-4A74-A790-FA5CCCBF959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2a2220af-7b06-4401-8589-40fd11788b24"/>
    <ds:schemaRef ds:uri="0b3e3d46-dbf0-429e-a578-4ead2dab9a43"/>
    <ds:schemaRef ds:uri="http://www.w3.org/XML/1998/namespace"/>
    <ds:schemaRef ds:uri="http://purl.org/dc/dcmitype/"/>
  </ds:schemaRefs>
</ds:datastoreItem>
</file>

<file path=customXml/itemProps2.xml><?xml version="1.0" encoding="utf-8"?>
<ds:datastoreItem xmlns:ds="http://schemas.openxmlformats.org/officeDocument/2006/customXml" ds:itemID="{1D439FD9-31A0-45AC-80AD-BBCF5CE20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220af-7b06-4401-8589-40fd11788b24"/>
    <ds:schemaRef ds:uri="0b3e3d46-dbf0-429e-a578-4ead2dab9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D5585-28C5-4A13-A73F-6D7323496387}">
  <ds:schemaRefs>
    <ds:schemaRef ds:uri="http://schemas.openxmlformats.org/officeDocument/2006/bibliography"/>
  </ds:schemaRefs>
</ds:datastoreItem>
</file>

<file path=customXml/itemProps4.xml><?xml version="1.0" encoding="utf-8"?>
<ds:datastoreItem xmlns:ds="http://schemas.openxmlformats.org/officeDocument/2006/customXml" ds:itemID="{DB818345-3E98-4488-B4CB-D2402360E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support for a aged care in flood affected regions</dc:title>
  <dc:subject>Emergency health management;</dc:subject>
  <dc:creator>Australian Government Department of Health</dc:creator>
  <cp:keywords>Emergency health management; flood; </cp:keywords>
  <dc:description/>
  <cp:lastModifiedBy>MASCHKE, Elvia</cp:lastModifiedBy>
  <cp:revision>5</cp:revision>
  <dcterms:created xsi:type="dcterms:W3CDTF">2022-03-14T23:38:00Z</dcterms:created>
  <dcterms:modified xsi:type="dcterms:W3CDTF">2022-03-14T23:52:00Z</dcterms:modified>
</cp:coreProperties>
</file>