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B9C6A" w14:textId="75FE7090" w:rsidR="004E5F89" w:rsidRPr="003A46AE" w:rsidRDefault="004E5F89" w:rsidP="0055430C">
      <w:pPr>
        <w:pStyle w:val="Introduction"/>
        <w:spacing w:before="240"/>
        <w:ind w:right="108"/>
        <w:rPr>
          <w:bCs w:val="0"/>
          <w:color w:val="006666"/>
          <w:spacing w:val="-15"/>
          <w:sz w:val="56"/>
          <w:szCs w:val="158"/>
          <w:u w:color="F27FB2" w:themeColor="accent3"/>
        </w:rPr>
      </w:pPr>
      <w:r w:rsidRPr="003A46AE">
        <w:rPr>
          <w:bCs w:val="0"/>
          <w:color w:val="006666"/>
          <w:spacing w:val="-15"/>
          <w:sz w:val="56"/>
          <w:szCs w:val="158"/>
          <w:u w:color="F27FB2" w:themeColor="accent3"/>
        </w:rPr>
        <w:t xml:space="preserve">Food and Nutrition </w:t>
      </w:r>
      <w:r w:rsidR="009D192C" w:rsidRPr="003A46AE">
        <w:rPr>
          <w:bCs w:val="0"/>
          <w:color w:val="006666"/>
          <w:spacing w:val="-15"/>
          <w:sz w:val="56"/>
          <w:szCs w:val="158"/>
          <w:u w:color="F27FB2" w:themeColor="accent3"/>
        </w:rPr>
        <w:t>Report</w:t>
      </w:r>
    </w:p>
    <w:p w14:paraId="13B10AB8" w14:textId="77777777" w:rsidR="00133D69" w:rsidRPr="003A46AE" w:rsidRDefault="00133D69" w:rsidP="00133D69">
      <w:pPr>
        <w:pStyle w:val="ListBullet"/>
        <w:keepLines w:val="0"/>
        <w:numPr>
          <w:ilvl w:val="0"/>
          <w:numId w:val="23"/>
        </w:numPr>
        <w:spacing w:before="240" w:after="180" w:line="240" w:lineRule="atLeast"/>
        <w:ind w:left="567" w:hanging="567"/>
        <w:rPr>
          <w:b/>
          <w:bCs/>
          <w:sz w:val="24"/>
          <w:szCs w:val="26"/>
          <w:u w:val="single"/>
        </w:rPr>
      </w:pPr>
      <w:r w:rsidRPr="003A46AE">
        <w:rPr>
          <w:b/>
          <w:bCs/>
          <w:sz w:val="24"/>
          <w:szCs w:val="26"/>
          <w:u w:val="single"/>
        </w:rPr>
        <w:t xml:space="preserve">Overview </w:t>
      </w:r>
    </w:p>
    <w:p w14:paraId="09F4ECAB" w14:textId="66B98C7E" w:rsidR="00133D69" w:rsidRPr="003A46AE" w:rsidRDefault="00133D69" w:rsidP="00102B70">
      <w:pPr>
        <w:pStyle w:val="ListBullet"/>
        <w:keepLines w:val="0"/>
        <w:numPr>
          <w:ilvl w:val="0"/>
          <w:numId w:val="0"/>
        </w:numPr>
        <w:spacing w:before="240" w:after="180" w:line="240" w:lineRule="auto"/>
        <w:rPr>
          <w:b/>
          <w:bCs/>
        </w:rPr>
      </w:pPr>
      <w:r w:rsidRPr="003A46AE">
        <w:rPr>
          <w:b/>
          <w:bCs/>
        </w:rPr>
        <w:t>1.1 Royal Commission into Aged Care Quality and Safety – Final Report and Government Response</w:t>
      </w:r>
      <w:r w:rsidR="00343E05">
        <w:rPr>
          <w:b/>
          <w:bCs/>
        </w:rPr>
        <w:softHyphen/>
      </w:r>
      <w:r w:rsidR="00343E05">
        <w:rPr>
          <w:b/>
          <w:bCs/>
        </w:rPr>
        <w:softHyphen/>
      </w:r>
      <w:r w:rsidR="00343E05">
        <w:rPr>
          <w:b/>
          <w:bCs/>
        </w:rPr>
        <w:softHyphen/>
      </w:r>
    </w:p>
    <w:p w14:paraId="18FF95C6" w14:textId="521DB5D2" w:rsidR="00D07AA0" w:rsidRPr="003A46AE" w:rsidRDefault="005160B6" w:rsidP="00203D05">
      <w:pPr>
        <w:pStyle w:val="ListBullet"/>
        <w:keepLines w:val="0"/>
        <w:numPr>
          <w:ilvl w:val="0"/>
          <w:numId w:val="25"/>
        </w:numPr>
        <w:spacing w:before="240" w:after="180" w:line="240" w:lineRule="auto"/>
        <w:ind w:left="284" w:hanging="284"/>
      </w:pPr>
      <w:r w:rsidRPr="003A46AE">
        <w:t>The final report of the Royal Commission into Aged Care Quality and Safety</w:t>
      </w:r>
      <w:r w:rsidR="00D07AA0" w:rsidRPr="003A46AE">
        <w:t xml:space="preserve"> (the Royal Commission)</w:t>
      </w:r>
      <w:r w:rsidRPr="003A46AE">
        <w:t xml:space="preserve"> highlighted the importance of food and nutrition in the overall wellbeing of </w:t>
      </w:r>
      <w:r w:rsidR="0020025B" w:rsidRPr="003A46AE">
        <w:t>s</w:t>
      </w:r>
      <w:r w:rsidRPr="003A46AE">
        <w:t>enior Australians</w:t>
      </w:r>
      <w:r w:rsidR="00A5554B" w:rsidRPr="003A46AE">
        <w:t xml:space="preserve">. The report </w:t>
      </w:r>
      <w:r w:rsidR="00203D05" w:rsidRPr="003A46AE">
        <w:t>criticised the average expenditure of $6 per person per day on food in residential aged care</w:t>
      </w:r>
      <w:r w:rsidR="00074AAC" w:rsidRPr="003A46AE">
        <w:rPr>
          <w:rStyle w:val="FootnoteReference"/>
        </w:rPr>
        <w:footnoteReference w:id="2"/>
      </w:r>
      <w:r w:rsidR="00203D05" w:rsidRPr="003A46AE">
        <w:t xml:space="preserve">. It also </w:t>
      </w:r>
      <w:r w:rsidR="00A5554B" w:rsidRPr="003A46AE">
        <w:t xml:space="preserve">noted </w:t>
      </w:r>
      <w:r w:rsidRPr="003A46AE">
        <w:t xml:space="preserve">the significant </w:t>
      </w:r>
      <w:r w:rsidR="00A5554B" w:rsidRPr="003A46AE">
        <w:t xml:space="preserve">and </w:t>
      </w:r>
      <w:r w:rsidRPr="003A46AE">
        <w:t xml:space="preserve">often irreversible consequences </w:t>
      </w:r>
      <w:r w:rsidR="00133D69" w:rsidRPr="003A46AE">
        <w:t xml:space="preserve">of poor nutrition </w:t>
      </w:r>
      <w:r w:rsidRPr="003A46AE">
        <w:t>and association</w:t>
      </w:r>
      <w:r w:rsidR="00133D69" w:rsidRPr="003A46AE">
        <w:t xml:space="preserve"> </w:t>
      </w:r>
      <w:r w:rsidRPr="003A46AE">
        <w:t>with other health risks</w:t>
      </w:r>
      <w:r w:rsidR="00886489" w:rsidRPr="003A46AE">
        <w:t>, including</w:t>
      </w:r>
      <w:r w:rsidRPr="003A46AE">
        <w:t xml:space="preserve"> an increased incidence of falls and fractures, increased time for pressure injuries to heal, and increased risk of infection.</w:t>
      </w:r>
    </w:p>
    <w:p w14:paraId="32152AC4" w14:textId="5E6BF836" w:rsidR="00133D69" w:rsidRPr="003A46AE" w:rsidRDefault="00886489" w:rsidP="00102B70">
      <w:pPr>
        <w:pStyle w:val="ListBullet"/>
        <w:keepLines w:val="0"/>
        <w:numPr>
          <w:ilvl w:val="0"/>
          <w:numId w:val="25"/>
        </w:numPr>
        <w:spacing w:before="240" w:after="180" w:line="240" w:lineRule="auto"/>
        <w:ind w:left="284" w:hanging="284"/>
      </w:pPr>
      <w:r w:rsidRPr="003A46AE">
        <w:t>T</w:t>
      </w:r>
      <w:r w:rsidR="00133D69" w:rsidRPr="003A46AE">
        <w:t xml:space="preserve">he Australian Government has </w:t>
      </w:r>
      <w:r w:rsidRPr="003A46AE">
        <w:t xml:space="preserve">commenced </w:t>
      </w:r>
      <w:r w:rsidR="00133D69" w:rsidRPr="003A46AE">
        <w:t xml:space="preserve">a multi-faceted response to improving the quality of life for </w:t>
      </w:r>
      <w:r w:rsidR="000E7163" w:rsidRPr="003A46AE">
        <w:t>s</w:t>
      </w:r>
      <w:r w:rsidR="00133D69" w:rsidRPr="003A46AE">
        <w:t>enior Australian</w:t>
      </w:r>
      <w:r w:rsidR="000E7163" w:rsidRPr="003A46AE">
        <w:t>s</w:t>
      </w:r>
      <w:r w:rsidR="00133D69" w:rsidRPr="003A46AE">
        <w:t xml:space="preserve"> by driving better practices in residential aged care through a range of food and nutrition related initiatives. A comprehensive overview of these measures is provided</w:t>
      </w:r>
      <w:r w:rsidR="00074AAC" w:rsidRPr="003A46AE">
        <w:t xml:space="preserve"> on the </w:t>
      </w:r>
      <w:r w:rsidR="00074AAC" w:rsidRPr="003A46AE">
        <w:rPr>
          <w:color w:val="0070C0"/>
          <w:u w:val="single"/>
        </w:rPr>
        <w:t>Department of Health website</w:t>
      </w:r>
      <w:r w:rsidR="00074AAC" w:rsidRPr="003A46AE">
        <w:t>.</w:t>
      </w:r>
    </w:p>
    <w:p w14:paraId="14441AE9" w14:textId="2E9FFD2D" w:rsidR="007C7CF7" w:rsidRPr="003A46AE" w:rsidRDefault="007C7CF7" w:rsidP="00102B70">
      <w:pPr>
        <w:pStyle w:val="ListBullet"/>
        <w:keepLines w:val="0"/>
        <w:numPr>
          <w:ilvl w:val="0"/>
          <w:numId w:val="23"/>
        </w:numPr>
        <w:spacing w:before="240" w:after="180" w:line="240" w:lineRule="auto"/>
        <w:ind w:left="567" w:hanging="567"/>
        <w:rPr>
          <w:b/>
          <w:bCs/>
          <w:sz w:val="24"/>
          <w:szCs w:val="26"/>
          <w:u w:val="single"/>
        </w:rPr>
      </w:pPr>
      <w:r w:rsidRPr="003A46AE">
        <w:rPr>
          <w:b/>
          <w:bCs/>
          <w:sz w:val="24"/>
          <w:szCs w:val="26"/>
          <w:u w:val="single"/>
        </w:rPr>
        <w:t xml:space="preserve">Government Basic Daily Fee Supplement </w:t>
      </w:r>
    </w:p>
    <w:p w14:paraId="71167C2A" w14:textId="25B4D0FE" w:rsidR="00133D69" w:rsidRPr="003A46AE" w:rsidRDefault="00133D69" w:rsidP="00102B70">
      <w:pPr>
        <w:pStyle w:val="ListBullet"/>
        <w:keepLines w:val="0"/>
        <w:numPr>
          <w:ilvl w:val="0"/>
          <w:numId w:val="0"/>
        </w:numPr>
        <w:spacing w:before="240" w:after="180" w:line="240" w:lineRule="auto"/>
        <w:rPr>
          <w:rFonts w:cs="Segoe UI"/>
          <w:szCs w:val="22"/>
        </w:rPr>
      </w:pPr>
      <w:r w:rsidRPr="003A46AE">
        <w:t xml:space="preserve">The primary focus of this report is the </w:t>
      </w:r>
      <w:r w:rsidR="00074AAC" w:rsidRPr="003A46AE">
        <w:t xml:space="preserve">sector reporting of </w:t>
      </w:r>
      <w:r w:rsidRPr="003A46AE">
        <w:t>the Government’s $3.2 billion</w:t>
      </w:r>
      <w:r w:rsidR="004F02DE" w:rsidRPr="003A46AE">
        <w:t xml:space="preserve"> (</w:t>
      </w:r>
      <w:r w:rsidR="004F02DE" w:rsidRPr="003A46AE">
        <w:rPr>
          <w:rFonts w:cs="Segoe UI"/>
          <w:color w:val="313131"/>
          <w:shd w:val="clear" w:color="auto" w:fill="FFFFFF"/>
        </w:rPr>
        <w:t>over 4 years)</w:t>
      </w:r>
      <w:r w:rsidRPr="003A46AE">
        <w:t xml:space="preserve"> funding of the Basic Daily Fee (BDF) Supplement. From 1 July 2021, this provides an additional $10 per resident per day, </w:t>
      </w:r>
      <w:r w:rsidRPr="003A46AE" w:rsidDel="00F86874">
        <w:rPr>
          <w:rFonts w:cs="Segoe UI"/>
          <w:color w:val="313131"/>
          <w:shd w:val="clear" w:color="auto" w:fill="FFFFFF"/>
        </w:rPr>
        <w:t xml:space="preserve">to enable </w:t>
      </w:r>
      <w:r w:rsidR="000E7163" w:rsidRPr="003A46AE">
        <w:rPr>
          <w:rFonts w:cs="Segoe UI"/>
          <w:color w:val="313131"/>
          <w:shd w:val="clear" w:color="auto" w:fill="FFFFFF"/>
        </w:rPr>
        <w:t xml:space="preserve">residential aged care </w:t>
      </w:r>
      <w:r w:rsidRPr="003A46AE" w:rsidDel="00F86874">
        <w:rPr>
          <w:rFonts w:cs="Segoe UI"/>
          <w:color w:val="313131"/>
          <w:shd w:val="clear" w:color="auto" w:fill="FFFFFF"/>
        </w:rPr>
        <w:t>providers</w:t>
      </w:r>
      <w:r w:rsidR="000E7163" w:rsidRPr="003A46AE">
        <w:rPr>
          <w:rFonts w:cs="Segoe UI"/>
          <w:color w:val="313131"/>
          <w:shd w:val="clear" w:color="auto" w:fill="FFFFFF"/>
        </w:rPr>
        <w:t xml:space="preserve"> (providers)</w:t>
      </w:r>
      <w:r w:rsidRPr="003A46AE" w:rsidDel="00F86874">
        <w:rPr>
          <w:rFonts w:cs="Segoe UI"/>
          <w:color w:val="313131"/>
          <w:shd w:val="clear" w:color="auto" w:fill="FFFFFF"/>
        </w:rPr>
        <w:t xml:space="preserve"> to deliver better care and services to residents, with a focus on food and nutrition. This funding also includes</w:t>
      </w:r>
      <w:r w:rsidRPr="003A46AE" w:rsidDel="00F86874">
        <w:rPr>
          <w:rFonts w:cs="Segoe UI"/>
          <w:szCs w:val="22"/>
        </w:rPr>
        <w:t xml:space="preserve"> National Aboriginal and Torres Strait Islander Flexible </w:t>
      </w:r>
      <w:r w:rsidR="009C45FA" w:rsidRPr="003A46AE">
        <w:rPr>
          <w:rFonts w:cs="Segoe UI"/>
          <w:szCs w:val="22"/>
        </w:rPr>
        <w:t xml:space="preserve">Aged Care </w:t>
      </w:r>
      <w:r w:rsidRPr="003A46AE" w:rsidDel="00F86874">
        <w:rPr>
          <w:rFonts w:cs="Segoe UI"/>
          <w:szCs w:val="22"/>
        </w:rPr>
        <w:t>Program</w:t>
      </w:r>
      <w:r w:rsidR="009C45FA" w:rsidRPr="003A46AE">
        <w:rPr>
          <w:rFonts w:cs="Segoe UI"/>
          <w:szCs w:val="22"/>
        </w:rPr>
        <w:t xml:space="preserve"> services</w:t>
      </w:r>
      <w:r w:rsidRPr="003A46AE" w:rsidDel="00F86874">
        <w:rPr>
          <w:rFonts w:cs="Segoe UI"/>
          <w:szCs w:val="22"/>
        </w:rPr>
        <w:t xml:space="preserve"> and Multi-purpose Services.</w:t>
      </w:r>
    </w:p>
    <w:p w14:paraId="654D1297" w14:textId="58CF10AF" w:rsidR="00620A34" w:rsidRPr="003A46AE" w:rsidRDefault="007C7CF7" w:rsidP="00102B70">
      <w:pPr>
        <w:pStyle w:val="ListBullet"/>
        <w:keepLines w:val="0"/>
        <w:numPr>
          <w:ilvl w:val="1"/>
          <w:numId w:val="23"/>
        </w:numPr>
        <w:spacing w:before="240" w:after="180" w:line="240" w:lineRule="auto"/>
        <w:ind w:left="567" w:hanging="567"/>
        <w:rPr>
          <w:rFonts w:cs="Segoe UI"/>
          <w:b/>
          <w:bCs/>
          <w:szCs w:val="22"/>
        </w:rPr>
      </w:pPr>
      <w:r w:rsidRPr="003A46AE">
        <w:rPr>
          <w:rFonts w:cs="Segoe UI"/>
          <w:b/>
          <w:bCs/>
          <w:szCs w:val="22"/>
        </w:rPr>
        <w:t>Purpose and desired outcomes of Government Basic Daily Fee Supplement</w:t>
      </w:r>
    </w:p>
    <w:p w14:paraId="49CC0E71" w14:textId="409B7724" w:rsidR="00620A34" w:rsidRPr="003A46AE" w:rsidRDefault="00620A34" w:rsidP="00102B70">
      <w:pPr>
        <w:pStyle w:val="ListBullet"/>
        <w:keepLines w:val="0"/>
        <w:numPr>
          <w:ilvl w:val="0"/>
          <w:numId w:val="24"/>
        </w:numPr>
        <w:spacing w:before="240" w:line="240" w:lineRule="auto"/>
        <w:ind w:left="284" w:hanging="284"/>
        <w:rPr>
          <w:rFonts w:cs="Segoe UI"/>
          <w:b/>
          <w:bCs/>
          <w:szCs w:val="22"/>
        </w:rPr>
      </w:pPr>
      <w:r w:rsidRPr="003A46AE">
        <w:rPr>
          <w:rFonts w:cs="Segoe UI"/>
          <w:szCs w:val="22"/>
        </w:rPr>
        <w:t>The</w:t>
      </w:r>
      <w:r w:rsidRPr="003A46AE">
        <w:rPr>
          <w:rFonts w:cs="Segoe UI"/>
          <w:b/>
          <w:bCs/>
          <w:szCs w:val="22"/>
        </w:rPr>
        <w:t xml:space="preserve"> </w:t>
      </w:r>
      <w:r w:rsidR="00F068E1" w:rsidRPr="003A46AE">
        <w:rPr>
          <w:lang w:val="en-GB"/>
        </w:rPr>
        <w:t>BDF was provided to residential aged care service</w:t>
      </w:r>
      <w:r w:rsidR="000E7163" w:rsidRPr="003A46AE">
        <w:rPr>
          <w:lang w:val="en-GB"/>
        </w:rPr>
        <w:t>s</w:t>
      </w:r>
      <w:r w:rsidR="00F068E1" w:rsidRPr="003A46AE">
        <w:rPr>
          <w:lang w:val="en-GB"/>
        </w:rPr>
        <w:t xml:space="preserve"> to improve the delivery of care and services to </w:t>
      </w:r>
      <w:r w:rsidRPr="003A46AE">
        <w:rPr>
          <w:lang w:val="en-GB"/>
        </w:rPr>
        <w:t>s</w:t>
      </w:r>
      <w:r w:rsidR="00967BBB" w:rsidRPr="003A46AE">
        <w:rPr>
          <w:lang w:val="en-GB"/>
        </w:rPr>
        <w:t xml:space="preserve">enior </w:t>
      </w:r>
      <w:r w:rsidR="00F068E1" w:rsidRPr="003A46AE">
        <w:rPr>
          <w:lang w:val="en-GB"/>
        </w:rPr>
        <w:t>Australians</w:t>
      </w:r>
      <w:r w:rsidR="000E7163" w:rsidRPr="003A46AE">
        <w:rPr>
          <w:lang w:val="en-GB"/>
        </w:rPr>
        <w:t>,</w:t>
      </w:r>
      <w:r w:rsidR="00F068E1" w:rsidRPr="003A46AE">
        <w:rPr>
          <w:lang w:val="en-GB"/>
        </w:rPr>
        <w:t xml:space="preserve"> </w:t>
      </w:r>
      <w:r w:rsidR="0025676E" w:rsidRPr="003A46AE">
        <w:rPr>
          <w:lang w:val="en-GB"/>
        </w:rPr>
        <w:t>wit</w:t>
      </w:r>
      <w:r w:rsidR="00F068E1" w:rsidRPr="003A46AE">
        <w:rPr>
          <w:lang w:val="en-GB"/>
        </w:rPr>
        <w:t>h a focus on food and nutrition</w:t>
      </w:r>
    </w:p>
    <w:p w14:paraId="6547708C" w14:textId="77777777" w:rsidR="00620A34" w:rsidRPr="003A46AE" w:rsidRDefault="00F068E1" w:rsidP="00102B70">
      <w:pPr>
        <w:pStyle w:val="ListBullet"/>
        <w:keepLines w:val="0"/>
        <w:numPr>
          <w:ilvl w:val="0"/>
          <w:numId w:val="24"/>
        </w:numPr>
        <w:spacing w:before="240" w:line="240" w:lineRule="auto"/>
        <w:ind w:left="284" w:hanging="284"/>
        <w:rPr>
          <w:rFonts w:cs="Segoe UI"/>
          <w:b/>
          <w:bCs/>
          <w:szCs w:val="22"/>
        </w:rPr>
      </w:pPr>
      <w:r w:rsidRPr="003A46AE">
        <w:rPr>
          <w:rFonts w:cs="Segoe UI"/>
        </w:rPr>
        <w:t>To receive the supplement eligible providers</w:t>
      </w:r>
      <w:r w:rsidR="008D5630" w:rsidRPr="003A46AE">
        <w:rPr>
          <w:rStyle w:val="FootnoteReference"/>
          <w:rFonts w:cs="Segoe UI"/>
        </w:rPr>
        <w:footnoteReference w:id="3"/>
      </w:r>
      <w:r w:rsidRPr="003A46AE">
        <w:rPr>
          <w:rFonts w:cs="Segoe UI"/>
        </w:rPr>
        <w:t xml:space="preserve"> were required to:</w:t>
      </w:r>
    </w:p>
    <w:p w14:paraId="5823876C" w14:textId="77777777" w:rsidR="00620A34" w:rsidRPr="003A46AE" w:rsidRDefault="00F068E1" w:rsidP="00102B70">
      <w:pPr>
        <w:pStyle w:val="ListBullet"/>
        <w:keepLines w:val="0"/>
        <w:numPr>
          <w:ilvl w:val="1"/>
          <w:numId w:val="24"/>
        </w:numPr>
        <w:spacing w:before="0" w:line="240" w:lineRule="auto"/>
        <w:ind w:left="851" w:hanging="284"/>
        <w:rPr>
          <w:rFonts w:cs="Segoe UI"/>
          <w:b/>
          <w:bCs/>
          <w:szCs w:val="22"/>
        </w:rPr>
      </w:pPr>
      <w:r w:rsidRPr="003A46AE">
        <w:rPr>
          <w:rStyle w:val="null1"/>
          <w:rFonts w:eastAsia="Times New Roman" w:cs="Segoe UI"/>
        </w:rPr>
        <w:t xml:space="preserve">give a formal undertaking to deliver good quality and quantity goods and services to meet the living needs of residents, with a focus on </w:t>
      </w:r>
      <w:r w:rsidRPr="003A46AE">
        <w:rPr>
          <w:rFonts w:cs="Segoe UI"/>
        </w:rPr>
        <w:t>food and nutrition and</w:t>
      </w:r>
    </w:p>
    <w:p w14:paraId="6B7E6832" w14:textId="618F27B5" w:rsidR="00F068E1" w:rsidRPr="003A46AE" w:rsidRDefault="00F068E1" w:rsidP="00102B70">
      <w:pPr>
        <w:pStyle w:val="ListBullet"/>
        <w:keepLines w:val="0"/>
        <w:numPr>
          <w:ilvl w:val="1"/>
          <w:numId w:val="24"/>
        </w:numPr>
        <w:spacing w:before="0" w:after="240" w:line="240" w:lineRule="auto"/>
        <w:ind w:left="851" w:hanging="284"/>
        <w:rPr>
          <w:rFonts w:cs="Segoe UI"/>
          <w:b/>
          <w:bCs/>
          <w:szCs w:val="22"/>
        </w:rPr>
      </w:pPr>
      <w:r w:rsidRPr="003A46AE">
        <w:rPr>
          <w:rFonts w:cs="Segoe UI"/>
        </w:rPr>
        <w:t>report quarterly on improvements to daily living services to meet the care needs of residents, with a focus on food and nutrition, including on their food-related expenditure.</w:t>
      </w:r>
    </w:p>
    <w:p w14:paraId="19C7217A" w14:textId="648155FB" w:rsidR="00DE1D9C" w:rsidRPr="003A46AE" w:rsidRDefault="00BC520C" w:rsidP="00ED4B9B">
      <w:pPr>
        <w:pStyle w:val="ListBullet"/>
        <w:keepLines w:val="0"/>
        <w:numPr>
          <w:ilvl w:val="0"/>
          <w:numId w:val="25"/>
        </w:numPr>
        <w:spacing w:before="240" w:after="180" w:line="240" w:lineRule="auto"/>
        <w:ind w:left="284" w:hanging="284"/>
      </w:pPr>
      <w:r w:rsidRPr="003A46AE">
        <w:lastRenderedPageBreak/>
        <w:t>If an eligible service</w:t>
      </w:r>
      <w:r w:rsidR="00143522" w:rsidRPr="003A46AE">
        <w:t xml:space="preserve"> did not provide an undertaking or </w:t>
      </w:r>
      <w:r w:rsidRPr="003A46AE">
        <w:t xml:space="preserve">failed to submit their food and nutrition report by the </w:t>
      </w:r>
      <w:r w:rsidR="00B46E99" w:rsidRPr="003A46AE">
        <w:t xml:space="preserve">advised </w:t>
      </w:r>
      <w:r w:rsidRPr="003A46AE">
        <w:t xml:space="preserve">deadline, payments were ceased until the </w:t>
      </w:r>
      <w:r w:rsidR="0053317F" w:rsidRPr="003A46AE">
        <w:t xml:space="preserve">undertaking was received and </w:t>
      </w:r>
      <w:r w:rsidRPr="003A46AE">
        <w:t>report submitted</w:t>
      </w:r>
      <w:r w:rsidR="00B46E99" w:rsidRPr="003A46AE">
        <w:t xml:space="preserve"> to the </w:t>
      </w:r>
      <w:r w:rsidR="0053317F" w:rsidRPr="003A46AE">
        <w:t>D</w:t>
      </w:r>
      <w:r w:rsidR="00B46E99" w:rsidRPr="003A46AE">
        <w:t>epartment</w:t>
      </w:r>
      <w:r w:rsidRPr="003A46AE">
        <w:t xml:space="preserve">. No back-payments for the period of non-reporting </w:t>
      </w:r>
      <w:r w:rsidR="00B46E99" w:rsidRPr="003A46AE">
        <w:t>were</w:t>
      </w:r>
      <w:r w:rsidRPr="003A46AE">
        <w:t xml:space="preserve"> provided.</w:t>
      </w:r>
    </w:p>
    <w:p w14:paraId="3F9D11C2" w14:textId="50CC6D9A" w:rsidR="00DE1D9C" w:rsidRPr="003A46AE" w:rsidRDefault="0053317F" w:rsidP="00ED4B9B">
      <w:pPr>
        <w:pStyle w:val="ListBullet"/>
        <w:keepLines w:val="0"/>
        <w:numPr>
          <w:ilvl w:val="0"/>
          <w:numId w:val="25"/>
        </w:numPr>
        <w:spacing w:before="240" w:after="180" w:line="240" w:lineRule="auto"/>
        <w:ind w:left="284" w:hanging="284"/>
      </w:pPr>
      <w:r w:rsidRPr="003A46AE">
        <w:t>Residential aged care p</w:t>
      </w:r>
      <w:r w:rsidR="00DE1D9C" w:rsidRPr="003A46AE">
        <w:t>roviders, irrespective of receiving the BDF supplement</w:t>
      </w:r>
      <w:r w:rsidRPr="003A46AE">
        <w:t>,</w:t>
      </w:r>
      <w:r w:rsidR="00DE1D9C" w:rsidRPr="003A46AE">
        <w:t xml:space="preserve"> are required to:</w:t>
      </w:r>
    </w:p>
    <w:p w14:paraId="13CD45B0" w14:textId="19BBDE1E" w:rsidR="00DE1D9C" w:rsidRPr="003A46AE" w:rsidRDefault="0053317F" w:rsidP="00DE1D9C">
      <w:pPr>
        <w:pStyle w:val="ListBullet"/>
        <w:keepLines w:val="0"/>
        <w:numPr>
          <w:ilvl w:val="1"/>
          <w:numId w:val="25"/>
        </w:numPr>
        <w:spacing w:before="240" w:after="180" w:line="240" w:lineRule="auto"/>
      </w:pPr>
      <w:r w:rsidRPr="003A46AE">
        <w:t>c</w:t>
      </w:r>
      <w:r w:rsidR="00DE1D9C" w:rsidRPr="003A46AE">
        <w:t xml:space="preserve">omply with the Aged Care Quality Standards </w:t>
      </w:r>
      <w:r w:rsidRPr="003A46AE">
        <w:t xml:space="preserve">including </w:t>
      </w:r>
      <w:r w:rsidR="00DE1D9C" w:rsidRPr="003A46AE">
        <w:t>provid</w:t>
      </w:r>
      <w:r w:rsidRPr="003A46AE">
        <w:t>ing</w:t>
      </w:r>
      <w:r w:rsidR="00DE1D9C" w:rsidRPr="003A46AE">
        <w:t xml:space="preserve"> varied meals of suitable quality and quantity to ensure consumers have enough nutrition and good health and reduce the risks of malnutrition and dehydration and</w:t>
      </w:r>
    </w:p>
    <w:p w14:paraId="28263258" w14:textId="18DC0C77" w:rsidR="00DE1D9C" w:rsidRPr="003A46AE" w:rsidRDefault="00DE1D9C" w:rsidP="00DE1D9C">
      <w:pPr>
        <w:pStyle w:val="ListBullet"/>
        <w:keepLines w:val="0"/>
        <w:numPr>
          <w:ilvl w:val="1"/>
          <w:numId w:val="25"/>
        </w:numPr>
        <w:spacing w:before="240" w:after="180" w:line="240" w:lineRule="auto"/>
      </w:pPr>
      <w:r w:rsidRPr="003A46AE">
        <w:t>collect quarterly data on crucial areas of care, where food and nutrition can also have a direct impact, including unplanned weight loss and report these through the National Aged Care Mandatory Quality Indicator Program (QI Program).</w:t>
      </w:r>
    </w:p>
    <w:p w14:paraId="598C1397" w14:textId="4DDC0EF5" w:rsidR="00514684" w:rsidRPr="003A46AE" w:rsidRDefault="0053317F" w:rsidP="00ED4B9B">
      <w:pPr>
        <w:pStyle w:val="ListBullet"/>
        <w:keepLines w:val="0"/>
        <w:numPr>
          <w:ilvl w:val="0"/>
          <w:numId w:val="25"/>
        </w:numPr>
        <w:spacing w:before="240" w:after="180" w:line="240" w:lineRule="auto"/>
        <w:ind w:left="284" w:hanging="284"/>
      </w:pPr>
      <w:r w:rsidRPr="003A46AE">
        <w:t>T</w:t>
      </w:r>
      <w:r w:rsidR="00F068E1" w:rsidRPr="003A46AE">
        <w:t>he supplement was designed to be flexible</w:t>
      </w:r>
      <w:r w:rsidR="00BC44D7" w:rsidRPr="003A46AE">
        <w:t>. P</w:t>
      </w:r>
      <w:r w:rsidR="0025676E" w:rsidRPr="003A46AE">
        <w:t xml:space="preserve">roviders </w:t>
      </w:r>
      <w:r w:rsidR="00BC44D7" w:rsidRPr="003A46AE">
        <w:t>can</w:t>
      </w:r>
      <w:r w:rsidR="0025676E" w:rsidRPr="003A46AE">
        <w:t xml:space="preserve"> spend </w:t>
      </w:r>
      <w:r w:rsidR="00BC44D7" w:rsidRPr="003A46AE">
        <w:t xml:space="preserve">these additional funds </w:t>
      </w:r>
      <w:r w:rsidR="0025676E" w:rsidRPr="003A46AE">
        <w:t xml:space="preserve">on any improvements for </w:t>
      </w:r>
      <w:r w:rsidR="0020025B" w:rsidRPr="003A46AE">
        <w:t>s</w:t>
      </w:r>
      <w:r w:rsidR="0025676E" w:rsidRPr="003A46AE">
        <w:t xml:space="preserve">enior Australians, </w:t>
      </w:r>
      <w:r w:rsidR="00BC44D7" w:rsidRPr="003A46AE">
        <w:t xml:space="preserve">not just food and nutrition. The funds could also be used to </w:t>
      </w:r>
      <w:r w:rsidR="0025676E" w:rsidRPr="003A46AE">
        <w:t>increase staffing</w:t>
      </w:r>
      <w:r w:rsidR="00BC44D7" w:rsidRPr="003A46AE">
        <w:t>.</w:t>
      </w:r>
      <w:r w:rsidR="003A0B41" w:rsidRPr="003A46AE">
        <w:t xml:space="preserve"> However, the</w:t>
      </w:r>
      <w:r w:rsidR="000C0AF4" w:rsidRPr="003A46AE">
        <w:t xml:space="preserve"> </w:t>
      </w:r>
      <w:r w:rsidR="00BC44D7" w:rsidRPr="003A46AE">
        <w:t xml:space="preserve">new </w:t>
      </w:r>
      <w:r w:rsidR="003A0B41" w:rsidRPr="003A46AE">
        <w:t>reporting requirements</w:t>
      </w:r>
      <w:r w:rsidR="0020025B" w:rsidRPr="003A46AE">
        <w:t xml:space="preserve"> made</w:t>
      </w:r>
      <w:r w:rsidR="003A0B41" w:rsidRPr="003A46AE">
        <w:t xml:space="preserve"> food and nutrition a particular focus. </w:t>
      </w:r>
    </w:p>
    <w:p w14:paraId="050EA59D" w14:textId="686316E6" w:rsidR="008D5630" w:rsidRPr="003A46AE" w:rsidRDefault="00BF6E67" w:rsidP="00102B70">
      <w:pPr>
        <w:pStyle w:val="ListBullet"/>
        <w:keepLines w:val="0"/>
        <w:numPr>
          <w:ilvl w:val="1"/>
          <w:numId w:val="23"/>
        </w:numPr>
        <w:spacing w:before="240" w:after="180" w:line="240" w:lineRule="auto"/>
        <w:ind w:left="567" w:hanging="567"/>
        <w:rPr>
          <w:b/>
          <w:bCs/>
        </w:rPr>
      </w:pPr>
      <w:r w:rsidRPr="003A46AE">
        <w:rPr>
          <w:rFonts w:cs="Segoe UI"/>
          <w:b/>
          <w:bCs/>
          <w:szCs w:val="22"/>
        </w:rPr>
        <w:t xml:space="preserve">Key metrics </w:t>
      </w:r>
    </w:p>
    <w:p w14:paraId="53B5FDC1" w14:textId="2435D842" w:rsidR="00620A34" w:rsidRPr="003A46AE" w:rsidRDefault="00967BBB" w:rsidP="00102B70">
      <w:pPr>
        <w:pStyle w:val="ListBullet"/>
        <w:keepLines w:val="0"/>
        <w:numPr>
          <w:ilvl w:val="0"/>
          <w:numId w:val="24"/>
        </w:numPr>
        <w:spacing w:before="240" w:line="240" w:lineRule="auto"/>
        <w:ind w:left="284" w:hanging="284"/>
        <w:rPr>
          <w:rFonts w:cs="Segoe UI"/>
        </w:rPr>
      </w:pPr>
      <w:bookmarkStart w:id="2" w:name="_Hlk97124153"/>
      <w:r w:rsidRPr="003A46AE">
        <w:rPr>
          <w:rFonts w:cs="Segoe UI"/>
          <w:b/>
          <w:bCs/>
        </w:rPr>
        <w:t xml:space="preserve">878 providers signed up with </w:t>
      </w:r>
      <w:r w:rsidR="00AC375E" w:rsidRPr="003A46AE">
        <w:rPr>
          <w:rFonts w:cs="Segoe UI"/>
          <w:b/>
          <w:bCs/>
        </w:rPr>
        <w:t xml:space="preserve">over </w:t>
      </w:r>
      <w:r w:rsidR="00102B70" w:rsidRPr="003A46AE">
        <w:rPr>
          <w:rFonts w:cs="Segoe UI"/>
          <w:b/>
          <w:bCs/>
        </w:rPr>
        <w:t>2</w:t>
      </w:r>
      <w:r w:rsidR="00ED0B3C" w:rsidRPr="003A46AE">
        <w:rPr>
          <w:rFonts w:cs="Segoe UI"/>
          <w:b/>
          <w:bCs/>
        </w:rPr>
        <w:t>,</w:t>
      </w:r>
      <w:r w:rsidR="00102B70" w:rsidRPr="003A46AE">
        <w:rPr>
          <w:rFonts w:cs="Segoe UI"/>
          <w:b/>
          <w:bCs/>
        </w:rPr>
        <w:t xml:space="preserve">600 </w:t>
      </w:r>
      <w:r w:rsidRPr="003A46AE">
        <w:rPr>
          <w:rFonts w:cs="Segoe UI"/>
          <w:b/>
          <w:bCs/>
        </w:rPr>
        <w:t>services</w:t>
      </w:r>
      <w:r w:rsidRPr="003A46AE">
        <w:rPr>
          <w:rFonts w:cs="Segoe UI"/>
        </w:rPr>
        <w:t xml:space="preserve"> </w:t>
      </w:r>
      <w:r w:rsidRPr="003A46AE">
        <w:rPr>
          <w:rFonts w:cs="Segoe UI"/>
          <w:b/>
          <w:bCs/>
        </w:rPr>
        <w:t>to receive the additional $10 per person per day</w:t>
      </w:r>
      <w:r w:rsidR="004639AF" w:rsidRPr="003A46AE">
        <w:rPr>
          <w:rFonts w:cs="Segoe UI"/>
        </w:rPr>
        <w:t xml:space="preserve">. </w:t>
      </w:r>
      <w:r w:rsidR="004F02DE" w:rsidRPr="003A46AE">
        <w:rPr>
          <w:rFonts w:cs="Segoe UI"/>
        </w:rPr>
        <w:t>Each service</w:t>
      </w:r>
      <w:r w:rsidR="00DE6B5E" w:rsidRPr="003A46AE">
        <w:rPr>
          <w:rFonts w:cs="Segoe UI"/>
        </w:rPr>
        <w:t xml:space="preserve"> operated by the provider was required to submit the Food and Nutrition report</w:t>
      </w:r>
      <w:r w:rsidR="00F61326" w:rsidRPr="003A46AE">
        <w:rPr>
          <w:rFonts w:cs="Segoe UI"/>
        </w:rPr>
        <w:t>.</w:t>
      </w:r>
      <w:r w:rsidR="00DE6B5E" w:rsidRPr="003A46AE">
        <w:rPr>
          <w:rFonts w:cs="Segoe UI"/>
        </w:rPr>
        <w:t xml:space="preserve"> </w:t>
      </w:r>
      <w:r w:rsidR="004639AF" w:rsidRPr="003A46AE">
        <w:rPr>
          <w:rFonts w:cs="Segoe UI"/>
        </w:rPr>
        <w:t xml:space="preserve">The </w:t>
      </w:r>
      <w:r w:rsidR="00E634A7" w:rsidRPr="003A46AE">
        <w:t>D</w:t>
      </w:r>
      <w:r w:rsidR="004639AF" w:rsidRPr="003A46AE">
        <w:t>epartment contacted providers to encourage uptake and supported the sector with</w:t>
      </w:r>
      <w:r w:rsidR="00271B5E" w:rsidRPr="003A46AE">
        <w:t xml:space="preserve"> the</w:t>
      </w:r>
      <w:r w:rsidR="004639AF" w:rsidRPr="003A46AE">
        <w:t xml:space="preserve"> </w:t>
      </w:r>
      <w:r w:rsidR="000C0AF4" w:rsidRPr="003A46AE">
        <w:t>Food and Nutrition</w:t>
      </w:r>
      <w:r w:rsidR="004639AF" w:rsidRPr="003A46AE">
        <w:t xml:space="preserve"> </w:t>
      </w:r>
      <w:r w:rsidR="000C0AF4" w:rsidRPr="003A46AE">
        <w:t>R</w:t>
      </w:r>
      <w:r w:rsidR="004639AF" w:rsidRPr="003A46AE">
        <w:t>eporting</w:t>
      </w:r>
      <w:r w:rsidR="004639AF" w:rsidRPr="003A46AE">
        <w:rPr>
          <w:rFonts w:cs="Segoe UI"/>
        </w:rPr>
        <w:t xml:space="preserve"> by publishing detailed information including explanatory text, </w:t>
      </w:r>
      <w:r w:rsidR="004639AF" w:rsidRPr="003A46AE">
        <w:rPr>
          <w:rFonts w:cs="Segoe UI"/>
          <w:szCs w:val="22"/>
        </w:rPr>
        <w:t xml:space="preserve">conducting webinars, online notices, newsletter articles, </w:t>
      </w:r>
      <w:r w:rsidR="00271B5E" w:rsidRPr="003A46AE">
        <w:rPr>
          <w:rFonts w:cs="Segoe UI"/>
          <w:szCs w:val="22"/>
        </w:rPr>
        <w:t xml:space="preserve">and </w:t>
      </w:r>
      <w:r w:rsidR="00AC375E" w:rsidRPr="003A46AE">
        <w:rPr>
          <w:rFonts w:cs="Segoe UI"/>
          <w:szCs w:val="22"/>
        </w:rPr>
        <w:t>releasing</w:t>
      </w:r>
      <w:r w:rsidR="004639AF" w:rsidRPr="003A46AE">
        <w:rPr>
          <w:rFonts w:cs="Segoe UI"/>
          <w:szCs w:val="22"/>
        </w:rPr>
        <w:t xml:space="preserve"> with the active </w:t>
      </w:r>
      <w:r w:rsidR="004639AF" w:rsidRPr="003A46AE">
        <w:rPr>
          <w:rFonts w:cs="Segoe UI"/>
        </w:rPr>
        <w:t>assistance</w:t>
      </w:r>
      <w:r w:rsidR="00271B5E" w:rsidRPr="003A46AE">
        <w:rPr>
          <w:rFonts w:cs="Segoe UI"/>
        </w:rPr>
        <w:t xml:space="preserve"> of aged care peak bodies</w:t>
      </w:r>
      <w:r w:rsidR="004639AF" w:rsidRPr="003A46AE">
        <w:rPr>
          <w:rFonts w:cs="Segoe UI"/>
        </w:rPr>
        <w:t>.</w:t>
      </w:r>
    </w:p>
    <w:p w14:paraId="43A51949" w14:textId="77777777" w:rsidR="00620A34" w:rsidRPr="003A46AE" w:rsidRDefault="00620A34" w:rsidP="00102B70">
      <w:pPr>
        <w:pStyle w:val="ListBullet"/>
        <w:keepLines w:val="0"/>
        <w:numPr>
          <w:ilvl w:val="0"/>
          <w:numId w:val="24"/>
        </w:numPr>
        <w:spacing w:before="240" w:line="240" w:lineRule="auto"/>
        <w:ind w:left="284" w:hanging="284"/>
        <w:rPr>
          <w:rFonts w:cs="Segoe UI"/>
        </w:rPr>
      </w:pPr>
      <w:bookmarkStart w:id="3" w:name="_Hlk97809014"/>
      <w:r w:rsidRPr="003A46AE">
        <w:rPr>
          <w:rFonts w:cs="Segoe UI"/>
        </w:rPr>
        <w:t xml:space="preserve">As at the end of 2021, </w:t>
      </w:r>
      <w:r w:rsidR="007560AB" w:rsidRPr="003A46AE">
        <w:rPr>
          <w:rFonts w:cs="Segoe UI"/>
          <w:b/>
          <w:bCs/>
        </w:rPr>
        <w:t>99% of eligible providers signed the undertaking</w:t>
      </w:r>
      <w:r w:rsidR="007560AB" w:rsidRPr="003A46AE">
        <w:rPr>
          <w:rFonts w:cs="Segoe UI"/>
        </w:rPr>
        <w:t xml:space="preserve"> and </w:t>
      </w:r>
      <w:r w:rsidRPr="003A46AE">
        <w:rPr>
          <w:rFonts w:cs="Segoe UI"/>
        </w:rPr>
        <w:t xml:space="preserve">as at that date, </w:t>
      </w:r>
      <w:r w:rsidR="000E7163" w:rsidRPr="003A46AE">
        <w:rPr>
          <w:rFonts w:cs="Segoe UI"/>
        </w:rPr>
        <w:t xml:space="preserve">those providers </w:t>
      </w:r>
      <w:r w:rsidRPr="003A46AE">
        <w:rPr>
          <w:rFonts w:cs="Segoe UI"/>
        </w:rPr>
        <w:t>had</w:t>
      </w:r>
      <w:r w:rsidR="00271B5E" w:rsidRPr="003A46AE">
        <w:rPr>
          <w:rFonts w:cs="Segoe UI"/>
        </w:rPr>
        <w:t xml:space="preserve"> received </w:t>
      </w:r>
      <w:r w:rsidR="00271B5E" w:rsidRPr="003A46AE">
        <w:rPr>
          <w:rFonts w:cs="Segoe UI"/>
          <w:b/>
          <w:bCs/>
        </w:rPr>
        <w:t xml:space="preserve">$350 million under the BDF </w:t>
      </w:r>
      <w:r w:rsidRPr="003A46AE">
        <w:rPr>
          <w:rFonts w:cs="Segoe UI"/>
          <w:b/>
          <w:bCs/>
        </w:rPr>
        <w:t>supplement</w:t>
      </w:r>
      <w:r w:rsidRPr="003A46AE">
        <w:rPr>
          <w:rFonts w:cs="Segoe UI"/>
        </w:rPr>
        <w:t>.</w:t>
      </w:r>
      <w:r w:rsidR="00422534" w:rsidRPr="003A46AE">
        <w:t xml:space="preserve"> </w:t>
      </w:r>
    </w:p>
    <w:p w14:paraId="385566C1" w14:textId="07F74C1E" w:rsidR="00422534" w:rsidRPr="003A46AE" w:rsidRDefault="00422534" w:rsidP="005D3D20">
      <w:pPr>
        <w:pStyle w:val="ListBullet"/>
        <w:keepLines w:val="0"/>
        <w:numPr>
          <w:ilvl w:val="1"/>
          <w:numId w:val="24"/>
        </w:numPr>
        <w:spacing w:before="240" w:line="240" w:lineRule="auto"/>
        <w:rPr>
          <w:rFonts w:cs="Segoe UI"/>
        </w:rPr>
      </w:pPr>
      <w:r w:rsidRPr="003A46AE">
        <w:rPr>
          <w:rFonts w:cs="Segoe UI"/>
        </w:rPr>
        <w:t>Any eligible provider that did not sign up to the BDF during the undertaking process was approached by the Department to encourage participation and offer support.</w:t>
      </w:r>
    </w:p>
    <w:p w14:paraId="7D17485F" w14:textId="256DD872" w:rsidR="00047ACB" w:rsidRPr="003A46AE" w:rsidRDefault="00AF1AFD" w:rsidP="00AF1AFD">
      <w:pPr>
        <w:pStyle w:val="ListBullet"/>
        <w:keepLines w:val="0"/>
        <w:numPr>
          <w:ilvl w:val="1"/>
          <w:numId w:val="24"/>
        </w:numPr>
        <w:spacing w:before="240" w:line="240" w:lineRule="auto"/>
        <w:rPr>
          <w:rFonts w:cs="Segoe UI"/>
        </w:rPr>
      </w:pPr>
      <w:bookmarkStart w:id="4" w:name="_Hlk97815401"/>
      <w:r w:rsidRPr="003A46AE">
        <w:rPr>
          <w:rFonts w:cs="Segoe UI"/>
        </w:rPr>
        <w:t xml:space="preserve">One </w:t>
      </w:r>
      <w:r w:rsidR="0055430C" w:rsidRPr="003A46AE">
        <w:rPr>
          <w:rFonts w:cs="Segoe UI"/>
        </w:rPr>
        <w:t>r</w:t>
      </w:r>
      <w:r w:rsidRPr="003A46AE">
        <w:rPr>
          <w:rFonts w:cs="Segoe UI"/>
        </w:rPr>
        <w:t>esidential care</w:t>
      </w:r>
      <w:r w:rsidR="00143522" w:rsidRPr="003A46AE">
        <w:rPr>
          <w:rFonts w:cs="Segoe UI"/>
        </w:rPr>
        <w:t>,</w:t>
      </w:r>
      <w:r w:rsidRPr="003A46AE">
        <w:rPr>
          <w:rFonts w:cs="Segoe UI"/>
        </w:rPr>
        <w:t xml:space="preserve"> </w:t>
      </w:r>
      <w:r w:rsidR="00C2567E" w:rsidRPr="003A46AE">
        <w:rPr>
          <w:rFonts w:cs="Segoe UI"/>
        </w:rPr>
        <w:t>f</w:t>
      </w:r>
      <w:r w:rsidRPr="003A46AE">
        <w:rPr>
          <w:rFonts w:cs="Segoe UI"/>
        </w:rPr>
        <w:t xml:space="preserve">our Multi-Purpose services and three NATSIFAC program </w:t>
      </w:r>
      <w:r w:rsidR="006C7AFC" w:rsidRPr="003A46AE">
        <w:rPr>
          <w:rFonts w:cs="Segoe UI"/>
        </w:rPr>
        <w:t xml:space="preserve">providers </w:t>
      </w:r>
      <w:r w:rsidRPr="003A46AE">
        <w:rPr>
          <w:rFonts w:cs="Segoe UI"/>
        </w:rPr>
        <w:t xml:space="preserve">are yet </w:t>
      </w:r>
      <w:r w:rsidR="002315CF" w:rsidRPr="003A46AE">
        <w:rPr>
          <w:rFonts w:cs="Segoe UI"/>
        </w:rPr>
        <w:t>to sign up for the BDF undertaking and the services operated by th</w:t>
      </w:r>
      <w:r w:rsidR="00C2567E" w:rsidRPr="003A46AE">
        <w:rPr>
          <w:rFonts w:cs="Segoe UI"/>
        </w:rPr>
        <w:t>ese</w:t>
      </w:r>
      <w:r w:rsidR="002315CF" w:rsidRPr="003A46AE">
        <w:rPr>
          <w:rFonts w:cs="Segoe UI"/>
        </w:rPr>
        <w:t xml:space="preserve"> provider</w:t>
      </w:r>
      <w:r w:rsidR="00C2567E" w:rsidRPr="003A46AE">
        <w:rPr>
          <w:rFonts w:cs="Segoe UI"/>
        </w:rPr>
        <w:t>s</w:t>
      </w:r>
      <w:r w:rsidR="002315CF" w:rsidRPr="003A46AE">
        <w:rPr>
          <w:rFonts w:cs="Segoe UI"/>
        </w:rPr>
        <w:t xml:space="preserve"> are not receiving </w:t>
      </w:r>
      <w:r w:rsidR="005D3D20" w:rsidRPr="003A46AE">
        <w:rPr>
          <w:rFonts w:cs="Segoe UI"/>
        </w:rPr>
        <w:t>the</w:t>
      </w:r>
      <w:r w:rsidR="002315CF" w:rsidRPr="003A46AE">
        <w:rPr>
          <w:rFonts w:cs="Segoe UI"/>
        </w:rPr>
        <w:t xml:space="preserve"> BDF supplement.</w:t>
      </w:r>
    </w:p>
    <w:p w14:paraId="212C4A38" w14:textId="1F1A2B8D" w:rsidR="00620A34" w:rsidRPr="003A46AE" w:rsidRDefault="0025676E" w:rsidP="00102B70">
      <w:pPr>
        <w:pStyle w:val="ListBullet"/>
        <w:keepLines w:val="0"/>
        <w:numPr>
          <w:ilvl w:val="0"/>
          <w:numId w:val="24"/>
        </w:numPr>
        <w:spacing w:before="240" w:line="240" w:lineRule="auto"/>
        <w:ind w:left="284" w:hanging="284"/>
        <w:rPr>
          <w:rFonts w:cs="Segoe UI"/>
        </w:rPr>
      </w:pPr>
      <w:bookmarkStart w:id="5" w:name="_Hlk98835929"/>
      <w:bookmarkEnd w:id="3"/>
      <w:bookmarkEnd w:id="4"/>
      <w:r w:rsidRPr="003A46AE">
        <w:rPr>
          <w:rFonts w:cs="Segoe UI"/>
          <w:b/>
          <w:bCs/>
        </w:rPr>
        <w:t xml:space="preserve">100% of </w:t>
      </w:r>
      <w:r w:rsidR="00CC7DE6" w:rsidRPr="003A46AE">
        <w:rPr>
          <w:rFonts w:cs="Segoe UI"/>
          <w:b/>
          <w:bCs/>
        </w:rPr>
        <w:t>Food and Nutrition R</w:t>
      </w:r>
      <w:r w:rsidRPr="003A46AE">
        <w:rPr>
          <w:rFonts w:cs="Segoe UI"/>
          <w:b/>
          <w:bCs/>
        </w:rPr>
        <w:t>eports</w:t>
      </w:r>
      <w:r w:rsidRPr="003A46AE">
        <w:rPr>
          <w:rFonts w:cs="Segoe UI"/>
        </w:rPr>
        <w:t xml:space="preserve"> </w:t>
      </w:r>
      <w:r w:rsidR="00271B5E" w:rsidRPr="003A46AE">
        <w:rPr>
          <w:rFonts w:cs="Segoe UI"/>
        </w:rPr>
        <w:t xml:space="preserve">for the July to September 2021 quarter (Q1) were received by </w:t>
      </w:r>
      <w:r w:rsidRPr="003A46AE">
        <w:rPr>
          <w:rFonts w:cs="Segoe UI"/>
        </w:rPr>
        <w:t xml:space="preserve">from eligible </w:t>
      </w:r>
      <w:r w:rsidR="0055430C" w:rsidRPr="003A46AE">
        <w:rPr>
          <w:rFonts w:cs="Segoe UI"/>
        </w:rPr>
        <w:t>r</w:t>
      </w:r>
      <w:r w:rsidRPr="003A46AE">
        <w:rPr>
          <w:rFonts w:cs="Segoe UI"/>
        </w:rPr>
        <w:t>esidential care; Multi-Purpose services and NATSIFAC program services</w:t>
      </w:r>
      <w:r w:rsidR="00A44D21" w:rsidRPr="003A46AE">
        <w:rPr>
          <w:rFonts w:cs="Segoe UI"/>
        </w:rPr>
        <w:t>.</w:t>
      </w:r>
    </w:p>
    <w:p w14:paraId="24667C18" w14:textId="78EB0ED8" w:rsidR="005D3D20" w:rsidRPr="003A46AE" w:rsidRDefault="00271B5E" w:rsidP="00074AAC">
      <w:pPr>
        <w:pStyle w:val="ListBullet"/>
        <w:keepLines w:val="0"/>
        <w:numPr>
          <w:ilvl w:val="0"/>
          <w:numId w:val="24"/>
        </w:numPr>
        <w:spacing w:before="240" w:line="240" w:lineRule="auto"/>
        <w:ind w:left="284" w:hanging="284"/>
        <w:rPr>
          <w:rFonts w:cs="Segoe UI"/>
        </w:rPr>
      </w:pPr>
      <w:r w:rsidRPr="003A46AE">
        <w:rPr>
          <w:rFonts w:cs="Segoe UI"/>
          <w:b/>
          <w:bCs/>
        </w:rPr>
        <w:t xml:space="preserve">99.7% of Food and Nutrition Reports </w:t>
      </w:r>
      <w:r w:rsidRPr="003A46AE">
        <w:rPr>
          <w:rFonts w:cs="Segoe UI"/>
        </w:rPr>
        <w:t>for the October to December 2021 quarter (Q2) were received by the Department</w:t>
      </w:r>
      <w:r w:rsidR="009C45FA" w:rsidRPr="003A46AE">
        <w:rPr>
          <w:rFonts w:cs="Segoe UI"/>
        </w:rPr>
        <w:t xml:space="preserve"> as</w:t>
      </w:r>
      <w:r w:rsidRPr="003A46AE">
        <w:rPr>
          <w:rFonts w:cs="Segoe UI"/>
        </w:rPr>
        <w:t xml:space="preserve"> </w:t>
      </w:r>
      <w:proofErr w:type="gramStart"/>
      <w:r w:rsidRPr="003A46AE">
        <w:rPr>
          <w:rFonts w:cs="Segoe UI"/>
        </w:rPr>
        <w:t>at</w:t>
      </w:r>
      <w:proofErr w:type="gramEnd"/>
      <w:r w:rsidR="00C73AD6" w:rsidRPr="003A46AE">
        <w:rPr>
          <w:rFonts w:cs="Segoe UI"/>
        </w:rPr>
        <w:t xml:space="preserve"> </w:t>
      </w:r>
      <w:r w:rsidR="00CC7DE6" w:rsidRPr="003A46AE">
        <w:rPr>
          <w:rFonts w:cs="Segoe UI"/>
        </w:rPr>
        <w:t>6</w:t>
      </w:r>
      <w:r w:rsidR="00C73AD6" w:rsidRPr="003A46AE">
        <w:rPr>
          <w:rFonts w:cs="Segoe UI"/>
        </w:rPr>
        <w:t xml:space="preserve"> </w:t>
      </w:r>
      <w:r w:rsidR="00CC7DE6" w:rsidRPr="003A46AE">
        <w:rPr>
          <w:rFonts w:cs="Segoe UI"/>
        </w:rPr>
        <w:t>March</w:t>
      </w:r>
      <w:r w:rsidR="00C73AD6" w:rsidRPr="003A46AE">
        <w:rPr>
          <w:rFonts w:cs="Segoe UI"/>
        </w:rPr>
        <w:t xml:space="preserve"> 2022</w:t>
      </w:r>
      <w:r w:rsidR="005D3D20" w:rsidRPr="003A46AE">
        <w:rPr>
          <w:rFonts w:cs="Segoe UI"/>
        </w:rPr>
        <w:t>.</w:t>
      </w:r>
    </w:p>
    <w:p w14:paraId="6EB34E9C" w14:textId="3388F4F4" w:rsidR="005D3D20" w:rsidRPr="003A46AE" w:rsidRDefault="005D3D20" w:rsidP="005D3D20">
      <w:pPr>
        <w:pStyle w:val="ListBullet"/>
        <w:keepLines w:val="0"/>
        <w:numPr>
          <w:ilvl w:val="1"/>
          <w:numId w:val="24"/>
        </w:numPr>
        <w:spacing w:before="240" w:line="240" w:lineRule="auto"/>
        <w:rPr>
          <w:rFonts w:cs="Segoe UI"/>
        </w:rPr>
      </w:pPr>
      <w:r w:rsidRPr="003A46AE">
        <w:rPr>
          <w:rFonts w:cs="Segoe UI"/>
        </w:rPr>
        <w:t>Any service that did not report on time was approached by the Department to encourage participation and offer support.</w:t>
      </w:r>
    </w:p>
    <w:p w14:paraId="1877A734" w14:textId="4C8A067B" w:rsidR="00074AAC" w:rsidRPr="003A46AE" w:rsidRDefault="00C2567E" w:rsidP="005D3D20">
      <w:pPr>
        <w:pStyle w:val="ListBullet"/>
        <w:keepLines w:val="0"/>
        <w:numPr>
          <w:ilvl w:val="1"/>
          <w:numId w:val="24"/>
        </w:numPr>
        <w:spacing w:before="240" w:line="240" w:lineRule="auto"/>
        <w:rPr>
          <w:rFonts w:cs="Segoe UI"/>
        </w:rPr>
      </w:pPr>
      <w:bookmarkStart w:id="6" w:name="_Hlk97814689"/>
      <w:r w:rsidRPr="003A46AE">
        <w:rPr>
          <w:rFonts w:cs="Segoe UI"/>
        </w:rPr>
        <w:t>F</w:t>
      </w:r>
      <w:r w:rsidR="00E634A7" w:rsidRPr="003A46AE">
        <w:rPr>
          <w:rFonts w:cs="Segoe UI"/>
        </w:rPr>
        <w:t>ive</w:t>
      </w:r>
      <w:r w:rsidR="00C73AD6" w:rsidRPr="003A46AE">
        <w:rPr>
          <w:rFonts w:cs="Segoe UI"/>
        </w:rPr>
        <w:t xml:space="preserve"> </w:t>
      </w:r>
      <w:r w:rsidR="0055430C" w:rsidRPr="003A46AE">
        <w:rPr>
          <w:rFonts w:cs="Segoe UI"/>
        </w:rPr>
        <w:t>r</w:t>
      </w:r>
      <w:r w:rsidR="00C73AD6" w:rsidRPr="003A46AE">
        <w:rPr>
          <w:rFonts w:cs="Segoe UI"/>
        </w:rPr>
        <w:t xml:space="preserve">esidential </w:t>
      </w:r>
      <w:r w:rsidR="0055430C" w:rsidRPr="003A46AE">
        <w:rPr>
          <w:rFonts w:cs="Segoe UI"/>
        </w:rPr>
        <w:t>c</w:t>
      </w:r>
      <w:r w:rsidR="00C73AD6" w:rsidRPr="003A46AE">
        <w:rPr>
          <w:rFonts w:cs="Segoe UI"/>
        </w:rPr>
        <w:t xml:space="preserve">are services and </w:t>
      </w:r>
      <w:r w:rsidR="00F35B67" w:rsidRPr="003A46AE">
        <w:rPr>
          <w:rFonts w:cs="Segoe UI"/>
        </w:rPr>
        <w:t>three</w:t>
      </w:r>
      <w:r w:rsidR="00C73AD6" w:rsidRPr="003A46AE">
        <w:rPr>
          <w:rFonts w:cs="Segoe UI"/>
        </w:rPr>
        <w:t xml:space="preserve"> NATSIFAC Program services </w:t>
      </w:r>
      <w:r w:rsidRPr="003A46AE">
        <w:rPr>
          <w:rFonts w:cs="Segoe UI"/>
        </w:rPr>
        <w:t>are</w:t>
      </w:r>
      <w:r w:rsidR="00C73AD6" w:rsidRPr="003A46AE">
        <w:rPr>
          <w:rFonts w:cs="Segoe UI"/>
        </w:rPr>
        <w:t xml:space="preserve"> yet to submit their rep</w:t>
      </w:r>
      <w:r w:rsidR="0040048F" w:rsidRPr="003A46AE">
        <w:rPr>
          <w:rFonts w:cs="Segoe UI"/>
        </w:rPr>
        <w:t>ort</w:t>
      </w:r>
      <w:bookmarkEnd w:id="2"/>
      <w:r w:rsidR="005D3D20" w:rsidRPr="003A46AE">
        <w:rPr>
          <w:rFonts w:cs="Segoe UI"/>
        </w:rPr>
        <w:t xml:space="preserve"> and are not receiving the BDF supplement</w:t>
      </w:r>
    </w:p>
    <w:bookmarkEnd w:id="5"/>
    <w:bookmarkEnd w:id="6"/>
    <w:p w14:paraId="5C1B1B4B" w14:textId="77777777" w:rsidR="00074AAC" w:rsidRPr="003A46AE" w:rsidRDefault="00074AAC" w:rsidP="00074AAC">
      <w:pPr>
        <w:pStyle w:val="ListBullet"/>
        <w:keepLines w:val="0"/>
        <w:numPr>
          <w:ilvl w:val="0"/>
          <w:numId w:val="0"/>
        </w:numPr>
        <w:spacing w:before="240" w:line="240" w:lineRule="auto"/>
        <w:ind w:left="284"/>
        <w:rPr>
          <w:rFonts w:cs="Segoe UI"/>
          <w:sz w:val="2"/>
          <w:szCs w:val="2"/>
        </w:rPr>
      </w:pPr>
    </w:p>
    <w:p w14:paraId="0A42A0F6" w14:textId="6AC86287" w:rsidR="00620A34" w:rsidRPr="003A46AE" w:rsidRDefault="00620A34" w:rsidP="00EB2420">
      <w:pPr>
        <w:spacing w:line="240" w:lineRule="auto"/>
        <w:rPr>
          <w:rFonts w:cs="Segoe UI"/>
          <w:b/>
          <w:bCs/>
        </w:rPr>
      </w:pPr>
      <w:r w:rsidRPr="003A46AE">
        <w:rPr>
          <w:rFonts w:cs="Segoe UI"/>
          <w:b/>
          <w:bCs/>
        </w:rPr>
        <w:t>2.</w:t>
      </w:r>
      <w:r w:rsidRPr="003A46AE">
        <w:rPr>
          <w:rFonts w:cs="Segoe UI"/>
          <w:b/>
          <w:bCs/>
          <w:szCs w:val="22"/>
        </w:rPr>
        <w:t xml:space="preserve">3 </w:t>
      </w:r>
      <w:r w:rsidRPr="003A46AE">
        <w:rPr>
          <w:rFonts w:cs="Segoe UI"/>
          <w:b/>
          <w:bCs/>
        </w:rPr>
        <w:t>Responses to Food and Nutrition Report questions</w:t>
      </w:r>
    </w:p>
    <w:p w14:paraId="50552B47" w14:textId="77777777" w:rsidR="00620A34" w:rsidRPr="003A46AE" w:rsidRDefault="00AF3D12" w:rsidP="00EB2420">
      <w:pPr>
        <w:pStyle w:val="ListBullet"/>
        <w:keepLines w:val="0"/>
        <w:numPr>
          <w:ilvl w:val="0"/>
          <w:numId w:val="24"/>
        </w:numPr>
        <w:spacing w:before="240" w:line="240" w:lineRule="auto"/>
        <w:ind w:left="284" w:hanging="284"/>
        <w:rPr>
          <w:lang w:val="en-GB"/>
        </w:rPr>
      </w:pPr>
      <w:r w:rsidRPr="003A46AE">
        <w:rPr>
          <w:rFonts w:cs="Segoe UI"/>
        </w:rPr>
        <w:t xml:space="preserve">Each </w:t>
      </w:r>
      <w:r w:rsidR="00ED5B95" w:rsidRPr="003A46AE">
        <w:rPr>
          <w:rFonts w:cs="Segoe UI"/>
        </w:rPr>
        <w:t>service</w:t>
      </w:r>
      <w:r w:rsidRPr="003A46AE">
        <w:rPr>
          <w:rFonts w:cs="Segoe UI"/>
        </w:rPr>
        <w:t>, operated by the eligible provider,</w:t>
      </w:r>
      <w:r w:rsidR="00ED5B95" w:rsidRPr="003A46AE">
        <w:rPr>
          <w:rFonts w:cs="Segoe UI"/>
        </w:rPr>
        <w:t xml:space="preserve"> </w:t>
      </w:r>
      <w:r w:rsidR="008F562E" w:rsidRPr="003A46AE">
        <w:rPr>
          <w:rFonts w:cs="Segoe UI"/>
        </w:rPr>
        <w:t>were required to answer up to n</w:t>
      </w:r>
      <w:r w:rsidR="00271B5E" w:rsidRPr="003A46AE">
        <w:rPr>
          <w:rFonts w:cs="Segoe UI"/>
        </w:rPr>
        <w:t>ine questions in the</w:t>
      </w:r>
      <w:r w:rsidR="0025676E" w:rsidRPr="003A46AE">
        <w:rPr>
          <w:rFonts w:cs="Segoe UI"/>
        </w:rPr>
        <w:t xml:space="preserve"> Food </w:t>
      </w:r>
      <w:r w:rsidR="0025676E" w:rsidRPr="003A46AE">
        <w:rPr>
          <w:lang w:val="en-GB"/>
        </w:rPr>
        <w:t>and Nutrition Report</w:t>
      </w:r>
      <w:r w:rsidR="008F562E" w:rsidRPr="003A46AE">
        <w:rPr>
          <w:lang w:val="en-GB"/>
        </w:rPr>
        <w:t xml:space="preserve"> </w:t>
      </w:r>
      <w:r w:rsidR="00A37342" w:rsidRPr="003A46AE">
        <w:rPr>
          <w:lang w:val="en-GB"/>
        </w:rPr>
        <w:t xml:space="preserve">using </w:t>
      </w:r>
      <w:r w:rsidR="008F562E" w:rsidRPr="003A46AE">
        <w:rPr>
          <w:lang w:val="en-GB"/>
        </w:rPr>
        <w:t xml:space="preserve">the </w:t>
      </w:r>
      <w:r w:rsidR="00A37342" w:rsidRPr="003A46AE">
        <w:rPr>
          <w:lang w:val="en-GB"/>
        </w:rPr>
        <w:t xml:space="preserve">My Aged Care Provider Portal. </w:t>
      </w:r>
    </w:p>
    <w:p w14:paraId="0E183284" w14:textId="77777777" w:rsidR="00620A34" w:rsidRPr="003A46AE" w:rsidRDefault="00F43634" w:rsidP="00EB2420">
      <w:pPr>
        <w:pStyle w:val="ListBullet"/>
        <w:keepLines w:val="0"/>
        <w:numPr>
          <w:ilvl w:val="0"/>
          <w:numId w:val="24"/>
        </w:numPr>
        <w:spacing w:before="240" w:line="240" w:lineRule="auto"/>
        <w:ind w:left="284" w:hanging="284"/>
        <w:rPr>
          <w:lang w:val="en-GB"/>
        </w:rPr>
      </w:pPr>
      <w:r w:rsidRPr="003A46AE">
        <w:rPr>
          <w:lang w:val="en-GB"/>
        </w:rPr>
        <w:t>As</w:t>
      </w:r>
      <w:r w:rsidR="008F562E" w:rsidRPr="003A46AE">
        <w:rPr>
          <w:lang w:val="en-GB"/>
        </w:rPr>
        <w:t xml:space="preserve"> </w:t>
      </w:r>
      <w:r w:rsidR="00A37342" w:rsidRPr="003A46AE">
        <w:rPr>
          <w:lang w:val="en-GB"/>
        </w:rPr>
        <w:t xml:space="preserve">this </w:t>
      </w:r>
      <w:r w:rsidR="00620A34" w:rsidRPr="003A46AE">
        <w:rPr>
          <w:lang w:val="en-GB"/>
        </w:rPr>
        <w:t xml:space="preserve">was </w:t>
      </w:r>
      <w:r w:rsidR="00A37342" w:rsidRPr="003A46AE">
        <w:rPr>
          <w:lang w:val="en-GB"/>
        </w:rPr>
        <w:t xml:space="preserve">the </w:t>
      </w:r>
      <w:proofErr w:type="gramStart"/>
      <w:r w:rsidR="008F562E" w:rsidRPr="003A46AE">
        <w:rPr>
          <w:lang w:val="en-GB"/>
        </w:rPr>
        <w:t>first</w:t>
      </w:r>
      <w:r w:rsidR="008F562E" w:rsidRPr="003A46AE">
        <w:rPr>
          <w:rFonts w:cs="Segoe UI"/>
        </w:rPr>
        <w:t xml:space="preserve"> time</w:t>
      </w:r>
      <w:proofErr w:type="gramEnd"/>
      <w:r w:rsidR="008F562E" w:rsidRPr="003A46AE">
        <w:rPr>
          <w:rFonts w:cs="Segoe UI"/>
        </w:rPr>
        <w:t xml:space="preserve"> providers have been asked to gathe</w:t>
      </w:r>
      <w:r w:rsidRPr="003A46AE">
        <w:rPr>
          <w:rFonts w:cs="Segoe UI"/>
        </w:rPr>
        <w:t>r the information and report on these specific questions</w:t>
      </w:r>
      <w:r w:rsidR="00A37342" w:rsidRPr="003A46AE">
        <w:rPr>
          <w:rFonts w:cs="Segoe UI"/>
        </w:rPr>
        <w:t xml:space="preserve">, </w:t>
      </w:r>
      <w:r w:rsidRPr="003A46AE">
        <w:rPr>
          <w:lang w:val="en-GB"/>
        </w:rPr>
        <w:t xml:space="preserve">not all providers were expected to be able to report against all questions. </w:t>
      </w:r>
    </w:p>
    <w:p w14:paraId="06EC7DEB" w14:textId="77777777" w:rsidR="00620A34" w:rsidRPr="003A46AE" w:rsidRDefault="00F43634" w:rsidP="00EB2420">
      <w:pPr>
        <w:pStyle w:val="ListBullet"/>
        <w:keepLines w:val="0"/>
        <w:numPr>
          <w:ilvl w:val="0"/>
          <w:numId w:val="24"/>
        </w:numPr>
        <w:spacing w:before="240" w:line="240" w:lineRule="auto"/>
        <w:ind w:left="284" w:hanging="284"/>
        <w:rPr>
          <w:lang w:val="en-GB"/>
        </w:rPr>
      </w:pPr>
      <w:r w:rsidRPr="003A46AE">
        <w:rPr>
          <w:lang w:val="en-GB"/>
        </w:rPr>
        <w:t>For this reason</w:t>
      </w:r>
      <w:r w:rsidR="00A37342" w:rsidRPr="003A46AE">
        <w:rPr>
          <w:lang w:val="en-GB"/>
        </w:rPr>
        <w:t>,</w:t>
      </w:r>
      <w:r w:rsidRPr="003A46AE">
        <w:rPr>
          <w:lang w:val="en-GB"/>
        </w:rPr>
        <w:t xml:space="preserve"> two of the quantitative questions were mandatory and five were discretionary</w:t>
      </w:r>
      <w:r w:rsidR="008F562E" w:rsidRPr="003A46AE">
        <w:rPr>
          <w:lang w:val="en-GB"/>
        </w:rPr>
        <w:t>.</w:t>
      </w:r>
      <w:r w:rsidR="003E5224" w:rsidRPr="003A46AE">
        <w:rPr>
          <w:lang w:val="en-GB"/>
        </w:rPr>
        <w:t xml:space="preserve"> </w:t>
      </w:r>
    </w:p>
    <w:p w14:paraId="7DC65F27" w14:textId="1F0B3319" w:rsidR="00620A34" w:rsidRPr="003A46AE" w:rsidRDefault="00A37342" w:rsidP="00EB2420">
      <w:pPr>
        <w:pStyle w:val="ListBullet"/>
        <w:keepLines w:val="0"/>
        <w:numPr>
          <w:ilvl w:val="0"/>
          <w:numId w:val="24"/>
        </w:numPr>
        <w:spacing w:before="240" w:line="240" w:lineRule="auto"/>
        <w:ind w:left="284" w:hanging="284"/>
        <w:rPr>
          <w:rFonts w:cs="Segoe UI"/>
        </w:rPr>
      </w:pPr>
      <w:r w:rsidRPr="003A46AE">
        <w:rPr>
          <w:lang w:val="en-GB"/>
        </w:rPr>
        <w:t xml:space="preserve">Seven questions were </w:t>
      </w:r>
      <w:r w:rsidR="00DF43A6" w:rsidRPr="003A46AE">
        <w:rPr>
          <w:lang w:val="en-GB"/>
        </w:rPr>
        <w:t>quantitative,</w:t>
      </w:r>
      <w:r w:rsidRPr="003A46AE">
        <w:rPr>
          <w:lang w:val="en-GB"/>
        </w:rPr>
        <w:t xml:space="preserve"> and two questions were qualitative. </w:t>
      </w:r>
    </w:p>
    <w:p w14:paraId="6C74D419" w14:textId="59286563" w:rsidR="00F368DD" w:rsidRPr="003A46AE" w:rsidRDefault="00B16CF1" w:rsidP="00EB2420">
      <w:pPr>
        <w:pStyle w:val="ListBullet"/>
        <w:keepLines w:val="0"/>
        <w:numPr>
          <w:ilvl w:val="0"/>
          <w:numId w:val="24"/>
        </w:numPr>
        <w:spacing w:before="240" w:line="240" w:lineRule="auto"/>
        <w:ind w:left="284" w:hanging="284"/>
        <w:rPr>
          <w:rFonts w:cs="Segoe UI"/>
        </w:rPr>
      </w:pPr>
      <w:r w:rsidRPr="003A46AE">
        <w:rPr>
          <w:lang w:val="en-GB"/>
        </w:rPr>
        <w:t>The</w:t>
      </w:r>
      <w:r w:rsidR="007E10BC" w:rsidRPr="003A46AE">
        <w:rPr>
          <w:lang w:val="en-GB"/>
        </w:rPr>
        <w:t xml:space="preserve"> specific questions and the</w:t>
      </w:r>
      <w:r w:rsidR="007E10BC" w:rsidRPr="003A46AE">
        <w:rPr>
          <w:rFonts w:cs="Segoe UI"/>
        </w:rPr>
        <w:t xml:space="preserve"> explanatory notes are available on the </w:t>
      </w:r>
      <w:hyperlink r:id="rId11" w:history="1">
        <w:r w:rsidR="007E10BC" w:rsidRPr="003A46AE">
          <w:rPr>
            <w:rStyle w:val="Hyperlink"/>
            <w:rFonts w:cs="Segoe UI"/>
          </w:rPr>
          <w:t>Department</w:t>
        </w:r>
        <w:r w:rsidR="009C45FA" w:rsidRPr="003A46AE">
          <w:rPr>
            <w:rStyle w:val="Hyperlink"/>
            <w:rFonts w:cs="Segoe UI"/>
          </w:rPr>
          <w:t>’</w:t>
        </w:r>
        <w:r w:rsidR="007E10BC" w:rsidRPr="003A46AE">
          <w:rPr>
            <w:rStyle w:val="Hyperlink"/>
            <w:rFonts w:cs="Segoe UI"/>
          </w:rPr>
          <w:t>s website</w:t>
        </w:r>
      </w:hyperlink>
      <w:r w:rsidR="007E10BC" w:rsidRPr="003A46AE">
        <w:rPr>
          <w:rFonts w:cs="Segoe UI"/>
        </w:rPr>
        <w:t>.</w:t>
      </w:r>
      <w:r w:rsidRPr="003A46AE">
        <w:rPr>
          <w:rFonts w:cs="Segoe UI"/>
        </w:rPr>
        <w:t xml:space="preserve"> </w:t>
      </w:r>
      <w:bookmarkStart w:id="7" w:name="_Hlk97543889"/>
      <w:r w:rsidRPr="003A46AE">
        <w:rPr>
          <w:rFonts w:cs="Segoe UI"/>
        </w:rPr>
        <w:t>T</w:t>
      </w:r>
      <w:r w:rsidR="0025676E" w:rsidRPr="003A46AE">
        <w:rPr>
          <w:rFonts w:cs="Segoe UI"/>
        </w:rPr>
        <w:t xml:space="preserve">able </w:t>
      </w:r>
      <w:r w:rsidRPr="003A46AE">
        <w:rPr>
          <w:rFonts w:cs="Segoe UI"/>
        </w:rPr>
        <w:t xml:space="preserve">1 </w:t>
      </w:r>
      <w:r w:rsidR="0025676E" w:rsidRPr="003A46AE">
        <w:rPr>
          <w:rFonts w:cs="Segoe UI"/>
        </w:rPr>
        <w:t xml:space="preserve">below provides </w:t>
      </w:r>
      <w:r w:rsidR="007E10BC" w:rsidRPr="003A46AE">
        <w:rPr>
          <w:rFonts w:cs="Segoe UI"/>
        </w:rPr>
        <w:t xml:space="preserve">the </w:t>
      </w:r>
      <w:r w:rsidR="0025676E" w:rsidRPr="003A46AE">
        <w:rPr>
          <w:rFonts w:cs="Segoe UI"/>
        </w:rPr>
        <w:t>percentage of responses</w:t>
      </w:r>
      <w:r w:rsidR="0025676E" w:rsidRPr="003A46AE">
        <w:rPr>
          <w:rStyle w:val="FootnoteReference"/>
          <w:rFonts w:cs="Segoe UI"/>
        </w:rPr>
        <w:footnoteReference w:id="4"/>
      </w:r>
      <w:r w:rsidR="0025676E" w:rsidRPr="003A46AE">
        <w:rPr>
          <w:rFonts w:cs="Segoe UI"/>
        </w:rPr>
        <w:t xml:space="preserve"> </w:t>
      </w:r>
      <w:r w:rsidR="007E10BC" w:rsidRPr="003A46AE">
        <w:rPr>
          <w:rFonts w:cs="Segoe UI"/>
        </w:rPr>
        <w:t xml:space="preserve">reported </w:t>
      </w:r>
      <w:r w:rsidR="00E96F3A" w:rsidRPr="003A46AE">
        <w:rPr>
          <w:rFonts w:cs="Segoe UI"/>
        </w:rPr>
        <w:t xml:space="preserve">by residential services </w:t>
      </w:r>
      <w:r w:rsidR="007E10BC" w:rsidRPr="003A46AE">
        <w:rPr>
          <w:rFonts w:cs="Segoe UI"/>
        </w:rPr>
        <w:t>against</w:t>
      </w:r>
      <w:r w:rsidR="0025676E" w:rsidRPr="003A46AE">
        <w:rPr>
          <w:rFonts w:cs="Segoe UI"/>
        </w:rPr>
        <w:t xml:space="preserve"> </w:t>
      </w:r>
      <w:r w:rsidR="004E1653" w:rsidRPr="003A46AE">
        <w:rPr>
          <w:rFonts w:cs="Segoe UI"/>
        </w:rPr>
        <w:t xml:space="preserve">the </w:t>
      </w:r>
      <w:r w:rsidR="007E10BC" w:rsidRPr="003A46AE">
        <w:rPr>
          <w:rFonts w:cs="Segoe UI"/>
        </w:rPr>
        <w:t xml:space="preserve">quantitative </w:t>
      </w:r>
      <w:r w:rsidR="0025676E" w:rsidRPr="003A46AE">
        <w:rPr>
          <w:rFonts w:cs="Segoe UI"/>
        </w:rPr>
        <w:t>questions</w:t>
      </w:r>
      <w:r w:rsidR="007E10BC" w:rsidRPr="003A46AE">
        <w:rPr>
          <w:rFonts w:cs="Segoe UI"/>
        </w:rPr>
        <w:t>.</w:t>
      </w:r>
    </w:p>
    <w:p w14:paraId="59D4F9C0" w14:textId="77777777" w:rsidR="002163E7" w:rsidRPr="003A46AE" w:rsidRDefault="002163E7" w:rsidP="002163E7">
      <w:pPr>
        <w:pStyle w:val="ListBullet"/>
        <w:keepLines w:val="0"/>
        <w:numPr>
          <w:ilvl w:val="0"/>
          <w:numId w:val="0"/>
        </w:numPr>
        <w:spacing w:before="240" w:line="240" w:lineRule="auto"/>
        <w:ind w:left="284"/>
        <w:rPr>
          <w:rFonts w:cs="Segoe UI"/>
        </w:rPr>
      </w:pPr>
    </w:p>
    <w:p w14:paraId="6F6662C5" w14:textId="34BB0A37" w:rsidR="005D3D20" w:rsidRPr="003A46AE" w:rsidRDefault="00B16CF1" w:rsidP="005D3D20">
      <w:pPr>
        <w:keepLines w:val="0"/>
        <w:spacing w:before="0" w:line="240" w:lineRule="auto"/>
        <w:rPr>
          <w:rFonts w:cs="Segoe UI"/>
          <w:b/>
          <w:bCs/>
          <w:color w:val="006666"/>
        </w:rPr>
      </w:pPr>
      <w:r w:rsidRPr="003A46AE">
        <w:rPr>
          <w:rFonts w:cs="Segoe UI"/>
          <w:b/>
          <w:bCs/>
          <w:color w:val="006666"/>
        </w:rPr>
        <w:t xml:space="preserve">Table 1. </w:t>
      </w:r>
      <w:r w:rsidR="00E96F3A" w:rsidRPr="003A46AE">
        <w:rPr>
          <w:rFonts w:cs="Segoe UI"/>
          <w:b/>
          <w:bCs/>
          <w:color w:val="006666"/>
        </w:rPr>
        <w:t xml:space="preserve">Service </w:t>
      </w:r>
      <w:r w:rsidRPr="003A46AE">
        <w:rPr>
          <w:rFonts w:cs="Segoe UI"/>
          <w:b/>
          <w:bCs/>
          <w:color w:val="006666"/>
        </w:rPr>
        <w:t>response rate against</w:t>
      </w:r>
      <w:r w:rsidR="00126144" w:rsidRPr="003A46AE">
        <w:rPr>
          <w:rFonts w:cs="Segoe UI"/>
          <w:b/>
          <w:bCs/>
          <w:color w:val="006666"/>
        </w:rPr>
        <w:t xml:space="preserve"> mandatory and </w:t>
      </w:r>
      <w:r w:rsidR="00F979FE" w:rsidRPr="003A46AE">
        <w:rPr>
          <w:rFonts w:cs="Segoe UI"/>
          <w:b/>
          <w:bCs/>
          <w:color w:val="006666"/>
        </w:rPr>
        <w:t xml:space="preserve">non-mandatory </w:t>
      </w:r>
      <w:r w:rsidRPr="003A46AE">
        <w:rPr>
          <w:rFonts w:cs="Segoe UI"/>
          <w:b/>
          <w:bCs/>
          <w:color w:val="006666"/>
        </w:rPr>
        <w:t>questions</w:t>
      </w:r>
      <w:r w:rsidR="00E96F3A" w:rsidRPr="003A46AE">
        <w:rPr>
          <w:rFonts w:cs="Segoe UI"/>
          <w:b/>
          <w:bCs/>
          <w:color w:val="006666"/>
        </w:rPr>
        <w:t>, 1</w:t>
      </w:r>
      <w:r w:rsidR="0055430C" w:rsidRPr="003A46AE">
        <w:rPr>
          <w:rFonts w:cs="Segoe UI"/>
          <w:b/>
          <w:bCs/>
          <w:color w:val="006666"/>
        </w:rPr>
        <w:t> </w:t>
      </w:r>
      <w:r w:rsidR="00E96F3A" w:rsidRPr="003A46AE">
        <w:rPr>
          <w:rFonts w:cs="Segoe UI"/>
          <w:b/>
          <w:bCs/>
          <w:color w:val="006666"/>
        </w:rPr>
        <w:t>July</w:t>
      </w:r>
      <w:r w:rsidR="0055430C" w:rsidRPr="003A46AE">
        <w:rPr>
          <w:rFonts w:cs="Segoe UI"/>
          <w:b/>
          <w:bCs/>
          <w:color w:val="006666"/>
        </w:rPr>
        <w:noBreakHyphen/>
      </w:r>
      <w:r w:rsidR="00E96F3A" w:rsidRPr="003A46AE">
        <w:rPr>
          <w:rFonts w:cs="Segoe UI"/>
          <w:b/>
          <w:bCs/>
          <w:color w:val="006666"/>
        </w:rPr>
        <w:t>31</w:t>
      </w:r>
      <w:r w:rsidR="0055430C" w:rsidRPr="003A46AE">
        <w:rPr>
          <w:rFonts w:cs="Segoe UI"/>
          <w:b/>
          <w:bCs/>
          <w:color w:val="006666"/>
        </w:rPr>
        <w:t> </w:t>
      </w:r>
      <w:r w:rsidR="00E96F3A" w:rsidRPr="003A46AE">
        <w:rPr>
          <w:rFonts w:cs="Segoe UI"/>
          <w:b/>
          <w:bCs/>
          <w:color w:val="006666"/>
        </w:rPr>
        <w:t>December 2021</w:t>
      </w:r>
    </w:p>
    <w:p w14:paraId="497503BF" w14:textId="5B337044" w:rsidR="00F368DD" w:rsidRPr="003A46AE" w:rsidRDefault="00F368DD" w:rsidP="00F368DD">
      <w:pPr>
        <w:spacing w:before="0" w:line="240" w:lineRule="auto"/>
        <w:rPr>
          <w:rFonts w:cs="Segoe UI"/>
          <w:b/>
          <w:bCs/>
        </w:rPr>
      </w:pPr>
    </w:p>
    <w:tbl>
      <w:tblPr>
        <w:tblStyle w:val="TableGrid"/>
        <w:tblpPr w:leftFromText="180" w:rightFromText="180" w:vertAnchor="text" w:horzAnchor="margin" w:tblpY="-48"/>
        <w:tblW w:w="9918" w:type="dxa"/>
        <w:tblLook w:val="04A0" w:firstRow="1" w:lastRow="0" w:firstColumn="1" w:lastColumn="0" w:noHBand="0" w:noVBand="1"/>
      </w:tblPr>
      <w:tblGrid>
        <w:gridCol w:w="1271"/>
        <w:gridCol w:w="1790"/>
        <w:gridCol w:w="5103"/>
        <w:gridCol w:w="1754"/>
      </w:tblGrid>
      <w:tr w:rsidR="0055430C" w:rsidRPr="003A46AE" w14:paraId="338F6DCB" w14:textId="77777777" w:rsidTr="005D3D20">
        <w:tc>
          <w:tcPr>
            <w:tcW w:w="1271" w:type="dxa"/>
            <w:shd w:val="clear" w:color="auto" w:fill="006666"/>
          </w:tcPr>
          <w:bookmarkEnd w:id="7"/>
          <w:p w14:paraId="7A60A3F7" w14:textId="77777777" w:rsidR="005D3D20" w:rsidRPr="003A46AE" w:rsidRDefault="005D3D20" w:rsidP="005D3D20">
            <w:pPr>
              <w:keepNext/>
              <w:spacing w:line="240" w:lineRule="auto"/>
              <w:jc w:val="center"/>
              <w:rPr>
                <w:rFonts w:cs="Segoe UI"/>
                <w:b/>
                <w:bCs/>
                <w:szCs w:val="22"/>
              </w:rPr>
            </w:pPr>
            <w:r w:rsidRPr="003A46AE">
              <w:rPr>
                <w:rFonts w:cs="Segoe UI"/>
                <w:b/>
                <w:bCs/>
                <w:szCs w:val="22"/>
              </w:rPr>
              <w:t>Question No.</w:t>
            </w:r>
          </w:p>
        </w:tc>
        <w:tc>
          <w:tcPr>
            <w:tcW w:w="1790" w:type="dxa"/>
            <w:shd w:val="clear" w:color="auto" w:fill="006666"/>
          </w:tcPr>
          <w:p w14:paraId="687F2487" w14:textId="77777777" w:rsidR="005D3D20" w:rsidRPr="003A46AE" w:rsidRDefault="005D3D20" w:rsidP="005D3D20">
            <w:pPr>
              <w:keepNext/>
              <w:spacing w:line="240" w:lineRule="auto"/>
              <w:jc w:val="center"/>
              <w:rPr>
                <w:rFonts w:cs="Segoe UI"/>
                <w:b/>
                <w:bCs/>
                <w:szCs w:val="22"/>
              </w:rPr>
            </w:pPr>
            <w:r w:rsidRPr="003A46AE">
              <w:rPr>
                <w:rFonts w:cs="Segoe UI"/>
                <w:b/>
                <w:bCs/>
                <w:szCs w:val="22"/>
              </w:rPr>
              <w:t>Question Type</w:t>
            </w:r>
          </w:p>
        </w:tc>
        <w:tc>
          <w:tcPr>
            <w:tcW w:w="5103" w:type="dxa"/>
            <w:shd w:val="clear" w:color="auto" w:fill="006666"/>
          </w:tcPr>
          <w:p w14:paraId="70A93B29" w14:textId="77777777" w:rsidR="005D3D20" w:rsidRPr="003A46AE" w:rsidRDefault="005D3D20" w:rsidP="005D3D20">
            <w:pPr>
              <w:keepNext/>
              <w:spacing w:line="240" w:lineRule="auto"/>
              <w:jc w:val="center"/>
              <w:rPr>
                <w:rFonts w:cs="Segoe UI"/>
                <w:b/>
                <w:bCs/>
                <w:szCs w:val="22"/>
              </w:rPr>
            </w:pPr>
            <w:r w:rsidRPr="003A46AE">
              <w:rPr>
                <w:rFonts w:cs="Segoe UI"/>
                <w:b/>
                <w:bCs/>
                <w:szCs w:val="22"/>
              </w:rPr>
              <w:t>Question</w:t>
            </w:r>
          </w:p>
        </w:tc>
        <w:tc>
          <w:tcPr>
            <w:tcW w:w="1754" w:type="dxa"/>
            <w:shd w:val="clear" w:color="auto" w:fill="006666"/>
          </w:tcPr>
          <w:p w14:paraId="274F9838" w14:textId="77777777" w:rsidR="005D3D20" w:rsidRPr="003A46AE" w:rsidRDefault="005D3D20" w:rsidP="005D3D20">
            <w:pPr>
              <w:keepNext/>
              <w:spacing w:line="240" w:lineRule="auto"/>
              <w:jc w:val="center"/>
              <w:rPr>
                <w:rFonts w:cs="Segoe UI"/>
                <w:b/>
                <w:bCs/>
                <w:szCs w:val="22"/>
              </w:rPr>
            </w:pPr>
            <w:r w:rsidRPr="003A46AE">
              <w:rPr>
                <w:rFonts w:cs="Segoe UI"/>
                <w:b/>
                <w:bCs/>
                <w:szCs w:val="22"/>
              </w:rPr>
              <w:t>Responses Received</w:t>
            </w:r>
          </w:p>
        </w:tc>
      </w:tr>
      <w:tr w:rsidR="0055430C" w:rsidRPr="003A46AE" w14:paraId="0A2B9D00" w14:textId="77777777" w:rsidTr="005D3D20">
        <w:tc>
          <w:tcPr>
            <w:tcW w:w="1271" w:type="dxa"/>
            <w:vAlign w:val="center"/>
          </w:tcPr>
          <w:p w14:paraId="2073C93C" w14:textId="77777777" w:rsidR="005D3D20" w:rsidRPr="003A46AE" w:rsidRDefault="005D3D20" w:rsidP="005D3D20">
            <w:pPr>
              <w:keepLines w:val="0"/>
              <w:spacing w:before="0" w:line="240" w:lineRule="auto"/>
              <w:rPr>
                <w:rFonts w:cs="Segoe UI"/>
              </w:rPr>
            </w:pPr>
            <w:r w:rsidRPr="003A46AE">
              <w:rPr>
                <w:rFonts w:cs="Segoe UI"/>
              </w:rPr>
              <w:t>Question 1</w:t>
            </w:r>
          </w:p>
        </w:tc>
        <w:tc>
          <w:tcPr>
            <w:tcW w:w="1790" w:type="dxa"/>
            <w:vAlign w:val="center"/>
          </w:tcPr>
          <w:p w14:paraId="14FBB706" w14:textId="77777777" w:rsidR="005D3D20" w:rsidRPr="003A46AE" w:rsidRDefault="005D3D20" w:rsidP="005D3D20">
            <w:pPr>
              <w:keepLines w:val="0"/>
              <w:spacing w:before="0" w:line="240" w:lineRule="auto"/>
              <w:rPr>
                <w:rFonts w:cs="Segoe UI"/>
              </w:rPr>
            </w:pPr>
            <w:r w:rsidRPr="003A46AE">
              <w:rPr>
                <w:rFonts w:cs="Segoe UI"/>
              </w:rPr>
              <w:t>Mandatory</w:t>
            </w:r>
          </w:p>
        </w:tc>
        <w:tc>
          <w:tcPr>
            <w:tcW w:w="5103" w:type="dxa"/>
            <w:vAlign w:val="center"/>
          </w:tcPr>
          <w:p w14:paraId="17A92BD0" w14:textId="77777777" w:rsidR="005D3D20" w:rsidRPr="003A46AE" w:rsidRDefault="005D3D20" w:rsidP="005D3D20">
            <w:pPr>
              <w:keepLines w:val="0"/>
              <w:spacing w:before="0" w:line="240" w:lineRule="auto"/>
              <w:rPr>
                <w:rFonts w:cs="Segoe UI"/>
              </w:rPr>
            </w:pPr>
            <w:r w:rsidRPr="003A46AE">
              <w:rPr>
                <w:rFonts w:cs="Segoe UI"/>
              </w:rPr>
              <w:t>Expenditure on food and ingredients used to prepare meals and snacks on-site</w:t>
            </w:r>
          </w:p>
        </w:tc>
        <w:tc>
          <w:tcPr>
            <w:tcW w:w="1754" w:type="dxa"/>
            <w:vAlign w:val="center"/>
          </w:tcPr>
          <w:p w14:paraId="50027ABE" w14:textId="77777777" w:rsidR="005D3D20" w:rsidRPr="003A46AE" w:rsidRDefault="005D3D20" w:rsidP="005D3D20">
            <w:pPr>
              <w:keepLines w:val="0"/>
              <w:spacing w:before="0" w:line="240" w:lineRule="auto"/>
              <w:rPr>
                <w:rFonts w:cs="Segoe UI"/>
              </w:rPr>
            </w:pPr>
            <w:r w:rsidRPr="003A46AE">
              <w:rPr>
                <w:rFonts w:cs="Segoe UI"/>
              </w:rPr>
              <w:t>100% responses</w:t>
            </w:r>
          </w:p>
        </w:tc>
      </w:tr>
      <w:tr w:rsidR="0055430C" w:rsidRPr="003A46AE" w14:paraId="4E1A706D" w14:textId="77777777" w:rsidTr="005D3D20">
        <w:tc>
          <w:tcPr>
            <w:tcW w:w="1271" w:type="dxa"/>
            <w:shd w:val="clear" w:color="auto" w:fill="F2F2F2" w:themeFill="background1" w:themeFillShade="F2"/>
            <w:vAlign w:val="center"/>
          </w:tcPr>
          <w:p w14:paraId="4632B189" w14:textId="77777777" w:rsidR="005D3D20" w:rsidRPr="003A46AE" w:rsidRDefault="005D3D20" w:rsidP="005D3D20">
            <w:pPr>
              <w:keepLines w:val="0"/>
              <w:spacing w:before="0" w:line="240" w:lineRule="auto"/>
              <w:rPr>
                <w:rFonts w:cs="Segoe UI"/>
              </w:rPr>
            </w:pPr>
            <w:r w:rsidRPr="003A46AE">
              <w:rPr>
                <w:rFonts w:cs="Segoe UI"/>
              </w:rPr>
              <w:t>Question 2</w:t>
            </w:r>
          </w:p>
        </w:tc>
        <w:tc>
          <w:tcPr>
            <w:tcW w:w="1790" w:type="dxa"/>
            <w:shd w:val="clear" w:color="auto" w:fill="F2F2F2" w:themeFill="background1" w:themeFillShade="F2"/>
            <w:vAlign w:val="center"/>
          </w:tcPr>
          <w:p w14:paraId="21D1B8E0" w14:textId="77777777" w:rsidR="005D3D20" w:rsidRPr="003A46AE" w:rsidRDefault="005D3D20" w:rsidP="005D3D20">
            <w:pPr>
              <w:keepLines w:val="0"/>
              <w:spacing w:before="0" w:line="240" w:lineRule="auto"/>
              <w:rPr>
                <w:rFonts w:cs="Segoe UI"/>
              </w:rPr>
            </w:pPr>
            <w:r w:rsidRPr="003A46AE">
              <w:rPr>
                <w:rFonts w:cs="Segoe UI"/>
              </w:rPr>
              <w:t xml:space="preserve">Mandatory </w:t>
            </w:r>
          </w:p>
        </w:tc>
        <w:tc>
          <w:tcPr>
            <w:tcW w:w="5103" w:type="dxa"/>
            <w:shd w:val="clear" w:color="auto" w:fill="F2F2F2" w:themeFill="background1" w:themeFillShade="F2"/>
            <w:vAlign w:val="center"/>
          </w:tcPr>
          <w:p w14:paraId="05AE36A1" w14:textId="77777777" w:rsidR="005D3D20" w:rsidRPr="003A46AE" w:rsidRDefault="005D3D20" w:rsidP="005D3D20">
            <w:pPr>
              <w:keepLines w:val="0"/>
              <w:spacing w:before="0" w:line="240" w:lineRule="auto"/>
              <w:rPr>
                <w:rFonts w:cs="Segoe UI"/>
              </w:rPr>
            </w:pPr>
            <w:r w:rsidRPr="003A46AE">
              <w:rPr>
                <w:rFonts w:cs="Segoe UI"/>
              </w:rPr>
              <w:t>Expenditure on pre-prepared and bought-in main meals</w:t>
            </w:r>
          </w:p>
        </w:tc>
        <w:tc>
          <w:tcPr>
            <w:tcW w:w="1754" w:type="dxa"/>
            <w:shd w:val="clear" w:color="auto" w:fill="F2F2F2" w:themeFill="background1" w:themeFillShade="F2"/>
            <w:vAlign w:val="center"/>
          </w:tcPr>
          <w:p w14:paraId="07727C62" w14:textId="77777777" w:rsidR="005D3D20" w:rsidRPr="003A46AE" w:rsidRDefault="005D3D20" w:rsidP="005D3D20">
            <w:pPr>
              <w:keepLines w:val="0"/>
              <w:spacing w:before="0" w:line="240" w:lineRule="auto"/>
              <w:rPr>
                <w:rFonts w:cs="Segoe UI"/>
              </w:rPr>
            </w:pPr>
            <w:r w:rsidRPr="003A46AE">
              <w:rPr>
                <w:rFonts w:cs="Segoe UI"/>
              </w:rPr>
              <w:t>100% responses</w:t>
            </w:r>
          </w:p>
        </w:tc>
      </w:tr>
      <w:tr w:rsidR="0055430C" w:rsidRPr="003A46AE" w14:paraId="40302ED6" w14:textId="77777777" w:rsidTr="005D3D20">
        <w:tc>
          <w:tcPr>
            <w:tcW w:w="1271" w:type="dxa"/>
            <w:vAlign w:val="center"/>
          </w:tcPr>
          <w:p w14:paraId="6757E19C" w14:textId="77777777" w:rsidR="005D3D20" w:rsidRPr="003A46AE" w:rsidRDefault="005D3D20" w:rsidP="005D3D20">
            <w:pPr>
              <w:keepLines w:val="0"/>
              <w:spacing w:before="0" w:line="240" w:lineRule="auto"/>
              <w:rPr>
                <w:rFonts w:cs="Segoe UI"/>
              </w:rPr>
            </w:pPr>
            <w:r w:rsidRPr="003A46AE">
              <w:rPr>
                <w:rFonts w:cs="Segoe UI"/>
              </w:rPr>
              <w:t>Question 3</w:t>
            </w:r>
          </w:p>
        </w:tc>
        <w:tc>
          <w:tcPr>
            <w:tcW w:w="1790" w:type="dxa"/>
            <w:vAlign w:val="center"/>
          </w:tcPr>
          <w:p w14:paraId="3176F99C" w14:textId="77777777" w:rsidR="005D3D20" w:rsidRPr="003A46AE" w:rsidRDefault="005D3D20" w:rsidP="005D3D20">
            <w:pPr>
              <w:keepLines w:val="0"/>
              <w:spacing w:before="0" w:line="240" w:lineRule="auto"/>
              <w:rPr>
                <w:rFonts w:cs="Segoe UI"/>
              </w:rPr>
            </w:pPr>
            <w:r w:rsidRPr="003A46AE">
              <w:rPr>
                <w:rFonts w:cs="Segoe UI"/>
              </w:rPr>
              <w:t>Non-Mandatory</w:t>
            </w:r>
          </w:p>
        </w:tc>
        <w:tc>
          <w:tcPr>
            <w:tcW w:w="5103" w:type="dxa"/>
            <w:vAlign w:val="center"/>
          </w:tcPr>
          <w:p w14:paraId="3C52AAA4" w14:textId="77777777" w:rsidR="005D3D20" w:rsidRPr="003A46AE" w:rsidRDefault="005D3D20" w:rsidP="005D3D20">
            <w:pPr>
              <w:keepLines w:val="0"/>
              <w:spacing w:before="0" w:line="240" w:lineRule="auto"/>
              <w:rPr>
                <w:rFonts w:cs="Segoe UI"/>
              </w:rPr>
            </w:pPr>
            <w:r w:rsidRPr="003A46AE">
              <w:rPr>
                <w:rFonts w:cs="Segoe UI"/>
              </w:rPr>
              <w:t>Expenditure on oral nutritional supplements</w:t>
            </w:r>
          </w:p>
        </w:tc>
        <w:tc>
          <w:tcPr>
            <w:tcW w:w="1754" w:type="dxa"/>
            <w:vAlign w:val="center"/>
          </w:tcPr>
          <w:p w14:paraId="4A692EAB" w14:textId="77777777" w:rsidR="005D3D20" w:rsidRPr="003A46AE" w:rsidRDefault="005D3D20" w:rsidP="005D3D20">
            <w:pPr>
              <w:keepLines w:val="0"/>
              <w:spacing w:before="0" w:line="240" w:lineRule="auto"/>
              <w:rPr>
                <w:rFonts w:cs="Segoe UI"/>
              </w:rPr>
            </w:pPr>
            <w:r w:rsidRPr="003A46AE">
              <w:rPr>
                <w:rFonts w:cs="Segoe UI"/>
              </w:rPr>
              <w:t>69% responses</w:t>
            </w:r>
          </w:p>
        </w:tc>
      </w:tr>
      <w:tr w:rsidR="0055430C" w:rsidRPr="003A46AE" w14:paraId="7E69F804" w14:textId="77777777" w:rsidTr="005D3D20">
        <w:tc>
          <w:tcPr>
            <w:tcW w:w="1271" w:type="dxa"/>
            <w:shd w:val="clear" w:color="auto" w:fill="F2F2F2" w:themeFill="background1" w:themeFillShade="F2"/>
            <w:vAlign w:val="center"/>
          </w:tcPr>
          <w:p w14:paraId="1381A3FB" w14:textId="77777777" w:rsidR="005D3D20" w:rsidRPr="003A46AE" w:rsidRDefault="005D3D20" w:rsidP="005D3D20">
            <w:pPr>
              <w:keepLines w:val="0"/>
              <w:spacing w:before="0" w:line="240" w:lineRule="auto"/>
              <w:rPr>
                <w:rFonts w:cs="Segoe UI"/>
              </w:rPr>
            </w:pPr>
            <w:r w:rsidRPr="003A46AE">
              <w:rPr>
                <w:rFonts w:cs="Segoe UI"/>
              </w:rPr>
              <w:t>Question 4</w:t>
            </w:r>
          </w:p>
        </w:tc>
        <w:tc>
          <w:tcPr>
            <w:tcW w:w="1790" w:type="dxa"/>
            <w:shd w:val="clear" w:color="auto" w:fill="F2F2F2" w:themeFill="background1" w:themeFillShade="F2"/>
            <w:vAlign w:val="center"/>
          </w:tcPr>
          <w:p w14:paraId="6F7C9EA9" w14:textId="77777777" w:rsidR="005D3D20" w:rsidRPr="003A46AE" w:rsidRDefault="005D3D20" w:rsidP="005D3D20">
            <w:pPr>
              <w:keepLines w:val="0"/>
              <w:spacing w:before="0" w:line="240" w:lineRule="auto"/>
              <w:rPr>
                <w:rFonts w:cs="Segoe UI"/>
              </w:rPr>
            </w:pPr>
            <w:r w:rsidRPr="003A46AE">
              <w:rPr>
                <w:rFonts w:cs="Segoe UI"/>
              </w:rPr>
              <w:t>Non-Mandatory</w:t>
            </w:r>
          </w:p>
        </w:tc>
        <w:tc>
          <w:tcPr>
            <w:tcW w:w="5103" w:type="dxa"/>
            <w:shd w:val="clear" w:color="auto" w:fill="F2F2F2" w:themeFill="background1" w:themeFillShade="F2"/>
            <w:vAlign w:val="center"/>
          </w:tcPr>
          <w:p w14:paraId="1ADFA85E" w14:textId="77777777" w:rsidR="005D3D20" w:rsidRPr="003A46AE" w:rsidRDefault="005D3D20" w:rsidP="005D3D20">
            <w:pPr>
              <w:keepLines w:val="0"/>
              <w:spacing w:before="0" w:line="240" w:lineRule="auto"/>
              <w:rPr>
                <w:rFonts w:cs="Segoe UI"/>
              </w:rPr>
            </w:pPr>
            <w:r w:rsidRPr="003A46AE">
              <w:rPr>
                <w:rFonts w:cs="Segoe UI"/>
              </w:rPr>
              <w:t>Expenditure on oral health living expenses</w:t>
            </w:r>
          </w:p>
        </w:tc>
        <w:tc>
          <w:tcPr>
            <w:tcW w:w="1754" w:type="dxa"/>
            <w:shd w:val="clear" w:color="auto" w:fill="F2F2F2" w:themeFill="background1" w:themeFillShade="F2"/>
            <w:vAlign w:val="center"/>
          </w:tcPr>
          <w:p w14:paraId="114AD214" w14:textId="77777777" w:rsidR="005D3D20" w:rsidRPr="003A46AE" w:rsidRDefault="005D3D20" w:rsidP="005D3D20">
            <w:pPr>
              <w:keepLines w:val="0"/>
              <w:spacing w:before="0" w:line="240" w:lineRule="auto"/>
              <w:rPr>
                <w:rFonts w:cs="Segoe UI"/>
              </w:rPr>
            </w:pPr>
            <w:r w:rsidRPr="003A46AE">
              <w:rPr>
                <w:rFonts w:cs="Segoe UI"/>
              </w:rPr>
              <w:t>51% responses</w:t>
            </w:r>
          </w:p>
        </w:tc>
      </w:tr>
      <w:tr w:rsidR="0055430C" w:rsidRPr="003A46AE" w14:paraId="746211BD" w14:textId="77777777" w:rsidTr="005D3D20">
        <w:tc>
          <w:tcPr>
            <w:tcW w:w="1271" w:type="dxa"/>
            <w:vAlign w:val="center"/>
          </w:tcPr>
          <w:p w14:paraId="425CBED8" w14:textId="77777777" w:rsidR="005D3D20" w:rsidRPr="003A46AE" w:rsidRDefault="005D3D20" w:rsidP="005D3D20">
            <w:pPr>
              <w:keepLines w:val="0"/>
              <w:spacing w:before="0" w:line="240" w:lineRule="auto"/>
              <w:rPr>
                <w:rFonts w:cs="Segoe UI"/>
              </w:rPr>
            </w:pPr>
            <w:r w:rsidRPr="003A46AE">
              <w:rPr>
                <w:rFonts w:cs="Segoe UI"/>
              </w:rPr>
              <w:t>Question 5</w:t>
            </w:r>
          </w:p>
        </w:tc>
        <w:tc>
          <w:tcPr>
            <w:tcW w:w="1790" w:type="dxa"/>
            <w:vAlign w:val="center"/>
          </w:tcPr>
          <w:p w14:paraId="7B123503" w14:textId="77777777" w:rsidR="005D3D20" w:rsidRPr="003A46AE" w:rsidRDefault="005D3D20" w:rsidP="005D3D20">
            <w:pPr>
              <w:keepLines w:val="0"/>
              <w:spacing w:before="0" w:line="240" w:lineRule="auto"/>
              <w:rPr>
                <w:rFonts w:cs="Segoe UI"/>
              </w:rPr>
            </w:pPr>
            <w:r w:rsidRPr="003A46AE">
              <w:rPr>
                <w:rFonts w:cs="Segoe UI"/>
              </w:rPr>
              <w:t>Non-Mandatory</w:t>
            </w:r>
          </w:p>
        </w:tc>
        <w:tc>
          <w:tcPr>
            <w:tcW w:w="5103" w:type="dxa"/>
            <w:vAlign w:val="center"/>
          </w:tcPr>
          <w:p w14:paraId="0488BE69" w14:textId="77777777" w:rsidR="005D3D20" w:rsidRPr="003A46AE" w:rsidRDefault="005D3D20" w:rsidP="005D3D20">
            <w:pPr>
              <w:keepLines w:val="0"/>
              <w:spacing w:before="0" w:line="240" w:lineRule="auto"/>
              <w:rPr>
                <w:rFonts w:cs="Segoe UI"/>
              </w:rPr>
            </w:pPr>
            <w:r w:rsidRPr="003A46AE">
              <w:rPr>
                <w:rFonts w:cs="Segoe UI"/>
              </w:rPr>
              <w:t>Hours for cooks and chefs</w:t>
            </w:r>
          </w:p>
        </w:tc>
        <w:tc>
          <w:tcPr>
            <w:tcW w:w="1754" w:type="dxa"/>
            <w:vAlign w:val="center"/>
          </w:tcPr>
          <w:p w14:paraId="0CFD819D" w14:textId="77777777" w:rsidR="005D3D20" w:rsidRPr="003A46AE" w:rsidRDefault="005D3D20" w:rsidP="005D3D20">
            <w:pPr>
              <w:keepLines w:val="0"/>
              <w:spacing w:before="0" w:line="240" w:lineRule="auto"/>
              <w:rPr>
                <w:rFonts w:cs="Segoe UI"/>
              </w:rPr>
            </w:pPr>
            <w:r w:rsidRPr="003A46AE">
              <w:rPr>
                <w:rFonts w:cs="Segoe UI"/>
              </w:rPr>
              <w:t>67% responses</w:t>
            </w:r>
          </w:p>
        </w:tc>
      </w:tr>
      <w:tr w:rsidR="0055430C" w:rsidRPr="003A46AE" w14:paraId="0E4A8795" w14:textId="77777777" w:rsidTr="005D3D20">
        <w:tc>
          <w:tcPr>
            <w:tcW w:w="1271" w:type="dxa"/>
            <w:shd w:val="clear" w:color="auto" w:fill="F2F2F2" w:themeFill="background1" w:themeFillShade="F2"/>
            <w:vAlign w:val="center"/>
          </w:tcPr>
          <w:p w14:paraId="714F7838" w14:textId="77777777" w:rsidR="005D3D20" w:rsidRPr="003A46AE" w:rsidRDefault="005D3D20" w:rsidP="005D3D20">
            <w:pPr>
              <w:keepLines w:val="0"/>
              <w:spacing w:before="0" w:line="240" w:lineRule="auto"/>
              <w:rPr>
                <w:rFonts w:cs="Segoe UI"/>
              </w:rPr>
            </w:pPr>
            <w:r w:rsidRPr="003A46AE">
              <w:rPr>
                <w:rFonts w:cs="Segoe UI"/>
              </w:rPr>
              <w:t>Question 6</w:t>
            </w:r>
          </w:p>
        </w:tc>
        <w:tc>
          <w:tcPr>
            <w:tcW w:w="1790" w:type="dxa"/>
            <w:shd w:val="clear" w:color="auto" w:fill="F2F2F2" w:themeFill="background1" w:themeFillShade="F2"/>
            <w:vAlign w:val="center"/>
          </w:tcPr>
          <w:p w14:paraId="10C3E03A" w14:textId="77777777" w:rsidR="005D3D20" w:rsidRPr="003A46AE" w:rsidRDefault="005D3D20" w:rsidP="005D3D20">
            <w:pPr>
              <w:keepLines w:val="0"/>
              <w:spacing w:before="0" w:line="240" w:lineRule="auto"/>
              <w:rPr>
                <w:rFonts w:cs="Segoe UI"/>
              </w:rPr>
            </w:pPr>
            <w:r w:rsidRPr="003A46AE">
              <w:rPr>
                <w:rFonts w:cs="Segoe UI"/>
              </w:rPr>
              <w:t>Non-Mandatory</w:t>
            </w:r>
          </w:p>
        </w:tc>
        <w:tc>
          <w:tcPr>
            <w:tcW w:w="5103" w:type="dxa"/>
            <w:shd w:val="clear" w:color="auto" w:fill="F2F2F2" w:themeFill="background1" w:themeFillShade="F2"/>
            <w:vAlign w:val="center"/>
          </w:tcPr>
          <w:p w14:paraId="457DC97E" w14:textId="77777777" w:rsidR="005D3D20" w:rsidRPr="003A46AE" w:rsidRDefault="005D3D20" w:rsidP="005D3D20">
            <w:pPr>
              <w:keepLines w:val="0"/>
              <w:spacing w:before="0" w:line="240" w:lineRule="auto"/>
              <w:rPr>
                <w:rFonts w:cs="Segoe UI"/>
              </w:rPr>
            </w:pPr>
            <w:r w:rsidRPr="003A46AE">
              <w:rPr>
                <w:rFonts w:cs="Segoe UI"/>
              </w:rPr>
              <w:t>Hours for other food management and/or food service staff</w:t>
            </w:r>
          </w:p>
        </w:tc>
        <w:tc>
          <w:tcPr>
            <w:tcW w:w="1754" w:type="dxa"/>
            <w:shd w:val="clear" w:color="auto" w:fill="F2F2F2" w:themeFill="background1" w:themeFillShade="F2"/>
            <w:vAlign w:val="center"/>
          </w:tcPr>
          <w:p w14:paraId="05A7B800" w14:textId="77777777" w:rsidR="005D3D20" w:rsidRPr="003A46AE" w:rsidRDefault="005D3D20" w:rsidP="005D3D20">
            <w:pPr>
              <w:keepLines w:val="0"/>
              <w:spacing w:before="0" w:line="240" w:lineRule="auto"/>
              <w:rPr>
                <w:rFonts w:cs="Segoe UI"/>
              </w:rPr>
            </w:pPr>
            <w:r w:rsidRPr="003A46AE">
              <w:rPr>
                <w:rFonts w:cs="Segoe UI"/>
              </w:rPr>
              <w:t>71% responses</w:t>
            </w:r>
          </w:p>
        </w:tc>
      </w:tr>
      <w:tr w:rsidR="0055430C" w:rsidRPr="003A46AE" w14:paraId="68F315D0" w14:textId="77777777" w:rsidTr="005D3D20">
        <w:tc>
          <w:tcPr>
            <w:tcW w:w="1271" w:type="dxa"/>
            <w:vAlign w:val="center"/>
          </w:tcPr>
          <w:p w14:paraId="5C401FB7" w14:textId="77777777" w:rsidR="005D3D20" w:rsidRPr="003A46AE" w:rsidRDefault="005D3D20" w:rsidP="005D3D20">
            <w:pPr>
              <w:keepLines w:val="0"/>
              <w:spacing w:before="0" w:line="240" w:lineRule="auto"/>
              <w:rPr>
                <w:rFonts w:cs="Segoe UI"/>
              </w:rPr>
            </w:pPr>
            <w:r w:rsidRPr="003A46AE">
              <w:rPr>
                <w:rFonts w:cs="Segoe UI"/>
              </w:rPr>
              <w:t>Question 7</w:t>
            </w:r>
          </w:p>
        </w:tc>
        <w:tc>
          <w:tcPr>
            <w:tcW w:w="1790" w:type="dxa"/>
            <w:vAlign w:val="center"/>
          </w:tcPr>
          <w:p w14:paraId="230D9F5A" w14:textId="77777777" w:rsidR="005D3D20" w:rsidRPr="003A46AE" w:rsidRDefault="005D3D20" w:rsidP="005D3D20">
            <w:pPr>
              <w:keepLines w:val="0"/>
              <w:spacing w:before="0" w:line="240" w:lineRule="auto"/>
              <w:rPr>
                <w:rFonts w:cs="Segoe UI"/>
              </w:rPr>
            </w:pPr>
            <w:r w:rsidRPr="003A46AE">
              <w:rPr>
                <w:rFonts w:cs="Segoe UI"/>
              </w:rPr>
              <w:t>Non-Mandatory</w:t>
            </w:r>
          </w:p>
        </w:tc>
        <w:tc>
          <w:tcPr>
            <w:tcW w:w="5103" w:type="dxa"/>
            <w:vAlign w:val="center"/>
          </w:tcPr>
          <w:p w14:paraId="5CA6FA70" w14:textId="77777777" w:rsidR="005D3D20" w:rsidRPr="003A46AE" w:rsidRDefault="005D3D20" w:rsidP="005D3D20">
            <w:pPr>
              <w:keepLines w:val="0"/>
              <w:spacing w:before="0" w:line="240" w:lineRule="auto"/>
              <w:rPr>
                <w:rFonts w:cs="Segoe UI"/>
              </w:rPr>
            </w:pPr>
            <w:r w:rsidRPr="003A46AE">
              <w:rPr>
                <w:rFonts w:cs="Segoe UI"/>
              </w:rPr>
              <w:t>Expenditure on allied health support (such as dietitians, speech pathologists and oral health practitioners) for residents to improve their nutritional wellbeing</w:t>
            </w:r>
          </w:p>
        </w:tc>
        <w:tc>
          <w:tcPr>
            <w:tcW w:w="1754" w:type="dxa"/>
            <w:vAlign w:val="center"/>
          </w:tcPr>
          <w:p w14:paraId="0CE2841D" w14:textId="77777777" w:rsidR="005D3D20" w:rsidRPr="003A46AE" w:rsidRDefault="005D3D20" w:rsidP="005D3D20">
            <w:pPr>
              <w:keepLines w:val="0"/>
              <w:spacing w:before="0" w:line="240" w:lineRule="auto"/>
              <w:rPr>
                <w:rFonts w:cs="Segoe UI"/>
              </w:rPr>
            </w:pPr>
            <w:r w:rsidRPr="003A46AE">
              <w:rPr>
                <w:rFonts w:cs="Segoe UI"/>
              </w:rPr>
              <w:t>67% responses</w:t>
            </w:r>
          </w:p>
        </w:tc>
      </w:tr>
      <w:tr w:rsidR="0055430C" w:rsidRPr="003A46AE" w14:paraId="0B9D398F" w14:textId="77777777" w:rsidTr="005D3D20">
        <w:tc>
          <w:tcPr>
            <w:tcW w:w="1271" w:type="dxa"/>
            <w:shd w:val="clear" w:color="auto" w:fill="F2F2F2" w:themeFill="background1" w:themeFillShade="F2"/>
            <w:vAlign w:val="center"/>
          </w:tcPr>
          <w:p w14:paraId="5098BF21" w14:textId="77777777" w:rsidR="005D3D20" w:rsidRPr="003A46AE" w:rsidRDefault="005D3D20" w:rsidP="005D3D20">
            <w:pPr>
              <w:keepLines w:val="0"/>
              <w:spacing w:before="0" w:line="240" w:lineRule="auto"/>
              <w:rPr>
                <w:rFonts w:cs="Segoe UI"/>
              </w:rPr>
            </w:pPr>
            <w:r w:rsidRPr="003A46AE">
              <w:rPr>
                <w:rFonts w:cs="Segoe UI"/>
              </w:rPr>
              <w:t>Question 8</w:t>
            </w:r>
          </w:p>
        </w:tc>
        <w:tc>
          <w:tcPr>
            <w:tcW w:w="1790" w:type="dxa"/>
            <w:shd w:val="clear" w:color="auto" w:fill="F2F2F2" w:themeFill="background1" w:themeFillShade="F2"/>
            <w:vAlign w:val="center"/>
          </w:tcPr>
          <w:p w14:paraId="0EE9246A" w14:textId="77777777" w:rsidR="005D3D20" w:rsidRPr="003A46AE" w:rsidRDefault="005D3D20" w:rsidP="005D3D20">
            <w:pPr>
              <w:keepLines w:val="0"/>
              <w:spacing w:before="0" w:line="240" w:lineRule="auto"/>
              <w:rPr>
                <w:rFonts w:cs="Segoe UI"/>
              </w:rPr>
            </w:pPr>
            <w:r w:rsidRPr="003A46AE">
              <w:rPr>
                <w:rFonts w:cs="Segoe UI"/>
              </w:rPr>
              <w:t>Mandatory</w:t>
            </w:r>
          </w:p>
        </w:tc>
        <w:tc>
          <w:tcPr>
            <w:tcW w:w="5103" w:type="dxa"/>
            <w:shd w:val="clear" w:color="auto" w:fill="F2F2F2" w:themeFill="background1" w:themeFillShade="F2"/>
            <w:vAlign w:val="center"/>
          </w:tcPr>
          <w:p w14:paraId="2126BEAA" w14:textId="77777777" w:rsidR="005D3D20" w:rsidRPr="003A46AE" w:rsidRDefault="005D3D20" w:rsidP="005D3D20">
            <w:pPr>
              <w:keepLines w:val="0"/>
              <w:spacing w:before="0" w:line="240" w:lineRule="auto"/>
              <w:rPr>
                <w:rFonts w:cs="Segoe UI"/>
              </w:rPr>
            </w:pPr>
            <w:r w:rsidRPr="003A46AE">
              <w:rPr>
                <w:rFonts w:cs="Segoe UI"/>
              </w:rPr>
              <w:t>How do you ensure you are providing an appropriate standard of daily living services?</w:t>
            </w:r>
          </w:p>
        </w:tc>
        <w:tc>
          <w:tcPr>
            <w:tcW w:w="1754" w:type="dxa"/>
            <w:shd w:val="clear" w:color="auto" w:fill="F2F2F2" w:themeFill="background1" w:themeFillShade="F2"/>
            <w:vAlign w:val="center"/>
          </w:tcPr>
          <w:p w14:paraId="666D5686" w14:textId="77777777" w:rsidR="005D3D20" w:rsidRPr="003A46AE" w:rsidRDefault="005D3D20" w:rsidP="005D3D20">
            <w:pPr>
              <w:keepLines w:val="0"/>
              <w:spacing w:before="0" w:line="240" w:lineRule="auto"/>
              <w:rPr>
                <w:rFonts w:cs="Segoe UI"/>
              </w:rPr>
            </w:pPr>
            <w:r w:rsidRPr="003A46AE">
              <w:rPr>
                <w:rFonts w:cs="Segoe UI"/>
              </w:rPr>
              <w:t>100% responses</w:t>
            </w:r>
          </w:p>
        </w:tc>
      </w:tr>
      <w:tr w:rsidR="0055430C" w:rsidRPr="003A46AE" w14:paraId="477751DB" w14:textId="77777777" w:rsidTr="005D3D20">
        <w:tc>
          <w:tcPr>
            <w:tcW w:w="1271" w:type="dxa"/>
            <w:vAlign w:val="center"/>
          </w:tcPr>
          <w:p w14:paraId="29B5E57D" w14:textId="77777777" w:rsidR="005D3D20" w:rsidRPr="003A46AE" w:rsidRDefault="005D3D20" w:rsidP="005D3D20">
            <w:pPr>
              <w:keepLines w:val="0"/>
              <w:spacing w:before="0" w:line="240" w:lineRule="auto"/>
              <w:rPr>
                <w:rFonts w:cs="Segoe UI"/>
              </w:rPr>
            </w:pPr>
            <w:r w:rsidRPr="003A46AE">
              <w:rPr>
                <w:rFonts w:cs="Segoe UI"/>
              </w:rPr>
              <w:t>Question 9</w:t>
            </w:r>
          </w:p>
        </w:tc>
        <w:tc>
          <w:tcPr>
            <w:tcW w:w="1790" w:type="dxa"/>
            <w:vAlign w:val="center"/>
          </w:tcPr>
          <w:p w14:paraId="4231AB46" w14:textId="77777777" w:rsidR="005D3D20" w:rsidRPr="003A46AE" w:rsidRDefault="005D3D20" w:rsidP="005D3D20">
            <w:pPr>
              <w:keepLines w:val="0"/>
              <w:spacing w:before="0" w:line="240" w:lineRule="auto"/>
              <w:rPr>
                <w:rFonts w:cs="Segoe UI"/>
              </w:rPr>
            </w:pPr>
            <w:r w:rsidRPr="003A46AE">
              <w:rPr>
                <w:rFonts w:cs="Segoe UI"/>
              </w:rPr>
              <w:t xml:space="preserve">Mandatory </w:t>
            </w:r>
          </w:p>
        </w:tc>
        <w:tc>
          <w:tcPr>
            <w:tcW w:w="5103" w:type="dxa"/>
            <w:vAlign w:val="center"/>
          </w:tcPr>
          <w:p w14:paraId="0684857C" w14:textId="77777777" w:rsidR="005D3D20" w:rsidRPr="003A46AE" w:rsidRDefault="005D3D20" w:rsidP="005D3D20">
            <w:pPr>
              <w:keepLines w:val="0"/>
              <w:spacing w:before="0" w:line="240" w:lineRule="auto"/>
              <w:rPr>
                <w:rFonts w:cs="Segoe UI"/>
              </w:rPr>
            </w:pPr>
            <w:r w:rsidRPr="003A46AE">
              <w:rPr>
                <w:rFonts w:cs="Segoe UI"/>
              </w:rPr>
              <w:t>Do you have any plans to review or improve your provision of daily living services?</w:t>
            </w:r>
          </w:p>
        </w:tc>
        <w:tc>
          <w:tcPr>
            <w:tcW w:w="1754" w:type="dxa"/>
            <w:vAlign w:val="center"/>
          </w:tcPr>
          <w:p w14:paraId="25018C7D" w14:textId="77777777" w:rsidR="005D3D20" w:rsidRPr="003A46AE" w:rsidRDefault="005D3D20" w:rsidP="005D3D20">
            <w:pPr>
              <w:keepLines w:val="0"/>
              <w:spacing w:before="0" w:line="240" w:lineRule="auto"/>
              <w:rPr>
                <w:rFonts w:cs="Segoe UI"/>
              </w:rPr>
            </w:pPr>
            <w:r w:rsidRPr="003A46AE">
              <w:rPr>
                <w:rFonts w:cs="Segoe UI"/>
              </w:rPr>
              <w:t>100% responses</w:t>
            </w:r>
          </w:p>
        </w:tc>
      </w:tr>
    </w:tbl>
    <w:p w14:paraId="5F66B645" w14:textId="6C3D0F3E" w:rsidR="005D3D20" w:rsidRPr="003A46AE" w:rsidRDefault="005D3D20" w:rsidP="00F368DD">
      <w:pPr>
        <w:spacing w:before="0" w:line="240" w:lineRule="auto"/>
        <w:rPr>
          <w:rFonts w:cs="Segoe UI"/>
          <w:b/>
          <w:bCs/>
          <w:color w:val="550B36" w:themeColor="accent1" w:themeShade="80"/>
        </w:rPr>
      </w:pPr>
    </w:p>
    <w:p w14:paraId="7D7E9CC2" w14:textId="7D50AA25" w:rsidR="005D3D20" w:rsidRPr="003A46AE" w:rsidRDefault="005D3D20" w:rsidP="00F368DD">
      <w:pPr>
        <w:spacing w:before="0" w:line="240" w:lineRule="auto"/>
        <w:rPr>
          <w:rFonts w:cs="Segoe UI"/>
          <w:b/>
          <w:bCs/>
          <w:color w:val="550B36" w:themeColor="accent1" w:themeShade="80"/>
        </w:rPr>
      </w:pPr>
    </w:p>
    <w:p w14:paraId="1A9C4E65" w14:textId="77777777" w:rsidR="005D3D20" w:rsidRPr="003A46AE" w:rsidRDefault="005D3D20" w:rsidP="00F368DD">
      <w:pPr>
        <w:spacing w:before="0" w:line="240" w:lineRule="auto"/>
        <w:rPr>
          <w:rFonts w:cs="Segoe UI"/>
          <w:b/>
          <w:bCs/>
          <w:color w:val="550B36" w:themeColor="accent1" w:themeShade="80"/>
        </w:rPr>
      </w:pPr>
    </w:p>
    <w:p w14:paraId="4EDB570D" w14:textId="57230DDC" w:rsidR="00620A34" w:rsidRPr="003A46AE" w:rsidRDefault="00620A34" w:rsidP="00EB2420">
      <w:pPr>
        <w:pStyle w:val="ListParagraph"/>
        <w:keepLines w:val="0"/>
        <w:numPr>
          <w:ilvl w:val="1"/>
          <w:numId w:val="28"/>
        </w:numPr>
        <w:spacing w:before="0" w:line="240" w:lineRule="auto"/>
        <w:rPr>
          <w:lang w:val="en-GB"/>
        </w:rPr>
      </w:pPr>
      <w:r w:rsidRPr="003A46AE">
        <w:rPr>
          <w:b/>
          <w:bCs/>
          <w:lang w:val="en-GB"/>
        </w:rPr>
        <w:lastRenderedPageBreak/>
        <w:t>Analysis of sector-provided data in relation to expenditure on food and nutrition</w:t>
      </w:r>
    </w:p>
    <w:p w14:paraId="3043D17E" w14:textId="1940A09A" w:rsidR="003C117D" w:rsidRPr="003A46AE" w:rsidRDefault="00874DCC" w:rsidP="00EB2420">
      <w:pPr>
        <w:pStyle w:val="ListBullet"/>
        <w:keepLines w:val="0"/>
        <w:numPr>
          <w:ilvl w:val="0"/>
          <w:numId w:val="24"/>
        </w:numPr>
        <w:spacing w:before="240" w:line="240" w:lineRule="auto"/>
        <w:ind w:left="284" w:hanging="284"/>
        <w:rPr>
          <w:rFonts w:cs="Segoe UI"/>
        </w:rPr>
      </w:pPr>
      <w:r w:rsidRPr="003A46AE">
        <w:rPr>
          <w:rFonts w:cs="Segoe UI"/>
        </w:rPr>
        <w:t xml:space="preserve">This analysis is based on </w:t>
      </w:r>
      <w:r w:rsidR="00612D6B" w:rsidRPr="003A46AE">
        <w:rPr>
          <w:rFonts w:cs="Segoe UI"/>
        </w:rPr>
        <w:t>self-</w:t>
      </w:r>
      <w:r w:rsidRPr="003A46AE">
        <w:rPr>
          <w:rFonts w:cs="Segoe UI"/>
        </w:rPr>
        <w:t xml:space="preserve">reported </w:t>
      </w:r>
      <w:r w:rsidR="00612D6B" w:rsidRPr="003A46AE">
        <w:rPr>
          <w:rFonts w:cs="Segoe UI"/>
        </w:rPr>
        <w:t xml:space="preserve">data </w:t>
      </w:r>
      <w:r w:rsidR="0024524C" w:rsidRPr="003A46AE">
        <w:rPr>
          <w:rFonts w:cs="Segoe UI"/>
        </w:rPr>
        <w:t>by residential services through the My Aged Care Provider Portal</w:t>
      </w:r>
      <w:r w:rsidR="0048434A" w:rsidRPr="003A46AE">
        <w:rPr>
          <w:rStyle w:val="FootnoteReference"/>
          <w:rFonts w:cs="Segoe UI"/>
        </w:rPr>
        <w:footnoteReference w:id="5"/>
      </w:r>
      <w:r w:rsidR="0024524C" w:rsidRPr="003A46AE">
        <w:rPr>
          <w:rFonts w:cs="Segoe UI"/>
        </w:rPr>
        <w:t xml:space="preserve"> </w:t>
      </w:r>
      <w:r w:rsidR="00E96F3A" w:rsidRPr="003A46AE">
        <w:rPr>
          <w:rFonts w:cs="Segoe UI"/>
        </w:rPr>
        <w:t xml:space="preserve">and includes forms submitted to </w:t>
      </w:r>
      <w:hyperlink r:id="rId12" w:history="1">
        <w:r w:rsidR="00E96F3A" w:rsidRPr="003A46AE">
          <w:rPr>
            <w:rStyle w:val="Hyperlink"/>
          </w:rPr>
          <w:t>NutritioninAgedCare@health.gov.au</w:t>
        </w:r>
      </w:hyperlink>
      <w:r w:rsidR="0024524C" w:rsidRPr="003A46AE">
        <w:rPr>
          <w:rFonts w:cs="Segoe UI"/>
        </w:rPr>
        <w:t xml:space="preserve">. </w:t>
      </w:r>
    </w:p>
    <w:p w14:paraId="007B56F9" w14:textId="36E7D77E" w:rsidR="008C0793" w:rsidRPr="003A46AE" w:rsidRDefault="00DC4E1B" w:rsidP="00EB2420">
      <w:pPr>
        <w:pStyle w:val="ListBullet"/>
        <w:keepLines w:val="0"/>
        <w:numPr>
          <w:ilvl w:val="0"/>
          <w:numId w:val="24"/>
        </w:numPr>
        <w:spacing w:before="240" w:line="240" w:lineRule="auto"/>
        <w:ind w:left="284" w:hanging="284"/>
        <w:rPr>
          <w:rFonts w:cs="Segoe UI"/>
        </w:rPr>
      </w:pPr>
      <w:bookmarkStart w:id="8" w:name="_Hlk97549376"/>
      <w:r w:rsidRPr="003A46AE">
        <w:rPr>
          <w:rFonts w:cs="Segoe UI"/>
        </w:rPr>
        <w:t xml:space="preserve">Of all services (over 2,600 residential care services) who self-reported the data through My Aged Care the average daily spend was approximately </w:t>
      </w:r>
      <w:r w:rsidRPr="003A46AE">
        <w:rPr>
          <w:rFonts w:cs="Segoe UI"/>
          <w:b/>
          <w:bCs/>
        </w:rPr>
        <w:t>$13.</w:t>
      </w:r>
      <w:r w:rsidR="00DB2284" w:rsidRPr="003A46AE">
        <w:rPr>
          <w:rFonts w:cs="Segoe UI"/>
          <w:b/>
          <w:bCs/>
        </w:rPr>
        <w:t>94</w:t>
      </w:r>
      <w:r w:rsidR="00DB2284" w:rsidRPr="003A46AE">
        <w:rPr>
          <w:rFonts w:cs="Segoe UI"/>
        </w:rPr>
        <w:t xml:space="preserve"> </w:t>
      </w:r>
      <w:r w:rsidRPr="003A46AE">
        <w:rPr>
          <w:rFonts w:cs="Segoe UI"/>
        </w:rPr>
        <w:t>in Q1 and</w:t>
      </w:r>
      <w:r w:rsidRPr="003A46AE">
        <w:rPr>
          <w:rStyle w:val="null1"/>
          <w:rFonts w:cs="Segoe UI"/>
          <w:sz w:val="14"/>
          <w:szCs w:val="14"/>
        </w:rPr>
        <w:t xml:space="preserve"> </w:t>
      </w:r>
      <w:r w:rsidRPr="003A46AE">
        <w:rPr>
          <w:rFonts w:cs="Segoe UI"/>
          <w:b/>
          <w:bCs/>
        </w:rPr>
        <w:t>$14.2</w:t>
      </w:r>
      <w:r w:rsidR="00DB2284" w:rsidRPr="003A46AE">
        <w:rPr>
          <w:rFonts w:cs="Segoe UI"/>
          <w:b/>
          <w:bCs/>
        </w:rPr>
        <w:t>7</w:t>
      </w:r>
      <w:r w:rsidRPr="003A46AE">
        <w:rPr>
          <w:rFonts w:cs="Segoe UI"/>
          <w:b/>
          <w:bCs/>
        </w:rPr>
        <w:t xml:space="preserve"> </w:t>
      </w:r>
      <w:r w:rsidRPr="003A46AE">
        <w:rPr>
          <w:rFonts w:cs="Segoe UI"/>
        </w:rPr>
        <w:t xml:space="preserve">in Q2. However, some of this data reported </w:t>
      </w:r>
      <w:r w:rsidRPr="003A46AE">
        <w:rPr>
          <w:rFonts w:cs="Segoe UI"/>
          <w:u w:val="single"/>
        </w:rPr>
        <w:t>includes labour costs</w:t>
      </w:r>
      <w:r w:rsidRPr="003A46AE">
        <w:rPr>
          <w:rFonts w:cs="Segoe UI"/>
        </w:rPr>
        <w:t xml:space="preserve"> where residential care services were unable to separate these.</w:t>
      </w:r>
    </w:p>
    <w:p w14:paraId="1022F8F8" w14:textId="61125DC7" w:rsidR="00DC4E1B" w:rsidRPr="003A46AE" w:rsidRDefault="00DC4E1B" w:rsidP="00EB2420">
      <w:pPr>
        <w:pStyle w:val="null"/>
        <w:ind w:left="284"/>
        <w:rPr>
          <w:rFonts w:ascii="Segoe UI" w:hAnsi="Segoe UI" w:cs="Segoe UI"/>
        </w:rPr>
      </w:pPr>
      <w:r w:rsidRPr="003A46AE">
        <w:rPr>
          <w:rFonts w:ascii="Segoe UI" w:hAnsi="Segoe UI" w:cs="Segoe UI"/>
        </w:rPr>
        <w:t xml:space="preserve">The following analysis provides more detail </w:t>
      </w:r>
      <w:r w:rsidR="00BE5FBF" w:rsidRPr="003A46AE">
        <w:rPr>
          <w:rFonts w:ascii="Segoe UI" w:hAnsi="Segoe UI" w:cs="Segoe UI"/>
        </w:rPr>
        <w:t>separating</w:t>
      </w:r>
      <w:r w:rsidRPr="003A46AE">
        <w:rPr>
          <w:rFonts w:ascii="Segoe UI" w:hAnsi="Segoe UI" w:cs="Segoe UI"/>
        </w:rPr>
        <w:t xml:space="preserve"> these costs.</w:t>
      </w:r>
    </w:p>
    <w:p w14:paraId="2FDB14C6" w14:textId="78A24AE1" w:rsidR="00514684" w:rsidRPr="003A46AE" w:rsidRDefault="00612D6B" w:rsidP="00EB2420">
      <w:pPr>
        <w:pStyle w:val="ListBullet"/>
        <w:keepLines w:val="0"/>
        <w:numPr>
          <w:ilvl w:val="0"/>
          <w:numId w:val="24"/>
        </w:numPr>
        <w:spacing w:before="240" w:line="240" w:lineRule="auto"/>
        <w:ind w:left="284" w:hanging="284"/>
        <w:rPr>
          <w:b/>
          <w:bCs/>
          <w:lang w:val="en-GB"/>
        </w:rPr>
      </w:pPr>
      <w:bookmarkStart w:id="9" w:name="_Hlk97710022"/>
      <w:r w:rsidRPr="003A46AE">
        <w:rPr>
          <w:rFonts w:cs="Segoe UI"/>
          <w:b/>
          <w:bCs/>
        </w:rPr>
        <w:t>75%</w:t>
      </w:r>
      <w:r w:rsidRPr="003A46AE">
        <w:rPr>
          <w:rFonts w:cs="Segoe UI"/>
        </w:rPr>
        <w:t xml:space="preserve"> </w:t>
      </w:r>
      <w:r w:rsidR="00A44D21" w:rsidRPr="003A46AE">
        <w:rPr>
          <w:rFonts w:cs="Segoe UI"/>
          <w:b/>
          <w:bCs/>
        </w:rPr>
        <w:t xml:space="preserve">of </w:t>
      </w:r>
      <w:r w:rsidRPr="003A46AE">
        <w:rPr>
          <w:rFonts w:cs="Segoe UI"/>
          <w:b/>
          <w:bCs/>
        </w:rPr>
        <w:t>residential services</w:t>
      </w:r>
      <w:r w:rsidR="00DB2284" w:rsidRPr="003A46AE">
        <w:rPr>
          <w:rFonts w:cs="Segoe UI"/>
          <w:b/>
          <w:bCs/>
        </w:rPr>
        <w:t>, in the past six months,</w:t>
      </w:r>
      <w:r w:rsidRPr="003A46AE">
        <w:rPr>
          <w:rFonts w:cs="Segoe UI"/>
          <w:b/>
          <w:bCs/>
        </w:rPr>
        <w:t xml:space="preserve"> reported expenditure </w:t>
      </w:r>
      <w:r w:rsidR="00353523" w:rsidRPr="003A46AE">
        <w:rPr>
          <w:rFonts w:cs="Segoe UI"/>
          <w:b/>
          <w:bCs/>
          <w:szCs w:val="22"/>
        </w:rPr>
        <w:t>on food and ingredients used to prepare meals and snacks on-site only</w:t>
      </w:r>
      <w:r w:rsidR="00353523" w:rsidRPr="003A46AE" w:rsidDel="00353523">
        <w:rPr>
          <w:rFonts w:cs="Segoe UI"/>
        </w:rPr>
        <w:t xml:space="preserve"> </w:t>
      </w:r>
    </w:p>
    <w:bookmarkEnd w:id="8"/>
    <w:bookmarkEnd w:id="9"/>
    <w:p w14:paraId="36EFC082" w14:textId="62E17850" w:rsidR="00514684" w:rsidRPr="003A46AE" w:rsidRDefault="00620A34" w:rsidP="00102B70">
      <w:pPr>
        <w:pStyle w:val="ListBullet"/>
        <w:keepLines w:val="0"/>
        <w:numPr>
          <w:ilvl w:val="0"/>
          <w:numId w:val="24"/>
        </w:numPr>
        <w:spacing w:before="240" w:line="240" w:lineRule="auto"/>
        <w:ind w:left="709" w:hanging="284"/>
        <w:rPr>
          <w:lang w:val="en-GB"/>
        </w:rPr>
      </w:pPr>
      <w:r w:rsidRPr="003A46AE">
        <w:rPr>
          <w:lang w:val="en-GB"/>
        </w:rPr>
        <w:t>Amongst the 75</w:t>
      </w:r>
      <w:r w:rsidR="003C117D" w:rsidRPr="003A46AE">
        <w:rPr>
          <w:lang w:val="en-GB"/>
        </w:rPr>
        <w:t>%</w:t>
      </w:r>
      <w:r w:rsidRPr="003A46AE">
        <w:rPr>
          <w:lang w:val="en-GB"/>
        </w:rPr>
        <w:t xml:space="preserve"> of services that reported expenditure on food and ingredients </w:t>
      </w:r>
      <w:r w:rsidR="00353523" w:rsidRPr="003A46AE">
        <w:rPr>
          <w:lang w:val="en-GB"/>
        </w:rPr>
        <w:t xml:space="preserve">as </w:t>
      </w:r>
      <w:r w:rsidR="00353523" w:rsidRPr="003A46AE">
        <w:rPr>
          <w:b/>
          <w:bCs/>
          <w:lang w:val="en-GB"/>
        </w:rPr>
        <w:t>on-site only</w:t>
      </w:r>
      <w:r w:rsidRPr="003A46AE">
        <w:rPr>
          <w:lang w:val="en-GB"/>
        </w:rPr>
        <w:t xml:space="preserve">, the average expenditure was </w:t>
      </w:r>
      <w:r w:rsidRPr="003A46AE">
        <w:rPr>
          <w:b/>
          <w:bCs/>
          <w:lang w:val="en-GB"/>
        </w:rPr>
        <w:t>$12.2</w:t>
      </w:r>
      <w:r w:rsidR="00DB2284" w:rsidRPr="003A46AE">
        <w:rPr>
          <w:b/>
          <w:bCs/>
          <w:lang w:val="en-GB"/>
        </w:rPr>
        <w:t>5</w:t>
      </w:r>
      <w:r w:rsidRPr="003A46AE">
        <w:rPr>
          <w:b/>
          <w:bCs/>
          <w:lang w:val="en-GB"/>
        </w:rPr>
        <w:t xml:space="preserve"> in Q1</w:t>
      </w:r>
      <w:r w:rsidRPr="003A46AE">
        <w:rPr>
          <w:lang w:val="en-GB"/>
        </w:rPr>
        <w:t xml:space="preserve"> and </w:t>
      </w:r>
      <w:r w:rsidRPr="003A46AE">
        <w:rPr>
          <w:b/>
          <w:bCs/>
          <w:lang w:val="en-GB"/>
        </w:rPr>
        <w:t>$12.</w:t>
      </w:r>
      <w:r w:rsidR="00353523" w:rsidRPr="003A46AE">
        <w:rPr>
          <w:b/>
          <w:bCs/>
          <w:lang w:val="en-GB"/>
        </w:rPr>
        <w:t>4</w:t>
      </w:r>
      <w:r w:rsidR="00DB2284" w:rsidRPr="003A46AE">
        <w:rPr>
          <w:b/>
          <w:bCs/>
          <w:lang w:val="en-GB"/>
        </w:rPr>
        <w:t>4</w:t>
      </w:r>
      <w:r w:rsidRPr="003A46AE">
        <w:rPr>
          <w:b/>
          <w:bCs/>
          <w:lang w:val="en-GB"/>
        </w:rPr>
        <w:t xml:space="preserve"> in Q2</w:t>
      </w:r>
      <w:r w:rsidR="00A44D21" w:rsidRPr="003A46AE">
        <w:rPr>
          <w:rFonts w:cs="Segoe UI"/>
        </w:rPr>
        <w:t>, as per</w:t>
      </w:r>
      <w:r w:rsidR="000B3FE1" w:rsidRPr="003A46AE">
        <w:rPr>
          <w:rFonts w:cs="Segoe UI"/>
        </w:rPr>
        <w:t xml:space="preserve"> Table 2 below.</w:t>
      </w:r>
      <w:r w:rsidR="00102B70" w:rsidRPr="003A46AE">
        <w:rPr>
          <w:lang w:val="en-GB"/>
        </w:rPr>
        <w:t xml:space="preserve"> </w:t>
      </w:r>
    </w:p>
    <w:p w14:paraId="0E850DBA" w14:textId="7ED181EE" w:rsidR="001A154F" w:rsidRPr="003A46AE" w:rsidRDefault="00DB2284" w:rsidP="001A154F">
      <w:pPr>
        <w:pStyle w:val="ListBullet"/>
        <w:keepLines w:val="0"/>
        <w:numPr>
          <w:ilvl w:val="0"/>
          <w:numId w:val="24"/>
        </w:numPr>
        <w:spacing w:before="240" w:line="240" w:lineRule="auto"/>
        <w:ind w:left="284" w:hanging="284"/>
        <w:rPr>
          <w:rFonts w:cs="Segoe UI"/>
          <w:b/>
          <w:bCs/>
        </w:rPr>
      </w:pPr>
      <w:bookmarkStart w:id="10" w:name="_Hlk97710041"/>
      <w:r w:rsidRPr="003A46AE">
        <w:rPr>
          <w:rFonts w:cs="Segoe UI"/>
          <w:b/>
          <w:bCs/>
        </w:rPr>
        <w:t>Over 2</w:t>
      </w:r>
      <w:r w:rsidR="008C0793" w:rsidRPr="003A46AE">
        <w:rPr>
          <w:rFonts w:cs="Segoe UI"/>
          <w:b/>
          <w:bCs/>
        </w:rPr>
        <w:t xml:space="preserve">% </w:t>
      </w:r>
      <w:r w:rsidR="009E6698" w:rsidRPr="003A46AE">
        <w:rPr>
          <w:rFonts w:cs="Segoe UI"/>
          <w:b/>
          <w:bCs/>
        </w:rPr>
        <w:t xml:space="preserve">of </w:t>
      </w:r>
      <w:r w:rsidR="008C0793" w:rsidRPr="003A46AE">
        <w:rPr>
          <w:rFonts w:cs="Segoe UI"/>
          <w:b/>
          <w:bCs/>
        </w:rPr>
        <w:t>residential services</w:t>
      </w:r>
      <w:r w:rsidRPr="003A46AE">
        <w:rPr>
          <w:rFonts w:cs="Segoe UI"/>
          <w:b/>
          <w:bCs/>
        </w:rPr>
        <w:t>, in the past six months,</w:t>
      </w:r>
      <w:r w:rsidR="008C0793" w:rsidRPr="003A46AE">
        <w:rPr>
          <w:rFonts w:cs="Segoe UI"/>
          <w:b/>
          <w:bCs/>
        </w:rPr>
        <w:t xml:space="preserve"> reported expenditure on pre-prepared and bought-in main meal</w:t>
      </w:r>
      <w:r w:rsidR="009E6698" w:rsidRPr="003A46AE">
        <w:rPr>
          <w:rFonts w:cs="Segoe UI"/>
          <w:b/>
          <w:bCs/>
        </w:rPr>
        <w:t>s</w:t>
      </w:r>
      <w:r w:rsidR="00353523" w:rsidRPr="003A46AE">
        <w:rPr>
          <w:rFonts w:cs="Segoe UI"/>
          <w:b/>
          <w:bCs/>
        </w:rPr>
        <w:t xml:space="preserve"> only</w:t>
      </w:r>
    </w:p>
    <w:bookmarkEnd w:id="10"/>
    <w:p w14:paraId="2230A418" w14:textId="4E261088" w:rsidR="001A154F" w:rsidRPr="003A46AE" w:rsidRDefault="008C0793" w:rsidP="001A154F">
      <w:pPr>
        <w:pStyle w:val="ListBullet"/>
        <w:keepLines w:val="0"/>
        <w:numPr>
          <w:ilvl w:val="0"/>
          <w:numId w:val="24"/>
        </w:numPr>
        <w:spacing w:before="240" w:line="240" w:lineRule="auto"/>
        <w:ind w:left="709" w:hanging="284"/>
        <w:rPr>
          <w:rFonts w:cs="Segoe UI"/>
          <w:b/>
          <w:bCs/>
        </w:rPr>
      </w:pPr>
      <w:r w:rsidRPr="003A46AE">
        <w:rPr>
          <w:rFonts w:cs="Segoe UI"/>
        </w:rPr>
        <w:t xml:space="preserve">Approximately 2 to 3 per cent of services reported </w:t>
      </w:r>
      <w:r w:rsidR="00102B70" w:rsidRPr="003A46AE">
        <w:rPr>
          <w:rFonts w:cs="Segoe UI"/>
        </w:rPr>
        <w:t xml:space="preserve">expenditure </w:t>
      </w:r>
      <w:r w:rsidRPr="003A46AE">
        <w:rPr>
          <w:rFonts w:cs="Segoe UI"/>
        </w:rPr>
        <w:t>only on contract catering</w:t>
      </w:r>
      <w:r w:rsidR="00AC375E" w:rsidRPr="003A46AE">
        <w:rPr>
          <w:rStyle w:val="FootnoteReference"/>
          <w:rFonts w:cs="Segoe UI"/>
        </w:rPr>
        <w:footnoteReference w:id="6"/>
      </w:r>
      <w:r w:rsidRPr="003A46AE">
        <w:rPr>
          <w:rFonts w:cs="Segoe UI"/>
        </w:rPr>
        <w:t xml:space="preserve"> where they were unable to split out labour costs</w:t>
      </w:r>
      <w:r w:rsidR="000B3FE1" w:rsidRPr="003A46AE">
        <w:rPr>
          <w:rFonts w:cs="Segoe UI"/>
        </w:rPr>
        <w:t>, see Table 2 below</w:t>
      </w:r>
      <w:r w:rsidRPr="003A46AE">
        <w:rPr>
          <w:rFonts w:cs="Segoe UI"/>
        </w:rPr>
        <w:t>.</w:t>
      </w:r>
    </w:p>
    <w:p w14:paraId="46B4B67D" w14:textId="21A6493D" w:rsidR="008C0793" w:rsidRPr="003A46AE" w:rsidRDefault="008C0793" w:rsidP="00102B70">
      <w:pPr>
        <w:pStyle w:val="ListBullet"/>
        <w:keepLines w:val="0"/>
        <w:numPr>
          <w:ilvl w:val="0"/>
          <w:numId w:val="24"/>
        </w:numPr>
        <w:spacing w:before="240" w:line="240" w:lineRule="auto"/>
        <w:ind w:left="709" w:hanging="284"/>
        <w:rPr>
          <w:rFonts w:cs="Segoe UI"/>
          <w:b/>
          <w:bCs/>
        </w:rPr>
      </w:pPr>
      <w:r w:rsidRPr="003A46AE">
        <w:rPr>
          <w:rFonts w:cs="Segoe UI"/>
          <w:lang w:eastAsia="en-AU"/>
        </w:rPr>
        <w:t xml:space="preserve">The services providing only contract catering reported their average daily spend as </w:t>
      </w:r>
      <w:r w:rsidRPr="003A46AE">
        <w:rPr>
          <w:rFonts w:cs="Segoe UI"/>
          <w:b/>
          <w:bCs/>
          <w:lang w:eastAsia="en-AU"/>
        </w:rPr>
        <w:t>$25.</w:t>
      </w:r>
      <w:r w:rsidR="00353523" w:rsidRPr="003A46AE">
        <w:rPr>
          <w:rFonts w:cs="Segoe UI"/>
          <w:b/>
          <w:bCs/>
          <w:lang w:eastAsia="en-AU"/>
        </w:rPr>
        <w:t>15</w:t>
      </w:r>
      <w:r w:rsidRPr="003A46AE">
        <w:rPr>
          <w:rFonts w:cs="Segoe UI"/>
          <w:lang w:eastAsia="en-AU"/>
        </w:rPr>
        <w:t xml:space="preserve"> in Q1 and </w:t>
      </w:r>
      <w:r w:rsidRPr="003A46AE">
        <w:rPr>
          <w:rFonts w:cs="Segoe UI"/>
          <w:b/>
          <w:bCs/>
          <w:lang w:eastAsia="en-AU"/>
        </w:rPr>
        <w:t>$25.</w:t>
      </w:r>
      <w:r w:rsidR="00353523" w:rsidRPr="003A46AE">
        <w:rPr>
          <w:rFonts w:cs="Segoe UI"/>
          <w:b/>
          <w:bCs/>
          <w:lang w:eastAsia="en-AU"/>
        </w:rPr>
        <w:t>61</w:t>
      </w:r>
      <w:r w:rsidRPr="003A46AE">
        <w:rPr>
          <w:rFonts w:cs="Segoe UI"/>
          <w:lang w:eastAsia="en-AU"/>
        </w:rPr>
        <w:t xml:space="preserve"> in Q2.</w:t>
      </w:r>
    </w:p>
    <w:p w14:paraId="6E561655" w14:textId="3B98D311" w:rsidR="00102B70" w:rsidRPr="003A46AE" w:rsidRDefault="00DB2284" w:rsidP="00102B70">
      <w:pPr>
        <w:pStyle w:val="ListBullet"/>
        <w:keepLines w:val="0"/>
        <w:numPr>
          <w:ilvl w:val="0"/>
          <w:numId w:val="24"/>
        </w:numPr>
        <w:spacing w:before="240" w:line="240" w:lineRule="auto"/>
        <w:ind w:left="284" w:hanging="284"/>
        <w:rPr>
          <w:rFonts w:cs="Segoe UI"/>
        </w:rPr>
      </w:pPr>
      <w:r w:rsidRPr="003A46AE">
        <w:rPr>
          <w:rFonts w:cs="Segoe UI"/>
          <w:b/>
          <w:bCs/>
        </w:rPr>
        <w:t xml:space="preserve">Over </w:t>
      </w:r>
      <w:r w:rsidR="008C0793" w:rsidRPr="003A46AE">
        <w:rPr>
          <w:rFonts w:cs="Segoe UI"/>
          <w:b/>
          <w:bCs/>
        </w:rPr>
        <w:t>2</w:t>
      </w:r>
      <w:r w:rsidRPr="003A46AE">
        <w:rPr>
          <w:rFonts w:cs="Segoe UI"/>
          <w:b/>
          <w:bCs/>
        </w:rPr>
        <w:t>1</w:t>
      </w:r>
      <w:r w:rsidR="008C0793" w:rsidRPr="003A46AE">
        <w:rPr>
          <w:rFonts w:cs="Segoe UI"/>
          <w:b/>
          <w:bCs/>
        </w:rPr>
        <w:t xml:space="preserve">% </w:t>
      </w:r>
      <w:r w:rsidR="009E6698" w:rsidRPr="003A46AE">
        <w:rPr>
          <w:rFonts w:cs="Segoe UI"/>
          <w:b/>
          <w:bCs/>
        </w:rPr>
        <w:t xml:space="preserve">of </w:t>
      </w:r>
      <w:r w:rsidR="008C0793" w:rsidRPr="003A46AE">
        <w:rPr>
          <w:rFonts w:cs="Segoe UI"/>
          <w:b/>
          <w:bCs/>
        </w:rPr>
        <w:t>residential services</w:t>
      </w:r>
      <w:r w:rsidRPr="003A46AE">
        <w:rPr>
          <w:rFonts w:cs="Segoe UI"/>
          <w:b/>
          <w:bCs/>
        </w:rPr>
        <w:t>, in the past six months,</w:t>
      </w:r>
      <w:r w:rsidR="008C0793" w:rsidRPr="003A46AE">
        <w:rPr>
          <w:rFonts w:cs="Segoe UI"/>
          <w:b/>
          <w:bCs/>
        </w:rPr>
        <w:t xml:space="preserve"> reported expenditure as a combination of food and</w:t>
      </w:r>
      <w:r w:rsidR="008C0793" w:rsidRPr="003A46AE">
        <w:rPr>
          <w:rFonts w:cs="Segoe UI"/>
        </w:rPr>
        <w:t xml:space="preserve"> </w:t>
      </w:r>
      <w:r w:rsidR="008C0793" w:rsidRPr="003A46AE">
        <w:rPr>
          <w:rFonts w:cs="Segoe UI"/>
          <w:b/>
          <w:bCs/>
        </w:rPr>
        <w:t xml:space="preserve">ingredients used to prepare meals and snacks on-site and pre-prepared meals bought in </w:t>
      </w:r>
    </w:p>
    <w:p w14:paraId="35D872EC" w14:textId="577DFA00" w:rsidR="00102B70" w:rsidRPr="003A46AE" w:rsidRDefault="009A339A" w:rsidP="00102B70">
      <w:pPr>
        <w:pStyle w:val="ListBullet"/>
        <w:keepLines w:val="0"/>
        <w:numPr>
          <w:ilvl w:val="0"/>
          <w:numId w:val="24"/>
        </w:numPr>
        <w:spacing w:before="240" w:line="240" w:lineRule="auto"/>
        <w:ind w:left="709" w:hanging="284"/>
        <w:rPr>
          <w:rFonts w:cs="Segoe UI"/>
        </w:rPr>
      </w:pPr>
      <w:r w:rsidRPr="003A46AE">
        <w:rPr>
          <w:rFonts w:cs="Segoe UI"/>
        </w:rPr>
        <w:t xml:space="preserve">Some of the </w:t>
      </w:r>
      <w:r w:rsidR="008D5630" w:rsidRPr="003A46AE">
        <w:rPr>
          <w:rFonts w:cs="Segoe UI"/>
        </w:rPr>
        <w:t>services</w:t>
      </w:r>
      <w:r w:rsidR="00986830" w:rsidRPr="003A46AE">
        <w:rPr>
          <w:rFonts w:cs="Segoe UI"/>
        </w:rPr>
        <w:t xml:space="preserve"> </w:t>
      </w:r>
      <w:r w:rsidR="007422F9" w:rsidRPr="003A46AE">
        <w:rPr>
          <w:rFonts w:cs="Segoe UI"/>
        </w:rPr>
        <w:t>were unable to split the costs of labour in their contract catering but were able to provide some information on food and ingredients used to prepare meals and snacks on site</w:t>
      </w:r>
      <w:r w:rsidR="00102B70" w:rsidRPr="003A46AE">
        <w:rPr>
          <w:rFonts w:cs="Segoe UI"/>
        </w:rPr>
        <w:t>;</w:t>
      </w:r>
      <w:r w:rsidR="004C0E3E" w:rsidRPr="003A46AE">
        <w:rPr>
          <w:rFonts w:cs="Segoe UI"/>
        </w:rPr>
        <w:t xml:space="preserve"> see Table </w:t>
      </w:r>
      <w:r w:rsidR="0048434A" w:rsidRPr="003A46AE">
        <w:rPr>
          <w:rFonts w:cs="Segoe UI"/>
        </w:rPr>
        <w:t>2</w:t>
      </w:r>
      <w:r w:rsidR="004C0E3E" w:rsidRPr="003A46AE">
        <w:rPr>
          <w:rFonts w:cs="Segoe UI"/>
        </w:rPr>
        <w:t xml:space="preserve"> below.</w:t>
      </w:r>
      <w:r w:rsidR="00102B70" w:rsidRPr="003A46AE">
        <w:rPr>
          <w:rFonts w:cs="Segoe UI"/>
        </w:rPr>
        <w:t xml:space="preserve"> </w:t>
      </w:r>
    </w:p>
    <w:p w14:paraId="7027677A" w14:textId="329D056B" w:rsidR="00514684" w:rsidRPr="003A46AE" w:rsidRDefault="00DB2284" w:rsidP="00102B70">
      <w:pPr>
        <w:pStyle w:val="ListBullet"/>
        <w:keepLines w:val="0"/>
        <w:numPr>
          <w:ilvl w:val="0"/>
          <w:numId w:val="24"/>
        </w:numPr>
        <w:spacing w:before="240" w:line="240" w:lineRule="auto"/>
        <w:ind w:left="709" w:hanging="284"/>
        <w:rPr>
          <w:rFonts w:cs="Segoe UI"/>
        </w:rPr>
      </w:pPr>
      <w:r w:rsidRPr="003A46AE">
        <w:rPr>
          <w:rFonts w:cs="Segoe UI"/>
        </w:rPr>
        <w:t xml:space="preserve">Approximately </w:t>
      </w:r>
      <w:r w:rsidR="009A339A" w:rsidRPr="003A46AE">
        <w:rPr>
          <w:rFonts w:cs="Segoe UI"/>
        </w:rPr>
        <w:t>2</w:t>
      </w:r>
      <w:r w:rsidRPr="003A46AE">
        <w:rPr>
          <w:rFonts w:cs="Segoe UI"/>
        </w:rPr>
        <w:t>1</w:t>
      </w:r>
      <w:r w:rsidR="009A339A" w:rsidRPr="003A46AE">
        <w:rPr>
          <w:rFonts w:cs="Segoe UI"/>
        </w:rPr>
        <w:t xml:space="preserve">% </w:t>
      </w:r>
      <w:r w:rsidR="006A0223" w:rsidRPr="003A46AE">
        <w:rPr>
          <w:rFonts w:cs="Segoe UI"/>
        </w:rPr>
        <w:t xml:space="preserve">services reported </w:t>
      </w:r>
      <w:r w:rsidR="007226E2" w:rsidRPr="003A46AE">
        <w:rPr>
          <w:rFonts w:cs="Segoe UI"/>
        </w:rPr>
        <w:t xml:space="preserve">their </w:t>
      </w:r>
      <w:r w:rsidR="006A0223" w:rsidRPr="003A46AE">
        <w:rPr>
          <w:rFonts w:cs="Segoe UI"/>
        </w:rPr>
        <w:t xml:space="preserve">average daily spend as </w:t>
      </w:r>
      <w:r w:rsidR="006A0223" w:rsidRPr="003A46AE">
        <w:rPr>
          <w:rFonts w:cs="Segoe UI"/>
          <w:b/>
          <w:bCs/>
        </w:rPr>
        <w:t>$18.</w:t>
      </w:r>
      <w:r w:rsidRPr="003A46AE">
        <w:rPr>
          <w:rFonts w:cs="Segoe UI"/>
          <w:b/>
          <w:bCs/>
        </w:rPr>
        <w:t>63</w:t>
      </w:r>
      <w:r w:rsidR="006A0223" w:rsidRPr="003A46AE">
        <w:rPr>
          <w:rFonts w:cs="Segoe UI"/>
        </w:rPr>
        <w:t xml:space="preserve"> in Q1 and </w:t>
      </w:r>
      <w:r w:rsidR="006A0223" w:rsidRPr="003A46AE">
        <w:rPr>
          <w:rFonts w:cs="Segoe UI"/>
          <w:b/>
          <w:bCs/>
        </w:rPr>
        <w:t>$</w:t>
      </w:r>
      <w:r w:rsidRPr="003A46AE">
        <w:rPr>
          <w:rFonts w:cs="Segoe UI"/>
          <w:b/>
          <w:bCs/>
        </w:rPr>
        <w:t>19.02</w:t>
      </w:r>
      <w:r w:rsidR="006A0223" w:rsidRPr="003A46AE">
        <w:rPr>
          <w:rFonts w:cs="Segoe UI"/>
        </w:rPr>
        <w:t xml:space="preserve"> in Q2</w:t>
      </w:r>
    </w:p>
    <w:p w14:paraId="4ABAD875" w14:textId="77777777" w:rsidR="00F35B67" w:rsidRPr="003A46AE" w:rsidRDefault="00F35B67" w:rsidP="00102B70">
      <w:pPr>
        <w:pStyle w:val="null"/>
        <w:rPr>
          <w:rFonts w:ascii="Segoe UI" w:hAnsi="Segoe UI" w:cs="Segoe UI"/>
          <w:b/>
          <w:bCs/>
          <w:color w:val="006666"/>
          <w:spacing w:val="-3"/>
          <w:szCs w:val="24"/>
          <w:lang w:eastAsia="en-US"/>
        </w:rPr>
      </w:pPr>
    </w:p>
    <w:p w14:paraId="4212AF37" w14:textId="32E05248" w:rsidR="003C117D" w:rsidRPr="003A46AE" w:rsidRDefault="003C117D" w:rsidP="00102B70">
      <w:pPr>
        <w:pStyle w:val="null"/>
        <w:rPr>
          <w:rFonts w:ascii="Segoe UI" w:hAnsi="Segoe UI" w:cs="Segoe UI"/>
          <w:b/>
          <w:bCs/>
          <w:color w:val="006666"/>
          <w:spacing w:val="-3"/>
          <w:szCs w:val="24"/>
          <w:lang w:eastAsia="en-US"/>
        </w:rPr>
      </w:pPr>
      <w:r w:rsidRPr="003A46AE">
        <w:rPr>
          <w:rFonts w:ascii="Segoe UI" w:hAnsi="Segoe UI" w:cs="Segoe UI"/>
          <w:b/>
          <w:bCs/>
          <w:color w:val="006666"/>
          <w:spacing w:val="-3"/>
          <w:szCs w:val="24"/>
          <w:lang w:eastAsia="en-US"/>
        </w:rPr>
        <w:lastRenderedPageBreak/>
        <w:t xml:space="preserve">Table </w:t>
      </w:r>
      <w:r w:rsidR="0048434A" w:rsidRPr="003A46AE">
        <w:rPr>
          <w:rFonts w:ascii="Segoe UI" w:hAnsi="Segoe UI" w:cs="Segoe UI"/>
          <w:b/>
          <w:bCs/>
          <w:color w:val="006666"/>
          <w:spacing w:val="-3"/>
          <w:szCs w:val="24"/>
          <w:lang w:eastAsia="en-US"/>
        </w:rPr>
        <w:t>2</w:t>
      </w:r>
      <w:r w:rsidRPr="003A46AE">
        <w:rPr>
          <w:rFonts w:ascii="Segoe UI" w:hAnsi="Segoe UI" w:cs="Segoe UI"/>
          <w:b/>
          <w:bCs/>
          <w:color w:val="006666"/>
          <w:spacing w:val="-3"/>
          <w:szCs w:val="24"/>
          <w:lang w:eastAsia="en-US"/>
        </w:rPr>
        <w:t>. Average expenditure to support improved food and nutrition</w:t>
      </w:r>
    </w:p>
    <w:tbl>
      <w:tblPr>
        <w:tblStyle w:val="DepartmentofHealthtable"/>
        <w:tblW w:w="10430" w:type="dxa"/>
        <w:tblLook w:val="04A0" w:firstRow="1" w:lastRow="0" w:firstColumn="1" w:lastColumn="0" w:noHBand="0" w:noVBand="1"/>
      </w:tblPr>
      <w:tblGrid>
        <w:gridCol w:w="2694"/>
        <w:gridCol w:w="1275"/>
        <w:gridCol w:w="1357"/>
        <w:gridCol w:w="1135"/>
        <w:gridCol w:w="1417"/>
        <w:gridCol w:w="1123"/>
        <w:gridCol w:w="1429"/>
      </w:tblGrid>
      <w:tr w:rsidR="000B3FE1" w:rsidRPr="003A46AE" w14:paraId="4ACD9004" w14:textId="77777777" w:rsidTr="00976D94">
        <w:trPr>
          <w:cnfStyle w:val="100000000000" w:firstRow="1" w:lastRow="0" w:firstColumn="0" w:lastColumn="0" w:oddVBand="0" w:evenVBand="0" w:oddHBand="0"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694" w:type="dxa"/>
            <w:shd w:val="clear" w:color="auto" w:fill="006666"/>
            <w:noWrap/>
            <w:vAlign w:val="center"/>
            <w:hideMark/>
          </w:tcPr>
          <w:p w14:paraId="675A019C" w14:textId="78A3C910" w:rsidR="00102B70" w:rsidRPr="003A46AE" w:rsidRDefault="00102B70" w:rsidP="00EB2420">
            <w:pPr>
              <w:keepLines w:val="0"/>
              <w:spacing w:before="0" w:line="240" w:lineRule="auto"/>
              <w:rPr>
                <w:rFonts w:cs="Segoe UI"/>
                <w:szCs w:val="24"/>
              </w:rPr>
            </w:pPr>
          </w:p>
        </w:tc>
        <w:tc>
          <w:tcPr>
            <w:tcW w:w="2632" w:type="dxa"/>
            <w:gridSpan w:val="2"/>
            <w:shd w:val="clear" w:color="auto" w:fill="006666"/>
            <w:hideMark/>
          </w:tcPr>
          <w:p w14:paraId="45B4E330" w14:textId="477C7ED4" w:rsidR="003C117D" w:rsidRPr="003A46AE" w:rsidRDefault="007226E2" w:rsidP="00EB2420">
            <w:pPr>
              <w:keepLines w:val="0"/>
              <w:spacing w:before="0" w:line="240" w:lineRule="auto"/>
              <w:cnfStyle w:val="100000000000" w:firstRow="1" w:lastRow="0" w:firstColumn="0" w:lastColumn="0" w:oddVBand="0" w:evenVBand="0" w:oddHBand="0" w:evenHBand="0" w:firstRowFirstColumn="0" w:firstRowLastColumn="0" w:lastRowFirstColumn="0" w:lastRowLastColumn="0"/>
              <w:rPr>
                <w:rFonts w:cs="Segoe UI"/>
                <w:b/>
                <w:szCs w:val="24"/>
              </w:rPr>
            </w:pPr>
            <w:r w:rsidRPr="003A46AE">
              <w:rPr>
                <w:rFonts w:cs="Segoe UI"/>
                <w:b/>
                <w:szCs w:val="24"/>
              </w:rPr>
              <w:t>Food and ingredient expenditure</w:t>
            </w:r>
          </w:p>
          <w:p w14:paraId="02FCA933" w14:textId="1C6E11FD" w:rsidR="007226E2" w:rsidRPr="003A46AE" w:rsidRDefault="007226E2" w:rsidP="00EB2420">
            <w:pPr>
              <w:keepLines w:val="0"/>
              <w:spacing w:before="0" w:line="240" w:lineRule="auto"/>
              <w:cnfStyle w:val="100000000000" w:firstRow="1" w:lastRow="0" w:firstColumn="0" w:lastColumn="0" w:oddVBand="0" w:evenVBand="0" w:oddHBand="0" w:evenHBand="0" w:firstRowFirstColumn="0" w:firstRowLastColumn="0" w:lastRowFirstColumn="0" w:lastRowLastColumn="0"/>
              <w:rPr>
                <w:rFonts w:cs="Segoe UI"/>
                <w:b/>
                <w:szCs w:val="24"/>
              </w:rPr>
            </w:pPr>
            <w:r w:rsidRPr="003A46AE">
              <w:rPr>
                <w:rFonts w:cs="Segoe UI"/>
                <w:b/>
                <w:szCs w:val="24"/>
              </w:rPr>
              <w:t>(Question 1)</w:t>
            </w:r>
          </w:p>
        </w:tc>
        <w:tc>
          <w:tcPr>
            <w:tcW w:w="2552" w:type="dxa"/>
            <w:gridSpan w:val="2"/>
            <w:shd w:val="clear" w:color="auto" w:fill="006666"/>
            <w:hideMark/>
          </w:tcPr>
          <w:p w14:paraId="071DC729" w14:textId="5CEFD627" w:rsidR="003C117D" w:rsidRPr="003A46AE" w:rsidRDefault="007226E2" w:rsidP="00EB2420">
            <w:pPr>
              <w:keepLines w:val="0"/>
              <w:spacing w:before="0" w:line="240" w:lineRule="auto"/>
              <w:cnfStyle w:val="100000000000" w:firstRow="1" w:lastRow="0" w:firstColumn="0" w:lastColumn="0" w:oddVBand="0" w:evenVBand="0" w:oddHBand="0" w:evenHBand="0" w:firstRowFirstColumn="0" w:firstRowLastColumn="0" w:lastRowFirstColumn="0" w:lastRowLastColumn="0"/>
              <w:rPr>
                <w:rFonts w:cs="Segoe UI"/>
                <w:b/>
                <w:szCs w:val="24"/>
              </w:rPr>
            </w:pPr>
            <w:r w:rsidRPr="003A46AE">
              <w:rPr>
                <w:rFonts w:cs="Segoe UI"/>
                <w:b/>
                <w:szCs w:val="24"/>
              </w:rPr>
              <w:t xml:space="preserve">Expenditure on pre-prepared and bought-in </w:t>
            </w:r>
            <w:r w:rsidR="00375AED" w:rsidRPr="003A46AE">
              <w:rPr>
                <w:rFonts w:cs="Segoe UI"/>
                <w:b/>
                <w:szCs w:val="24"/>
              </w:rPr>
              <w:t xml:space="preserve">main </w:t>
            </w:r>
            <w:r w:rsidRPr="003A46AE">
              <w:rPr>
                <w:rFonts w:cs="Segoe UI"/>
                <w:b/>
                <w:szCs w:val="24"/>
              </w:rPr>
              <w:t>meals</w:t>
            </w:r>
          </w:p>
          <w:p w14:paraId="31F3AFBE" w14:textId="7B1C48B2" w:rsidR="007226E2" w:rsidRPr="003A46AE" w:rsidRDefault="007226E2" w:rsidP="00EB2420">
            <w:pPr>
              <w:keepLines w:val="0"/>
              <w:spacing w:before="0" w:line="240" w:lineRule="auto"/>
              <w:cnfStyle w:val="100000000000" w:firstRow="1" w:lastRow="0" w:firstColumn="0" w:lastColumn="0" w:oddVBand="0" w:evenVBand="0" w:oddHBand="0" w:evenHBand="0" w:firstRowFirstColumn="0" w:firstRowLastColumn="0" w:lastRowFirstColumn="0" w:lastRowLastColumn="0"/>
              <w:rPr>
                <w:rFonts w:cs="Segoe UI"/>
                <w:b/>
                <w:szCs w:val="24"/>
              </w:rPr>
            </w:pPr>
            <w:r w:rsidRPr="003A46AE">
              <w:rPr>
                <w:rFonts w:cs="Segoe UI"/>
                <w:b/>
                <w:szCs w:val="24"/>
              </w:rPr>
              <w:t>(Question 2)</w:t>
            </w:r>
          </w:p>
        </w:tc>
        <w:tc>
          <w:tcPr>
            <w:tcW w:w="2552" w:type="dxa"/>
            <w:gridSpan w:val="2"/>
            <w:shd w:val="clear" w:color="auto" w:fill="006666"/>
            <w:hideMark/>
          </w:tcPr>
          <w:p w14:paraId="5AB55F77" w14:textId="28173AA7" w:rsidR="003C117D" w:rsidRPr="003A46AE" w:rsidRDefault="007226E2" w:rsidP="00EB2420">
            <w:pPr>
              <w:keepLines w:val="0"/>
              <w:spacing w:before="0" w:line="240" w:lineRule="auto"/>
              <w:cnfStyle w:val="100000000000" w:firstRow="1" w:lastRow="0" w:firstColumn="0" w:lastColumn="0" w:oddVBand="0" w:evenVBand="0" w:oddHBand="0" w:evenHBand="0" w:firstRowFirstColumn="0" w:firstRowLastColumn="0" w:lastRowFirstColumn="0" w:lastRowLastColumn="0"/>
              <w:rPr>
                <w:rFonts w:cs="Segoe UI"/>
                <w:b/>
                <w:szCs w:val="24"/>
              </w:rPr>
            </w:pPr>
            <w:r w:rsidRPr="003A46AE">
              <w:rPr>
                <w:rFonts w:cs="Segoe UI"/>
                <w:b/>
                <w:szCs w:val="24"/>
              </w:rPr>
              <w:t>Expenditure both on-site and bought-in</w:t>
            </w:r>
          </w:p>
          <w:p w14:paraId="6CA9D7ED" w14:textId="2D98D1CD" w:rsidR="007226E2" w:rsidRPr="003A46AE" w:rsidRDefault="007226E2" w:rsidP="00EB2420">
            <w:pPr>
              <w:keepLines w:val="0"/>
              <w:spacing w:before="0" w:line="240" w:lineRule="auto"/>
              <w:cnfStyle w:val="100000000000" w:firstRow="1" w:lastRow="0" w:firstColumn="0" w:lastColumn="0" w:oddVBand="0" w:evenVBand="0" w:oddHBand="0" w:evenHBand="0" w:firstRowFirstColumn="0" w:firstRowLastColumn="0" w:lastRowFirstColumn="0" w:lastRowLastColumn="0"/>
              <w:rPr>
                <w:rFonts w:cs="Segoe UI"/>
                <w:b/>
                <w:szCs w:val="24"/>
              </w:rPr>
            </w:pPr>
            <w:r w:rsidRPr="003A46AE">
              <w:rPr>
                <w:rFonts w:cs="Segoe UI"/>
                <w:b/>
                <w:szCs w:val="24"/>
              </w:rPr>
              <w:t>(Question 1 + Question 2)</w:t>
            </w:r>
          </w:p>
        </w:tc>
      </w:tr>
      <w:tr w:rsidR="0055430C" w:rsidRPr="003A46AE" w14:paraId="7BD8E3E7" w14:textId="77777777" w:rsidTr="00E1466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vAlign w:val="center"/>
            <w:hideMark/>
          </w:tcPr>
          <w:p w14:paraId="4B1AB91A" w14:textId="5FF2131E" w:rsidR="007226E2" w:rsidRPr="003A46AE" w:rsidRDefault="00E14663" w:rsidP="00EB2420">
            <w:pPr>
              <w:keepLines w:val="0"/>
              <w:spacing w:before="0" w:line="240" w:lineRule="auto"/>
              <w:rPr>
                <w:rFonts w:cs="Segoe UI"/>
                <w:color w:val="auto"/>
                <w:szCs w:val="24"/>
              </w:rPr>
            </w:pPr>
            <w:r w:rsidRPr="003A46AE">
              <w:rPr>
                <w:rFonts w:cs="Segoe UI"/>
                <w:color w:val="auto"/>
                <w:szCs w:val="24"/>
              </w:rPr>
              <w:t xml:space="preserve">Reporting Period </w:t>
            </w:r>
          </w:p>
        </w:tc>
        <w:tc>
          <w:tcPr>
            <w:tcW w:w="1275" w:type="dxa"/>
            <w:shd w:val="clear" w:color="auto" w:fill="F2F2F2" w:themeFill="background1" w:themeFillShade="F2"/>
            <w:hideMark/>
          </w:tcPr>
          <w:p w14:paraId="5B3BF781" w14:textId="44E7DAE6"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color w:val="auto"/>
                <w:szCs w:val="24"/>
              </w:rPr>
              <w:t>Quarter 1</w:t>
            </w:r>
          </w:p>
        </w:tc>
        <w:tc>
          <w:tcPr>
            <w:tcW w:w="1357" w:type="dxa"/>
            <w:shd w:val="clear" w:color="auto" w:fill="F2F2F2" w:themeFill="background1" w:themeFillShade="F2"/>
            <w:hideMark/>
          </w:tcPr>
          <w:p w14:paraId="269300A2" w14:textId="0DC59335"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color w:val="auto"/>
                <w:szCs w:val="24"/>
              </w:rPr>
              <w:t>Quarter 2</w:t>
            </w:r>
          </w:p>
        </w:tc>
        <w:tc>
          <w:tcPr>
            <w:tcW w:w="1135" w:type="dxa"/>
            <w:hideMark/>
          </w:tcPr>
          <w:p w14:paraId="708C087C" w14:textId="6FAD1013"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color w:val="auto"/>
                <w:szCs w:val="24"/>
              </w:rPr>
              <w:t>Quarter 1</w:t>
            </w:r>
          </w:p>
        </w:tc>
        <w:tc>
          <w:tcPr>
            <w:tcW w:w="1417" w:type="dxa"/>
            <w:hideMark/>
          </w:tcPr>
          <w:p w14:paraId="472E81BF" w14:textId="5D4E8F1A"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color w:val="auto"/>
                <w:szCs w:val="24"/>
              </w:rPr>
              <w:t>Quarter 2</w:t>
            </w:r>
          </w:p>
        </w:tc>
        <w:tc>
          <w:tcPr>
            <w:tcW w:w="1123" w:type="dxa"/>
            <w:shd w:val="clear" w:color="auto" w:fill="F2F2F2" w:themeFill="background1" w:themeFillShade="F2"/>
            <w:hideMark/>
          </w:tcPr>
          <w:p w14:paraId="5E344A3C" w14:textId="29D4CF5C"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color w:val="auto"/>
                <w:szCs w:val="24"/>
              </w:rPr>
              <w:t>Quarter 1</w:t>
            </w:r>
          </w:p>
        </w:tc>
        <w:tc>
          <w:tcPr>
            <w:tcW w:w="1429" w:type="dxa"/>
            <w:shd w:val="clear" w:color="auto" w:fill="F2F2F2" w:themeFill="background1" w:themeFillShade="F2"/>
            <w:hideMark/>
          </w:tcPr>
          <w:p w14:paraId="1710D570" w14:textId="6423BA03"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color w:val="auto"/>
                <w:szCs w:val="24"/>
              </w:rPr>
              <w:t>Quarter 2</w:t>
            </w:r>
          </w:p>
        </w:tc>
      </w:tr>
      <w:tr w:rsidR="0055430C" w:rsidRPr="003A46AE" w14:paraId="564C15A4" w14:textId="77777777" w:rsidTr="00E1466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hideMark/>
          </w:tcPr>
          <w:p w14:paraId="4AAC1A4A" w14:textId="77777777" w:rsidR="007226E2" w:rsidRPr="003A46AE" w:rsidRDefault="007226E2" w:rsidP="00EB2420">
            <w:pPr>
              <w:keepLines w:val="0"/>
              <w:spacing w:before="0" w:line="240" w:lineRule="auto"/>
              <w:rPr>
                <w:rFonts w:cs="Segoe UI"/>
                <w:color w:val="auto"/>
                <w:szCs w:val="24"/>
              </w:rPr>
            </w:pPr>
          </w:p>
        </w:tc>
        <w:tc>
          <w:tcPr>
            <w:tcW w:w="1275" w:type="dxa"/>
            <w:shd w:val="clear" w:color="auto" w:fill="F2F2F2" w:themeFill="background1" w:themeFillShade="F2"/>
            <w:hideMark/>
          </w:tcPr>
          <w:p w14:paraId="47796F03" w14:textId="29C9C905"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(Jul - Sep 2021)</w:t>
            </w:r>
          </w:p>
        </w:tc>
        <w:tc>
          <w:tcPr>
            <w:tcW w:w="1357" w:type="dxa"/>
            <w:shd w:val="clear" w:color="auto" w:fill="F2F2F2" w:themeFill="background1" w:themeFillShade="F2"/>
            <w:hideMark/>
          </w:tcPr>
          <w:p w14:paraId="18A48FAC" w14:textId="77777777"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(Oct - Dec 2021)</w:t>
            </w:r>
          </w:p>
        </w:tc>
        <w:tc>
          <w:tcPr>
            <w:tcW w:w="1135" w:type="dxa"/>
            <w:hideMark/>
          </w:tcPr>
          <w:p w14:paraId="7C287B31" w14:textId="3D318315"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(Jul - Sep 2021)</w:t>
            </w:r>
          </w:p>
        </w:tc>
        <w:tc>
          <w:tcPr>
            <w:tcW w:w="1417" w:type="dxa"/>
            <w:hideMark/>
          </w:tcPr>
          <w:p w14:paraId="380B1278" w14:textId="77777777"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(Oct - Dec 2021)</w:t>
            </w:r>
          </w:p>
        </w:tc>
        <w:tc>
          <w:tcPr>
            <w:tcW w:w="1123" w:type="dxa"/>
            <w:shd w:val="clear" w:color="auto" w:fill="F2F2F2" w:themeFill="background1" w:themeFillShade="F2"/>
            <w:hideMark/>
          </w:tcPr>
          <w:p w14:paraId="1BD04F40" w14:textId="2F7E944C"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(Jul - Sep 2021)</w:t>
            </w:r>
          </w:p>
        </w:tc>
        <w:tc>
          <w:tcPr>
            <w:tcW w:w="1429" w:type="dxa"/>
            <w:shd w:val="clear" w:color="auto" w:fill="F2F2F2" w:themeFill="background1" w:themeFillShade="F2"/>
            <w:hideMark/>
          </w:tcPr>
          <w:p w14:paraId="217D12EF" w14:textId="77777777"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(Oct - Dec 2021)</w:t>
            </w:r>
          </w:p>
        </w:tc>
      </w:tr>
      <w:tr w:rsidR="0055430C" w:rsidRPr="003A46AE" w14:paraId="7F45B309" w14:textId="77777777" w:rsidTr="00E14663">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694" w:type="dxa"/>
            <w:noWrap/>
            <w:hideMark/>
          </w:tcPr>
          <w:p w14:paraId="3FE724F9" w14:textId="77777777" w:rsidR="007226E2" w:rsidRPr="003A46AE" w:rsidRDefault="007226E2" w:rsidP="00EB2420">
            <w:pPr>
              <w:keepLines w:val="0"/>
              <w:spacing w:before="0" w:line="240" w:lineRule="auto"/>
              <w:rPr>
                <w:rFonts w:cs="Segoe UI"/>
                <w:color w:val="auto"/>
                <w:szCs w:val="24"/>
              </w:rPr>
            </w:pPr>
            <w:r w:rsidRPr="003A46AE">
              <w:rPr>
                <w:rFonts w:cs="Segoe UI"/>
                <w:color w:val="auto"/>
                <w:szCs w:val="24"/>
              </w:rPr>
              <w:t>Number of services responding</w:t>
            </w:r>
          </w:p>
        </w:tc>
        <w:tc>
          <w:tcPr>
            <w:tcW w:w="1275" w:type="dxa"/>
            <w:shd w:val="clear" w:color="auto" w:fill="F2F2F2" w:themeFill="background1" w:themeFillShade="F2"/>
            <w:noWrap/>
            <w:vAlign w:val="center"/>
            <w:hideMark/>
          </w:tcPr>
          <w:p w14:paraId="2182299E" w14:textId="4CE596A3"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rPr>
              <w:t>2,</w:t>
            </w:r>
            <w:r w:rsidR="00C4670B" w:rsidRPr="003A46AE">
              <w:rPr>
                <w:rFonts w:cs="Segoe UI"/>
              </w:rPr>
              <w:t>035</w:t>
            </w:r>
          </w:p>
        </w:tc>
        <w:tc>
          <w:tcPr>
            <w:tcW w:w="1357" w:type="dxa"/>
            <w:shd w:val="clear" w:color="auto" w:fill="F2F2F2" w:themeFill="background1" w:themeFillShade="F2"/>
            <w:noWrap/>
            <w:vAlign w:val="center"/>
            <w:hideMark/>
          </w:tcPr>
          <w:p w14:paraId="19835EFA" w14:textId="1ED0D0F8"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rPr>
              <w:t>1,</w:t>
            </w:r>
            <w:r w:rsidR="00353523" w:rsidRPr="003A46AE">
              <w:rPr>
                <w:rFonts w:cs="Segoe UI"/>
              </w:rPr>
              <w:t>9</w:t>
            </w:r>
            <w:r w:rsidR="00C4670B" w:rsidRPr="003A46AE">
              <w:rPr>
                <w:rFonts w:cs="Segoe UI"/>
              </w:rPr>
              <w:t>78</w:t>
            </w:r>
          </w:p>
        </w:tc>
        <w:tc>
          <w:tcPr>
            <w:tcW w:w="1135" w:type="dxa"/>
            <w:noWrap/>
            <w:vAlign w:val="center"/>
            <w:hideMark/>
          </w:tcPr>
          <w:p w14:paraId="5FDF68B9" w14:textId="78CC83A7"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color w:val="auto"/>
                <w:szCs w:val="24"/>
              </w:rPr>
              <w:t>7</w:t>
            </w:r>
            <w:r w:rsidR="00353523" w:rsidRPr="003A46AE">
              <w:rPr>
                <w:rFonts w:cs="Segoe UI"/>
                <w:color w:val="auto"/>
                <w:szCs w:val="24"/>
              </w:rPr>
              <w:t>7</w:t>
            </w:r>
          </w:p>
        </w:tc>
        <w:tc>
          <w:tcPr>
            <w:tcW w:w="1417" w:type="dxa"/>
            <w:noWrap/>
            <w:vAlign w:val="center"/>
            <w:hideMark/>
          </w:tcPr>
          <w:p w14:paraId="18C15B20" w14:textId="58E38BA9"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color w:val="auto"/>
                <w:szCs w:val="24"/>
              </w:rPr>
              <w:t>6</w:t>
            </w:r>
            <w:r w:rsidR="00353523" w:rsidRPr="003A46AE">
              <w:rPr>
                <w:rFonts w:cs="Segoe UI"/>
                <w:color w:val="auto"/>
                <w:szCs w:val="24"/>
              </w:rPr>
              <w:t>5</w:t>
            </w:r>
          </w:p>
        </w:tc>
        <w:tc>
          <w:tcPr>
            <w:tcW w:w="1123" w:type="dxa"/>
            <w:shd w:val="clear" w:color="auto" w:fill="F2F2F2" w:themeFill="background1" w:themeFillShade="F2"/>
            <w:noWrap/>
            <w:vAlign w:val="center"/>
            <w:hideMark/>
          </w:tcPr>
          <w:p w14:paraId="4CD18CE7" w14:textId="4BED8732" w:rsidR="007226E2" w:rsidRPr="003A46AE" w:rsidRDefault="00353523"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color w:val="auto"/>
                <w:szCs w:val="24"/>
              </w:rPr>
              <w:t>55</w:t>
            </w:r>
            <w:r w:rsidR="00C4670B" w:rsidRPr="003A46AE">
              <w:rPr>
                <w:rFonts w:cs="Segoe UI"/>
              </w:rPr>
              <w:t>1</w:t>
            </w:r>
          </w:p>
        </w:tc>
        <w:tc>
          <w:tcPr>
            <w:tcW w:w="1429" w:type="dxa"/>
            <w:shd w:val="clear" w:color="auto" w:fill="F2F2F2" w:themeFill="background1" w:themeFillShade="F2"/>
            <w:noWrap/>
            <w:vAlign w:val="center"/>
            <w:hideMark/>
          </w:tcPr>
          <w:p w14:paraId="1E174F30" w14:textId="72685F7B" w:rsidR="007226E2" w:rsidRPr="003A46AE" w:rsidRDefault="00C4670B"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4"/>
              </w:rPr>
            </w:pPr>
            <w:r w:rsidRPr="003A46AE">
              <w:rPr>
                <w:rFonts w:cs="Segoe UI"/>
                <w:color w:val="auto"/>
                <w:szCs w:val="24"/>
              </w:rPr>
              <w:t>6</w:t>
            </w:r>
            <w:r w:rsidRPr="003A46AE">
              <w:rPr>
                <w:rFonts w:cs="Segoe UI"/>
              </w:rPr>
              <w:t>08</w:t>
            </w:r>
          </w:p>
        </w:tc>
      </w:tr>
      <w:tr w:rsidR="0055430C" w:rsidRPr="003A46AE" w14:paraId="57F56024" w14:textId="77777777" w:rsidTr="00E14663">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694" w:type="dxa"/>
            <w:noWrap/>
            <w:hideMark/>
          </w:tcPr>
          <w:p w14:paraId="2FF24EDD" w14:textId="77777777" w:rsidR="007226E2" w:rsidRPr="003A46AE" w:rsidRDefault="007226E2" w:rsidP="00EB2420">
            <w:pPr>
              <w:keepLines w:val="0"/>
              <w:spacing w:before="0" w:line="240" w:lineRule="auto"/>
              <w:rPr>
                <w:rFonts w:cs="Segoe UI"/>
                <w:color w:val="auto"/>
                <w:szCs w:val="24"/>
              </w:rPr>
            </w:pPr>
            <w:r w:rsidRPr="003A46AE">
              <w:rPr>
                <w:rFonts w:cs="Segoe UI"/>
                <w:color w:val="auto"/>
                <w:szCs w:val="24"/>
              </w:rPr>
              <w:t>Share of total residential services responding</w:t>
            </w:r>
          </w:p>
        </w:tc>
        <w:tc>
          <w:tcPr>
            <w:tcW w:w="1275" w:type="dxa"/>
            <w:shd w:val="clear" w:color="auto" w:fill="F2F2F2" w:themeFill="background1" w:themeFillShade="F2"/>
            <w:noWrap/>
            <w:vAlign w:val="center"/>
            <w:hideMark/>
          </w:tcPr>
          <w:p w14:paraId="7DC85204" w14:textId="2923D51D"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76.</w:t>
            </w:r>
            <w:r w:rsidR="00C4670B" w:rsidRPr="003A46AE">
              <w:rPr>
                <w:rFonts w:cs="Segoe UI"/>
              </w:rPr>
              <w:t>2</w:t>
            </w:r>
            <w:r w:rsidRPr="003A46AE">
              <w:rPr>
                <w:rFonts w:cs="Segoe UI"/>
                <w:color w:val="auto"/>
                <w:szCs w:val="24"/>
              </w:rPr>
              <w:t>%</w:t>
            </w:r>
          </w:p>
        </w:tc>
        <w:tc>
          <w:tcPr>
            <w:tcW w:w="1357" w:type="dxa"/>
            <w:shd w:val="clear" w:color="auto" w:fill="F2F2F2" w:themeFill="background1" w:themeFillShade="F2"/>
            <w:noWrap/>
            <w:vAlign w:val="center"/>
            <w:hideMark/>
          </w:tcPr>
          <w:p w14:paraId="08FF6C93" w14:textId="5EB394DF"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74.</w:t>
            </w:r>
            <w:r w:rsidR="00C4670B" w:rsidRPr="003A46AE">
              <w:rPr>
                <w:rFonts w:cs="Segoe UI"/>
              </w:rPr>
              <w:t>2</w:t>
            </w:r>
            <w:r w:rsidRPr="003A46AE">
              <w:rPr>
                <w:rFonts w:cs="Segoe UI"/>
                <w:color w:val="auto"/>
                <w:szCs w:val="24"/>
              </w:rPr>
              <w:t>%</w:t>
            </w:r>
          </w:p>
        </w:tc>
        <w:tc>
          <w:tcPr>
            <w:tcW w:w="1135" w:type="dxa"/>
            <w:noWrap/>
            <w:vAlign w:val="center"/>
            <w:hideMark/>
          </w:tcPr>
          <w:p w14:paraId="49F50676" w14:textId="03855E31"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2.9%</w:t>
            </w:r>
          </w:p>
        </w:tc>
        <w:tc>
          <w:tcPr>
            <w:tcW w:w="1417" w:type="dxa"/>
            <w:noWrap/>
            <w:vAlign w:val="center"/>
            <w:hideMark/>
          </w:tcPr>
          <w:p w14:paraId="5805CC82" w14:textId="2E7B3D7E"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2.4%</w:t>
            </w:r>
          </w:p>
        </w:tc>
        <w:tc>
          <w:tcPr>
            <w:tcW w:w="1123" w:type="dxa"/>
            <w:shd w:val="clear" w:color="auto" w:fill="F2F2F2" w:themeFill="background1" w:themeFillShade="F2"/>
            <w:noWrap/>
            <w:vAlign w:val="center"/>
            <w:hideMark/>
          </w:tcPr>
          <w:p w14:paraId="718389CA" w14:textId="2A6318F6"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20.</w:t>
            </w:r>
            <w:r w:rsidR="00C4670B" w:rsidRPr="003A46AE">
              <w:rPr>
                <w:rFonts w:cs="Segoe UI"/>
                <w:color w:val="auto"/>
                <w:szCs w:val="24"/>
              </w:rPr>
              <w:t>6</w:t>
            </w:r>
            <w:r w:rsidRPr="003A46AE">
              <w:rPr>
                <w:rFonts w:cs="Segoe UI"/>
                <w:color w:val="auto"/>
                <w:szCs w:val="24"/>
              </w:rPr>
              <w:t>%</w:t>
            </w:r>
          </w:p>
        </w:tc>
        <w:tc>
          <w:tcPr>
            <w:tcW w:w="1429" w:type="dxa"/>
            <w:shd w:val="clear" w:color="auto" w:fill="F2F2F2" w:themeFill="background1" w:themeFillShade="F2"/>
            <w:noWrap/>
            <w:vAlign w:val="center"/>
            <w:hideMark/>
          </w:tcPr>
          <w:p w14:paraId="5E4A002B" w14:textId="36C16910" w:rsidR="007226E2" w:rsidRPr="003A46AE" w:rsidRDefault="007226E2" w:rsidP="00102B70">
            <w:pPr>
              <w:keepLines w:val="0"/>
              <w:spacing w:before="0"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4"/>
              </w:rPr>
            </w:pPr>
            <w:r w:rsidRPr="003A46AE">
              <w:rPr>
                <w:rFonts w:cs="Segoe UI"/>
                <w:color w:val="auto"/>
                <w:szCs w:val="24"/>
              </w:rPr>
              <w:t>22.</w:t>
            </w:r>
            <w:r w:rsidR="00C4670B" w:rsidRPr="003A46AE">
              <w:rPr>
                <w:rFonts w:cs="Segoe UI"/>
                <w:color w:val="auto"/>
                <w:szCs w:val="24"/>
              </w:rPr>
              <w:t>8</w:t>
            </w:r>
            <w:r w:rsidRPr="003A46AE">
              <w:rPr>
                <w:rFonts w:cs="Segoe UI"/>
                <w:color w:val="auto"/>
                <w:szCs w:val="24"/>
              </w:rPr>
              <w:t>%</w:t>
            </w:r>
          </w:p>
        </w:tc>
      </w:tr>
      <w:tr w:rsidR="0055430C" w:rsidRPr="003A46AE" w14:paraId="55A3DB8F" w14:textId="77777777" w:rsidTr="00E14663">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694" w:type="dxa"/>
            <w:noWrap/>
            <w:hideMark/>
          </w:tcPr>
          <w:p w14:paraId="7B761BD7" w14:textId="1F823181" w:rsidR="007226E2" w:rsidRPr="003A46AE" w:rsidRDefault="007226E2" w:rsidP="00EB2420">
            <w:pPr>
              <w:keepLines w:val="0"/>
              <w:spacing w:before="0" w:line="240" w:lineRule="auto"/>
              <w:rPr>
                <w:rFonts w:cs="Segoe UI"/>
                <w:color w:val="auto"/>
                <w:szCs w:val="24"/>
              </w:rPr>
            </w:pPr>
            <w:r w:rsidRPr="003A46AE">
              <w:rPr>
                <w:rFonts w:cs="Segoe UI"/>
                <w:color w:val="auto"/>
                <w:szCs w:val="24"/>
              </w:rPr>
              <w:t xml:space="preserve">Average daily </w:t>
            </w:r>
            <w:proofErr w:type="gramStart"/>
            <w:r w:rsidRPr="003A46AE">
              <w:rPr>
                <w:rFonts w:cs="Segoe UI"/>
                <w:color w:val="auto"/>
                <w:szCs w:val="24"/>
              </w:rPr>
              <w:t>spend</w:t>
            </w:r>
            <w:proofErr w:type="gramEnd"/>
            <w:r w:rsidR="00102B70" w:rsidRPr="003A46AE">
              <w:rPr>
                <w:rFonts w:cs="Segoe UI"/>
                <w:color w:val="auto"/>
                <w:szCs w:val="24"/>
              </w:rPr>
              <w:t xml:space="preserve"> </w:t>
            </w:r>
            <w:r w:rsidRPr="003A46AE">
              <w:rPr>
                <w:rFonts w:cs="Segoe UI"/>
                <w:color w:val="auto"/>
                <w:szCs w:val="24"/>
              </w:rPr>
              <w:t>per resident</w:t>
            </w:r>
          </w:p>
        </w:tc>
        <w:tc>
          <w:tcPr>
            <w:tcW w:w="1275" w:type="dxa"/>
            <w:shd w:val="clear" w:color="auto" w:fill="F2F2F2" w:themeFill="background1" w:themeFillShade="F2"/>
            <w:noWrap/>
            <w:vAlign w:val="center"/>
            <w:hideMark/>
          </w:tcPr>
          <w:p w14:paraId="7D171458" w14:textId="34E86088"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b/>
                <w:color w:val="auto"/>
                <w:szCs w:val="24"/>
              </w:rPr>
            </w:pPr>
            <w:r w:rsidRPr="003A46AE">
              <w:rPr>
                <w:rFonts w:cs="Segoe UI"/>
                <w:b/>
                <w:color w:val="auto"/>
                <w:szCs w:val="24"/>
              </w:rPr>
              <w:t>$12.2</w:t>
            </w:r>
            <w:r w:rsidR="00C4670B" w:rsidRPr="003A46AE">
              <w:rPr>
                <w:rFonts w:cs="Segoe UI"/>
                <w:b/>
              </w:rPr>
              <w:t>5</w:t>
            </w:r>
          </w:p>
        </w:tc>
        <w:tc>
          <w:tcPr>
            <w:tcW w:w="1357" w:type="dxa"/>
            <w:shd w:val="clear" w:color="auto" w:fill="F2F2F2" w:themeFill="background1" w:themeFillShade="F2"/>
            <w:noWrap/>
            <w:vAlign w:val="center"/>
            <w:hideMark/>
          </w:tcPr>
          <w:p w14:paraId="79745CF1" w14:textId="51CC1374"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b/>
                <w:color w:val="auto"/>
                <w:szCs w:val="24"/>
              </w:rPr>
            </w:pPr>
            <w:r w:rsidRPr="003A46AE">
              <w:rPr>
                <w:rFonts w:cs="Segoe UI"/>
                <w:b/>
                <w:color w:val="auto"/>
                <w:szCs w:val="24"/>
              </w:rPr>
              <w:t>$12.</w:t>
            </w:r>
            <w:r w:rsidR="00353523" w:rsidRPr="003A46AE">
              <w:rPr>
                <w:rFonts w:cs="Segoe UI"/>
                <w:b/>
                <w:color w:val="auto"/>
                <w:szCs w:val="24"/>
              </w:rPr>
              <w:t>4</w:t>
            </w:r>
            <w:r w:rsidR="00C4670B" w:rsidRPr="003A46AE">
              <w:rPr>
                <w:rFonts w:cs="Segoe UI"/>
                <w:b/>
              </w:rPr>
              <w:t>4</w:t>
            </w:r>
          </w:p>
        </w:tc>
        <w:tc>
          <w:tcPr>
            <w:tcW w:w="1135" w:type="dxa"/>
            <w:noWrap/>
            <w:vAlign w:val="center"/>
            <w:hideMark/>
          </w:tcPr>
          <w:p w14:paraId="001E75D4" w14:textId="7BF7517B"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b/>
                <w:color w:val="auto"/>
                <w:szCs w:val="24"/>
              </w:rPr>
            </w:pPr>
            <w:r w:rsidRPr="003A46AE">
              <w:rPr>
                <w:rFonts w:cs="Segoe UI"/>
                <w:b/>
                <w:color w:val="auto"/>
                <w:szCs w:val="24"/>
              </w:rPr>
              <w:t>$25.</w:t>
            </w:r>
            <w:r w:rsidR="00353523" w:rsidRPr="003A46AE">
              <w:rPr>
                <w:rFonts w:cs="Segoe UI"/>
                <w:b/>
                <w:color w:val="auto"/>
                <w:szCs w:val="24"/>
              </w:rPr>
              <w:t>15</w:t>
            </w:r>
          </w:p>
        </w:tc>
        <w:tc>
          <w:tcPr>
            <w:tcW w:w="1417" w:type="dxa"/>
            <w:noWrap/>
            <w:vAlign w:val="center"/>
            <w:hideMark/>
          </w:tcPr>
          <w:p w14:paraId="2B9AE543" w14:textId="59FDE15B"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b/>
                <w:color w:val="auto"/>
                <w:szCs w:val="24"/>
              </w:rPr>
            </w:pPr>
            <w:r w:rsidRPr="003A46AE">
              <w:rPr>
                <w:rFonts w:cs="Segoe UI"/>
                <w:b/>
                <w:color w:val="auto"/>
                <w:szCs w:val="24"/>
              </w:rPr>
              <w:t>$25.</w:t>
            </w:r>
            <w:r w:rsidR="00353523" w:rsidRPr="003A46AE">
              <w:rPr>
                <w:rFonts w:cs="Segoe UI"/>
                <w:b/>
                <w:color w:val="auto"/>
                <w:szCs w:val="24"/>
              </w:rPr>
              <w:t>61</w:t>
            </w:r>
          </w:p>
        </w:tc>
        <w:tc>
          <w:tcPr>
            <w:tcW w:w="1123" w:type="dxa"/>
            <w:shd w:val="clear" w:color="auto" w:fill="F2F2F2" w:themeFill="background1" w:themeFillShade="F2"/>
            <w:noWrap/>
            <w:vAlign w:val="center"/>
            <w:hideMark/>
          </w:tcPr>
          <w:p w14:paraId="705A0B5D" w14:textId="1D131F03"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b/>
                <w:color w:val="auto"/>
                <w:szCs w:val="24"/>
              </w:rPr>
            </w:pPr>
            <w:r w:rsidRPr="003A46AE">
              <w:rPr>
                <w:rFonts w:cs="Segoe UI"/>
                <w:b/>
                <w:color w:val="auto"/>
                <w:szCs w:val="24"/>
              </w:rPr>
              <w:t>$18.</w:t>
            </w:r>
            <w:r w:rsidR="00C4670B" w:rsidRPr="003A46AE">
              <w:rPr>
                <w:rFonts w:cs="Segoe UI"/>
                <w:b/>
                <w:color w:val="auto"/>
                <w:szCs w:val="24"/>
              </w:rPr>
              <w:t>63</w:t>
            </w:r>
          </w:p>
        </w:tc>
        <w:tc>
          <w:tcPr>
            <w:tcW w:w="1429" w:type="dxa"/>
            <w:shd w:val="clear" w:color="auto" w:fill="F2F2F2" w:themeFill="background1" w:themeFillShade="F2"/>
            <w:noWrap/>
            <w:vAlign w:val="center"/>
            <w:hideMark/>
          </w:tcPr>
          <w:p w14:paraId="4972D6B6" w14:textId="765F66BD" w:rsidR="007226E2" w:rsidRPr="003A46AE" w:rsidRDefault="007226E2" w:rsidP="00102B70">
            <w:pPr>
              <w:keepLines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b/>
                <w:color w:val="auto"/>
                <w:szCs w:val="24"/>
              </w:rPr>
            </w:pPr>
            <w:r w:rsidRPr="003A46AE">
              <w:rPr>
                <w:rFonts w:cs="Segoe UI"/>
                <w:b/>
                <w:color w:val="auto"/>
                <w:szCs w:val="24"/>
              </w:rPr>
              <w:t>$</w:t>
            </w:r>
            <w:r w:rsidR="00C4670B" w:rsidRPr="003A46AE">
              <w:rPr>
                <w:rFonts w:cs="Segoe UI"/>
                <w:b/>
              </w:rPr>
              <w:t>19.02</w:t>
            </w:r>
          </w:p>
        </w:tc>
      </w:tr>
    </w:tbl>
    <w:p w14:paraId="2B6DCC82" w14:textId="77777777" w:rsidR="00BA28EF" w:rsidRPr="003A46AE" w:rsidRDefault="00BA28EF" w:rsidP="00EB2420">
      <w:pPr>
        <w:keepLines w:val="0"/>
        <w:spacing w:before="0" w:line="240" w:lineRule="auto"/>
        <w:rPr>
          <w:rFonts w:cs="Segoe UI"/>
          <w:b/>
          <w:bCs/>
        </w:rPr>
      </w:pPr>
    </w:p>
    <w:p w14:paraId="74F33EE0" w14:textId="14AC2756" w:rsidR="00B963E6" w:rsidRPr="003A46AE" w:rsidRDefault="00CF4176" w:rsidP="00EB2420">
      <w:pPr>
        <w:keepLines w:val="0"/>
        <w:spacing w:before="0" w:line="240" w:lineRule="auto"/>
        <w:rPr>
          <w:rFonts w:cs="Segoe UI"/>
          <w:b/>
          <w:bCs/>
        </w:rPr>
      </w:pPr>
      <w:r w:rsidRPr="003A46AE">
        <w:rPr>
          <w:rFonts w:cs="Segoe UI"/>
          <w:b/>
          <w:bCs/>
        </w:rPr>
        <w:t>2.5 Number of</w:t>
      </w:r>
      <w:r w:rsidR="00B963E6" w:rsidRPr="003A46AE">
        <w:rPr>
          <w:rFonts w:cs="Segoe UI"/>
          <w:b/>
          <w:bCs/>
        </w:rPr>
        <w:t xml:space="preserve"> </w:t>
      </w:r>
      <w:r w:rsidR="008D5630" w:rsidRPr="003A46AE">
        <w:rPr>
          <w:rFonts w:cs="Segoe UI"/>
          <w:b/>
          <w:bCs/>
        </w:rPr>
        <w:t>services</w:t>
      </w:r>
      <w:r w:rsidR="00B963E6" w:rsidRPr="003A46AE">
        <w:rPr>
          <w:rFonts w:cs="Segoe UI"/>
          <w:b/>
          <w:bCs/>
        </w:rPr>
        <w:t xml:space="preserve"> </w:t>
      </w:r>
      <w:r w:rsidRPr="003A46AE">
        <w:rPr>
          <w:rFonts w:cs="Segoe UI"/>
          <w:b/>
          <w:bCs/>
        </w:rPr>
        <w:t>spending</w:t>
      </w:r>
      <w:r w:rsidR="00B963E6" w:rsidRPr="003A46AE">
        <w:rPr>
          <w:rFonts w:cs="Segoe UI"/>
          <w:b/>
          <w:bCs/>
        </w:rPr>
        <w:t xml:space="preserve"> more than $10 per day</w:t>
      </w:r>
    </w:p>
    <w:p w14:paraId="1153F155" w14:textId="63015F30" w:rsidR="00CF4176" w:rsidRPr="003A46AE" w:rsidRDefault="006548BF" w:rsidP="00102B70">
      <w:pPr>
        <w:pStyle w:val="ListBullet"/>
        <w:keepLines w:val="0"/>
        <w:numPr>
          <w:ilvl w:val="0"/>
          <w:numId w:val="30"/>
        </w:numPr>
        <w:spacing w:before="240" w:after="180" w:line="240" w:lineRule="auto"/>
        <w:ind w:left="426" w:hanging="426"/>
        <w:rPr>
          <w:rFonts w:eastAsiaTheme="majorEastAsia" w:cs="Segoe UI"/>
          <w:szCs w:val="22"/>
          <w:lang w:val="en-GB"/>
        </w:rPr>
      </w:pPr>
      <w:r w:rsidRPr="003A46AE">
        <w:rPr>
          <w:rFonts w:eastAsiaTheme="majorEastAsia" w:cs="Segoe UI"/>
          <w:b/>
          <w:bCs/>
          <w:szCs w:val="22"/>
          <w:lang w:val="en-GB"/>
        </w:rPr>
        <w:t>67</w:t>
      </w:r>
      <w:r w:rsidR="00C4670B" w:rsidRPr="003A46AE">
        <w:rPr>
          <w:rFonts w:eastAsiaTheme="majorEastAsia" w:cs="Segoe UI"/>
          <w:b/>
          <w:bCs/>
          <w:szCs w:val="22"/>
          <w:lang w:val="en-GB"/>
        </w:rPr>
        <w:t>%</w:t>
      </w:r>
      <w:r w:rsidR="00B963E6" w:rsidRPr="003A46AE">
        <w:rPr>
          <w:rFonts w:eastAsiaTheme="majorEastAsia" w:cs="Segoe UI"/>
          <w:b/>
          <w:bCs/>
          <w:szCs w:val="22"/>
          <w:lang w:val="en-GB"/>
        </w:rPr>
        <w:t xml:space="preserve"> </w:t>
      </w:r>
      <w:r w:rsidR="007810E8" w:rsidRPr="003A46AE">
        <w:rPr>
          <w:rFonts w:eastAsiaTheme="majorEastAsia" w:cs="Segoe UI"/>
          <w:b/>
          <w:bCs/>
          <w:szCs w:val="22"/>
          <w:lang w:val="en-GB"/>
        </w:rPr>
        <w:t xml:space="preserve">of </w:t>
      </w:r>
      <w:r w:rsidRPr="003A46AE">
        <w:rPr>
          <w:rFonts w:eastAsiaTheme="majorEastAsia" w:cs="Segoe UI"/>
          <w:b/>
          <w:bCs/>
          <w:szCs w:val="22"/>
          <w:lang w:val="en-GB"/>
        </w:rPr>
        <w:t xml:space="preserve">residential </w:t>
      </w:r>
      <w:r w:rsidR="008D5630" w:rsidRPr="003A46AE">
        <w:rPr>
          <w:rFonts w:eastAsiaTheme="majorEastAsia" w:cs="Segoe UI"/>
          <w:b/>
          <w:bCs/>
          <w:szCs w:val="22"/>
          <w:lang w:val="en-GB"/>
        </w:rPr>
        <w:t>services</w:t>
      </w:r>
      <w:r w:rsidRPr="003A46AE">
        <w:rPr>
          <w:rFonts w:eastAsiaTheme="majorEastAsia" w:cs="Segoe UI"/>
          <w:szCs w:val="22"/>
          <w:lang w:val="en-GB"/>
        </w:rPr>
        <w:t xml:space="preserve">, in the past six months, </w:t>
      </w:r>
      <w:r w:rsidR="00B963E6" w:rsidRPr="003A46AE">
        <w:rPr>
          <w:rFonts w:eastAsiaTheme="majorEastAsia" w:cs="Segoe UI"/>
          <w:szCs w:val="22"/>
          <w:lang w:val="en-GB"/>
        </w:rPr>
        <w:t>reported an average</w:t>
      </w:r>
      <w:r w:rsidR="00290381" w:rsidRPr="003A46AE">
        <w:rPr>
          <w:rFonts w:eastAsiaTheme="majorEastAsia" w:cs="Segoe UI"/>
          <w:szCs w:val="22"/>
          <w:lang w:val="en-GB"/>
        </w:rPr>
        <w:t xml:space="preserve"> daily</w:t>
      </w:r>
      <w:r w:rsidR="00B963E6" w:rsidRPr="003A46AE">
        <w:rPr>
          <w:rFonts w:eastAsiaTheme="majorEastAsia" w:cs="Segoe UI"/>
          <w:szCs w:val="22"/>
          <w:lang w:val="en-GB"/>
        </w:rPr>
        <w:t xml:space="preserve"> spend</w:t>
      </w:r>
      <w:r w:rsidR="00AD5C37" w:rsidRPr="003A46AE">
        <w:rPr>
          <w:rFonts w:eastAsiaTheme="majorEastAsia" w:cs="Segoe UI"/>
          <w:szCs w:val="22"/>
          <w:lang w:val="en-GB"/>
        </w:rPr>
        <w:t xml:space="preserve"> on food and ingredient</w:t>
      </w:r>
      <w:r w:rsidR="007810E8" w:rsidRPr="003A46AE">
        <w:rPr>
          <w:rFonts w:eastAsiaTheme="majorEastAsia" w:cs="Segoe UI"/>
          <w:szCs w:val="22"/>
          <w:lang w:val="en-GB"/>
        </w:rPr>
        <w:t xml:space="preserve">s </w:t>
      </w:r>
      <w:r w:rsidR="00AD5C37" w:rsidRPr="003A46AE">
        <w:rPr>
          <w:rFonts w:eastAsiaTheme="majorEastAsia" w:cs="Segoe UI"/>
          <w:szCs w:val="22"/>
          <w:lang w:val="en-GB"/>
        </w:rPr>
        <w:t xml:space="preserve">of </w:t>
      </w:r>
      <w:r w:rsidR="00B963E6" w:rsidRPr="003A46AE">
        <w:rPr>
          <w:rFonts w:eastAsiaTheme="majorEastAsia" w:cs="Segoe UI"/>
          <w:szCs w:val="22"/>
          <w:lang w:val="en-GB"/>
        </w:rPr>
        <w:t>more than</w:t>
      </w:r>
      <w:r w:rsidR="00AB75EA" w:rsidRPr="003A46AE">
        <w:rPr>
          <w:rFonts w:eastAsiaTheme="majorEastAsia" w:cs="Segoe UI"/>
          <w:szCs w:val="22"/>
          <w:lang w:val="en-GB"/>
        </w:rPr>
        <w:t xml:space="preserve"> </w:t>
      </w:r>
      <w:r w:rsidR="00B963E6" w:rsidRPr="003A46AE">
        <w:rPr>
          <w:rFonts w:eastAsiaTheme="majorEastAsia" w:cs="Segoe UI"/>
          <w:szCs w:val="22"/>
          <w:lang w:val="en-GB"/>
        </w:rPr>
        <w:t>$10 per da</w:t>
      </w:r>
      <w:r w:rsidRPr="003A46AE">
        <w:rPr>
          <w:rFonts w:eastAsiaTheme="majorEastAsia" w:cs="Segoe UI"/>
          <w:szCs w:val="22"/>
          <w:lang w:val="en-GB"/>
        </w:rPr>
        <w:t>y</w:t>
      </w:r>
      <w:r w:rsidR="00C4670B" w:rsidRPr="003A46AE">
        <w:rPr>
          <w:rFonts w:eastAsiaTheme="majorEastAsia" w:cs="Segoe UI"/>
          <w:szCs w:val="22"/>
          <w:lang w:val="en-GB"/>
        </w:rPr>
        <w:t>.</w:t>
      </w:r>
    </w:p>
    <w:p w14:paraId="33A80E15" w14:textId="46AD9E89" w:rsidR="00CF4176" w:rsidRPr="003A46AE" w:rsidRDefault="006548BF" w:rsidP="00102B70">
      <w:pPr>
        <w:pStyle w:val="ListBullet"/>
        <w:keepLines w:val="0"/>
        <w:numPr>
          <w:ilvl w:val="0"/>
          <w:numId w:val="30"/>
        </w:numPr>
        <w:spacing w:before="240" w:after="180" w:line="240" w:lineRule="auto"/>
        <w:ind w:left="426" w:hanging="426"/>
        <w:rPr>
          <w:rFonts w:eastAsiaTheme="majorEastAsia" w:cs="Segoe UI"/>
          <w:szCs w:val="22"/>
          <w:lang w:val="en-GB"/>
        </w:rPr>
      </w:pPr>
      <w:r w:rsidRPr="003A46AE">
        <w:rPr>
          <w:rFonts w:eastAsiaTheme="majorEastAsia" w:cs="Segoe UI"/>
          <w:b/>
          <w:bCs/>
          <w:szCs w:val="22"/>
          <w:lang w:val="en-GB"/>
        </w:rPr>
        <w:t xml:space="preserve">Less </w:t>
      </w:r>
      <w:r w:rsidR="00B963E6" w:rsidRPr="003A46AE">
        <w:rPr>
          <w:rFonts w:eastAsiaTheme="majorEastAsia" w:cs="Segoe UI"/>
          <w:b/>
          <w:bCs/>
          <w:szCs w:val="22"/>
          <w:lang w:val="en-GB"/>
        </w:rPr>
        <w:t>than 2%</w:t>
      </w:r>
      <w:r w:rsidR="00B963E6" w:rsidRPr="003A46AE">
        <w:rPr>
          <w:rFonts w:eastAsiaTheme="majorEastAsia" w:cs="Segoe UI"/>
          <w:szCs w:val="22"/>
          <w:lang w:val="en-GB"/>
        </w:rPr>
        <w:t xml:space="preserve"> </w:t>
      </w:r>
      <w:r w:rsidRPr="003A46AE">
        <w:rPr>
          <w:rFonts w:eastAsiaTheme="majorEastAsia" w:cs="Segoe UI"/>
          <w:b/>
          <w:bCs/>
          <w:szCs w:val="22"/>
          <w:lang w:val="en-GB"/>
        </w:rPr>
        <w:t xml:space="preserve">of residential services, </w:t>
      </w:r>
      <w:r w:rsidRPr="003A46AE">
        <w:rPr>
          <w:rFonts w:eastAsiaTheme="majorEastAsia" w:cs="Segoe UI"/>
          <w:szCs w:val="22"/>
          <w:lang w:val="en-GB"/>
        </w:rPr>
        <w:t xml:space="preserve">in the past six months, </w:t>
      </w:r>
      <w:r w:rsidR="00B963E6" w:rsidRPr="003A46AE">
        <w:rPr>
          <w:rFonts w:eastAsiaTheme="majorEastAsia" w:cs="Segoe UI"/>
          <w:szCs w:val="22"/>
          <w:lang w:val="en-GB"/>
        </w:rPr>
        <w:t>reported an average daily spend less than $6 per day</w:t>
      </w:r>
    </w:p>
    <w:p w14:paraId="08FD590C" w14:textId="0DA7CF68" w:rsidR="007810E8" w:rsidRPr="003A46AE" w:rsidRDefault="008D5630" w:rsidP="00102B70">
      <w:pPr>
        <w:pStyle w:val="ListBullet"/>
        <w:keepLines w:val="0"/>
        <w:numPr>
          <w:ilvl w:val="0"/>
          <w:numId w:val="30"/>
        </w:numPr>
        <w:spacing w:before="240" w:after="180" w:line="240" w:lineRule="auto"/>
        <w:ind w:left="426" w:hanging="426"/>
        <w:rPr>
          <w:rFonts w:eastAsiaTheme="majorEastAsia" w:cs="Segoe UI"/>
          <w:szCs w:val="22"/>
          <w:lang w:val="en-GB"/>
        </w:rPr>
      </w:pPr>
      <w:r w:rsidRPr="003A46AE">
        <w:rPr>
          <w:rFonts w:eastAsiaTheme="majorEastAsia" w:cs="Segoe UI"/>
          <w:szCs w:val="22"/>
          <w:lang w:val="en-GB"/>
        </w:rPr>
        <w:t>Services</w:t>
      </w:r>
      <w:r w:rsidR="00B963E6" w:rsidRPr="003A46AE">
        <w:rPr>
          <w:rFonts w:eastAsiaTheme="majorEastAsia" w:cs="Segoe UI"/>
          <w:szCs w:val="22"/>
          <w:lang w:val="en-GB"/>
        </w:rPr>
        <w:t xml:space="preserve"> spending less than $</w:t>
      </w:r>
      <w:r w:rsidR="00AB75EA" w:rsidRPr="003A46AE">
        <w:rPr>
          <w:rFonts w:eastAsiaTheme="majorEastAsia" w:cs="Segoe UI"/>
          <w:szCs w:val="22"/>
          <w:lang w:val="en-GB"/>
        </w:rPr>
        <w:t>10</w:t>
      </w:r>
      <w:r w:rsidR="00B963E6" w:rsidRPr="003A46AE">
        <w:rPr>
          <w:rFonts w:eastAsiaTheme="majorEastAsia" w:cs="Segoe UI"/>
          <w:szCs w:val="22"/>
          <w:lang w:val="en-GB"/>
        </w:rPr>
        <w:t xml:space="preserve"> per day have been referred to</w:t>
      </w:r>
      <w:r w:rsidR="007810E8" w:rsidRPr="003A46AE">
        <w:rPr>
          <w:rFonts w:eastAsiaTheme="majorEastAsia" w:cs="Segoe UI"/>
          <w:szCs w:val="22"/>
          <w:lang w:val="en-GB"/>
        </w:rPr>
        <w:t xml:space="preserve"> the</w:t>
      </w:r>
      <w:r w:rsidR="000E079C" w:rsidRPr="003A46AE">
        <w:rPr>
          <w:rFonts w:eastAsiaTheme="majorEastAsia" w:cs="Segoe UI"/>
          <w:szCs w:val="22"/>
          <w:lang w:val="en-GB"/>
        </w:rPr>
        <w:t xml:space="preserve"> </w:t>
      </w:r>
      <w:r w:rsidR="00375AED" w:rsidRPr="003A46AE">
        <w:rPr>
          <w:rFonts w:eastAsiaTheme="majorEastAsia" w:cs="Segoe UI"/>
          <w:szCs w:val="22"/>
          <w:lang w:val="en-GB"/>
        </w:rPr>
        <w:t xml:space="preserve">Aged Care Quality and Safety </w:t>
      </w:r>
      <w:r w:rsidR="007810E8" w:rsidRPr="003A46AE">
        <w:rPr>
          <w:rFonts w:eastAsiaTheme="majorEastAsia" w:cs="Segoe UI"/>
          <w:szCs w:val="22"/>
          <w:lang w:val="en-GB"/>
        </w:rPr>
        <w:t>Commission</w:t>
      </w:r>
      <w:r w:rsidR="00F57888" w:rsidRPr="003A46AE">
        <w:rPr>
          <w:rFonts w:eastAsiaTheme="majorEastAsia" w:cs="Segoe UI"/>
          <w:szCs w:val="22"/>
          <w:lang w:val="en-GB"/>
        </w:rPr>
        <w:t xml:space="preserve"> (the Commission)</w:t>
      </w:r>
      <w:r w:rsidR="007810E8" w:rsidRPr="003A46AE">
        <w:rPr>
          <w:rFonts w:eastAsiaTheme="majorEastAsia" w:cs="Segoe UI"/>
          <w:szCs w:val="22"/>
          <w:lang w:val="en-GB"/>
        </w:rPr>
        <w:t xml:space="preserve"> to consider as part of its broader regulatory intelligence which</w:t>
      </w:r>
      <w:r w:rsidR="007810E8" w:rsidRPr="003A46AE">
        <w:t xml:space="preserve"> is used to inform its ongoing sector monitoring.</w:t>
      </w:r>
    </w:p>
    <w:p w14:paraId="7EA1283E" w14:textId="2350FD27" w:rsidR="00CF4176" w:rsidRPr="003A46AE" w:rsidRDefault="00CF4176" w:rsidP="00102B70">
      <w:pPr>
        <w:pStyle w:val="ListBullet"/>
        <w:keepLines w:val="0"/>
        <w:numPr>
          <w:ilvl w:val="0"/>
          <w:numId w:val="0"/>
        </w:numPr>
        <w:spacing w:before="0" w:line="240" w:lineRule="auto"/>
        <w:rPr>
          <w:rFonts w:eastAsiaTheme="majorEastAsia" w:cs="Segoe UI"/>
          <w:b/>
          <w:bCs/>
          <w:szCs w:val="22"/>
          <w:lang w:val="en-GB"/>
        </w:rPr>
      </w:pPr>
      <w:r w:rsidRPr="003A46AE">
        <w:rPr>
          <w:b/>
          <w:bCs/>
        </w:rPr>
        <w:t xml:space="preserve">2.6 Other insights </w:t>
      </w:r>
    </w:p>
    <w:p w14:paraId="64162C73" w14:textId="0CD51A6E" w:rsidR="005452B4" w:rsidRPr="003A46AE" w:rsidRDefault="00CF4176" w:rsidP="00102B70">
      <w:pPr>
        <w:pStyle w:val="ListParagraph"/>
        <w:numPr>
          <w:ilvl w:val="0"/>
          <w:numId w:val="30"/>
        </w:numPr>
        <w:spacing w:line="240" w:lineRule="auto"/>
        <w:ind w:left="284" w:hanging="284"/>
        <w:rPr>
          <w:rFonts w:cs="Segoe UI"/>
        </w:rPr>
      </w:pPr>
      <w:r w:rsidRPr="003A46AE">
        <w:rPr>
          <w:lang w:val="en-GB"/>
        </w:rPr>
        <w:t>T</w:t>
      </w:r>
      <w:r w:rsidR="005452B4" w:rsidRPr="003A46AE">
        <w:rPr>
          <w:lang w:val="en-GB"/>
        </w:rPr>
        <w:t xml:space="preserve">able </w:t>
      </w:r>
      <w:r w:rsidR="00B46E99" w:rsidRPr="003A46AE">
        <w:rPr>
          <w:lang w:val="en-GB"/>
        </w:rPr>
        <w:t>3</w:t>
      </w:r>
      <w:r w:rsidR="005452B4" w:rsidRPr="003A46AE">
        <w:rPr>
          <w:lang w:val="en-GB"/>
        </w:rPr>
        <w:t xml:space="preserve"> below provides the </w:t>
      </w:r>
      <w:bookmarkStart w:id="11" w:name="_Hlk97543972"/>
      <w:r w:rsidR="005452B4" w:rsidRPr="003A46AE">
        <w:rPr>
          <w:lang w:val="en-GB"/>
        </w:rPr>
        <w:t>average spend per resident per day on other expenditure by services to support improved food and nutrition</w:t>
      </w:r>
      <w:bookmarkEnd w:id="11"/>
      <w:r w:rsidR="005452B4" w:rsidRPr="003A46AE">
        <w:rPr>
          <w:lang w:val="en-GB"/>
        </w:rPr>
        <w:t xml:space="preserve"> in </w:t>
      </w:r>
      <w:r w:rsidR="00967BBB" w:rsidRPr="003A46AE">
        <w:rPr>
          <w:lang w:val="en-GB"/>
        </w:rPr>
        <w:t>residents</w:t>
      </w:r>
      <w:r w:rsidRPr="003A46AE">
        <w:rPr>
          <w:lang w:val="en-GB"/>
        </w:rPr>
        <w:t>.</w:t>
      </w:r>
    </w:p>
    <w:p w14:paraId="6663A987" w14:textId="186B8965" w:rsidR="00CE6EBB" w:rsidRPr="003A46AE" w:rsidRDefault="00CE6EBB" w:rsidP="00CE6EBB">
      <w:pPr>
        <w:pStyle w:val="ListParagraph"/>
        <w:spacing w:line="240" w:lineRule="auto"/>
        <w:ind w:left="284"/>
        <w:rPr>
          <w:lang w:val="en-GB"/>
        </w:rPr>
      </w:pPr>
    </w:p>
    <w:p w14:paraId="10876F32" w14:textId="170C9BB5" w:rsidR="00F26182" w:rsidRPr="003A46AE" w:rsidRDefault="005452B4" w:rsidP="00102B70">
      <w:pPr>
        <w:spacing w:line="240" w:lineRule="auto"/>
        <w:rPr>
          <w:b/>
          <w:bCs/>
          <w:color w:val="006666"/>
          <w:lang w:val="en-GB"/>
        </w:rPr>
      </w:pPr>
      <w:r w:rsidRPr="003A46AE">
        <w:rPr>
          <w:b/>
          <w:bCs/>
          <w:color w:val="006666"/>
          <w:lang w:val="en-GB"/>
        </w:rPr>
        <w:t xml:space="preserve">Table </w:t>
      </w:r>
      <w:r w:rsidR="00B46E99" w:rsidRPr="003A46AE">
        <w:rPr>
          <w:b/>
          <w:bCs/>
          <w:color w:val="006666"/>
          <w:lang w:val="en-GB"/>
        </w:rPr>
        <w:t>3</w:t>
      </w:r>
      <w:r w:rsidRPr="003A46AE">
        <w:rPr>
          <w:b/>
          <w:bCs/>
          <w:color w:val="006666"/>
          <w:lang w:val="en-GB"/>
        </w:rPr>
        <w:t>. Average expenditure</w:t>
      </w:r>
      <w:r w:rsidR="00716DFA" w:rsidRPr="003A46AE">
        <w:rPr>
          <w:b/>
          <w:bCs/>
          <w:color w:val="006666"/>
          <w:lang w:val="en-GB"/>
        </w:rPr>
        <w:t xml:space="preserve"> on other items</w:t>
      </w:r>
      <w:r w:rsidRPr="003A46AE">
        <w:rPr>
          <w:b/>
          <w:bCs/>
          <w:color w:val="006666"/>
          <w:lang w:val="en-GB"/>
        </w:rPr>
        <w:t xml:space="preserve"> to support improved food and nutrition</w:t>
      </w:r>
    </w:p>
    <w:p w14:paraId="59BE3F60" w14:textId="77777777" w:rsidR="0004072A" w:rsidRPr="003A46AE" w:rsidRDefault="0004072A" w:rsidP="00102B70">
      <w:pPr>
        <w:spacing w:line="240" w:lineRule="auto"/>
        <w:rPr>
          <w:rFonts w:cs="Segoe UI"/>
          <w:color w:val="006666"/>
        </w:rPr>
      </w:pPr>
    </w:p>
    <w:tbl>
      <w:tblPr>
        <w:tblStyle w:val="DepartmentofHealthtable"/>
        <w:tblW w:w="9040" w:type="dxa"/>
        <w:tblLook w:val="04A0" w:firstRow="1" w:lastRow="0" w:firstColumn="1" w:lastColumn="0" w:noHBand="0" w:noVBand="1"/>
      </w:tblPr>
      <w:tblGrid>
        <w:gridCol w:w="4552"/>
        <w:gridCol w:w="2394"/>
        <w:gridCol w:w="2094"/>
      </w:tblGrid>
      <w:tr w:rsidR="00992BD4" w:rsidRPr="003A46AE" w14:paraId="78F806AF" w14:textId="67EE5D26" w:rsidTr="008E58E7">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552" w:type="dxa"/>
            <w:vMerge w:val="restart"/>
            <w:shd w:val="clear" w:color="auto" w:fill="006666"/>
          </w:tcPr>
          <w:p w14:paraId="7AE93712" w14:textId="6398C984" w:rsidR="00992BD4" w:rsidRPr="003A46AE" w:rsidRDefault="00992BD4" w:rsidP="00102B70">
            <w:pPr>
              <w:keepNext/>
              <w:spacing w:line="240" w:lineRule="auto"/>
              <w:rPr>
                <w:rFonts w:cs="Segoe UI"/>
                <w:b/>
                <w:bCs/>
                <w:color w:val="FFFFFF" w:themeColor="background1"/>
                <w:szCs w:val="22"/>
              </w:rPr>
            </w:pPr>
            <w:bookmarkStart w:id="12" w:name="_Hlk97547026"/>
            <w:r w:rsidRPr="003A46AE">
              <w:rPr>
                <w:rFonts w:cs="Segoe UI"/>
                <w:b/>
                <w:bCs/>
                <w:color w:val="FFFFFF" w:themeColor="background1"/>
                <w:szCs w:val="22"/>
              </w:rPr>
              <w:t>Other expenditure to support improved food and nutrition</w:t>
            </w:r>
          </w:p>
        </w:tc>
        <w:tc>
          <w:tcPr>
            <w:tcW w:w="4488" w:type="dxa"/>
            <w:gridSpan w:val="2"/>
            <w:shd w:val="clear" w:color="auto" w:fill="006666"/>
          </w:tcPr>
          <w:p w14:paraId="3E7870AB" w14:textId="7FC9D031" w:rsidR="00992BD4" w:rsidRPr="003A46AE" w:rsidRDefault="00992BD4" w:rsidP="00EC5C63">
            <w:pPr>
              <w:keepNext/>
              <w:spacing w:line="240" w:lineRule="auto"/>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A46AE">
              <w:rPr>
                <w:b/>
                <w:bCs/>
                <w:color w:val="FFFFFF" w:themeColor="background1"/>
              </w:rPr>
              <w:t xml:space="preserve">Average </w:t>
            </w:r>
            <w:proofErr w:type="gramStart"/>
            <w:r w:rsidRPr="003A46AE">
              <w:rPr>
                <w:b/>
                <w:bCs/>
                <w:color w:val="FFFFFF" w:themeColor="background1"/>
              </w:rPr>
              <w:t>spend</w:t>
            </w:r>
            <w:proofErr w:type="gramEnd"/>
            <w:r w:rsidRPr="003A46AE">
              <w:rPr>
                <w:b/>
                <w:bCs/>
                <w:color w:val="FFFFFF" w:themeColor="background1"/>
              </w:rPr>
              <w:t xml:space="preserve"> per resident per day </w:t>
            </w:r>
          </w:p>
        </w:tc>
      </w:tr>
      <w:tr w:rsidR="00992BD4" w:rsidRPr="003A46AE" w14:paraId="2313FEC7" w14:textId="77777777" w:rsidTr="008E5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vMerge/>
            <w:shd w:val="clear" w:color="auto" w:fill="006666"/>
          </w:tcPr>
          <w:p w14:paraId="2E52A9D0" w14:textId="77777777" w:rsidR="00992BD4" w:rsidRPr="003A46AE" w:rsidRDefault="00992BD4" w:rsidP="00992BD4">
            <w:pPr>
              <w:keepNext/>
              <w:spacing w:before="0" w:line="240" w:lineRule="auto"/>
              <w:rPr>
                <w:rFonts w:cs="Segoe UI"/>
                <w:b/>
                <w:bCs/>
                <w:color w:val="FFFFFF" w:themeColor="background1"/>
                <w:szCs w:val="22"/>
              </w:rPr>
            </w:pPr>
          </w:p>
        </w:tc>
        <w:tc>
          <w:tcPr>
            <w:tcW w:w="2394" w:type="dxa"/>
            <w:shd w:val="clear" w:color="auto" w:fill="006666"/>
          </w:tcPr>
          <w:p w14:paraId="3A455417" w14:textId="77777777" w:rsidR="00992BD4" w:rsidRPr="003A46AE" w:rsidRDefault="00992BD4" w:rsidP="00992BD4">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b/>
                <w:bCs/>
                <w:color w:val="FFFFFF" w:themeColor="background1"/>
                <w:sz w:val="20"/>
                <w:szCs w:val="22"/>
              </w:rPr>
            </w:pPr>
            <w:r w:rsidRPr="003A46AE">
              <w:rPr>
                <w:rFonts w:cs="Segoe UI"/>
                <w:b/>
                <w:bCs/>
                <w:color w:val="FFFFFF" w:themeColor="background1"/>
                <w:sz w:val="20"/>
                <w:szCs w:val="22"/>
              </w:rPr>
              <w:t>Quarter 1</w:t>
            </w:r>
          </w:p>
          <w:p w14:paraId="34494ADC" w14:textId="745624D5" w:rsidR="00992BD4" w:rsidRPr="003A46AE" w:rsidRDefault="00992BD4" w:rsidP="00992BD4">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A46AE">
              <w:rPr>
                <w:rFonts w:cs="Segoe UI"/>
                <w:b/>
                <w:bCs/>
                <w:color w:val="FFFFFF" w:themeColor="background1"/>
                <w:sz w:val="20"/>
                <w:szCs w:val="22"/>
              </w:rPr>
              <w:t>(Jul - Sep 2021)</w:t>
            </w:r>
          </w:p>
        </w:tc>
        <w:tc>
          <w:tcPr>
            <w:tcW w:w="2090" w:type="dxa"/>
            <w:shd w:val="clear" w:color="auto" w:fill="006666"/>
          </w:tcPr>
          <w:p w14:paraId="02356280" w14:textId="77777777" w:rsidR="00992BD4" w:rsidRPr="003A46AE" w:rsidRDefault="00992BD4" w:rsidP="00992BD4">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rFonts w:cs="Segoe UI"/>
                <w:b/>
                <w:bCs/>
                <w:color w:val="FFFFFF" w:themeColor="background1"/>
                <w:sz w:val="20"/>
                <w:szCs w:val="22"/>
              </w:rPr>
            </w:pPr>
            <w:r w:rsidRPr="003A46AE">
              <w:rPr>
                <w:rFonts w:cs="Segoe UI"/>
                <w:b/>
                <w:bCs/>
                <w:color w:val="FFFFFF" w:themeColor="background1"/>
                <w:sz w:val="20"/>
                <w:szCs w:val="22"/>
              </w:rPr>
              <w:t>Quarter 2</w:t>
            </w:r>
          </w:p>
          <w:p w14:paraId="7AC99988" w14:textId="55107BAD" w:rsidR="00992BD4" w:rsidRPr="003A46AE" w:rsidRDefault="00992BD4" w:rsidP="00992BD4">
            <w:pPr>
              <w:keepNext/>
              <w:spacing w:before="0" w:line="240" w:lineRule="auto"/>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A46AE">
              <w:rPr>
                <w:rFonts w:cs="Segoe UI"/>
                <w:b/>
                <w:bCs/>
                <w:color w:val="FFFFFF" w:themeColor="background1"/>
                <w:sz w:val="20"/>
                <w:szCs w:val="22"/>
              </w:rPr>
              <w:t>(Oct - Dec 2021)</w:t>
            </w:r>
          </w:p>
        </w:tc>
      </w:tr>
      <w:tr w:rsidR="00BC3BE5" w:rsidRPr="003A46AE" w14:paraId="3C3D9465" w14:textId="2D871F3F" w:rsidTr="008E5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shd w:val="clear" w:color="auto" w:fill="F2F2F2" w:themeFill="background1" w:themeFillShade="F2"/>
          </w:tcPr>
          <w:p w14:paraId="36C199FF" w14:textId="77777777" w:rsidR="00992BD4" w:rsidRPr="003A46AE" w:rsidRDefault="00992BD4" w:rsidP="00992BD4">
            <w:pPr>
              <w:keepNext/>
              <w:spacing w:line="240" w:lineRule="auto"/>
              <w:rPr>
                <w:rFonts w:cs="Segoe UI"/>
                <w:color w:val="auto"/>
                <w:szCs w:val="22"/>
              </w:rPr>
            </w:pPr>
            <w:r w:rsidRPr="003A46AE">
              <w:rPr>
                <w:rFonts w:cs="Segoe UI"/>
                <w:color w:val="auto"/>
                <w:szCs w:val="22"/>
              </w:rPr>
              <w:t>Expenditure on oral nutritional supplements</w:t>
            </w:r>
          </w:p>
        </w:tc>
        <w:tc>
          <w:tcPr>
            <w:tcW w:w="2394" w:type="dxa"/>
            <w:shd w:val="clear" w:color="auto" w:fill="F2F2F2" w:themeFill="background1" w:themeFillShade="F2"/>
            <w:vAlign w:val="center"/>
          </w:tcPr>
          <w:p w14:paraId="7C63CFC6" w14:textId="3922EEED" w:rsidR="00992BD4" w:rsidRPr="003A46AE" w:rsidRDefault="00992BD4" w:rsidP="00992BD4">
            <w:pPr>
              <w:keepNext/>
              <w:spacing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2"/>
              </w:rPr>
            </w:pPr>
            <w:r w:rsidRPr="003A46AE">
              <w:rPr>
                <w:rFonts w:eastAsiaTheme="minorHAnsi" w:cs="Segoe UI"/>
                <w:color w:val="auto"/>
                <w:szCs w:val="22"/>
                <w:lang w:eastAsia="en-US"/>
              </w:rPr>
              <w:t>$0.76</w:t>
            </w:r>
          </w:p>
        </w:tc>
        <w:tc>
          <w:tcPr>
            <w:tcW w:w="2090" w:type="dxa"/>
            <w:shd w:val="clear" w:color="auto" w:fill="F2F2F2" w:themeFill="background1" w:themeFillShade="F2"/>
            <w:vAlign w:val="center"/>
          </w:tcPr>
          <w:p w14:paraId="33C68689" w14:textId="3CC7BDFC" w:rsidR="00992BD4" w:rsidRPr="003A46AE" w:rsidRDefault="00992BD4" w:rsidP="00992BD4">
            <w:pPr>
              <w:keepNext/>
              <w:spacing w:line="240" w:lineRule="auto"/>
              <w:jc w:val="center"/>
              <w:cnfStyle w:val="000000010000" w:firstRow="0" w:lastRow="0" w:firstColumn="0" w:lastColumn="0" w:oddVBand="0" w:evenVBand="0" w:oddHBand="0" w:evenHBand="1" w:firstRowFirstColumn="0" w:firstRowLastColumn="0" w:lastRowFirstColumn="0" w:lastRowLastColumn="0"/>
              <w:rPr>
                <w:color w:val="auto"/>
              </w:rPr>
            </w:pPr>
            <w:r w:rsidRPr="003A46AE">
              <w:rPr>
                <w:rFonts w:eastAsiaTheme="minorHAnsi" w:cs="Segoe UI"/>
                <w:color w:val="auto"/>
                <w:szCs w:val="22"/>
                <w:lang w:eastAsia="en-US"/>
              </w:rPr>
              <w:t>$</w:t>
            </w:r>
            <w:r w:rsidRPr="003A46AE">
              <w:rPr>
                <w:rFonts w:cs="Segoe UI"/>
                <w:color w:val="auto"/>
                <w:szCs w:val="22"/>
              </w:rPr>
              <w:t>0.7</w:t>
            </w:r>
            <w:r w:rsidR="00353523" w:rsidRPr="003A46AE">
              <w:rPr>
                <w:rFonts w:cs="Segoe UI"/>
                <w:color w:val="auto"/>
                <w:szCs w:val="22"/>
              </w:rPr>
              <w:t>1</w:t>
            </w:r>
          </w:p>
        </w:tc>
      </w:tr>
      <w:tr w:rsidR="00BC3BE5" w:rsidRPr="003A46AE" w14:paraId="46B63C97" w14:textId="6223F6A8" w:rsidTr="008E5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2172A87B" w14:textId="77777777" w:rsidR="00992BD4" w:rsidRPr="003A46AE" w:rsidRDefault="00992BD4" w:rsidP="00992BD4">
            <w:pPr>
              <w:keepNext/>
              <w:spacing w:line="240" w:lineRule="auto"/>
              <w:rPr>
                <w:rFonts w:cs="Segoe UI"/>
                <w:color w:val="auto"/>
                <w:szCs w:val="22"/>
              </w:rPr>
            </w:pPr>
            <w:r w:rsidRPr="003A46AE">
              <w:rPr>
                <w:rFonts w:cs="Segoe UI"/>
                <w:color w:val="auto"/>
                <w:szCs w:val="22"/>
              </w:rPr>
              <w:t>Expenditure on oral health living expenses</w:t>
            </w:r>
          </w:p>
        </w:tc>
        <w:tc>
          <w:tcPr>
            <w:tcW w:w="2394" w:type="dxa"/>
            <w:vAlign w:val="center"/>
          </w:tcPr>
          <w:p w14:paraId="1B9E1DD7" w14:textId="604C2006" w:rsidR="00992BD4" w:rsidRPr="003A46AE" w:rsidRDefault="00992BD4" w:rsidP="00992BD4">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cs="Segoe UI"/>
                <w:color w:val="auto"/>
                <w:szCs w:val="22"/>
              </w:rPr>
            </w:pPr>
            <w:r w:rsidRPr="003A46AE">
              <w:rPr>
                <w:rFonts w:eastAsiaTheme="minorHAnsi" w:cs="Segoe UI"/>
                <w:color w:val="auto"/>
                <w:szCs w:val="22"/>
                <w:lang w:eastAsia="en-US"/>
              </w:rPr>
              <w:t>$0.07</w:t>
            </w:r>
          </w:p>
        </w:tc>
        <w:tc>
          <w:tcPr>
            <w:tcW w:w="2090" w:type="dxa"/>
            <w:vAlign w:val="center"/>
          </w:tcPr>
          <w:p w14:paraId="18BA7069" w14:textId="63756FFA" w:rsidR="00992BD4" w:rsidRPr="003A46AE" w:rsidRDefault="00992BD4" w:rsidP="00992BD4">
            <w:pPr>
              <w:keepNext/>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3A46AE">
              <w:rPr>
                <w:rFonts w:eastAsiaTheme="minorHAnsi" w:cs="Segoe UI"/>
                <w:color w:val="auto"/>
                <w:szCs w:val="22"/>
                <w:lang w:eastAsia="en-US"/>
              </w:rPr>
              <w:t>$0.09</w:t>
            </w:r>
          </w:p>
        </w:tc>
      </w:tr>
      <w:tr w:rsidR="00BC3BE5" w:rsidRPr="003A46AE" w14:paraId="6F1C1C3E" w14:textId="43773CC4" w:rsidTr="008E5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shd w:val="clear" w:color="auto" w:fill="F2F2F2" w:themeFill="background1" w:themeFillShade="F2"/>
          </w:tcPr>
          <w:p w14:paraId="3E1963F2" w14:textId="77777777" w:rsidR="00992BD4" w:rsidRPr="003A46AE" w:rsidRDefault="00992BD4" w:rsidP="00992BD4">
            <w:pPr>
              <w:keepNext/>
              <w:spacing w:line="240" w:lineRule="auto"/>
              <w:rPr>
                <w:rFonts w:cs="Segoe UI"/>
                <w:color w:val="auto"/>
                <w:szCs w:val="22"/>
              </w:rPr>
            </w:pPr>
            <w:r w:rsidRPr="003A46AE">
              <w:rPr>
                <w:rFonts w:cs="Segoe UI"/>
                <w:color w:val="auto"/>
                <w:szCs w:val="22"/>
              </w:rPr>
              <w:t>Expenditure on allied health support (such as dietitians, speech pathologists and oral health practitioners) for residents to improve their nutritional wellbeing</w:t>
            </w:r>
          </w:p>
        </w:tc>
        <w:tc>
          <w:tcPr>
            <w:tcW w:w="2394" w:type="dxa"/>
            <w:shd w:val="clear" w:color="auto" w:fill="F2F2F2" w:themeFill="background1" w:themeFillShade="F2"/>
            <w:vAlign w:val="center"/>
          </w:tcPr>
          <w:p w14:paraId="3F4D4E26" w14:textId="2B55B5F2" w:rsidR="00992BD4" w:rsidRPr="003A46AE" w:rsidRDefault="00992BD4" w:rsidP="00992BD4">
            <w:pPr>
              <w:keepNext/>
              <w:spacing w:line="240" w:lineRule="auto"/>
              <w:jc w:val="center"/>
              <w:cnfStyle w:val="000000010000" w:firstRow="0" w:lastRow="0" w:firstColumn="0" w:lastColumn="0" w:oddVBand="0" w:evenVBand="0" w:oddHBand="0" w:evenHBand="1" w:firstRowFirstColumn="0" w:firstRowLastColumn="0" w:lastRowFirstColumn="0" w:lastRowLastColumn="0"/>
              <w:rPr>
                <w:rFonts w:cs="Segoe UI"/>
                <w:color w:val="auto"/>
                <w:szCs w:val="22"/>
              </w:rPr>
            </w:pPr>
            <w:r w:rsidRPr="003A46AE">
              <w:rPr>
                <w:rFonts w:eastAsiaTheme="minorHAnsi" w:cs="Segoe UI"/>
                <w:color w:val="auto"/>
                <w:szCs w:val="22"/>
                <w:lang w:eastAsia="en-US"/>
              </w:rPr>
              <w:t>$1.12</w:t>
            </w:r>
          </w:p>
        </w:tc>
        <w:tc>
          <w:tcPr>
            <w:tcW w:w="2090" w:type="dxa"/>
            <w:shd w:val="clear" w:color="auto" w:fill="F2F2F2" w:themeFill="background1" w:themeFillShade="F2"/>
            <w:vAlign w:val="center"/>
          </w:tcPr>
          <w:p w14:paraId="50631620" w14:textId="32ED76FD" w:rsidR="00992BD4" w:rsidRPr="003A46AE" w:rsidRDefault="00992BD4" w:rsidP="00992BD4">
            <w:pPr>
              <w:keepNext/>
              <w:spacing w:line="240" w:lineRule="auto"/>
              <w:jc w:val="center"/>
              <w:cnfStyle w:val="000000010000" w:firstRow="0" w:lastRow="0" w:firstColumn="0" w:lastColumn="0" w:oddVBand="0" w:evenVBand="0" w:oddHBand="0" w:evenHBand="1" w:firstRowFirstColumn="0" w:firstRowLastColumn="0" w:lastRowFirstColumn="0" w:lastRowLastColumn="0"/>
              <w:rPr>
                <w:color w:val="auto"/>
              </w:rPr>
            </w:pPr>
            <w:r w:rsidRPr="003A46AE">
              <w:rPr>
                <w:rFonts w:cs="Segoe UI"/>
                <w:szCs w:val="22"/>
              </w:rPr>
              <w:t>$1.</w:t>
            </w:r>
            <w:r w:rsidR="006548BF" w:rsidRPr="003A46AE">
              <w:rPr>
                <w:rFonts w:cs="Segoe UI"/>
                <w:szCs w:val="22"/>
              </w:rPr>
              <w:t>18</w:t>
            </w:r>
          </w:p>
        </w:tc>
      </w:tr>
      <w:bookmarkEnd w:id="12"/>
    </w:tbl>
    <w:p w14:paraId="21206E56" w14:textId="76B98856" w:rsidR="00F61326" w:rsidRPr="003A46AE" w:rsidRDefault="00F61326" w:rsidP="00EB2420">
      <w:pPr>
        <w:keepLines w:val="0"/>
        <w:spacing w:before="0" w:line="240" w:lineRule="auto"/>
        <w:rPr>
          <w:rFonts w:cs="Segoe UI"/>
        </w:rPr>
      </w:pPr>
    </w:p>
    <w:p w14:paraId="7F923F03" w14:textId="63E3E504" w:rsidR="0025676E" w:rsidRPr="003A46AE" w:rsidRDefault="00CF4176" w:rsidP="00EB2420">
      <w:pPr>
        <w:pStyle w:val="ListParagraph"/>
        <w:keepLines w:val="0"/>
        <w:numPr>
          <w:ilvl w:val="0"/>
          <w:numId w:val="23"/>
        </w:numPr>
        <w:spacing w:before="0" w:line="240" w:lineRule="auto"/>
        <w:ind w:left="426" w:hanging="426"/>
        <w:rPr>
          <w:rFonts w:eastAsiaTheme="majorEastAsia" w:cs="Segoe UI"/>
          <w:b/>
          <w:bCs/>
          <w:sz w:val="24"/>
          <w:u w:val="single"/>
          <w:lang w:val="en-GB"/>
        </w:rPr>
      </w:pPr>
      <w:r w:rsidRPr="003A46AE">
        <w:rPr>
          <w:rFonts w:eastAsiaTheme="majorEastAsia" w:cs="Segoe UI"/>
          <w:b/>
          <w:bCs/>
          <w:sz w:val="24"/>
          <w:u w:val="single"/>
          <w:lang w:val="en-GB"/>
        </w:rPr>
        <w:lastRenderedPageBreak/>
        <w:t>Creative and innovative services reported</w:t>
      </w:r>
    </w:p>
    <w:p w14:paraId="39FEE2D6" w14:textId="0F6D7FA9" w:rsidR="00CF4176" w:rsidRPr="003A46AE" w:rsidRDefault="002B135A" w:rsidP="00102B70">
      <w:pPr>
        <w:pStyle w:val="ListBullet"/>
        <w:keepLines w:val="0"/>
        <w:numPr>
          <w:ilvl w:val="0"/>
          <w:numId w:val="30"/>
        </w:numPr>
        <w:spacing w:before="240" w:after="180" w:line="240" w:lineRule="auto"/>
        <w:ind w:left="426" w:hanging="426"/>
        <w:rPr>
          <w:rFonts w:eastAsiaTheme="majorEastAsia" w:cs="Segoe UI"/>
          <w:szCs w:val="22"/>
          <w:lang w:val="en-GB"/>
        </w:rPr>
      </w:pPr>
      <w:r w:rsidRPr="003A46AE">
        <w:rPr>
          <w:rFonts w:eastAsiaTheme="majorEastAsia" w:cs="Segoe UI"/>
          <w:szCs w:val="22"/>
          <w:lang w:val="en-GB"/>
        </w:rPr>
        <w:t>T</w:t>
      </w:r>
      <w:r w:rsidR="00B1242E" w:rsidRPr="003A46AE">
        <w:rPr>
          <w:rFonts w:eastAsiaTheme="majorEastAsia" w:cs="Segoe UI"/>
          <w:szCs w:val="22"/>
          <w:lang w:val="en-GB"/>
        </w:rPr>
        <w:t xml:space="preserve">he </w:t>
      </w:r>
      <w:r w:rsidR="007810E8" w:rsidRPr="003A46AE">
        <w:rPr>
          <w:rFonts w:eastAsiaTheme="majorEastAsia" w:cs="Segoe UI"/>
          <w:szCs w:val="22"/>
          <w:lang w:val="en-GB"/>
        </w:rPr>
        <w:t>Food and Nutrition Reporting</w:t>
      </w:r>
      <w:r w:rsidR="00B1242E" w:rsidRPr="003A46AE">
        <w:rPr>
          <w:rFonts w:eastAsiaTheme="majorEastAsia" w:cs="Segoe UI"/>
          <w:szCs w:val="22"/>
          <w:lang w:val="en-GB"/>
        </w:rPr>
        <w:t xml:space="preserve"> has surfaced innovative and creative practices being implemented </w:t>
      </w:r>
      <w:r w:rsidR="00961D13" w:rsidRPr="003A46AE">
        <w:rPr>
          <w:rFonts w:eastAsiaTheme="majorEastAsia" w:cs="Segoe UI"/>
          <w:szCs w:val="22"/>
          <w:lang w:val="en-GB"/>
        </w:rPr>
        <w:t>by residential aged care services in the</w:t>
      </w:r>
      <w:r w:rsidR="00B1242E" w:rsidRPr="003A46AE">
        <w:rPr>
          <w:rFonts w:eastAsiaTheme="majorEastAsia" w:cs="Segoe UI"/>
          <w:szCs w:val="22"/>
          <w:lang w:val="en-GB"/>
        </w:rPr>
        <w:t xml:space="preserve"> food, nutrition</w:t>
      </w:r>
      <w:r w:rsidR="00BE5FBF" w:rsidRPr="003A46AE">
        <w:rPr>
          <w:rFonts w:eastAsiaTheme="majorEastAsia" w:cs="Segoe UI"/>
          <w:szCs w:val="22"/>
          <w:lang w:val="en-GB"/>
        </w:rPr>
        <w:t>,</w:t>
      </w:r>
      <w:r w:rsidR="00B1242E" w:rsidRPr="003A46AE">
        <w:rPr>
          <w:rFonts w:eastAsiaTheme="majorEastAsia" w:cs="Segoe UI"/>
          <w:szCs w:val="22"/>
          <w:lang w:val="en-GB"/>
        </w:rPr>
        <w:t xml:space="preserve"> and dining experience</w:t>
      </w:r>
      <w:r w:rsidR="00375AED" w:rsidRPr="003A46AE">
        <w:rPr>
          <w:rFonts w:eastAsiaTheme="majorEastAsia" w:cs="Segoe UI"/>
          <w:szCs w:val="22"/>
          <w:lang w:val="en-GB"/>
        </w:rPr>
        <w:t xml:space="preserve"> space.</w:t>
      </w:r>
    </w:p>
    <w:p w14:paraId="441BE120" w14:textId="6C39F4B6" w:rsidR="00B16CF1" w:rsidRPr="003A46AE" w:rsidRDefault="00961D13" w:rsidP="00102B70">
      <w:pPr>
        <w:pStyle w:val="ListBullet"/>
        <w:keepLines w:val="0"/>
        <w:numPr>
          <w:ilvl w:val="0"/>
          <w:numId w:val="30"/>
        </w:numPr>
        <w:spacing w:before="240" w:after="180" w:line="240" w:lineRule="auto"/>
        <w:ind w:left="426" w:hanging="426"/>
        <w:rPr>
          <w:rFonts w:eastAsiaTheme="majorEastAsia" w:cs="Segoe UI"/>
          <w:szCs w:val="22"/>
          <w:lang w:val="en-GB"/>
        </w:rPr>
      </w:pPr>
      <w:r w:rsidRPr="003A46AE">
        <w:rPr>
          <w:rFonts w:cs="Segoe UI"/>
          <w:szCs w:val="22"/>
        </w:rPr>
        <w:t xml:space="preserve">Some </w:t>
      </w:r>
      <w:r w:rsidR="008D5630" w:rsidRPr="003A46AE">
        <w:rPr>
          <w:rFonts w:cs="Segoe UI"/>
          <w:szCs w:val="22"/>
        </w:rPr>
        <w:t>services</w:t>
      </w:r>
      <w:r w:rsidRPr="003A46AE">
        <w:rPr>
          <w:rFonts w:cs="Segoe UI"/>
          <w:szCs w:val="22"/>
        </w:rPr>
        <w:t xml:space="preserve"> are already driving best practice and going above and beyond the standard in delivering quality food</w:t>
      </w:r>
      <w:r w:rsidR="00375AED" w:rsidRPr="003A46AE">
        <w:rPr>
          <w:rFonts w:cs="Segoe UI"/>
          <w:szCs w:val="22"/>
        </w:rPr>
        <w:t xml:space="preserve">, </w:t>
      </w:r>
      <w:r w:rsidRPr="003A46AE">
        <w:rPr>
          <w:rFonts w:cs="Segoe UI"/>
          <w:szCs w:val="22"/>
        </w:rPr>
        <w:t>nutrition</w:t>
      </w:r>
      <w:r w:rsidR="00BE5FBF" w:rsidRPr="003A46AE">
        <w:rPr>
          <w:rFonts w:cs="Segoe UI"/>
          <w:szCs w:val="22"/>
        </w:rPr>
        <w:t>,</w:t>
      </w:r>
      <w:r w:rsidRPr="003A46AE">
        <w:rPr>
          <w:rFonts w:cs="Segoe UI"/>
          <w:szCs w:val="22"/>
        </w:rPr>
        <w:t xml:space="preserve"> and dining experience</w:t>
      </w:r>
      <w:r w:rsidR="00375AED" w:rsidRPr="003A46AE">
        <w:rPr>
          <w:rFonts w:cs="Segoe UI"/>
          <w:szCs w:val="22"/>
        </w:rPr>
        <w:t>s</w:t>
      </w:r>
      <w:r w:rsidRPr="003A46AE">
        <w:rPr>
          <w:rFonts w:cs="Segoe UI"/>
          <w:szCs w:val="22"/>
        </w:rPr>
        <w:t xml:space="preserve"> </w:t>
      </w:r>
      <w:r w:rsidR="00375AED" w:rsidRPr="003A46AE">
        <w:rPr>
          <w:rFonts w:cs="Segoe UI"/>
          <w:szCs w:val="22"/>
        </w:rPr>
        <w:t xml:space="preserve">to residents </w:t>
      </w:r>
      <w:r w:rsidRPr="003A46AE">
        <w:rPr>
          <w:rFonts w:cs="Segoe UI"/>
          <w:szCs w:val="22"/>
        </w:rPr>
        <w:t>in residential aged care</w:t>
      </w:r>
      <w:r w:rsidR="00E634A7" w:rsidRPr="003A46AE">
        <w:rPr>
          <w:rFonts w:cs="Segoe UI"/>
          <w:szCs w:val="22"/>
        </w:rPr>
        <w:t>. Through the Food and Nutrition Reporting requirements</w:t>
      </w:r>
      <w:r w:rsidR="00375AED" w:rsidRPr="003A46AE">
        <w:rPr>
          <w:rFonts w:cs="Segoe UI"/>
          <w:szCs w:val="22"/>
        </w:rPr>
        <w:t>,</w:t>
      </w:r>
      <w:r w:rsidR="00E634A7" w:rsidRPr="003A46AE">
        <w:rPr>
          <w:rFonts w:cs="Segoe UI"/>
          <w:szCs w:val="22"/>
        </w:rPr>
        <w:t xml:space="preserve"> t</w:t>
      </w:r>
      <w:r w:rsidR="00AF4A15" w:rsidRPr="003A46AE">
        <w:rPr>
          <w:rFonts w:cs="Segoe UI"/>
          <w:szCs w:val="22"/>
        </w:rPr>
        <w:t xml:space="preserve">hese </w:t>
      </w:r>
      <w:r w:rsidR="008D5630" w:rsidRPr="003A46AE">
        <w:rPr>
          <w:rFonts w:cs="Segoe UI"/>
          <w:szCs w:val="22"/>
        </w:rPr>
        <w:t>services</w:t>
      </w:r>
      <w:r w:rsidR="00AF4A15" w:rsidRPr="003A46AE">
        <w:rPr>
          <w:rFonts w:cs="Segoe UI"/>
          <w:szCs w:val="22"/>
        </w:rPr>
        <w:t xml:space="preserve"> took the opportunity to highlight the inventive nature of their service</w:t>
      </w:r>
      <w:r w:rsidR="00375AED" w:rsidRPr="003A46AE">
        <w:rPr>
          <w:rFonts w:cs="Segoe UI"/>
          <w:szCs w:val="22"/>
        </w:rPr>
        <w:t>, displaying</w:t>
      </w:r>
      <w:r w:rsidR="00AF4A15" w:rsidRPr="003A46AE">
        <w:rPr>
          <w:rFonts w:cs="Segoe UI"/>
          <w:szCs w:val="22"/>
        </w:rPr>
        <w:t xml:space="preserve"> </w:t>
      </w:r>
      <w:r w:rsidR="001525AA" w:rsidRPr="003A46AE">
        <w:rPr>
          <w:rFonts w:cs="Segoe UI"/>
          <w:szCs w:val="22"/>
        </w:rPr>
        <w:t>their commitment to improving the nutritional outcomes of senior Australians.</w:t>
      </w:r>
      <w:r w:rsidR="00AF4A15" w:rsidRPr="003A46AE">
        <w:rPr>
          <w:rFonts w:cs="Segoe UI"/>
          <w:szCs w:val="22"/>
        </w:rPr>
        <w:t xml:space="preserve"> </w:t>
      </w:r>
    </w:p>
    <w:p w14:paraId="7102522C" w14:textId="0C5BB0FC" w:rsidR="00CF4176" w:rsidRPr="003A46AE" w:rsidRDefault="00CF4176" w:rsidP="00102B70">
      <w:pPr>
        <w:pStyle w:val="ListBullet"/>
        <w:keepLines w:val="0"/>
        <w:numPr>
          <w:ilvl w:val="0"/>
          <w:numId w:val="30"/>
        </w:numPr>
        <w:spacing w:before="240" w:after="180" w:line="240" w:lineRule="auto"/>
        <w:ind w:left="426" w:hanging="426"/>
        <w:rPr>
          <w:rFonts w:eastAsiaTheme="majorEastAsia" w:cs="Segoe UI"/>
          <w:szCs w:val="22"/>
          <w:lang w:val="en-GB"/>
        </w:rPr>
      </w:pPr>
      <w:r w:rsidRPr="003A46AE">
        <w:rPr>
          <w:rFonts w:cs="Segoe UI"/>
          <w:szCs w:val="22"/>
        </w:rPr>
        <w:t>Highlights include:</w:t>
      </w:r>
    </w:p>
    <w:p w14:paraId="4106FEA6" w14:textId="7C6F8F51" w:rsidR="00CF4176" w:rsidRPr="003A46AE" w:rsidRDefault="001525AA" w:rsidP="00102B70">
      <w:pPr>
        <w:pStyle w:val="ListBullet"/>
        <w:keepLines w:val="0"/>
        <w:numPr>
          <w:ilvl w:val="1"/>
          <w:numId w:val="30"/>
        </w:numPr>
        <w:spacing w:before="240" w:after="180" w:line="240" w:lineRule="auto"/>
        <w:ind w:left="851" w:hanging="284"/>
        <w:rPr>
          <w:rFonts w:eastAsiaTheme="majorEastAsia" w:cs="Segoe UI"/>
          <w:szCs w:val="22"/>
          <w:lang w:val="en-GB"/>
        </w:rPr>
      </w:pPr>
      <w:r w:rsidRPr="003A46AE">
        <w:rPr>
          <w:rFonts w:eastAsiaTheme="majorEastAsia" w:cs="Segoe UI"/>
          <w:b/>
          <w:bCs/>
          <w:szCs w:val="22"/>
          <w:lang w:val="en-GB"/>
        </w:rPr>
        <w:t>Kitchen Gardens</w:t>
      </w:r>
      <w:r w:rsidR="00AF4A15" w:rsidRPr="003A46AE">
        <w:rPr>
          <w:rFonts w:cs="Segoe UI"/>
          <w:szCs w:val="22"/>
        </w:rPr>
        <w:t xml:space="preserve"> – built in consultation with residents</w:t>
      </w:r>
      <w:r w:rsidR="00375AED" w:rsidRPr="003A46AE">
        <w:rPr>
          <w:rFonts w:cs="Segoe UI"/>
          <w:szCs w:val="22"/>
        </w:rPr>
        <w:t xml:space="preserve"> and aimed at</w:t>
      </w:r>
      <w:r w:rsidR="00AF4A15" w:rsidRPr="003A46AE">
        <w:rPr>
          <w:rFonts w:cs="Segoe UI"/>
          <w:szCs w:val="22"/>
        </w:rPr>
        <w:t xml:space="preserve"> engag</w:t>
      </w:r>
      <w:r w:rsidR="00375AED" w:rsidRPr="003A46AE">
        <w:rPr>
          <w:rFonts w:cs="Segoe UI"/>
          <w:szCs w:val="22"/>
        </w:rPr>
        <w:t>ing</w:t>
      </w:r>
      <w:r w:rsidR="00AF4A15" w:rsidRPr="003A46AE">
        <w:rPr>
          <w:rFonts w:cs="Segoe UI"/>
          <w:szCs w:val="22"/>
        </w:rPr>
        <w:t xml:space="preserve"> all </w:t>
      </w:r>
      <w:r w:rsidR="00F57888" w:rsidRPr="003A46AE">
        <w:rPr>
          <w:rFonts w:cs="Segoe UI"/>
          <w:szCs w:val="22"/>
        </w:rPr>
        <w:t>residents</w:t>
      </w:r>
      <w:r w:rsidR="00AF4A15" w:rsidRPr="003A46AE">
        <w:rPr>
          <w:rFonts w:cs="Segoe UI"/>
          <w:szCs w:val="22"/>
        </w:rPr>
        <w:t xml:space="preserve"> irrespective of their cognitive and physical abilities</w:t>
      </w:r>
      <w:r w:rsidR="00F57888" w:rsidRPr="003A46AE">
        <w:rPr>
          <w:rFonts w:cs="Segoe UI"/>
          <w:szCs w:val="22"/>
        </w:rPr>
        <w:t>,</w:t>
      </w:r>
      <w:r w:rsidR="007810E8" w:rsidRPr="003A46AE">
        <w:rPr>
          <w:rFonts w:cs="Segoe UI"/>
          <w:szCs w:val="22"/>
        </w:rPr>
        <w:t xml:space="preserve"> </w:t>
      </w:r>
      <w:r w:rsidR="00F57888" w:rsidRPr="003A46AE">
        <w:rPr>
          <w:rFonts w:cs="Segoe UI"/>
          <w:szCs w:val="22"/>
        </w:rPr>
        <w:t>the kitchen garden showcases</w:t>
      </w:r>
      <w:r w:rsidR="007810E8" w:rsidRPr="003A46AE">
        <w:rPr>
          <w:rFonts w:cs="Segoe UI"/>
          <w:szCs w:val="22"/>
        </w:rPr>
        <w:t xml:space="preserve"> the process of</w:t>
      </w:r>
      <w:r w:rsidR="00AF4A15" w:rsidRPr="003A46AE">
        <w:rPr>
          <w:rFonts w:cs="Segoe UI"/>
          <w:szCs w:val="22"/>
        </w:rPr>
        <w:t xml:space="preserve"> </w:t>
      </w:r>
      <w:r w:rsidRPr="003A46AE">
        <w:rPr>
          <w:rFonts w:cs="Segoe UI"/>
          <w:szCs w:val="22"/>
        </w:rPr>
        <w:t>grow</w:t>
      </w:r>
      <w:r w:rsidR="007810E8" w:rsidRPr="003A46AE">
        <w:rPr>
          <w:rFonts w:cs="Segoe UI"/>
          <w:szCs w:val="22"/>
        </w:rPr>
        <w:t>ing</w:t>
      </w:r>
      <w:r w:rsidR="00AF4A15" w:rsidRPr="003A46AE">
        <w:rPr>
          <w:rFonts w:cs="Segoe UI"/>
          <w:szCs w:val="22"/>
        </w:rPr>
        <w:t>, harvest</w:t>
      </w:r>
      <w:r w:rsidR="007810E8" w:rsidRPr="003A46AE">
        <w:rPr>
          <w:rFonts w:cs="Segoe UI"/>
          <w:szCs w:val="22"/>
        </w:rPr>
        <w:t>ing</w:t>
      </w:r>
      <w:r w:rsidR="00BE5FBF" w:rsidRPr="003A46AE">
        <w:rPr>
          <w:rFonts w:cs="Segoe UI"/>
          <w:szCs w:val="22"/>
        </w:rPr>
        <w:t>,</w:t>
      </w:r>
      <w:r w:rsidRPr="003A46AE">
        <w:rPr>
          <w:rFonts w:cs="Segoe UI"/>
          <w:szCs w:val="22"/>
        </w:rPr>
        <w:t xml:space="preserve"> </w:t>
      </w:r>
      <w:r w:rsidR="00AF4A15" w:rsidRPr="003A46AE">
        <w:rPr>
          <w:rFonts w:cs="Segoe UI"/>
          <w:szCs w:val="22"/>
        </w:rPr>
        <w:t>and prepar</w:t>
      </w:r>
      <w:r w:rsidR="007810E8" w:rsidRPr="003A46AE">
        <w:rPr>
          <w:rFonts w:cs="Segoe UI"/>
          <w:szCs w:val="22"/>
        </w:rPr>
        <w:t>ing</w:t>
      </w:r>
      <w:r w:rsidR="00AF4A15" w:rsidRPr="003A46AE">
        <w:rPr>
          <w:rFonts w:cs="Segoe UI"/>
          <w:szCs w:val="22"/>
        </w:rPr>
        <w:t xml:space="preserve"> fresh produce </w:t>
      </w:r>
      <w:r w:rsidR="00F57888" w:rsidRPr="003A46AE">
        <w:rPr>
          <w:rFonts w:cs="Segoe UI"/>
          <w:szCs w:val="22"/>
        </w:rPr>
        <w:t>for use in</w:t>
      </w:r>
      <w:r w:rsidR="00AF4A15" w:rsidRPr="003A46AE">
        <w:rPr>
          <w:rFonts w:cs="Segoe UI"/>
          <w:szCs w:val="22"/>
        </w:rPr>
        <w:t xml:space="preserve"> on-site kitchen</w:t>
      </w:r>
      <w:r w:rsidR="00F57888" w:rsidRPr="003A46AE">
        <w:rPr>
          <w:rFonts w:cs="Segoe UI"/>
          <w:szCs w:val="22"/>
        </w:rPr>
        <w:t>s</w:t>
      </w:r>
      <w:r w:rsidRPr="003A46AE">
        <w:rPr>
          <w:rFonts w:cs="Segoe UI"/>
          <w:szCs w:val="22"/>
        </w:rPr>
        <w:t xml:space="preserve"> for </w:t>
      </w:r>
      <w:r w:rsidR="00F57888" w:rsidRPr="003A46AE">
        <w:rPr>
          <w:rFonts w:cs="Segoe UI"/>
          <w:szCs w:val="22"/>
        </w:rPr>
        <w:t xml:space="preserve">all </w:t>
      </w:r>
      <w:r w:rsidRPr="003A46AE">
        <w:rPr>
          <w:rFonts w:cs="Segoe UI"/>
          <w:szCs w:val="22"/>
        </w:rPr>
        <w:t>to enjoy.</w:t>
      </w:r>
    </w:p>
    <w:p w14:paraId="597C8E05" w14:textId="5CE45D7B" w:rsidR="00CF4176" w:rsidRPr="003A46AE" w:rsidRDefault="00502434" w:rsidP="00102B70">
      <w:pPr>
        <w:pStyle w:val="ListBullet"/>
        <w:keepLines w:val="0"/>
        <w:numPr>
          <w:ilvl w:val="1"/>
          <w:numId w:val="30"/>
        </w:numPr>
        <w:spacing w:before="240" w:after="180" w:line="240" w:lineRule="auto"/>
        <w:ind w:left="851" w:hanging="284"/>
        <w:rPr>
          <w:rFonts w:eastAsiaTheme="majorEastAsia" w:cs="Segoe UI"/>
          <w:szCs w:val="22"/>
          <w:lang w:val="en-GB"/>
        </w:rPr>
      </w:pPr>
      <w:r w:rsidRPr="003A46AE">
        <w:rPr>
          <w:rFonts w:eastAsiaTheme="majorEastAsia" w:cs="Segoe UI"/>
          <w:b/>
          <w:bCs/>
          <w:szCs w:val="22"/>
          <w:lang w:val="en-GB"/>
        </w:rPr>
        <w:t>Supporting senior Australians with dementia</w:t>
      </w:r>
      <w:r w:rsidR="00B16CF1" w:rsidRPr="003A46AE">
        <w:rPr>
          <w:rFonts w:cs="Segoe UI"/>
          <w:szCs w:val="22"/>
        </w:rPr>
        <w:t xml:space="preserve"> </w:t>
      </w:r>
      <w:r w:rsidRPr="003A46AE">
        <w:rPr>
          <w:rFonts w:cs="Segoe UI"/>
          <w:szCs w:val="22"/>
        </w:rPr>
        <w:t>by using:</w:t>
      </w:r>
    </w:p>
    <w:p w14:paraId="235B7A0A" w14:textId="77777777" w:rsidR="00CF4176" w:rsidRPr="003A46AE" w:rsidRDefault="00502434" w:rsidP="00102B70">
      <w:pPr>
        <w:pStyle w:val="ListBullet"/>
        <w:keepLines w:val="0"/>
        <w:numPr>
          <w:ilvl w:val="2"/>
          <w:numId w:val="30"/>
        </w:numPr>
        <w:spacing w:before="240" w:after="180" w:line="240" w:lineRule="auto"/>
        <w:ind w:left="1134" w:hanging="283"/>
        <w:rPr>
          <w:rFonts w:eastAsiaTheme="majorEastAsia" w:cs="Segoe UI"/>
          <w:szCs w:val="22"/>
          <w:lang w:val="en-GB"/>
        </w:rPr>
      </w:pPr>
      <w:r w:rsidRPr="003A46AE">
        <w:rPr>
          <w:rFonts w:cs="Segoe UI"/>
          <w:b/>
          <w:bCs/>
          <w:szCs w:val="22"/>
        </w:rPr>
        <w:t>red crockery and contrasting placements</w:t>
      </w:r>
      <w:r w:rsidRPr="003A46AE">
        <w:rPr>
          <w:rFonts w:cs="Segoe UI"/>
          <w:szCs w:val="22"/>
        </w:rPr>
        <w:t xml:space="preserve"> allowing diners to easily identify items for use</w:t>
      </w:r>
    </w:p>
    <w:p w14:paraId="1020EF4A" w14:textId="681B9261" w:rsidR="00CF4176" w:rsidRPr="003A46AE" w:rsidRDefault="00502434" w:rsidP="00102B70">
      <w:pPr>
        <w:pStyle w:val="ListBullet"/>
        <w:keepLines w:val="0"/>
        <w:numPr>
          <w:ilvl w:val="2"/>
          <w:numId w:val="30"/>
        </w:numPr>
        <w:spacing w:before="240" w:after="180" w:line="240" w:lineRule="auto"/>
        <w:ind w:left="1134" w:hanging="283"/>
        <w:rPr>
          <w:rFonts w:eastAsiaTheme="majorEastAsia" w:cs="Segoe UI"/>
          <w:szCs w:val="22"/>
          <w:lang w:val="en-GB"/>
        </w:rPr>
      </w:pPr>
      <w:r w:rsidRPr="003A46AE">
        <w:rPr>
          <w:rFonts w:cs="Segoe UI"/>
          <w:b/>
          <w:bCs/>
          <w:szCs w:val="22"/>
        </w:rPr>
        <w:t>meal cards with images</w:t>
      </w:r>
      <w:r w:rsidRPr="003A46AE">
        <w:rPr>
          <w:rFonts w:cs="Segoe UI"/>
          <w:szCs w:val="22"/>
        </w:rPr>
        <w:t xml:space="preserve"> for resident to independently select their </w:t>
      </w:r>
      <w:r w:rsidR="00F57888" w:rsidRPr="003A46AE">
        <w:rPr>
          <w:rFonts w:cs="Segoe UI"/>
          <w:szCs w:val="22"/>
        </w:rPr>
        <w:t xml:space="preserve">meal </w:t>
      </w:r>
      <w:r w:rsidRPr="003A46AE">
        <w:rPr>
          <w:rFonts w:cs="Segoe UI"/>
          <w:szCs w:val="22"/>
        </w:rPr>
        <w:t>choice and</w:t>
      </w:r>
    </w:p>
    <w:p w14:paraId="16740265" w14:textId="078839E0" w:rsidR="00961D13" w:rsidRPr="003A46AE" w:rsidRDefault="00502434" w:rsidP="00102B70">
      <w:pPr>
        <w:pStyle w:val="ListBullet"/>
        <w:keepLines w:val="0"/>
        <w:numPr>
          <w:ilvl w:val="2"/>
          <w:numId w:val="30"/>
        </w:numPr>
        <w:spacing w:before="240" w:after="180" w:line="240" w:lineRule="auto"/>
        <w:ind w:left="1134" w:hanging="283"/>
        <w:rPr>
          <w:rFonts w:eastAsiaTheme="majorEastAsia" w:cs="Segoe UI"/>
          <w:szCs w:val="22"/>
          <w:lang w:val="en-GB"/>
        </w:rPr>
      </w:pPr>
      <w:r w:rsidRPr="003A46AE">
        <w:rPr>
          <w:rFonts w:cs="Segoe UI"/>
          <w:szCs w:val="22"/>
        </w:rPr>
        <w:t xml:space="preserve">the introduction of a </w:t>
      </w:r>
      <w:r w:rsidR="001525AA" w:rsidRPr="003A46AE">
        <w:rPr>
          <w:rFonts w:cs="Segoe UI"/>
          <w:b/>
          <w:bCs/>
          <w:szCs w:val="22"/>
        </w:rPr>
        <w:t>“</w:t>
      </w:r>
      <w:proofErr w:type="spellStart"/>
      <w:r w:rsidR="001525AA" w:rsidRPr="003A46AE">
        <w:rPr>
          <w:rFonts w:cs="Segoe UI"/>
          <w:b/>
          <w:bCs/>
          <w:szCs w:val="22"/>
        </w:rPr>
        <w:t>Wanderfull</w:t>
      </w:r>
      <w:proofErr w:type="spellEnd"/>
      <w:r w:rsidR="001525AA" w:rsidRPr="003A46AE">
        <w:rPr>
          <w:rFonts w:cs="Segoe UI"/>
          <w:b/>
          <w:bCs/>
          <w:szCs w:val="22"/>
        </w:rPr>
        <w:t xml:space="preserve"> Menu”</w:t>
      </w:r>
      <w:r w:rsidR="001525AA" w:rsidRPr="003A46AE">
        <w:rPr>
          <w:rFonts w:cs="Segoe UI"/>
          <w:szCs w:val="22"/>
        </w:rPr>
        <w:t xml:space="preserve"> to</w:t>
      </w:r>
      <w:r w:rsidRPr="003A46AE">
        <w:rPr>
          <w:rFonts w:cs="Segoe UI"/>
          <w:szCs w:val="22"/>
        </w:rPr>
        <w:t xml:space="preserve"> provide</w:t>
      </w:r>
      <w:r w:rsidR="001525AA" w:rsidRPr="003A46AE">
        <w:rPr>
          <w:rFonts w:cs="Segoe UI"/>
          <w:szCs w:val="22"/>
        </w:rPr>
        <w:t xml:space="preserve"> </w:t>
      </w:r>
      <w:r w:rsidRPr="003A46AE">
        <w:rPr>
          <w:rFonts w:cs="Segoe UI"/>
          <w:szCs w:val="22"/>
        </w:rPr>
        <w:t xml:space="preserve">calorie and protein rich finger foods "on the run" </w:t>
      </w:r>
      <w:r w:rsidR="001525AA" w:rsidRPr="003A46AE">
        <w:rPr>
          <w:rFonts w:cs="Segoe UI"/>
          <w:szCs w:val="22"/>
        </w:rPr>
        <w:t>to further support residents who are known to pace the corridor and who present challenges with eating meals at designated mealtimes.</w:t>
      </w:r>
    </w:p>
    <w:p w14:paraId="02663212" w14:textId="5C5BEF34" w:rsidR="00CF4176" w:rsidRPr="003A46AE" w:rsidRDefault="00B16CF1" w:rsidP="00EC5C63">
      <w:pPr>
        <w:pStyle w:val="ListParagraph"/>
        <w:keepLines w:val="0"/>
        <w:numPr>
          <w:ilvl w:val="1"/>
          <w:numId w:val="30"/>
        </w:numPr>
        <w:spacing w:before="240" w:after="180" w:line="240" w:lineRule="auto"/>
        <w:ind w:left="992" w:hanging="425"/>
        <w:contextualSpacing w:val="0"/>
        <w:rPr>
          <w:rFonts w:cs="Segoe UI"/>
          <w:szCs w:val="22"/>
        </w:rPr>
      </w:pPr>
      <w:r w:rsidRPr="003A46AE">
        <w:rPr>
          <w:rFonts w:eastAsiaTheme="majorEastAsia" w:cs="Segoe UI"/>
          <w:b/>
          <w:bCs/>
          <w:szCs w:val="22"/>
          <w:lang w:val="en-GB"/>
        </w:rPr>
        <w:t>I</w:t>
      </w:r>
      <w:r w:rsidR="00502434" w:rsidRPr="003A46AE">
        <w:rPr>
          <w:rFonts w:eastAsiaTheme="majorEastAsia" w:cs="Segoe UI"/>
          <w:b/>
          <w:bCs/>
          <w:szCs w:val="22"/>
          <w:lang w:val="en-GB"/>
        </w:rPr>
        <w:t>mprov</w:t>
      </w:r>
      <w:r w:rsidRPr="003A46AE">
        <w:rPr>
          <w:rFonts w:eastAsiaTheme="majorEastAsia" w:cs="Segoe UI"/>
          <w:b/>
          <w:bCs/>
          <w:szCs w:val="22"/>
          <w:lang w:val="en-GB"/>
        </w:rPr>
        <w:t>ing</w:t>
      </w:r>
      <w:r w:rsidR="00502434" w:rsidRPr="003A46AE">
        <w:rPr>
          <w:rFonts w:eastAsiaTheme="majorEastAsia" w:cs="Segoe UI"/>
          <w:b/>
          <w:bCs/>
          <w:szCs w:val="22"/>
          <w:lang w:val="en-GB"/>
        </w:rPr>
        <w:t xml:space="preserve"> consumer engagement</w:t>
      </w:r>
      <w:r w:rsidR="00502434" w:rsidRPr="003A46AE">
        <w:rPr>
          <w:rFonts w:cs="Segoe UI"/>
          <w:szCs w:val="22"/>
        </w:rPr>
        <w:t xml:space="preserve"> </w:t>
      </w:r>
      <w:r w:rsidRPr="003A46AE">
        <w:rPr>
          <w:rFonts w:cs="Segoe UI"/>
          <w:szCs w:val="22"/>
        </w:rPr>
        <w:t xml:space="preserve">– with technology </w:t>
      </w:r>
      <w:r w:rsidR="00502434" w:rsidRPr="003A46AE">
        <w:rPr>
          <w:rFonts w:cs="Segoe UI"/>
          <w:szCs w:val="22"/>
        </w:rPr>
        <w:t xml:space="preserve">by assisting </w:t>
      </w:r>
      <w:r w:rsidR="00CF4176" w:rsidRPr="003A46AE">
        <w:rPr>
          <w:rFonts w:cs="Segoe UI"/>
          <w:szCs w:val="22"/>
        </w:rPr>
        <w:t>s</w:t>
      </w:r>
      <w:r w:rsidR="00967BBB" w:rsidRPr="003A46AE">
        <w:rPr>
          <w:rFonts w:cs="Segoe UI"/>
          <w:szCs w:val="22"/>
        </w:rPr>
        <w:t xml:space="preserve">enior </w:t>
      </w:r>
      <w:r w:rsidR="00502434" w:rsidRPr="003A46AE">
        <w:rPr>
          <w:rFonts w:cs="Segoe UI"/>
          <w:szCs w:val="22"/>
        </w:rPr>
        <w:t>Australians to select their daily meal choices and size using tablets</w:t>
      </w:r>
      <w:r w:rsidR="00F57888" w:rsidRPr="003A46AE">
        <w:rPr>
          <w:rFonts w:cs="Segoe UI"/>
          <w:szCs w:val="22"/>
        </w:rPr>
        <w:t xml:space="preserve"> closer to meal delivery</w:t>
      </w:r>
      <w:r w:rsidR="00502434" w:rsidRPr="003A46AE">
        <w:rPr>
          <w:rFonts w:cs="Segoe UI"/>
          <w:szCs w:val="22"/>
        </w:rPr>
        <w:t>.</w:t>
      </w:r>
    </w:p>
    <w:p w14:paraId="0A392F3E" w14:textId="77777777" w:rsidR="00CF4176" w:rsidRPr="003A46AE" w:rsidRDefault="007810E8" w:rsidP="00EC5C63">
      <w:pPr>
        <w:pStyle w:val="ListParagraph"/>
        <w:keepLines w:val="0"/>
        <w:numPr>
          <w:ilvl w:val="1"/>
          <w:numId w:val="30"/>
        </w:numPr>
        <w:spacing w:before="240" w:after="180" w:line="240" w:lineRule="auto"/>
        <w:ind w:left="992" w:hanging="425"/>
        <w:contextualSpacing w:val="0"/>
        <w:rPr>
          <w:rFonts w:cs="Segoe UI"/>
          <w:szCs w:val="22"/>
        </w:rPr>
      </w:pPr>
      <w:r w:rsidRPr="003A46AE">
        <w:rPr>
          <w:rFonts w:eastAsiaTheme="majorEastAsia" w:cs="Segoe UI"/>
          <w:b/>
          <w:bCs/>
          <w:szCs w:val="22"/>
          <w:lang w:val="en-GB"/>
        </w:rPr>
        <w:t>Taste testing</w:t>
      </w:r>
      <w:r w:rsidRPr="003A46AE">
        <w:rPr>
          <w:rFonts w:cs="Segoe UI"/>
          <w:szCs w:val="22"/>
        </w:rPr>
        <w:t xml:space="preserve"> – before each new menu is released, residents </w:t>
      </w:r>
      <w:r w:rsidR="000E079C" w:rsidRPr="003A46AE">
        <w:rPr>
          <w:rFonts w:cs="Segoe UI"/>
          <w:szCs w:val="22"/>
        </w:rPr>
        <w:t xml:space="preserve">can </w:t>
      </w:r>
      <w:r w:rsidRPr="003A46AE">
        <w:rPr>
          <w:rFonts w:cs="Segoe UI"/>
          <w:szCs w:val="22"/>
        </w:rPr>
        <w:t>participate in</w:t>
      </w:r>
      <w:r w:rsidR="000E079C" w:rsidRPr="003A46AE">
        <w:rPr>
          <w:rFonts w:cs="Segoe UI"/>
          <w:szCs w:val="22"/>
        </w:rPr>
        <w:t xml:space="preserve"> a</w:t>
      </w:r>
      <w:r w:rsidRPr="003A46AE">
        <w:rPr>
          <w:rFonts w:cs="Segoe UI"/>
          <w:szCs w:val="22"/>
        </w:rPr>
        <w:t xml:space="preserve"> </w:t>
      </w:r>
      <w:r w:rsidRPr="003A46AE">
        <w:rPr>
          <w:rFonts w:cs="Segoe UI"/>
          <w:b/>
          <w:bCs/>
          <w:szCs w:val="22"/>
        </w:rPr>
        <w:t xml:space="preserve">"Chefs Table" </w:t>
      </w:r>
      <w:r w:rsidRPr="003A46AE">
        <w:rPr>
          <w:rFonts w:cs="Segoe UI"/>
          <w:szCs w:val="22"/>
        </w:rPr>
        <w:t>where menu items are prepared and taste-tested for approval by residents before inclusion in the menu.</w:t>
      </w:r>
    </w:p>
    <w:p w14:paraId="5AB3DF43" w14:textId="7C44D365" w:rsidR="000F120C" w:rsidRPr="003A46AE" w:rsidRDefault="007810E8" w:rsidP="00EC5C63">
      <w:pPr>
        <w:pStyle w:val="ListParagraph"/>
        <w:keepLines w:val="0"/>
        <w:numPr>
          <w:ilvl w:val="1"/>
          <w:numId w:val="30"/>
        </w:numPr>
        <w:spacing w:before="240" w:after="180" w:line="240" w:lineRule="auto"/>
        <w:ind w:left="992" w:hanging="425"/>
        <w:contextualSpacing w:val="0"/>
        <w:rPr>
          <w:rFonts w:cs="Segoe UI"/>
          <w:szCs w:val="22"/>
        </w:rPr>
      </w:pPr>
      <w:r w:rsidRPr="003A46AE">
        <w:rPr>
          <w:rFonts w:eastAsiaTheme="majorEastAsia" w:cs="Segoe UI"/>
          <w:b/>
          <w:bCs/>
          <w:szCs w:val="22"/>
          <w:lang w:val="en-GB"/>
        </w:rPr>
        <w:t>“Community Street Project”</w:t>
      </w:r>
      <w:r w:rsidRPr="003A46AE">
        <w:rPr>
          <w:rFonts w:cs="Segoe UI"/>
          <w:szCs w:val="22"/>
        </w:rPr>
        <w:t xml:space="preserve"> – an immersive experience where residents experience the replication of a street scape with pop up shops and cafés.</w:t>
      </w:r>
    </w:p>
    <w:p w14:paraId="2C707461" w14:textId="3A18FDBF" w:rsidR="00905CAE" w:rsidRPr="003A46AE" w:rsidRDefault="00F61326" w:rsidP="00102B70">
      <w:pPr>
        <w:pStyle w:val="ListParagraph"/>
        <w:keepLines w:val="0"/>
        <w:numPr>
          <w:ilvl w:val="0"/>
          <w:numId w:val="23"/>
        </w:numPr>
        <w:spacing w:before="0" w:line="240" w:lineRule="auto"/>
        <w:ind w:left="426" w:hanging="426"/>
        <w:rPr>
          <w:rFonts w:eastAsiaTheme="majorEastAsia" w:cs="Segoe UI"/>
          <w:b/>
          <w:bCs/>
          <w:sz w:val="24"/>
          <w:u w:val="single"/>
          <w:lang w:val="en-GB"/>
        </w:rPr>
      </w:pPr>
      <w:r w:rsidRPr="003A46AE">
        <w:rPr>
          <w:rFonts w:eastAsiaTheme="majorEastAsia" w:cs="Segoe UI"/>
          <w:b/>
          <w:bCs/>
          <w:sz w:val="24"/>
          <w:u w:val="single"/>
          <w:lang w:val="en-GB"/>
        </w:rPr>
        <w:t>Next S</w:t>
      </w:r>
      <w:r w:rsidR="009778E5" w:rsidRPr="003A46AE">
        <w:rPr>
          <w:rFonts w:eastAsiaTheme="majorEastAsia" w:cs="Segoe UI"/>
          <w:b/>
          <w:bCs/>
          <w:sz w:val="24"/>
          <w:u w:val="single"/>
          <w:lang w:val="en-GB"/>
        </w:rPr>
        <w:t>teps</w:t>
      </w:r>
    </w:p>
    <w:p w14:paraId="128189F7" w14:textId="7DDCF4B1" w:rsidR="00E44072" w:rsidRPr="003A46AE" w:rsidRDefault="00E44072" w:rsidP="00EB2420">
      <w:pPr>
        <w:keepLines w:val="0"/>
        <w:shd w:val="clear" w:color="auto" w:fill="FFFFFF"/>
        <w:spacing w:before="100" w:beforeAutospacing="1" w:after="100" w:afterAutospacing="1" w:line="240" w:lineRule="auto"/>
      </w:pPr>
      <w:r w:rsidRPr="003A46AE">
        <w:t>In addition to publishing this data</w:t>
      </w:r>
      <w:r w:rsidR="00AE6C22">
        <w:t>,</w:t>
      </w:r>
      <w:r w:rsidRPr="003A46AE">
        <w:t xml:space="preserve"> the </w:t>
      </w:r>
      <w:r w:rsidR="00E634A7" w:rsidRPr="003A46AE">
        <w:t>D</w:t>
      </w:r>
      <w:r w:rsidRPr="003A46AE">
        <w:t xml:space="preserve">epartment has provided </w:t>
      </w:r>
      <w:r w:rsidR="00AE6C22">
        <w:t xml:space="preserve">service level </w:t>
      </w:r>
      <w:r w:rsidRPr="003A46AE">
        <w:t>data to the</w:t>
      </w:r>
      <w:r w:rsidR="004F045E" w:rsidRPr="003A46AE">
        <w:t xml:space="preserve"> </w:t>
      </w:r>
      <w:r w:rsidRPr="003A46AE">
        <w:t>Commission to consider as part of its broader regulatory intelligence used to inform its ongoing</w:t>
      </w:r>
      <w:r w:rsidR="003E5224" w:rsidRPr="003A46AE">
        <w:t xml:space="preserve"> sector </w:t>
      </w:r>
      <w:r w:rsidRPr="003A46AE">
        <w:t xml:space="preserve">monitoring. </w:t>
      </w:r>
      <w:r w:rsidR="00E634A7" w:rsidRPr="003A46AE">
        <w:t>This includes</w:t>
      </w:r>
      <w:r w:rsidR="00AD77AF" w:rsidRPr="003A46AE">
        <w:t xml:space="preserve"> providing </w:t>
      </w:r>
      <w:r w:rsidR="0048434A" w:rsidRPr="003A46AE">
        <w:t xml:space="preserve">data </w:t>
      </w:r>
      <w:r w:rsidR="00AD77AF" w:rsidRPr="003A46AE">
        <w:t xml:space="preserve">for matching </w:t>
      </w:r>
      <w:r w:rsidR="0048434A" w:rsidRPr="003A46AE">
        <w:t xml:space="preserve">the </w:t>
      </w:r>
      <w:r w:rsidR="008D5630" w:rsidRPr="003A46AE">
        <w:t>services</w:t>
      </w:r>
      <w:r w:rsidR="00E634A7" w:rsidRPr="003A46AE">
        <w:t xml:space="preserve"> reporting expenditure</w:t>
      </w:r>
      <w:r w:rsidR="00BE5FBF" w:rsidRPr="003A46AE">
        <w:t xml:space="preserve"> of</w:t>
      </w:r>
      <w:r w:rsidR="00E634A7" w:rsidRPr="003A46AE">
        <w:t xml:space="preserve"> $</w:t>
      </w:r>
      <w:r w:rsidR="00BE5FBF" w:rsidRPr="003A46AE">
        <w:t>10</w:t>
      </w:r>
      <w:r w:rsidR="00E634A7" w:rsidRPr="003A46AE">
        <w:t xml:space="preserve"> or less against complaints received relating to food and nutrition</w:t>
      </w:r>
      <w:r w:rsidR="00404378">
        <w:t>,</w:t>
      </w:r>
      <w:r w:rsidR="00E634A7" w:rsidRPr="003A46AE">
        <w:t xml:space="preserve"> </w:t>
      </w:r>
      <w:r w:rsidR="00AE6C22">
        <w:t xml:space="preserve">and assessment against the aged care standards </w:t>
      </w:r>
      <w:r w:rsidR="00E634A7" w:rsidRPr="003A46AE">
        <w:t>at specific residential aged care services.</w:t>
      </w:r>
    </w:p>
    <w:p w14:paraId="233BB261" w14:textId="77777777" w:rsidR="00AE6C22" w:rsidRDefault="00AE6C22">
      <w:pPr>
        <w:keepLines w:val="0"/>
        <w:spacing w:before="0" w:line="240" w:lineRule="auto"/>
        <w:rPr>
          <w:rFonts w:cs="Segoe UI"/>
          <w:szCs w:val="22"/>
        </w:rPr>
      </w:pPr>
      <w:r>
        <w:rPr>
          <w:rFonts w:cs="Segoe UI"/>
          <w:szCs w:val="22"/>
        </w:rPr>
        <w:br w:type="page"/>
      </w:r>
    </w:p>
    <w:p w14:paraId="50C93DD4" w14:textId="3D77426A" w:rsidR="00E44072" w:rsidRPr="003A46AE" w:rsidRDefault="00502434" w:rsidP="00EB2420">
      <w:pPr>
        <w:keepLines w:val="0"/>
        <w:shd w:val="clear" w:color="auto" w:fill="FFFFFF"/>
        <w:spacing w:before="100" w:beforeAutospacing="1" w:after="100" w:afterAutospacing="1" w:line="240" w:lineRule="auto"/>
        <w:rPr>
          <w:rFonts w:cs="Segoe UI"/>
          <w:szCs w:val="22"/>
        </w:rPr>
      </w:pPr>
      <w:r w:rsidRPr="003A46AE">
        <w:rPr>
          <w:rFonts w:cs="Segoe UI"/>
          <w:szCs w:val="22"/>
        </w:rPr>
        <w:lastRenderedPageBreak/>
        <w:t xml:space="preserve">The </w:t>
      </w:r>
      <w:r w:rsidR="00E634A7" w:rsidRPr="003A46AE">
        <w:rPr>
          <w:rFonts w:cs="Segoe UI"/>
          <w:szCs w:val="22"/>
        </w:rPr>
        <w:t>D</w:t>
      </w:r>
      <w:r w:rsidRPr="003A46AE">
        <w:rPr>
          <w:rFonts w:cs="Segoe UI"/>
          <w:szCs w:val="22"/>
        </w:rPr>
        <w:t xml:space="preserve">epartment will </w:t>
      </w:r>
      <w:r w:rsidR="00E44072" w:rsidRPr="003A46AE">
        <w:rPr>
          <w:rFonts w:cs="Segoe UI"/>
          <w:szCs w:val="22"/>
        </w:rPr>
        <w:t>continue to</w:t>
      </w:r>
      <w:r w:rsidRPr="003A46AE">
        <w:rPr>
          <w:rFonts w:cs="Segoe UI"/>
          <w:szCs w:val="22"/>
        </w:rPr>
        <w:t xml:space="preserve"> analyse this data against other data sources </w:t>
      </w:r>
      <w:r w:rsidR="00CE6EBB" w:rsidRPr="003A46AE">
        <w:rPr>
          <w:rFonts w:cs="Segoe UI"/>
          <w:szCs w:val="22"/>
        </w:rPr>
        <w:t>as these become available. This includes</w:t>
      </w:r>
      <w:r w:rsidRPr="003A46AE">
        <w:rPr>
          <w:rFonts w:cs="Segoe UI"/>
          <w:szCs w:val="22"/>
        </w:rPr>
        <w:t xml:space="preserve"> t</w:t>
      </w:r>
      <w:r w:rsidR="009778E5" w:rsidRPr="003A46AE">
        <w:rPr>
          <w:rFonts w:cs="Segoe UI"/>
          <w:szCs w:val="22"/>
        </w:rPr>
        <w:t xml:space="preserve">he </w:t>
      </w:r>
      <w:hyperlink r:id="rId13" w:history="1">
        <w:r w:rsidR="009778E5" w:rsidRPr="003A46AE">
          <w:rPr>
            <w:rStyle w:val="Hyperlink"/>
            <w:rFonts w:cs="Segoe UI"/>
            <w:szCs w:val="22"/>
          </w:rPr>
          <w:t>National Aged Care Mandatory Quality Indicator Program (QI Program)</w:t>
        </w:r>
      </w:hyperlink>
      <w:r w:rsidR="009778E5" w:rsidRPr="003A46AE">
        <w:rPr>
          <w:rFonts w:cs="Segoe UI"/>
          <w:szCs w:val="22"/>
        </w:rPr>
        <w:t xml:space="preserve"> </w:t>
      </w:r>
      <w:r w:rsidR="00905CAE" w:rsidRPr="003A46AE">
        <w:rPr>
          <w:rFonts w:cs="Segoe UI"/>
          <w:szCs w:val="22"/>
        </w:rPr>
        <w:t xml:space="preserve">which </w:t>
      </w:r>
      <w:r w:rsidR="009778E5" w:rsidRPr="003A46AE">
        <w:rPr>
          <w:rFonts w:cs="Segoe UI"/>
          <w:szCs w:val="22"/>
        </w:rPr>
        <w:t>requires residential aged care providers to collect quarterly data on crucial areas of care</w:t>
      </w:r>
      <w:r w:rsidRPr="003A46AE">
        <w:rPr>
          <w:rFonts w:cs="Segoe UI"/>
          <w:szCs w:val="22"/>
        </w:rPr>
        <w:t xml:space="preserve"> where food and nutrition can also have a direct impact. This includes</w:t>
      </w:r>
      <w:r w:rsidR="009778E5" w:rsidRPr="003A46AE">
        <w:rPr>
          <w:rFonts w:cs="Segoe UI"/>
          <w:szCs w:val="22"/>
        </w:rPr>
        <w:t xml:space="preserve"> unplanned weight loss, consecutive unplanned weight loss, falls and major injury and pressure injur</w:t>
      </w:r>
      <w:r w:rsidRPr="003A46AE">
        <w:rPr>
          <w:rFonts w:cs="Segoe UI"/>
          <w:szCs w:val="22"/>
        </w:rPr>
        <w:t>y quality indicators</w:t>
      </w:r>
      <w:r w:rsidR="009778E5" w:rsidRPr="003A46AE">
        <w:rPr>
          <w:rFonts w:cs="Segoe UI"/>
          <w:szCs w:val="22"/>
        </w:rPr>
        <w:t>.</w:t>
      </w:r>
    </w:p>
    <w:p w14:paraId="1B1502ED" w14:textId="18E75719" w:rsidR="00E44072" w:rsidRPr="003A46AE" w:rsidRDefault="00E634A7" w:rsidP="00EB2420">
      <w:pPr>
        <w:keepLines w:val="0"/>
        <w:shd w:val="clear" w:color="auto" w:fill="FFFFFF"/>
        <w:spacing w:before="100" w:beforeAutospacing="1" w:after="100" w:afterAutospacing="1" w:line="240" w:lineRule="auto"/>
      </w:pPr>
      <w:r w:rsidRPr="003A46AE">
        <w:t>Th</w:t>
      </w:r>
      <w:r w:rsidR="00CE6EBB" w:rsidRPr="003A46AE">
        <w:t>ese data sources will also include</w:t>
      </w:r>
      <w:r w:rsidRPr="003A46AE">
        <w:t xml:space="preserve"> </w:t>
      </w:r>
      <w:r w:rsidR="00CE6EBB" w:rsidRPr="003A46AE">
        <w:t>the</w:t>
      </w:r>
      <w:r w:rsidR="000E079C" w:rsidRPr="003A46AE">
        <w:t xml:space="preserve"> </w:t>
      </w:r>
      <w:r w:rsidRPr="003A46AE">
        <w:t xml:space="preserve">consumer experience </w:t>
      </w:r>
      <w:r w:rsidR="000E079C" w:rsidRPr="003A46AE">
        <w:t xml:space="preserve">data </w:t>
      </w:r>
      <w:r w:rsidRPr="003A46AE">
        <w:t>when it becomes available through C</w:t>
      </w:r>
      <w:r w:rsidR="000E079C" w:rsidRPr="003A46AE">
        <w:t xml:space="preserve">onsumer </w:t>
      </w:r>
      <w:r w:rsidRPr="003A46AE">
        <w:t>E</w:t>
      </w:r>
      <w:r w:rsidR="000E079C" w:rsidRPr="003A46AE">
        <w:t xml:space="preserve">xperience </w:t>
      </w:r>
      <w:r w:rsidRPr="003A46AE">
        <w:t>I</w:t>
      </w:r>
      <w:r w:rsidR="000E079C" w:rsidRPr="003A46AE">
        <w:t>nterviews</w:t>
      </w:r>
      <w:r w:rsidR="004F045E" w:rsidRPr="003A46AE">
        <w:t xml:space="preserve"> (CEIS) </w:t>
      </w:r>
      <w:r w:rsidR="000E079C" w:rsidRPr="003A46AE">
        <w:t>conducted this year</w:t>
      </w:r>
      <w:r w:rsidRPr="003A46AE">
        <w:t xml:space="preserve">. </w:t>
      </w:r>
      <w:r w:rsidR="004F045E" w:rsidRPr="003A46AE">
        <w:t>Through CEIs up to 20% of senior Australians will be ask</w:t>
      </w:r>
      <w:r w:rsidR="00A40B55" w:rsidRPr="003A46AE">
        <w:t>ed “do you like the food here” and th</w:t>
      </w:r>
      <w:r w:rsidR="00CE6EBB" w:rsidRPr="003A46AE">
        <w:t>ese</w:t>
      </w:r>
      <w:r w:rsidR="00A40B55" w:rsidRPr="003A46AE">
        <w:t xml:space="preserve"> results will be published through </w:t>
      </w:r>
      <w:hyperlink r:id="rId14" w:history="1">
        <w:r w:rsidR="00CE6EBB" w:rsidRPr="003A46AE">
          <w:rPr>
            <w:rStyle w:val="Hyperlink"/>
            <w:rFonts w:eastAsia="Times New Roman" w:cs="Segoe UI"/>
            <w:color w:val="006FB0"/>
            <w:lang w:eastAsia="en-AU"/>
          </w:rPr>
          <w:t>Star Ratings</w:t>
        </w:r>
      </w:hyperlink>
      <w:r w:rsidR="00CE6EBB" w:rsidRPr="003A46AE">
        <w:rPr>
          <w:rFonts w:eastAsia="Times New Roman" w:cs="Segoe UI"/>
          <w:color w:val="006FB0"/>
          <w:u w:val="single"/>
          <w:lang w:eastAsia="en-AU"/>
        </w:rPr>
        <w:t xml:space="preserve"> for residential aged care</w:t>
      </w:r>
      <w:r w:rsidR="00A40B55" w:rsidRPr="003A46AE">
        <w:t xml:space="preserve">. </w:t>
      </w:r>
    </w:p>
    <w:p w14:paraId="20CB90BA" w14:textId="545DAABF" w:rsidR="00E634A7" w:rsidRPr="003A46AE" w:rsidRDefault="00E634A7" w:rsidP="004F045E">
      <w:pPr>
        <w:keepLines w:val="0"/>
        <w:shd w:val="clear" w:color="auto" w:fill="FFFFFF"/>
        <w:spacing w:before="100" w:beforeAutospacing="1" w:after="100" w:afterAutospacing="1" w:line="240" w:lineRule="auto"/>
        <w:rPr>
          <w:rFonts w:cs="Segoe UI"/>
          <w:szCs w:val="22"/>
        </w:rPr>
      </w:pPr>
      <w:r w:rsidRPr="003A46AE">
        <w:t>The Food and Nutrition Reporting has enabled the Department to better understand “what good looks like” in food and nutrition and the dining experience and provides it with opportunities to better detail expectations in</w:t>
      </w:r>
      <w:r w:rsidRPr="003A46AE">
        <w:rPr>
          <w:rFonts w:cs="Segoe UI"/>
          <w:szCs w:val="22"/>
        </w:rPr>
        <w:t xml:space="preserve">to the </w:t>
      </w:r>
      <w:hyperlink r:id="rId15" w:history="1">
        <w:r w:rsidRPr="003A46AE">
          <w:rPr>
            <w:rStyle w:val="Hyperlink"/>
            <w:rFonts w:cs="Segoe UI"/>
            <w:szCs w:val="22"/>
          </w:rPr>
          <w:t>Aged Care Quality Standards</w:t>
        </w:r>
      </w:hyperlink>
      <w:r w:rsidRPr="003A46AE">
        <w:rPr>
          <w:rFonts w:cs="Segoe UI"/>
          <w:szCs w:val="22"/>
        </w:rPr>
        <w:t xml:space="preserve"> as part of the </w:t>
      </w:r>
      <w:hyperlink r:id="rId16" w:history="1">
        <w:r w:rsidRPr="003A46AE">
          <w:rPr>
            <w:rStyle w:val="Hyperlink"/>
            <w:rFonts w:cs="Segoe UI"/>
            <w:szCs w:val="22"/>
          </w:rPr>
          <w:t>current review underway</w:t>
        </w:r>
      </w:hyperlink>
      <w:r w:rsidRPr="003A46AE">
        <w:rPr>
          <w:rFonts w:cs="Segoe UI"/>
          <w:szCs w:val="22"/>
        </w:rPr>
        <w:t>.</w:t>
      </w:r>
    </w:p>
    <w:p w14:paraId="68361E9D" w14:textId="2F43D30B" w:rsidR="009D6B55" w:rsidRPr="003A46AE" w:rsidRDefault="009D6B55" w:rsidP="004F045E">
      <w:pPr>
        <w:keepLines w:val="0"/>
        <w:shd w:val="clear" w:color="auto" w:fill="FFFFFF"/>
        <w:spacing w:before="100" w:beforeAutospacing="1" w:after="100" w:afterAutospacing="1" w:line="240" w:lineRule="auto"/>
      </w:pPr>
      <w:r w:rsidRPr="003A46AE">
        <w:t>The Food and Nutrition Reporting data is being used by the Departmen</w:t>
      </w:r>
      <w:r w:rsidR="00886489" w:rsidRPr="003A46AE">
        <w:t>t</w:t>
      </w:r>
      <w:r w:rsidRPr="003A46AE">
        <w:t xml:space="preserve"> to consider policy options to further improve food and nutrition outcomes for senior Australians. The Department will continue to engage the sector based on the insights provided by the Food and Nutrition Reporting to consider policy options to further improve food and nutrition outcomes for senior Australians. </w:t>
      </w:r>
    </w:p>
    <w:p w14:paraId="73CE3EA7" w14:textId="66BA6E52" w:rsidR="009D6B55" w:rsidRPr="003A46AE" w:rsidRDefault="009D6B55" w:rsidP="004F045E">
      <w:pPr>
        <w:keepLines w:val="0"/>
        <w:shd w:val="clear" w:color="auto" w:fill="FFFFFF"/>
        <w:spacing w:before="100" w:beforeAutospacing="1" w:after="100" w:afterAutospacing="1" w:line="240" w:lineRule="auto"/>
        <w:rPr>
          <w:color w:val="0070C0"/>
          <w:u w:val="single"/>
        </w:rPr>
      </w:pPr>
      <w:r w:rsidRPr="003A46AE">
        <w:t xml:space="preserve">From October 2022, new Food and Nutrition Reporting requirements are being enhanced as part of strengthened obligations under the Quarterly Financial Report (QFR). All questions will be mandatory unlike the current Food and Nutrition Reporting requirements, thereby providing better transparency of provider expenditure across fresh versus processed food and internal versus external contract catering costs. </w:t>
      </w:r>
      <w:r w:rsidR="00CE6EBB" w:rsidRPr="003A46AE">
        <w:t xml:space="preserve">The new reporting requirements can be found on </w:t>
      </w:r>
      <w:r w:rsidR="00CE6EBB" w:rsidRPr="003A46AE">
        <w:rPr>
          <w:color w:val="0070C0"/>
          <w:u w:val="single"/>
        </w:rPr>
        <w:t>the Department of Health’</w:t>
      </w:r>
    </w:p>
    <w:p w14:paraId="5E4547B3" w14:textId="3A20DFC0" w:rsidR="00886489" w:rsidRPr="003A46AE" w:rsidRDefault="00886489" w:rsidP="00886489">
      <w:pPr>
        <w:jc w:val="both"/>
      </w:pPr>
      <w:r w:rsidRPr="003A46AE">
        <w:t xml:space="preserve">Future policy options to improve transparency for consumers include publishing </w:t>
      </w:r>
      <w:r w:rsidR="004F045E" w:rsidRPr="003A46AE">
        <w:t>food expenditure</w:t>
      </w:r>
      <w:r w:rsidRPr="003A46AE">
        <w:t xml:space="preserve"> at the service level through Annual Governance Statements or the Star Rating on My Aged Care. Recent stakeholder consultations with Senior Australians </w:t>
      </w:r>
      <w:r w:rsidR="00F57888" w:rsidRPr="003A46AE">
        <w:t xml:space="preserve">indicate they </w:t>
      </w:r>
      <w:r w:rsidRPr="003A46AE">
        <w:t>are highly supportive of this.</w:t>
      </w:r>
    </w:p>
    <w:p w14:paraId="74436D36" w14:textId="3539DB6C" w:rsidR="00961D13" w:rsidRPr="00E634A7" w:rsidRDefault="00E634A7" w:rsidP="00ED4B9B">
      <w:pPr>
        <w:keepLines w:val="0"/>
        <w:shd w:val="clear" w:color="auto" w:fill="FFFFFF"/>
        <w:tabs>
          <w:tab w:val="left" w:pos="920"/>
        </w:tabs>
        <w:spacing w:before="100" w:beforeAutospacing="1" w:after="100" w:afterAutospacing="1" w:line="240" w:lineRule="auto"/>
      </w:pPr>
      <w:r w:rsidRPr="003A46AE">
        <w:t xml:space="preserve">The </w:t>
      </w:r>
      <w:r w:rsidR="001A1325" w:rsidRPr="003A46AE">
        <w:t>Department will look to publish the next two quarters of Food and Nutrition Reporting following the conclusion of the 2021-22 Financial Year.</w:t>
      </w:r>
    </w:p>
    <w:sectPr w:rsidR="00961D13" w:rsidRPr="00E634A7" w:rsidSect="00BA28EF">
      <w:footerReference w:type="default" r:id="rId17"/>
      <w:footerReference w:type="first" r:id="rId18"/>
      <w:type w:val="continuous"/>
      <w:pgSz w:w="11900" w:h="16840"/>
      <w:pgMar w:top="1701" w:right="1127" w:bottom="851" w:left="993" w:header="17" w:footer="161"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45613" w14:textId="77777777" w:rsidR="009E51AB" w:rsidRDefault="009E51AB" w:rsidP="008B77D7">
      <w:r>
        <w:separator/>
      </w:r>
    </w:p>
  </w:endnote>
  <w:endnote w:type="continuationSeparator" w:id="0">
    <w:p w14:paraId="3A3F543F" w14:textId="77777777" w:rsidR="009E51AB" w:rsidRDefault="009E51AB" w:rsidP="008B77D7">
      <w:r>
        <w:continuationSeparator/>
      </w:r>
    </w:p>
  </w:endnote>
  <w:endnote w:type="continuationNotice" w:id="1">
    <w:p w14:paraId="68C70C15" w14:textId="77777777" w:rsidR="009E51AB" w:rsidRDefault="009E51A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Black">
    <w:panose1 w:val="020B0A02040204020203"/>
    <w:charset w:val="00"/>
    <w:family w:val="swiss"/>
    <w:pitch w:val="variable"/>
    <w:sig w:usb0="E00002FF" w:usb1="4000E47F" w:usb2="00000021" w:usb3="00000000" w:csb0="0000019F" w:csb1="00000000"/>
  </w:font>
  <w:font w:name="Quire Sans (Headings)">
    <w:altName w:val="Arial"/>
    <w:charset w:val="00"/>
    <w:family w:val="roman"/>
    <w:pitch w:val="default"/>
  </w:font>
  <w:font w:name="Quire Sans">
    <w:charset w:val="00"/>
    <w:family w:val="swiss"/>
    <w:pitch w:val="variable"/>
    <w:sig w:usb0="A11526FF" w:usb1="8000000A" w:usb2="0001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val="0"/>
        <w:color w:val="auto"/>
        <w:sz w:val="20"/>
        <w:szCs w:val="24"/>
      </w:rPr>
      <w:id w:val="143788180"/>
      <w:docPartObj>
        <w:docPartGallery w:val="Page Numbers (Bottom of Page)"/>
        <w:docPartUnique/>
      </w:docPartObj>
    </w:sdtPr>
    <w:sdtEndPr>
      <w:rPr>
        <w:noProof/>
      </w:rPr>
    </w:sdtEndPr>
    <w:sdtContent>
      <w:p w14:paraId="5540CE15" w14:textId="4A38E8D5" w:rsidR="002163E7" w:rsidRPr="00CB4FCA" w:rsidRDefault="002163E7">
        <w:pPr>
          <w:pStyle w:val="Footer"/>
          <w:rPr>
            <w:b w:val="0"/>
            <w:bCs w:val="0"/>
            <w:color w:val="auto"/>
            <w:sz w:val="20"/>
            <w:szCs w:val="24"/>
          </w:rPr>
        </w:pPr>
        <w:r w:rsidRPr="00CB4FCA">
          <w:rPr>
            <w:b w:val="0"/>
            <w:bCs w:val="0"/>
            <w:color w:val="auto"/>
            <w:sz w:val="20"/>
            <w:szCs w:val="24"/>
          </w:rPr>
          <w:fldChar w:fldCharType="begin"/>
        </w:r>
        <w:r w:rsidRPr="00CB4FCA">
          <w:rPr>
            <w:b w:val="0"/>
            <w:bCs w:val="0"/>
            <w:color w:val="auto"/>
            <w:sz w:val="20"/>
            <w:szCs w:val="24"/>
          </w:rPr>
          <w:instrText xml:space="preserve"> PAGE   \* MERGEFORMAT </w:instrText>
        </w:r>
        <w:r w:rsidRPr="00CB4FCA">
          <w:rPr>
            <w:b w:val="0"/>
            <w:bCs w:val="0"/>
            <w:color w:val="auto"/>
            <w:sz w:val="20"/>
            <w:szCs w:val="24"/>
          </w:rPr>
          <w:fldChar w:fldCharType="separate"/>
        </w:r>
        <w:r w:rsidRPr="00CB4FCA">
          <w:rPr>
            <w:b w:val="0"/>
            <w:bCs w:val="0"/>
            <w:noProof/>
            <w:color w:val="auto"/>
            <w:sz w:val="20"/>
            <w:szCs w:val="24"/>
          </w:rPr>
          <w:t>2</w:t>
        </w:r>
        <w:r w:rsidRPr="00CB4FCA">
          <w:rPr>
            <w:b w:val="0"/>
            <w:bCs w:val="0"/>
            <w:noProof/>
            <w:color w:val="auto"/>
            <w:sz w:val="20"/>
            <w:szCs w:val="24"/>
          </w:rPr>
          <w:fldChar w:fldCharType="end"/>
        </w:r>
      </w:p>
    </w:sdtContent>
  </w:sdt>
  <w:p w14:paraId="7C00E9A9" w14:textId="77777777" w:rsidR="000900A0" w:rsidRDefault="00090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7806417"/>
      <w:docPartObj>
        <w:docPartGallery w:val="Page Numbers (Bottom of Page)"/>
        <w:docPartUnique/>
      </w:docPartObj>
    </w:sdtPr>
    <w:sdtEndPr>
      <w:rPr>
        <w:noProof/>
      </w:rPr>
    </w:sdtEndPr>
    <w:sdtContent>
      <w:p w14:paraId="4540AA55" w14:textId="30955852" w:rsidR="00BF6E67" w:rsidRDefault="00BF6E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38BA3" w14:textId="77777777" w:rsidR="00BF6E67" w:rsidRDefault="00BF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6F491" w14:textId="77777777" w:rsidR="009E51AB" w:rsidRDefault="009E51AB" w:rsidP="008B77D7">
      <w:r>
        <w:separator/>
      </w:r>
    </w:p>
  </w:footnote>
  <w:footnote w:type="continuationSeparator" w:id="0">
    <w:p w14:paraId="33331A25" w14:textId="77777777" w:rsidR="009E51AB" w:rsidRDefault="009E51AB" w:rsidP="008B77D7">
      <w:r>
        <w:continuationSeparator/>
      </w:r>
    </w:p>
  </w:footnote>
  <w:footnote w:type="continuationNotice" w:id="1">
    <w:p w14:paraId="7E88DD29" w14:textId="77777777" w:rsidR="009E51AB" w:rsidRDefault="009E51AB">
      <w:pPr>
        <w:spacing w:before="0" w:line="240" w:lineRule="auto"/>
      </w:pPr>
    </w:p>
  </w:footnote>
  <w:footnote w:id="2">
    <w:p w14:paraId="58D52C01" w14:textId="68C1546B" w:rsidR="00074AAC" w:rsidRPr="00D35C2F" w:rsidRDefault="00074AAC">
      <w:pPr>
        <w:pStyle w:val="FootnoteText"/>
        <w:rPr>
          <w:u w:val="single"/>
        </w:rPr>
      </w:pPr>
      <w:r>
        <w:rPr>
          <w:rStyle w:val="FootnoteReference"/>
        </w:rPr>
        <w:footnoteRef/>
      </w:r>
      <w:r>
        <w:t xml:space="preserve"> </w:t>
      </w:r>
      <w:r w:rsidR="00D35C2F">
        <w:t xml:space="preserve">Royal Commission into Aged Care Quality and Safety </w:t>
      </w:r>
      <w:r w:rsidR="00D35C2F" w:rsidRPr="00D35C2F">
        <w:t xml:space="preserve">citing Hugo, C., </w:t>
      </w:r>
      <w:proofErr w:type="spellStart"/>
      <w:r w:rsidR="00D35C2F" w:rsidRPr="00D35C2F">
        <w:t>Isenring</w:t>
      </w:r>
      <w:proofErr w:type="spellEnd"/>
      <w:r w:rsidR="00D35C2F" w:rsidRPr="00D35C2F">
        <w:t xml:space="preserve">, E., Sinclair, D. and Agarwal, E. (2018), What does it cost to feed aged care residents in </w:t>
      </w:r>
      <w:proofErr w:type="gramStart"/>
      <w:r w:rsidR="00D35C2F" w:rsidRPr="00D35C2F">
        <w:t>Australia?.</w:t>
      </w:r>
      <w:proofErr w:type="gramEnd"/>
      <w:r w:rsidR="00D35C2F" w:rsidRPr="00D35C2F">
        <w:t xml:space="preserve"> </w:t>
      </w:r>
      <w:proofErr w:type="spellStart"/>
      <w:r w:rsidR="00D35C2F" w:rsidRPr="00D35C2F">
        <w:t>Nutr</w:t>
      </w:r>
      <w:proofErr w:type="spellEnd"/>
      <w:r w:rsidR="00D35C2F" w:rsidRPr="00D35C2F">
        <w:t xml:space="preserve"> Diet, 75: 6-10. </w:t>
      </w:r>
      <w:hyperlink r:id="rId1" w:history="1">
        <w:r w:rsidR="00D35C2F" w:rsidRPr="00D35C2F">
          <w:rPr>
            <w:u w:val="single"/>
          </w:rPr>
          <w:t>https://doi.org/10.1111/1747-0080.12368</w:t>
        </w:r>
      </w:hyperlink>
    </w:p>
  </w:footnote>
  <w:footnote w:id="3">
    <w:p w14:paraId="1E0DB966" w14:textId="16D2724B" w:rsidR="008D5630" w:rsidRDefault="008D5630">
      <w:pPr>
        <w:pStyle w:val="FootnoteText"/>
      </w:pPr>
      <w:r>
        <w:rPr>
          <w:rStyle w:val="FootnoteReference"/>
        </w:rPr>
        <w:footnoteRef/>
      </w:r>
      <w:r>
        <w:t xml:space="preserve"> </w:t>
      </w:r>
      <w:bookmarkStart w:id="0" w:name="_Hlk97546589"/>
      <w:bookmarkStart w:id="1" w:name="_Hlk97547203"/>
      <w:r w:rsidRPr="00AF3D12">
        <w:t xml:space="preserve">The BDF undertaking </w:t>
      </w:r>
      <w:r w:rsidR="00460DAD" w:rsidRPr="00AF3D12">
        <w:t>was applicable to all</w:t>
      </w:r>
      <w:r w:rsidR="00074AAC">
        <w:t xml:space="preserve"> eligible</w:t>
      </w:r>
      <w:r w:rsidR="00460DAD" w:rsidRPr="00AF3D12">
        <w:t xml:space="preserve"> services that the provider operated</w:t>
      </w:r>
      <w:r w:rsidRPr="00AF3D12">
        <w:t xml:space="preserve">. The reporting requirement was </w:t>
      </w:r>
      <w:bookmarkEnd w:id="0"/>
      <w:r w:rsidR="00460DAD" w:rsidRPr="00AF3D12">
        <w:t>to be completed for each service</w:t>
      </w:r>
      <w:r w:rsidR="00AF3D12" w:rsidRPr="00AF3D12">
        <w:t xml:space="preserve"> operated by the provider</w:t>
      </w:r>
      <w:bookmarkEnd w:id="1"/>
    </w:p>
  </w:footnote>
  <w:footnote w:id="4">
    <w:p w14:paraId="766A1812" w14:textId="64238EDF" w:rsidR="008F562E" w:rsidRDefault="008F562E" w:rsidP="0025676E">
      <w:pPr>
        <w:pStyle w:val="FootnoteText"/>
      </w:pPr>
      <w:r>
        <w:rPr>
          <w:rStyle w:val="FootnoteReference"/>
        </w:rPr>
        <w:footnoteRef/>
      </w:r>
      <w:r>
        <w:t xml:space="preserve"> Percentage of </w:t>
      </w:r>
      <w:r w:rsidRPr="003A46AE">
        <w:t xml:space="preserve">responses </w:t>
      </w:r>
      <w:r w:rsidR="00241230" w:rsidRPr="003A46AE">
        <w:t>(</w:t>
      </w:r>
      <w:r w:rsidR="00241230" w:rsidRPr="003A46AE">
        <w:rPr>
          <w:rStyle w:val="Hyperlink"/>
        </w:rPr>
        <w:t>does not include “not applicable”</w:t>
      </w:r>
      <w:r w:rsidR="00DB2284" w:rsidRPr="003A46AE">
        <w:rPr>
          <w:rStyle w:val="Hyperlink"/>
        </w:rPr>
        <w:t xml:space="preserve"> responses</w:t>
      </w:r>
      <w:r w:rsidR="00241230" w:rsidRPr="003A46AE">
        <w:t xml:space="preserve">) </w:t>
      </w:r>
      <w:r w:rsidRPr="003A46AE">
        <w:t>for each</w:t>
      </w:r>
      <w:r>
        <w:t xml:space="preserve"> question are for residential services only and include forms received on My Aged Care </w:t>
      </w:r>
      <w:r w:rsidR="00642710">
        <w:t xml:space="preserve">Provider Portal </w:t>
      </w:r>
      <w:r>
        <w:t xml:space="preserve">and via PDF to </w:t>
      </w:r>
      <w:hyperlink r:id="rId2" w:history="1">
        <w:r w:rsidRPr="00EB2C38">
          <w:rPr>
            <w:rStyle w:val="Hyperlink"/>
          </w:rPr>
          <w:t>NutritioninAgedCare@health.gov.au</w:t>
        </w:r>
      </w:hyperlink>
      <w:r w:rsidRPr="008C59D8">
        <w:t>.</w:t>
      </w:r>
    </w:p>
  </w:footnote>
  <w:footnote w:id="5">
    <w:p w14:paraId="7D62E04B" w14:textId="0F4AFF6A" w:rsidR="00885817" w:rsidRPr="003A46AE" w:rsidRDefault="0048434A" w:rsidP="003A46AE">
      <w:pPr>
        <w:pStyle w:val="FootnoteText"/>
      </w:pPr>
      <w:r w:rsidRPr="003A46AE">
        <w:footnoteRef/>
      </w:r>
      <w:r>
        <w:t xml:space="preserve"> Data used for analysis was reported by residential services through the My Aged Care Provider Portal </w:t>
      </w:r>
      <w:r w:rsidR="00E96F3A">
        <w:t xml:space="preserve">and </w:t>
      </w:r>
      <w:r>
        <w:t>include</w:t>
      </w:r>
      <w:r w:rsidR="00E96F3A">
        <w:t>s</w:t>
      </w:r>
      <w:r>
        <w:t xml:space="preserve"> forms submitted via pdf to </w:t>
      </w:r>
      <w:hyperlink r:id="rId3" w:history="1">
        <w:r w:rsidRPr="003A46AE">
          <w:t>NutritioninAgedCare@health.gov.au</w:t>
        </w:r>
      </w:hyperlink>
      <w:r w:rsidR="00E96F3A" w:rsidRPr="003A46AE">
        <w:t xml:space="preserve"> </w:t>
      </w:r>
      <w:r w:rsidR="00E96F3A" w:rsidRPr="00EC5C63">
        <w:t>as</w:t>
      </w:r>
      <w:r w:rsidR="00E96F3A">
        <w:t xml:space="preserve"> </w:t>
      </w:r>
      <w:proofErr w:type="gramStart"/>
      <w:r w:rsidR="00E96F3A" w:rsidRPr="00480CCE">
        <w:t>at</w:t>
      </w:r>
      <w:proofErr w:type="gramEnd"/>
      <w:r w:rsidR="00E96F3A" w:rsidRPr="00480CCE">
        <w:t xml:space="preserve"> </w:t>
      </w:r>
      <w:r w:rsidR="00C017EC" w:rsidRPr="003A46AE">
        <w:t>4 March</w:t>
      </w:r>
      <w:r w:rsidR="00E96F3A" w:rsidRPr="003A46AE">
        <w:t xml:space="preserve"> </w:t>
      </w:r>
      <w:r w:rsidR="00353523" w:rsidRPr="003A46AE">
        <w:t>2022</w:t>
      </w:r>
      <w:r w:rsidRPr="003A46AE">
        <w:t>.</w:t>
      </w:r>
      <w:r>
        <w:t xml:space="preserve"> To determine percentage reported and spend per resident, data was sourced from NAPS Occupancy Report as </w:t>
      </w:r>
      <w:proofErr w:type="gramStart"/>
      <w:r>
        <w:t>at</w:t>
      </w:r>
      <w:proofErr w:type="gramEnd"/>
      <w:r>
        <w:t xml:space="preserve"> 22 February 2022.</w:t>
      </w:r>
      <w:r w:rsidR="00885817">
        <w:t xml:space="preserve"> </w:t>
      </w:r>
      <w:r w:rsidR="00885817" w:rsidRPr="003A46AE">
        <w:t>Services without occupancy information are excluded (</w:t>
      </w:r>
      <w:proofErr w:type="gramStart"/>
      <w:r w:rsidR="00885817" w:rsidRPr="003A46AE">
        <w:t>i.e.</w:t>
      </w:r>
      <w:proofErr w:type="gramEnd"/>
      <w:r w:rsidR="00885817" w:rsidRPr="003A46AE">
        <w:t xml:space="preserve"> new services, closed services, or one facility having multiple NAPS IDs)</w:t>
      </w:r>
      <w:r w:rsidR="00885817">
        <w:t>.</w:t>
      </w:r>
    </w:p>
    <w:p w14:paraId="66DF4EEA" w14:textId="55438F70" w:rsidR="0048434A" w:rsidRDefault="0048434A">
      <w:pPr>
        <w:pStyle w:val="FootnoteText"/>
      </w:pPr>
    </w:p>
  </w:footnote>
  <w:footnote w:id="6">
    <w:p w14:paraId="312397A3" w14:textId="3A126DF9" w:rsidR="00AC375E" w:rsidRDefault="00AC375E">
      <w:pPr>
        <w:pStyle w:val="FootnoteText"/>
      </w:pPr>
      <w:r>
        <w:rPr>
          <w:rStyle w:val="FootnoteReference"/>
        </w:rPr>
        <w:footnoteRef/>
      </w:r>
      <w:r>
        <w:t xml:space="preserve"> Contract catering is defined as f</w:t>
      </w:r>
      <w:r w:rsidRPr="009E6698">
        <w:t>ood</w:t>
      </w:r>
      <w:r>
        <w:t xml:space="preserve"> which</w:t>
      </w:r>
      <w:r w:rsidRPr="009E6698">
        <w:t xml:space="preserve"> is </w:t>
      </w:r>
      <w:r>
        <w:t>prepared as part of a</w:t>
      </w:r>
      <w:r w:rsidRPr="009E6698">
        <w:t xml:space="preserve"> contract arrangement between the aged care service and the approved </w:t>
      </w:r>
      <w:r>
        <w:t xml:space="preserve">food </w:t>
      </w:r>
      <w:r w:rsidRPr="009E6698">
        <w:t>provider</w:t>
      </w:r>
      <w:r>
        <w:t xml:space="preserve"> (either on- or off-site</w:t>
      </w:r>
      <w:r w:rsidR="004F045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2E80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605BD"/>
    <w:multiLevelType w:val="hybridMultilevel"/>
    <w:tmpl w:val="850823B4"/>
    <w:lvl w:ilvl="0" w:tplc="A590F964">
      <w:start w:val="2"/>
      <w:numFmt w:val="bullet"/>
      <w:lvlText w:val=""/>
      <w:lvlJc w:val="left"/>
      <w:pPr>
        <w:ind w:left="720" w:hanging="360"/>
      </w:pPr>
      <w:rPr>
        <w:rFonts w:ascii="Symbol" w:eastAsiaTheme="minorHAnsi" w:hAnsi="Symbol"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A3FDB"/>
    <w:multiLevelType w:val="multilevel"/>
    <w:tmpl w:val="6868B95C"/>
    <w:lvl w:ilvl="0">
      <w:numFmt w:val="decimal"/>
      <w:pStyle w:val="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42329"/>
    <w:multiLevelType w:val="hybridMultilevel"/>
    <w:tmpl w:val="19F2C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64097"/>
    <w:multiLevelType w:val="hybridMultilevel"/>
    <w:tmpl w:val="1ED42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84F4895"/>
    <w:multiLevelType w:val="multilevel"/>
    <w:tmpl w:val="1DEA0F06"/>
    <w:styleLink w:val="Style1"/>
    <w:lvl w:ilvl="0">
      <w:start w:val="1"/>
      <w:numFmt w:val="bullet"/>
      <w:lvlText w:val="•"/>
      <w:lvlJc w:val="left"/>
      <w:pPr>
        <w:ind w:left="227" w:hanging="227"/>
      </w:pPr>
      <w:rPr>
        <w:rFonts w:ascii="Arial" w:hAnsi="Arial" w:hint="default"/>
        <w:b w:val="0"/>
        <w:i w:val="0"/>
        <w:caps w:val="0"/>
        <w:strike w:val="0"/>
        <w:dstrike w:val="0"/>
        <w:vanish w:val="0"/>
        <w:color w:val="AB176E" w:themeColor="accent1"/>
        <w:sz w:val="24"/>
        <w:u w:val="none"/>
        <w:vertAlign w:val="baseline"/>
      </w:rPr>
    </w:lvl>
    <w:lvl w:ilvl="1">
      <w:start w:val="1"/>
      <w:numFmt w:val="bullet"/>
      <w:lvlText w:val="–"/>
      <w:lvlJc w:val="left"/>
      <w:pPr>
        <w:ind w:left="454" w:hanging="227"/>
      </w:pPr>
      <w:rPr>
        <w:rFonts w:ascii="Arial" w:hAnsi="Arial" w:hint="default"/>
        <w:b w:val="0"/>
        <w:i w:val="0"/>
        <w:color w:val="AB176E" w:themeColor="accent1"/>
      </w:rPr>
    </w:lvl>
    <w:lvl w:ilvl="2">
      <w:start w:val="1"/>
      <w:numFmt w:val="bullet"/>
      <w:lvlText w:val="-"/>
      <w:lvlJc w:val="left"/>
      <w:pPr>
        <w:ind w:left="680" w:hanging="226"/>
      </w:pPr>
      <w:rPr>
        <w:rFonts w:ascii="Arial" w:hAnsi="Arial" w:hint="default"/>
        <w:b w:val="0"/>
        <w:i w:val="0"/>
        <w:color w:val="AB176E" w:themeColor="accent1"/>
        <w:sz w:val="20"/>
        <w:u w:val="none"/>
      </w:rPr>
    </w:lvl>
    <w:lvl w:ilvl="3">
      <w:start w:val="1"/>
      <w:numFmt w:val="bullet"/>
      <w:lvlText w:val="-"/>
      <w:lvlJc w:val="left"/>
      <w:pPr>
        <w:ind w:left="2269" w:hanging="283"/>
      </w:pPr>
      <w:rPr>
        <w:rFonts w:ascii="Arial" w:hAnsi="Arial" w:hint="default"/>
      </w:rPr>
    </w:lvl>
    <w:lvl w:ilvl="4">
      <w:start w:val="1"/>
      <w:numFmt w:val="bullet"/>
      <w:lvlText w:val="-"/>
      <w:lvlJc w:val="left"/>
      <w:pPr>
        <w:ind w:left="2553" w:hanging="284"/>
      </w:pPr>
      <w:rPr>
        <w:rFonts w:ascii="Arial" w:hAnsi="Arial" w:hint="default"/>
        <w:b w:val="0"/>
        <w:i w:val="0"/>
        <w:color w:val="auto"/>
      </w:rPr>
    </w:lvl>
    <w:lvl w:ilvl="5">
      <w:start w:val="1"/>
      <w:numFmt w:val="bullet"/>
      <w:lvlText w:val="-"/>
      <w:lvlJc w:val="left"/>
      <w:pPr>
        <w:ind w:left="2836" w:hanging="283"/>
      </w:pPr>
      <w:rPr>
        <w:rFonts w:ascii="Arial" w:hAnsi="Arial" w:hint="default"/>
        <w:b w:val="0"/>
        <w:i w:val="0"/>
      </w:rPr>
    </w:lvl>
    <w:lvl w:ilvl="6">
      <w:start w:val="1"/>
      <w:numFmt w:val="bullet"/>
      <w:lvlText w:val="-"/>
      <w:lvlJc w:val="left"/>
      <w:pPr>
        <w:ind w:left="3120" w:hanging="284"/>
      </w:pPr>
      <w:rPr>
        <w:rFonts w:ascii="Arial" w:hAnsi="Arial" w:hint="default"/>
      </w:rPr>
    </w:lvl>
    <w:lvl w:ilvl="7">
      <w:start w:val="1"/>
      <w:numFmt w:val="bullet"/>
      <w:lvlText w:val="-"/>
      <w:lvlJc w:val="left"/>
      <w:pPr>
        <w:ind w:left="3403" w:hanging="283"/>
      </w:pPr>
      <w:rPr>
        <w:rFonts w:ascii="Arial" w:hAnsi="Arial" w:hint="default"/>
        <w:color w:val="auto"/>
      </w:rPr>
    </w:lvl>
    <w:lvl w:ilvl="8">
      <w:start w:val="1"/>
      <w:numFmt w:val="bullet"/>
      <w:lvlText w:val="-"/>
      <w:lvlJc w:val="left"/>
      <w:pPr>
        <w:ind w:left="3687" w:hanging="284"/>
      </w:pPr>
      <w:rPr>
        <w:rFonts w:ascii="Arial" w:hAnsi="Arial" w:hint="default"/>
        <w:color w:val="auto"/>
      </w:rPr>
    </w:lvl>
  </w:abstractNum>
  <w:abstractNum w:abstractNumId="6" w15:restartNumberingAfterBreak="0">
    <w:nsid w:val="18930158"/>
    <w:multiLevelType w:val="hybridMultilevel"/>
    <w:tmpl w:val="6AF26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974C23"/>
    <w:multiLevelType w:val="multilevel"/>
    <w:tmpl w:val="5EBE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47B7C"/>
    <w:multiLevelType w:val="hybridMultilevel"/>
    <w:tmpl w:val="1F9E6D9A"/>
    <w:lvl w:ilvl="0" w:tplc="A590F964">
      <w:start w:val="2"/>
      <w:numFmt w:val="bullet"/>
      <w:lvlText w:val=""/>
      <w:lvlJc w:val="left"/>
      <w:pPr>
        <w:ind w:left="776" w:hanging="360"/>
      </w:pPr>
      <w:rPr>
        <w:rFonts w:ascii="Symbol" w:eastAsiaTheme="minorHAnsi" w:hAnsi="Symbol" w:cs="Segoe UI"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2EF65DCC"/>
    <w:multiLevelType w:val="multilevel"/>
    <w:tmpl w:val="CC127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D0778"/>
    <w:multiLevelType w:val="hybridMultilevel"/>
    <w:tmpl w:val="80DCD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0F240E"/>
    <w:multiLevelType w:val="multilevel"/>
    <w:tmpl w:val="357E9B4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DD57B7"/>
    <w:multiLevelType w:val="multilevel"/>
    <w:tmpl w:val="A34E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92681"/>
    <w:multiLevelType w:val="hybridMultilevel"/>
    <w:tmpl w:val="D6AC36B2"/>
    <w:lvl w:ilvl="0" w:tplc="A590F964">
      <w:start w:val="2"/>
      <w:numFmt w:val="bullet"/>
      <w:lvlText w:val=""/>
      <w:lvlJc w:val="left"/>
      <w:pPr>
        <w:ind w:left="1288" w:hanging="360"/>
      </w:pPr>
      <w:rPr>
        <w:rFonts w:ascii="Symbol" w:eastAsiaTheme="minorHAnsi" w:hAnsi="Symbol" w:cs="Segoe UI"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4" w15:restartNumberingAfterBreak="0">
    <w:nsid w:val="3F99072D"/>
    <w:multiLevelType w:val="hybridMultilevel"/>
    <w:tmpl w:val="D5441B60"/>
    <w:lvl w:ilvl="0" w:tplc="A590F964">
      <w:start w:val="2"/>
      <w:numFmt w:val="bullet"/>
      <w:lvlText w:val=""/>
      <w:lvlJc w:val="left"/>
      <w:pPr>
        <w:ind w:left="720" w:hanging="360"/>
      </w:pPr>
      <w:rPr>
        <w:rFonts w:ascii="Symbol" w:eastAsiaTheme="minorHAnsi" w:hAnsi="Symbol"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4C4A29"/>
    <w:multiLevelType w:val="hybridMultilevel"/>
    <w:tmpl w:val="13E0BFEC"/>
    <w:lvl w:ilvl="0" w:tplc="A590F964">
      <w:start w:val="2"/>
      <w:numFmt w:val="bullet"/>
      <w:lvlText w:val=""/>
      <w:lvlJc w:val="left"/>
      <w:pPr>
        <w:ind w:left="1004" w:hanging="360"/>
      </w:pPr>
      <w:rPr>
        <w:rFonts w:ascii="Symbol" w:eastAsiaTheme="minorHAnsi" w:hAnsi="Symbol" w:cs="Segoe UI"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5340F88"/>
    <w:multiLevelType w:val="hybridMultilevel"/>
    <w:tmpl w:val="85FC886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4755"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A4008C"/>
    <w:multiLevelType w:val="multilevel"/>
    <w:tmpl w:val="27065FB0"/>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7B32B1"/>
    <w:multiLevelType w:val="multilevel"/>
    <w:tmpl w:val="E2D216C0"/>
    <w:lvl w:ilvl="0">
      <w:start w:val="1"/>
      <w:numFmt w:val="bullet"/>
      <w:lvlText w:val="•"/>
      <w:lvlJc w:val="left"/>
      <w:pPr>
        <w:ind w:left="227" w:hanging="227"/>
      </w:pPr>
      <w:rPr>
        <w:rFonts w:ascii="Arial" w:hAnsi="Arial" w:hint="default"/>
        <w:b w:val="0"/>
        <w:i w:val="0"/>
        <w:caps w:val="0"/>
        <w:strike w:val="0"/>
        <w:dstrike w:val="0"/>
        <w:vanish w:val="0"/>
        <w:color w:val="3C033D" w:themeColor="text1"/>
        <w:sz w:val="24"/>
        <w:u w:val="none"/>
        <w:vertAlign w:val="baseline"/>
      </w:rPr>
    </w:lvl>
    <w:lvl w:ilvl="1">
      <w:start w:val="1"/>
      <w:numFmt w:val="bullet"/>
      <w:lvlText w:val=""/>
      <w:lvlJc w:val="left"/>
      <w:pPr>
        <w:ind w:left="454" w:hanging="227"/>
      </w:pPr>
      <w:rPr>
        <w:rFonts w:ascii="Symbol" w:hAnsi="Symbol" w:hint="default"/>
        <w:b w:val="0"/>
        <w:i w:val="0"/>
        <w:color w:val="3C033D" w:themeColor="text1"/>
      </w:rPr>
    </w:lvl>
    <w:lvl w:ilvl="2">
      <w:start w:val="1"/>
      <w:numFmt w:val="bullet"/>
      <w:lvlText w:val=""/>
      <w:lvlJc w:val="left"/>
      <w:pPr>
        <w:ind w:left="680" w:hanging="226"/>
      </w:pPr>
      <w:rPr>
        <w:rFonts w:ascii="Symbol" w:hAnsi="Symbol" w:hint="default"/>
        <w:b w:val="0"/>
        <w:i w:val="0"/>
        <w:color w:val="3C033D" w:themeColor="text1"/>
        <w:sz w:val="20"/>
        <w:u w:val="none"/>
      </w:rPr>
    </w:lvl>
    <w:lvl w:ilvl="3">
      <w:start w:val="1"/>
      <w:numFmt w:val="bullet"/>
      <w:lvlText w:val="-"/>
      <w:lvlJc w:val="left"/>
      <w:pPr>
        <w:ind w:left="2269" w:hanging="283"/>
      </w:pPr>
      <w:rPr>
        <w:rFonts w:ascii="Arial" w:hAnsi="Arial" w:hint="default"/>
        <w:color w:val="3C033D" w:themeColor="text1"/>
      </w:rPr>
    </w:lvl>
    <w:lvl w:ilvl="4">
      <w:start w:val="1"/>
      <w:numFmt w:val="bullet"/>
      <w:lvlText w:val="-"/>
      <w:lvlJc w:val="left"/>
      <w:pPr>
        <w:ind w:left="2553" w:hanging="284"/>
      </w:pPr>
      <w:rPr>
        <w:rFonts w:ascii="Arial" w:hAnsi="Arial" w:hint="default"/>
        <w:b w:val="0"/>
        <w:i w:val="0"/>
        <w:color w:val="auto"/>
      </w:rPr>
    </w:lvl>
    <w:lvl w:ilvl="5">
      <w:start w:val="1"/>
      <w:numFmt w:val="bullet"/>
      <w:lvlText w:val="-"/>
      <w:lvlJc w:val="left"/>
      <w:pPr>
        <w:ind w:left="2836" w:hanging="283"/>
      </w:pPr>
      <w:rPr>
        <w:rFonts w:ascii="Arial" w:hAnsi="Arial" w:hint="default"/>
        <w:b w:val="0"/>
        <w:i w:val="0"/>
      </w:rPr>
    </w:lvl>
    <w:lvl w:ilvl="6">
      <w:start w:val="1"/>
      <w:numFmt w:val="bullet"/>
      <w:lvlText w:val="-"/>
      <w:lvlJc w:val="left"/>
      <w:pPr>
        <w:ind w:left="3120" w:hanging="284"/>
      </w:pPr>
      <w:rPr>
        <w:rFonts w:ascii="Arial" w:hAnsi="Arial" w:hint="default"/>
      </w:rPr>
    </w:lvl>
    <w:lvl w:ilvl="7">
      <w:start w:val="1"/>
      <w:numFmt w:val="bullet"/>
      <w:lvlText w:val="-"/>
      <w:lvlJc w:val="left"/>
      <w:pPr>
        <w:ind w:left="3403" w:hanging="283"/>
      </w:pPr>
      <w:rPr>
        <w:rFonts w:ascii="Arial" w:hAnsi="Arial" w:hint="default"/>
        <w:color w:val="auto"/>
      </w:rPr>
    </w:lvl>
    <w:lvl w:ilvl="8">
      <w:start w:val="1"/>
      <w:numFmt w:val="bullet"/>
      <w:lvlText w:val="-"/>
      <w:lvlJc w:val="left"/>
      <w:pPr>
        <w:ind w:left="3687" w:hanging="284"/>
      </w:pPr>
      <w:rPr>
        <w:rFonts w:ascii="Arial" w:hAnsi="Arial" w:hint="default"/>
        <w:color w:val="auto"/>
      </w:rPr>
    </w:lvl>
  </w:abstractNum>
  <w:abstractNum w:abstractNumId="19" w15:restartNumberingAfterBreak="0">
    <w:nsid w:val="701B09B9"/>
    <w:multiLevelType w:val="hybridMultilevel"/>
    <w:tmpl w:val="1DC6A936"/>
    <w:lvl w:ilvl="0" w:tplc="A590F964">
      <w:start w:val="2"/>
      <w:numFmt w:val="bullet"/>
      <w:lvlText w:val=""/>
      <w:lvlJc w:val="left"/>
      <w:pPr>
        <w:ind w:left="720" w:hanging="360"/>
      </w:pPr>
      <w:rPr>
        <w:rFonts w:ascii="Symbol" w:eastAsiaTheme="minorHAnsi" w:hAnsi="Symbol" w:cs="Segoe UI"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3F6801"/>
    <w:multiLevelType w:val="multilevel"/>
    <w:tmpl w:val="99E8C38C"/>
    <w:lvl w:ilvl="0">
      <w:start w:val="1"/>
      <w:numFmt w:val="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76D64879"/>
    <w:multiLevelType w:val="multilevel"/>
    <w:tmpl w:val="11C4EB3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17"/>
  </w:num>
  <w:num w:numId="3">
    <w:abstractNumId w:val="2"/>
  </w:num>
  <w:num w:numId="4">
    <w:abstractNumId w:val="18"/>
  </w:num>
  <w:num w:numId="5">
    <w:abstractNumId w:val="16"/>
  </w:num>
  <w:num w:numId="6">
    <w:abstractNumId w:val="9"/>
  </w:num>
  <w:num w:numId="7">
    <w:abstractNumId w:val="20"/>
  </w:num>
  <w:num w:numId="8">
    <w:abstractNumId w:val="3"/>
  </w:num>
  <w:num w:numId="9">
    <w:abstractNumId w:val="4"/>
  </w:num>
  <w:num w:numId="10">
    <w:abstractNumId w:val="2"/>
  </w:num>
  <w:num w:numId="11">
    <w:abstractNumId w:val="2"/>
  </w:num>
  <w:num w:numId="12">
    <w:abstractNumId w:val="7"/>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11"/>
  </w:num>
  <w:num w:numId="24">
    <w:abstractNumId w:val="15"/>
  </w:num>
  <w:num w:numId="25">
    <w:abstractNumId w:val="14"/>
  </w:num>
  <w:num w:numId="26">
    <w:abstractNumId w:val="8"/>
  </w:num>
  <w:num w:numId="27">
    <w:abstractNumId w:val="13"/>
  </w:num>
  <w:num w:numId="28">
    <w:abstractNumId w:val="21"/>
  </w:num>
  <w:num w:numId="29">
    <w:abstractNumId w:val="1"/>
  </w:num>
  <w:num w:numId="30">
    <w:abstractNumId w:val="19"/>
  </w:num>
  <w:num w:numId="31">
    <w:abstractNumId w:val="10"/>
  </w:num>
  <w:num w:numId="32">
    <w:abstractNumId w:val="6"/>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0"/>
  </w:num>
  <w:num w:numId="4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8F"/>
    <w:rsid w:val="000045E7"/>
    <w:rsid w:val="00006D9D"/>
    <w:rsid w:val="00023E67"/>
    <w:rsid w:val="00024F11"/>
    <w:rsid w:val="0002772E"/>
    <w:rsid w:val="0003306C"/>
    <w:rsid w:val="0004072A"/>
    <w:rsid w:val="00045C5A"/>
    <w:rsid w:val="00047ACB"/>
    <w:rsid w:val="0005302E"/>
    <w:rsid w:val="00053A4E"/>
    <w:rsid w:val="00055C76"/>
    <w:rsid w:val="000658AA"/>
    <w:rsid w:val="0006598D"/>
    <w:rsid w:val="000730F6"/>
    <w:rsid w:val="00074AAC"/>
    <w:rsid w:val="000900A0"/>
    <w:rsid w:val="00090E8A"/>
    <w:rsid w:val="000963B0"/>
    <w:rsid w:val="000A098D"/>
    <w:rsid w:val="000A7364"/>
    <w:rsid w:val="000B1ED8"/>
    <w:rsid w:val="000B3AF9"/>
    <w:rsid w:val="000B3EAF"/>
    <w:rsid w:val="000B3FE1"/>
    <w:rsid w:val="000C0AF4"/>
    <w:rsid w:val="000C4BE1"/>
    <w:rsid w:val="000D03EE"/>
    <w:rsid w:val="000D1043"/>
    <w:rsid w:val="000E079C"/>
    <w:rsid w:val="000E1A41"/>
    <w:rsid w:val="000E22DB"/>
    <w:rsid w:val="000E441D"/>
    <w:rsid w:val="000E4B3C"/>
    <w:rsid w:val="000E7163"/>
    <w:rsid w:val="000F120C"/>
    <w:rsid w:val="000F4BEC"/>
    <w:rsid w:val="00102B70"/>
    <w:rsid w:val="00115458"/>
    <w:rsid w:val="00120E6C"/>
    <w:rsid w:val="00126144"/>
    <w:rsid w:val="00133D69"/>
    <w:rsid w:val="00143522"/>
    <w:rsid w:val="00150D60"/>
    <w:rsid w:val="00151EBC"/>
    <w:rsid w:val="001525AA"/>
    <w:rsid w:val="00177B58"/>
    <w:rsid w:val="0018703C"/>
    <w:rsid w:val="001A1325"/>
    <w:rsid w:val="001A154F"/>
    <w:rsid w:val="001B069E"/>
    <w:rsid w:val="001C25D7"/>
    <w:rsid w:val="001D24FF"/>
    <w:rsid w:val="001D3D01"/>
    <w:rsid w:val="001D47C7"/>
    <w:rsid w:val="001D5429"/>
    <w:rsid w:val="001D701B"/>
    <w:rsid w:val="001E016D"/>
    <w:rsid w:val="001F330E"/>
    <w:rsid w:val="001F4236"/>
    <w:rsid w:val="0020025B"/>
    <w:rsid w:val="00200274"/>
    <w:rsid w:val="00203D05"/>
    <w:rsid w:val="00205CD9"/>
    <w:rsid w:val="002163E7"/>
    <w:rsid w:val="002175ED"/>
    <w:rsid w:val="00230333"/>
    <w:rsid w:val="002315CF"/>
    <w:rsid w:val="00235206"/>
    <w:rsid w:val="002354E9"/>
    <w:rsid w:val="00241230"/>
    <w:rsid w:val="0024524C"/>
    <w:rsid w:val="0025676E"/>
    <w:rsid w:val="00270C6B"/>
    <w:rsid w:val="00271B5E"/>
    <w:rsid w:val="00275DC2"/>
    <w:rsid w:val="00276C98"/>
    <w:rsid w:val="0028217E"/>
    <w:rsid w:val="00282A90"/>
    <w:rsid w:val="00290381"/>
    <w:rsid w:val="002B135A"/>
    <w:rsid w:val="002C2317"/>
    <w:rsid w:val="002C34C3"/>
    <w:rsid w:val="002F24E0"/>
    <w:rsid w:val="002F270F"/>
    <w:rsid w:val="00305273"/>
    <w:rsid w:val="0031212D"/>
    <w:rsid w:val="003147F3"/>
    <w:rsid w:val="00317F96"/>
    <w:rsid w:val="00331922"/>
    <w:rsid w:val="00341637"/>
    <w:rsid w:val="00343E05"/>
    <w:rsid w:val="003455C0"/>
    <w:rsid w:val="00352268"/>
    <w:rsid w:val="00353523"/>
    <w:rsid w:val="00353767"/>
    <w:rsid w:val="00355E3A"/>
    <w:rsid w:val="00366078"/>
    <w:rsid w:val="00375AED"/>
    <w:rsid w:val="00376C9B"/>
    <w:rsid w:val="00397B06"/>
    <w:rsid w:val="003A0B41"/>
    <w:rsid w:val="003A46AE"/>
    <w:rsid w:val="003B3548"/>
    <w:rsid w:val="003C117D"/>
    <w:rsid w:val="003C35F7"/>
    <w:rsid w:val="003D6EF8"/>
    <w:rsid w:val="003E19A8"/>
    <w:rsid w:val="003E4A85"/>
    <w:rsid w:val="003E5224"/>
    <w:rsid w:val="004000E4"/>
    <w:rsid w:val="0040048F"/>
    <w:rsid w:val="00404378"/>
    <w:rsid w:val="004048E8"/>
    <w:rsid w:val="00405E79"/>
    <w:rsid w:val="004147ED"/>
    <w:rsid w:val="0042117A"/>
    <w:rsid w:val="00422534"/>
    <w:rsid w:val="00424297"/>
    <w:rsid w:val="00431A19"/>
    <w:rsid w:val="00433B17"/>
    <w:rsid w:val="00433DE0"/>
    <w:rsid w:val="00440FC9"/>
    <w:rsid w:val="00441EC2"/>
    <w:rsid w:val="004470A8"/>
    <w:rsid w:val="004472AB"/>
    <w:rsid w:val="00460DAD"/>
    <w:rsid w:val="00463173"/>
    <w:rsid w:val="004639AF"/>
    <w:rsid w:val="004711D6"/>
    <w:rsid w:val="00477638"/>
    <w:rsid w:val="00480CCE"/>
    <w:rsid w:val="0048434A"/>
    <w:rsid w:val="00484EAA"/>
    <w:rsid w:val="0048665A"/>
    <w:rsid w:val="004A219C"/>
    <w:rsid w:val="004A72E8"/>
    <w:rsid w:val="004B10D8"/>
    <w:rsid w:val="004C0E3E"/>
    <w:rsid w:val="004D1664"/>
    <w:rsid w:val="004D2266"/>
    <w:rsid w:val="004D3D9F"/>
    <w:rsid w:val="004D6801"/>
    <w:rsid w:val="004E1653"/>
    <w:rsid w:val="004E5F89"/>
    <w:rsid w:val="004E7FD6"/>
    <w:rsid w:val="004F02DE"/>
    <w:rsid w:val="004F045E"/>
    <w:rsid w:val="004F0850"/>
    <w:rsid w:val="004F0ACE"/>
    <w:rsid w:val="00500985"/>
    <w:rsid w:val="00502434"/>
    <w:rsid w:val="00506CEF"/>
    <w:rsid w:val="00514684"/>
    <w:rsid w:val="005160B6"/>
    <w:rsid w:val="00520D69"/>
    <w:rsid w:val="0053154D"/>
    <w:rsid w:val="00531F9C"/>
    <w:rsid w:val="0053317F"/>
    <w:rsid w:val="00535D07"/>
    <w:rsid w:val="0054093F"/>
    <w:rsid w:val="00544201"/>
    <w:rsid w:val="005452B4"/>
    <w:rsid w:val="005469AB"/>
    <w:rsid w:val="0055430C"/>
    <w:rsid w:val="00560018"/>
    <w:rsid w:val="00586C86"/>
    <w:rsid w:val="00594315"/>
    <w:rsid w:val="005945B1"/>
    <w:rsid w:val="005B4DCC"/>
    <w:rsid w:val="005C162B"/>
    <w:rsid w:val="005D3267"/>
    <w:rsid w:val="005D3D20"/>
    <w:rsid w:val="005D55B5"/>
    <w:rsid w:val="005E5BBD"/>
    <w:rsid w:val="005F3130"/>
    <w:rsid w:val="006011A6"/>
    <w:rsid w:val="00612D6B"/>
    <w:rsid w:val="00615EE4"/>
    <w:rsid w:val="0062005D"/>
    <w:rsid w:val="00620A34"/>
    <w:rsid w:val="00637A90"/>
    <w:rsid w:val="00642710"/>
    <w:rsid w:val="00642EAC"/>
    <w:rsid w:val="006548BF"/>
    <w:rsid w:val="006653A2"/>
    <w:rsid w:val="006653A3"/>
    <w:rsid w:val="00667EB7"/>
    <w:rsid w:val="00683E90"/>
    <w:rsid w:val="00690430"/>
    <w:rsid w:val="00691E21"/>
    <w:rsid w:val="006A0223"/>
    <w:rsid w:val="006A14D8"/>
    <w:rsid w:val="006A1A2D"/>
    <w:rsid w:val="006A555F"/>
    <w:rsid w:val="006B2E3F"/>
    <w:rsid w:val="006B3FCF"/>
    <w:rsid w:val="006C2170"/>
    <w:rsid w:val="006C7AFC"/>
    <w:rsid w:val="006D295B"/>
    <w:rsid w:val="006E3F83"/>
    <w:rsid w:val="006E5603"/>
    <w:rsid w:val="006E7F38"/>
    <w:rsid w:val="006F7BB6"/>
    <w:rsid w:val="0070216A"/>
    <w:rsid w:val="00703B01"/>
    <w:rsid w:val="007049CE"/>
    <w:rsid w:val="00705552"/>
    <w:rsid w:val="00706668"/>
    <w:rsid w:val="00707C02"/>
    <w:rsid w:val="00711BE9"/>
    <w:rsid w:val="00716DFA"/>
    <w:rsid w:val="007226E2"/>
    <w:rsid w:val="007268CF"/>
    <w:rsid w:val="00732F41"/>
    <w:rsid w:val="00734F03"/>
    <w:rsid w:val="007422F9"/>
    <w:rsid w:val="00745E3B"/>
    <w:rsid w:val="00750B52"/>
    <w:rsid w:val="00752876"/>
    <w:rsid w:val="00753BC1"/>
    <w:rsid w:val="00755F25"/>
    <w:rsid w:val="007560AB"/>
    <w:rsid w:val="00763AE1"/>
    <w:rsid w:val="00770AA1"/>
    <w:rsid w:val="007810E8"/>
    <w:rsid w:val="00781EF5"/>
    <w:rsid w:val="00782361"/>
    <w:rsid w:val="00785C1D"/>
    <w:rsid w:val="00793C93"/>
    <w:rsid w:val="00794F16"/>
    <w:rsid w:val="007A19A1"/>
    <w:rsid w:val="007A57E6"/>
    <w:rsid w:val="007A6423"/>
    <w:rsid w:val="007B033C"/>
    <w:rsid w:val="007B0D3F"/>
    <w:rsid w:val="007B20C1"/>
    <w:rsid w:val="007C6EFB"/>
    <w:rsid w:val="007C7CF7"/>
    <w:rsid w:val="007D276A"/>
    <w:rsid w:val="007E0644"/>
    <w:rsid w:val="007E0B95"/>
    <w:rsid w:val="007E10BC"/>
    <w:rsid w:val="007F798C"/>
    <w:rsid w:val="00807888"/>
    <w:rsid w:val="00810715"/>
    <w:rsid w:val="008171EB"/>
    <w:rsid w:val="00817EB7"/>
    <w:rsid w:val="008304C1"/>
    <w:rsid w:val="00830E16"/>
    <w:rsid w:val="00846215"/>
    <w:rsid w:val="00853025"/>
    <w:rsid w:val="00855DF3"/>
    <w:rsid w:val="008654A9"/>
    <w:rsid w:val="00874DCC"/>
    <w:rsid w:val="00875376"/>
    <w:rsid w:val="00885817"/>
    <w:rsid w:val="00886489"/>
    <w:rsid w:val="008A050C"/>
    <w:rsid w:val="008B217A"/>
    <w:rsid w:val="008B77D7"/>
    <w:rsid w:val="008C0793"/>
    <w:rsid w:val="008C4F9B"/>
    <w:rsid w:val="008C59D8"/>
    <w:rsid w:val="008C79D1"/>
    <w:rsid w:val="008D3E4F"/>
    <w:rsid w:val="008D4054"/>
    <w:rsid w:val="008D44BD"/>
    <w:rsid w:val="008D4B96"/>
    <w:rsid w:val="008D5630"/>
    <w:rsid w:val="008D67B1"/>
    <w:rsid w:val="008E58E7"/>
    <w:rsid w:val="008F074E"/>
    <w:rsid w:val="008F08AB"/>
    <w:rsid w:val="008F514B"/>
    <w:rsid w:val="008F562E"/>
    <w:rsid w:val="0090173D"/>
    <w:rsid w:val="00905CAE"/>
    <w:rsid w:val="00911560"/>
    <w:rsid w:val="00917CA8"/>
    <w:rsid w:val="00920010"/>
    <w:rsid w:val="00923ABD"/>
    <w:rsid w:val="0093316B"/>
    <w:rsid w:val="009353CD"/>
    <w:rsid w:val="0093715D"/>
    <w:rsid w:val="00942689"/>
    <w:rsid w:val="00950FE9"/>
    <w:rsid w:val="00954CDE"/>
    <w:rsid w:val="00961D13"/>
    <w:rsid w:val="00967BBB"/>
    <w:rsid w:val="00976D94"/>
    <w:rsid w:val="00977060"/>
    <w:rsid w:val="009778E5"/>
    <w:rsid w:val="00977BFE"/>
    <w:rsid w:val="0098067D"/>
    <w:rsid w:val="00986830"/>
    <w:rsid w:val="00992BD4"/>
    <w:rsid w:val="009A339A"/>
    <w:rsid w:val="009A522D"/>
    <w:rsid w:val="009B686A"/>
    <w:rsid w:val="009C45FA"/>
    <w:rsid w:val="009D192C"/>
    <w:rsid w:val="009D56A2"/>
    <w:rsid w:val="009D5789"/>
    <w:rsid w:val="009D6B55"/>
    <w:rsid w:val="009E320B"/>
    <w:rsid w:val="009E51AB"/>
    <w:rsid w:val="009E58BF"/>
    <w:rsid w:val="009E6698"/>
    <w:rsid w:val="009F0F45"/>
    <w:rsid w:val="00A01074"/>
    <w:rsid w:val="00A03A46"/>
    <w:rsid w:val="00A13A0C"/>
    <w:rsid w:val="00A37342"/>
    <w:rsid w:val="00A40B55"/>
    <w:rsid w:val="00A42264"/>
    <w:rsid w:val="00A42A80"/>
    <w:rsid w:val="00A44D21"/>
    <w:rsid w:val="00A5554B"/>
    <w:rsid w:val="00A62AAD"/>
    <w:rsid w:val="00A7385A"/>
    <w:rsid w:val="00A73FF2"/>
    <w:rsid w:val="00A74409"/>
    <w:rsid w:val="00A85D68"/>
    <w:rsid w:val="00A93216"/>
    <w:rsid w:val="00AA06F2"/>
    <w:rsid w:val="00AA57CA"/>
    <w:rsid w:val="00AB75EA"/>
    <w:rsid w:val="00AC375E"/>
    <w:rsid w:val="00AD1772"/>
    <w:rsid w:val="00AD5C37"/>
    <w:rsid w:val="00AD66FE"/>
    <w:rsid w:val="00AD77AF"/>
    <w:rsid w:val="00AE6C22"/>
    <w:rsid w:val="00AF132C"/>
    <w:rsid w:val="00AF1AFD"/>
    <w:rsid w:val="00AF34DF"/>
    <w:rsid w:val="00AF3D12"/>
    <w:rsid w:val="00AF4A15"/>
    <w:rsid w:val="00B03E5E"/>
    <w:rsid w:val="00B05F65"/>
    <w:rsid w:val="00B12022"/>
    <w:rsid w:val="00B1242E"/>
    <w:rsid w:val="00B12D91"/>
    <w:rsid w:val="00B16CF1"/>
    <w:rsid w:val="00B20ABB"/>
    <w:rsid w:val="00B40226"/>
    <w:rsid w:val="00B407A8"/>
    <w:rsid w:val="00B44D0E"/>
    <w:rsid w:val="00B46E99"/>
    <w:rsid w:val="00B5097D"/>
    <w:rsid w:val="00B54485"/>
    <w:rsid w:val="00B60216"/>
    <w:rsid w:val="00B61FE2"/>
    <w:rsid w:val="00B70C90"/>
    <w:rsid w:val="00B73749"/>
    <w:rsid w:val="00B833A1"/>
    <w:rsid w:val="00B83F64"/>
    <w:rsid w:val="00B863C1"/>
    <w:rsid w:val="00B963E6"/>
    <w:rsid w:val="00BA093C"/>
    <w:rsid w:val="00BA1825"/>
    <w:rsid w:val="00BA1E10"/>
    <w:rsid w:val="00BA28EF"/>
    <w:rsid w:val="00BA5955"/>
    <w:rsid w:val="00BC3BE5"/>
    <w:rsid w:val="00BC44D7"/>
    <w:rsid w:val="00BC520C"/>
    <w:rsid w:val="00BC7481"/>
    <w:rsid w:val="00BD795C"/>
    <w:rsid w:val="00BE21E4"/>
    <w:rsid w:val="00BE5FBF"/>
    <w:rsid w:val="00BF3C8D"/>
    <w:rsid w:val="00BF6945"/>
    <w:rsid w:val="00BF6E67"/>
    <w:rsid w:val="00C009E4"/>
    <w:rsid w:val="00C017EC"/>
    <w:rsid w:val="00C03055"/>
    <w:rsid w:val="00C20CF3"/>
    <w:rsid w:val="00C22F16"/>
    <w:rsid w:val="00C2567E"/>
    <w:rsid w:val="00C37957"/>
    <w:rsid w:val="00C415CD"/>
    <w:rsid w:val="00C4670B"/>
    <w:rsid w:val="00C667A2"/>
    <w:rsid w:val="00C66A81"/>
    <w:rsid w:val="00C6768A"/>
    <w:rsid w:val="00C73AD6"/>
    <w:rsid w:val="00C77718"/>
    <w:rsid w:val="00C90245"/>
    <w:rsid w:val="00C9155D"/>
    <w:rsid w:val="00C97626"/>
    <w:rsid w:val="00CA28EA"/>
    <w:rsid w:val="00CB1DD0"/>
    <w:rsid w:val="00CB4FCA"/>
    <w:rsid w:val="00CB7B6F"/>
    <w:rsid w:val="00CC0AF6"/>
    <w:rsid w:val="00CC475A"/>
    <w:rsid w:val="00CC7DE6"/>
    <w:rsid w:val="00CE6EBB"/>
    <w:rsid w:val="00CF04CD"/>
    <w:rsid w:val="00CF4176"/>
    <w:rsid w:val="00D07AA0"/>
    <w:rsid w:val="00D16C8B"/>
    <w:rsid w:val="00D21549"/>
    <w:rsid w:val="00D2287C"/>
    <w:rsid w:val="00D22E5B"/>
    <w:rsid w:val="00D237E5"/>
    <w:rsid w:val="00D24574"/>
    <w:rsid w:val="00D35C2F"/>
    <w:rsid w:val="00D45D22"/>
    <w:rsid w:val="00D551CC"/>
    <w:rsid w:val="00D57967"/>
    <w:rsid w:val="00D6403C"/>
    <w:rsid w:val="00D75ADF"/>
    <w:rsid w:val="00D8529A"/>
    <w:rsid w:val="00D90A77"/>
    <w:rsid w:val="00DA6771"/>
    <w:rsid w:val="00DA730F"/>
    <w:rsid w:val="00DB2284"/>
    <w:rsid w:val="00DB2CA0"/>
    <w:rsid w:val="00DC0D8C"/>
    <w:rsid w:val="00DC1C48"/>
    <w:rsid w:val="00DC4E1B"/>
    <w:rsid w:val="00DD364C"/>
    <w:rsid w:val="00DD5E2E"/>
    <w:rsid w:val="00DE1D9C"/>
    <w:rsid w:val="00DE3AEF"/>
    <w:rsid w:val="00DE4850"/>
    <w:rsid w:val="00DE6B5E"/>
    <w:rsid w:val="00DE7A5E"/>
    <w:rsid w:val="00DE7EB1"/>
    <w:rsid w:val="00DF43A6"/>
    <w:rsid w:val="00DF440F"/>
    <w:rsid w:val="00DF5020"/>
    <w:rsid w:val="00E0332C"/>
    <w:rsid w:val="00E06F4D"/>
    <w:rsid w:val="00E14663"/>
    <w:rsid w:val="00E27EB3"/>
    <w:rsid w:val="00E3559D"/>
    <w:rsid w:val="00E4397F"/>
    <w:rsid w:val="00E43A16"/>
    <w:rsid w:val="00E44072"/>
    <w:rsid w:val="00E53185"/>
    <w:rsid w:val="00E5451A"/>
    <w:rsid w:val="00E547D6"/>
    <w:rsid w:val="00E57BA4"/>
    <w:rsid w:val="00E6077D"/>
    <w:rsid w:val="00E634A7"/>
    <w:rsid w:val="00E6372C"/>
    <w:rsid w:val="00E6712E"/>
    <w:rsid w:val="00E6775C"/>
    <w:rsid w:val="00E7764B"/>
    <w:rsid w:val="00E800A1"/>
    <w:rsid w:val="00E83BA2"/>
    <w:rsid w:val="00E87D23"/>
    <w:rsid w:val="00E87FA5"/>
    <w:rsid w:val="00E96F3A"/>
    <w:rsid w:val="00EB0A81"/>
    <w:rsid w:val="00EB17AC"/>
    <w:rsid w:val="00EB2420"/>
    <w:rsid w:val="00EB481B"/>
    <w:rsid w:val="00EB4918"/>
    <w:rsid w:val="00EC3718"/>
    <w:rsid w:val="00EC5C63"/>
    <w:rsid w:val="00ED0B3C"/>
    <w:rsid w:val="00ED4B9B"/>
    <w:rsid w:val="00ED5B95"/>
    <w:rsid w:val="00ED6E6A"/>
    <w:rsid w:val="00EE2BBE"/>
    <w:rsid w:val="00EE2E23"/>
    <w:rsid w:val="00EF0157"/>
    <w:rsid w:val="00F05E2D"/>
    <w:rsid w:val="00F068E1"/>
    <w:rsid w:val="00F07A0B"/>
    <w:rsid w:val="00F10860"/>
    <w:rsid w:val="00F11F3A"/>
    <w:rsid w:val="00F12F66"/>
    <w:rsid w:val="00F21980"/>
    <w:rsid w:val="00F224EC"/>
    <w:rsid w:val="00F22EEF"/>
    <w:rsid w:val="00F26182"/>
    <w:rsid w:val="00F261C6"/>
    <w:rsid w:val="00F35B67"/>
    <w:rsid w:val="00F368DD"/>
    <w:rsid w:val="00F43634"/>
    <w:rsid w:val="00F445F6"/>
    <w:rsid w:val="00F46E7F"/>
    <w:rsid w:val="00F50CF0"/>
    <w:rsid w:val="00F51239"/>
    <w:rsid w:val="00F57888"/>
    <w:rsid w:val="00F60F59"/>
    <w:rsid w:val="00F61326"/>
    <w:rsid w:val="00F655FD"/>
    <w:rsid w:val="00F71F98"/>
    <w:rsid w:val="00F81D0A"/>
    <w:rsid w:val="00F910F9"/>
    <w:rsid w:val="00F9348E"/>
    <w:rsid w:val="00F979FE"/>
    <w:rsid w:val="00F97A0E"/>
    <w:rsid w:val="00FA64E6"/>
    <w:rsid w:val="00FA69C3"/>
    <w:rsid w:val="00FB6F68"/>
    <w:rsid w:val="00FC4FDB"/>
    <w:rsid w:val="00FD2A3C"/>
    <w:rsid w:val="00FE32BD"/>
    <w:rsid w:val="00FE6082"/>
    <w:rsid w:val="00FF0536"/>
    <w:rsid w:val="00FF2831"/>
    <w:rsid w:val="00FF3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F7B7F"/>
  <w15:chartTrackingRefBased/>
  <w15:docId w15:val="{E5492C96-AD2F-4E22-9F4F-550BE93F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49" w:qFormat="1"/>
    <w:lsdException w:name="heading 6" w:semiHidden="1" w:uiPriority="49" w:qFormat="1"/>
    <w:lsdException w:name="heading 7" w:semiHidden="1" w:uiPriority="49" w:qFormat="1"/>
    <w:lsdException w:name="heading 8" w:semiHidden="1" w:uiPriority="49" w:qFormat="1"/>
    <w:lsdException w:name="heading 9" w:semiHidden="1" w:uiPriority="4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20B"/>
    <w:pPr>
      <w:keepLines/>
      <w:spacing w:before="120" w:line="280" w:lineRule="exact"/>
    </w:pPr>
    <w:rPr>
      <w:rFonts w:ascii="Segoe UI" w:hAnsi="Segoe UI" w:cs="Times New Roman (Body CS)"/>
      <w:spacing w:val="-3"/>
      <w:sz w:val="22"/>
    </w:rPr>
  </w:style>
  <w:style w:type="paragraph" w:styleId="Heading1">
    <w:name w:val="heading 1"/>
    <w:basedOn w:val="Normal"/>
    <w:next w:val="Normal"/>
    <w:link w:val="Heading1Char"/>
    <w:uiPriority w:val="2"/>
    <w:qFormat/>
    <w:rsid w:val="0048665A"/>
    <w:pPr>
      <w:keepLines w:val="0"/>
      <w:snapToGrid w:val="0"/>
      <w:spacing w:before="240" w:line="216" w:lineRule="auto"/>
      <w:ind w:right="851"/>
      <w:outlineLvl w:val="0"/>
    </w:pPr>
    <w:rPr>
      <w:rFonts w:ascii="Segoe UI Black" w:hAnsi="Segoe UI Black" w:cs="Quire Sans (Headings)"/>
      <w:bCs/>
      <w:color w:val="3C033D" w:themeColor="text1"/>
      <w:spacing w:val="-15"/>
      <w:sz w:val="72"/>
      <w:szCs w:val="160"/>
      <w:u w:color="F27FB2" w:themeColor="accent3"/>
    </w:rPr>
  </w:style>
  <w:style w:type="paragraph" w:styleId="Heading2">
    <w:name w:val="heading 2"/>
    <w:basedOn w:val="Normal"/>
    <w:next w:val="Normal"/>
    <w:link w:val="Heading2Char"/>
    <w:uiPriority w:val="4"/>
    <w:qFormat/>
    <w:rsid w:val="0048665A"/>
    <w:pPr>
      <w:keepNext/>
      <w:tabs>
        <w:tab w:val="left" w:pos="851"/>
      </w:tabs>
      <w:spacing w:after="120" w:line="240" w:lineRule="auto"/>
      <w:outlineLvl w:val="1"/>
    </w:pPr>
    <w:rPr>
      <w:rFonts w:eastAsiaTheme="majorEastAsia" w:cs="Segoe UI"/>
      <w:b/>
      <w:bCs/>
      <w:color w:val="3C033D" w:themeColor="text1"/>
      <w:sz w:val="28"/>
      <w:szCs w:val="28"/>
      <w:lang w:val="en-GB"/>
    </w:rPr>
  </w:style>
  <w:style w:type="paragraph" w:styleId="Heading3">
    <w:name w:val="heading 3"/>
    <w:basedOn w:val="Normal"/>
    <w:next w:val="Normal"/>
    <w:link w:val="Heading3Char"/>
    <w:uiPriority w:val="5"/>
    <w:qFormat/>
    <w:rsid w:val="00753BC1"/>
    <w:pPr>
      <w:keepNext/>
      <w:spacing w:before="240" w:after="120"/>
      <w:outlineLvl w:val="2"/>
    </w:pPr>
    <w:rPr>
      <w:rFonts w:eastAsiaTheme="majorEastAsia" w:cstheme="majorBidi"/>
      <w:b/>
      <w:sz w:val="24"/>
    </w:rPr>
  </w:style>
  <w:style w:type="paragraph" w:styleId="Heading4">
    <w:name w:val="heading 4"/>
    <w:basedOn w:val="Normal"/>
    <w:next w:val="Normal"/>
    <w:link w:val="Heading4Char"/>
    <w:uiPriority w:val="6"/>
    <w:qFormat/>
    <w:rsid w:val="00794F16"/>
    <w:pPr>
      <w:keepNext/>
      <w:spacing w:before="180"/>
      <w:outlineLvl w:val="3"/>
    </w:pPr>
    <w:rPr>
      <w:rFonts w:eastAsiaTheme="majorEastAsia" w:cstheme="minorHAns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5B">
    <w:name w:val="Table 5B"/>
    <w:basedOn w:val="TableNormal"/>
    <w:uiPriority w:val="99"/>
    <w:rsid w:val="00B12022"/>
    <w:pPr>
      <w:spacing w:line="240" w:lineRule="exact"/>
    </w:pPr>
    <w:rPr>
      <w:sz w:val="22"/>
    </w:rPr>
    <w:tblPr>
      <w:tblStyleRowBandSize w:val="1"/>
    </w:tblPr>
    <w:tcPr>
      <w:tcMar>
        <w:top w:w="57" w:type="dxa"/>
        <w:bottom w:w="57" w:type="dxa"/>
      </w:tcMar>
    </w:tcPr>
    <w:tblStylePr w:type="firstRow">
      <w:rPr>
        <w:b/>
      </w:rPr>
      <w:tblPr/>
      <w:trPr>
        <w:cantSplit/>
        <w:tblHeader/>
      </w:trPr>
      <w:tcPr>
        <w:shd w:val="clear" w:color="auto" w:fill="B5E4F9"/>
      </w:tcPr>
    </w:tblStylePr>
    <w:tblStylePr w:type="band1Horz">
      <w:tblPr/>
      <w:tcPr>
        <w:shd w:val="clear" w:color="auto" w:fill="F1F9FE"/>
      </w:tcPr>
    </w:tblStylePr>
  </w:style>
  <w:style w:type="numbering" w:styleId="1ai">
    <w:name w:val="Outline List 1"/>
    <w:basedOn w:val="NoList"/>
    <w:uiPriority w:val="99"/>
    <w:semiHidden/>
    <w:unhideWhenUsed/>
    <w:rsid w:val="00DF440F"/>
  </w:style>
  <w:style w:type="numbering" w:customStyle="1" w:styleId="Style1">
    <w:name w:val="Style1"/>
    <w:uiPriority w:val="99"/>
    <w:rsid w:val="00817EB7"/>
    <w:pPr>
      <w:numPr>
        <w:numId w:val="1"/>
      </w:numPr>
    </w:pPr>
  </w:style>
  <w:style w:type="paragraph" w:customStyle="1" w:styleId="List1">
    <w:name w:val="List 1"/>
    <w:basedOn w:val="Normal"/>
    <w:uiPriority w:val="99"/>
    <w:semiHidden/>
    <w:qFormat/>
    <w:rsid w:val="00DF440F"/>
    <w:pPr>
      <w:numPr>
        <w:numId w:val="2"/>
      </w:numPr>
      <w:snapToGrid w:val="0"/>
    </w:pPr>
  </w:style>
  <w:style w:type="paragraph" w:styleId="ListBullet">
    <w:name w:val="List Bullet"/>
    <w:basedOn w:val="Normal"/>
    <w:uiPriority w:val="99"/>
    <w:semiHidden/>
    <w:qFormat/>
    <w:rsid w:val="00DF440F"/>
    <w:pPr>
      <w:numPr>
        <w:numId w:val="3"/>
      </w:numPr>
    </w:pPr>
  </w:style>
  <w:style w:type="character" w:customStyle="1" w:styleId="Heading1Char">
    <w:name w:val="Heading 1 Char"/>
    <w:basedOn w:val="DefaultParagraphFont"/>
    <w:link w:val="Heading1"/>
    <w:uiPriority w:val="2"/>
    <w:rsid w:val="0048665A"/>
    <w:rPr>
      <w:rFonts w:ascii="Segoe UI Black" w:hAnsi="Segoe UI Black" w:cs="Quire Sans (Headings)"/>
      <w:bCs/>
      <w:color w:val="3C033D" w:themeColor="text1"/>
      <w:spacing w:val="-15"/>
      <w:sz w:val="72"/>
      <w:szCs w:val="160"/>
      <w:u w:color="F27FB2" w:themeColor="accent3"/>
    </w:rPr>
  </w:style>
  <w:style w:type="table" w:customStyle="1" w:styleId="SLP2">
    <w:name w:val="SLP 2"/>
    <w:basedOn w:val="TableNormal"/>
    <w:uiPriority w:val="99"/>
    <w:rsid w:val="00763AE1"/>
    <w:pPr>
      <w:spacing w:before="120" w:after="40" w:line="200" w:lineRule="exact"/>
    </w:pPr>
    <w:rPr>
      <w:rFonts w:cs="Times New Roman (Body CS)"/>
      <w:color w:val="3C033D" w:themeColor="text1"/>
      <w:sz w:val="16"/>
    </w:rPr>
    <w:tblPr>
      <w:tblStyleRowBandSize w:val="1"/>
      <w:tblBorders>
        <w:left w:val="single" w:sz="4" w:space="0" w:color="AB176E" w:themeColor="accent1"/>
        <w:right w:val="single" w:sz="4" w:space="0" w:color="AB176E" w:themeColor="accent1"/>
        <w:insideH w:val="single" w:sz="6" w:space="0" w:color="AB176E" w:themeColor="accent1"/>
        <w:insideV w:val="single" w:sz="6" w:space="0" w:color="AB176E" w:themeColor="accent1"/>
      </w:tblBorders>
      <w:tblCellMar>
        <w:top w:w="113" w:type="dxa"/>
        <w:left w:w="113" w:type="dxa"/>
        <w:bottom w:w="113" w:type="dxa"/>
        <w:right w:w="113" w:type="dxa"/>
      </w:tblCellMar>
    </w:tblPr>
    <w:trPr>
      <w:cantSplit/>
    </w:trPr>
    <w:tblStylePr w:type="firstRow">
      <w:pPr>
        <w:wordWrap/>
        <w:spacing w:beforeLines="0" w:before="240" w:beforeAutospacing="0" w:afterLines="0" w:after="0" w:afterAutospacing="0" w:line="210" w:lineRule="exact"/>
      </w:pPr>
      <w:rPr>
        <w:rFonts w:asciiTheme="minorHAnsi" w:hAnsiTheme="minorHAnsi"/>
        <w:b/>
        <w:color w:val="auto"/>
        <w:sz w:val="16"/>
      </w:rPr>
      <w:tblPr/>
      <w:tcPr>
        <w:tcBorders>
          <w:top w:val="single" w:sz="4" w:space="0" w:color="AB176E" w:themeColor="accent1"/>
          <w:left w:val="single" w:sz="4" w:space="0" w:color="AB176E" w:themeColor="accent1"/>
          <w:bottom w:val="single" w:sz="4" w:space="0" w:color="AB176E" w:themeColor="accent1"/>
          <w:right w:val="single" w:sz="4" w:space="0" w:color="AB176E" w:themeColor="accent1"/>
          <w:insideH w:val="nil"/>
          <w:insideV w:val="single" w:sz="4" w:space="0" w:color="FFFFFF" w:themeColor="background1"/>
          <w:tl2br w:val="nil"/>
          <w:tr2bl w:val="nil"/>
        </w:tcBorders>
        <w:shd w:val="clear" w:color="auto" w:fill="AB176E" w:themeFill="accent1"/>
      </w:tcPr>
    </w:tblStylePr>
    <w:tblStylePr w:type="band1Horz">
      <w:rPr>
        <w:rFonts w:asciiTheme="minorHAnsi" w:hAnsiTheme="minorHAnsi"/>
      </w:rPr>
    </w:tblStylePr>
  </w:style>
  <w:style w:type="character" w:customStyle="1" w:styleId="Heading4Char">
    <w:name w:val="Heading 4 Char"/>
    <w:basedOn w:val="DefaultParagraphFont"/>
    <w:link w:val="Heading4"/>
    <w:uiPriority w:val="6"/>
    <w:rsid w:val="00794F16"/>
    <w:rPr>
      <w:rFonts w:eastAsiaTheme="majorEastAsia" w:cstheme="minorHAnsi"/>
      <w:bCs/>
      <w:spacing w:val="-3"/>
      <w:sz w:val="22"/>
      <w:szCs w:val="28"/>
    </w:rPr>
  </w:style>
  <w:style w:type="paragraph" w:customStyle="1" w:styleId="Table1">
    <w:name w:val="Table 1"/>
    <w:basedOn w:val="Normal"/>
    <w:uiPriority w:val="13"/>
    <w:semiHidden/>
    <w:qFormat/>
    <w:rsid w:val="00DF440F"/>
    <w:pPr>
      <w:spacing w:before="40" w:after="40" w:line="220" w:lineRule="exact"/>
    </w:pPr>
    <w:rPr>
      <w:sz w:val="18"/>
      <w:szCs w:val="18"/>
    </w:rPr>
  </w:style>
  <w:style w:type="character" w:customStyle="1" w:styleId="Heading2Char">
    <w:name w:val="Heading 2 Char"/>
    <w:basedOn w:val="DefaultParagraphFont"/>
    <w:link w:val="Heading2"/>
    <w:uiPriority w:val="4"/>
    <w:rsid w:val="0048665A"/>
    <w:rPr>
      <w:rFonts w:ascii="Segoe UI" w:eastAsiaTheme="majorEastAsia" w:hAnsi="Segoe UI" w:cs="Segoe UI"/>
      <w:b/>
      <w:bCs/>
      <w:color w:val="3C033D" w:themeColor="text1"/>
      <w:spacing w:val="-3"/>
      <w:sz w:val="28"/>
      <w:szCs w:val="28"/>
      <w:lang w:val="en-GB"/>
    </w:rPr>
  </w:style>
  <w:style w:type="character" w:customStyle="1" w:styleId="Heading3Char">
    <w:name w:val="Heading 3 Char"/>
    <w:basedOn w:val="DefaultParagraphFont"/>
    <w:link w:val="Heading3"/>
    <w:uiPriority w:val="5"/>
    <w:rsid w:val="00753BC1"/>
    <w:rPr>
      <w:rFonts w:ascii="Segoe UI" w:eastAsiaTheme="majorEastAsia" w:hAnsi="Segoe UI" w:cstheme="majorBidi"/>
      <w:b/>
      <w:spacing w:val="-3"/>
    </w:rPr>
  </w:style>
  <w:style w:type="paragraph" w:styleId="Title">
    <w:name w:val="Title"/>
    <w:basedOn w:val="Heading1"/>
    <w:next w:val="Normal"/>
    <w:link w:val="TitleChar"/>
    <w:uiPriority w:val="10"/>
    <w:semiHidden/>
    <w:rsid w:val="00DF440F"/>
    <w:pPr>
      <w:spacing w:line="640" w:lineRule="exact"/>
    </w:pPr>
    <w:rPr>
      <w:rFonts w:cstheme="minorBidi"/>
      <w:color w:val="280150" w:themeColor="text2"/>
      <w:spacing w:val="0"/>
      <w:szCs w:val="60"/>
    </w:rPr>
  </w:style>
  <w:style w:type="character" w:customStyle="1" w:styleId="TitleChar">
    <w:name w:val="Title Char"/>
    <w:basedOn w:val="DefaultParagraphFont"/>
    <w:link w:val="Title"/>
    <w:uiPriority w:val="10"/>
    <w:semiHidden/>
    <w:rsid w:val="00275DC2"/>
    <w:rPr>
      <w:rFonts w:asciiTheme="majorHAnsi" w:hAnsiTheme="majorHAnsi"/>
      <w:b/>
      <w:bCs/>
      <w:color w:val="280150" w:themeColor="text2"/>
      <w:sz w:val="72"/>
      <w:szCs w:val="60"/>
      <w:u w:color="F27FB2" w:themeColor="accent3"/>
    </w:rPr>
  </w:style>
  <w:style w:type="paragraph" w:styleId="Subtitle">
    <w:name w:val="Subtitle"/>
    <w:basedOn w:val="Normal"/>
    <w:next w:val="Normal"/>
    <w:link w:val="SubtitleChar"/>
    <w:uiPriority w:val="11"/>
    <w:semiHidden/>
    <w:rsid w:val="00DF440F"/>
    <w:pPr>
      <w:numPr>
        <w:ilvl w:val="1"/>
      </w:numPr>
      <w:snapToGrid w:val="0"/>
      <w:spacing w:after="600"/>
    </w:pPr>
    <w:rPr>
      <w:rFonts w:eastAsiaTheme="minorEastAsia"/>
      <w:color w:val="AB176E" w:themeColor="accent1"/>
      <w:sz w:val="26"/>
      <w:szCs w:val="26"/>
    </w:rPr>
  </w:style>
  <w:style w:type="character" w:customStyle="1" w:styleId="SubtitleChar">
    <w:name w:val="Subtitle Char"/>
    <w:basedOn w:val="DefaultParagraphFont"/>
    <w:link w:val="Subtitle"/>
    <w:uiPriority w:val="11"/>
    <w:semiHidden/>
    <w:rsid w:val="00275DC2"/>
    <w:rPr>
      <w:rFonts w:eastAsiaTheme="minorEastAsia" w:cs="Times New Roman (Body CS)"/>
      <w:color w:val="AB176E" w:themeColor="accent1"/>
      <w:spacing w:val="-3"/>
      <w:sz w:val="26"/>
      <w:szCs w:val="26"/>
    </w:rPr>
  </w:style>
  <w:style w:type="paragraph" w:styleId="Date">
    <w:name w:val="Date"/>
    <w:basedOn w:val="Normal"/>
    <w:next w:val="Normal"/>
    <w:link w:val="DateChar"/>
    <w:uiPriority w:val="19"/>
    <w:semiHidden/>
    <w:rsid w:val="00DF440F"/>
    <w:pPr>
      <w:tabs>
        <w:tab w:val="left" w:pos="227"/>
      </w:tabs>
    </w:pPr>
    <w:rPr>
      <w:color w:val="280150" w:themeColor="text2"/>
      <w:sz w:val="18"/>
      <w:szCs w:val="18"/>
    </w:rPr>
  </w:style>
  <w:style w:type="character" w:customStyle="1" w:styleId="DateChar">
    <w:name w:val="Date Char"/>
    <w:basedOn w:val="DefaultParagraphFont"/>
    <w:link w:val="Date"/>
    <w:uiPriority w:val="19"/>
    <w:semiHidden/>
    <w:rsid w:val="00275DC2"/>
    <w:rPr>
      <w:rFonts w:cs="Times New Roman (Body CS)"/>
      <w:color w:val="280150" w:themeColor="text2"/>
      <w:spacing w:val="-3"/>
      <w:sz w:val="18"/>
      <w:szCs w:val="18"/>
    </w:rPr>
  </w:style>
  <w:style w:type="paragraph" w:styleId="TOC1">
    <w:name w:val="toc 1"/>
    <w:basedOn w:val="Normal"/>
    <w:next w:val="Normal"/>
    <w:autoRedefine/>
    <w:uiPriority w:val="39"/>
    <w:semiHidden/>
    <w:rsid w:val="00DF440F"/>
    <w:pPr>
      <w:keepNext/>
      <w:tabs>
        <w:tab w:val="left" w:pos="1134"/>
        <w:tab w:val="right" w:pos="8505"/>
      </w:tabs>
      <w:spacing w:before="160" w:after="40"/>
      <w:ind w:left="1134" w:hanging="425"/>
    </w:pPr>
    <w:rPr>
      <w:rFonts w:asciiTheme="majorHAnsi" w:hAnsiTheme="majorHAnsi"/>
      <w:bCs/>
      <w:noProof/>
      <w:color w:val="AB176E" w:themeColor="accent1"/>
    </w:rPr>
  </w:style>
  <w:style w:type="paragraph" w:styleId="TOC2">
    <w:name w:val="toc 2"/>
    <w:basedOn w:val="Normal"/>
    <w:next w:val="Normal"/>
    <w:autoRedefine/>
    <w:uiPriority w:val="39"/>
    <w:semiHidden/>
    <w:rsid w:val="00DF440F"/>
    <w:pPr>
      <w:tabs>
        <w:tab w:val="left" w:pos="1701"/>
        <w:tab w:val="right" w:pos="8505"/>
      </w:tabs>
      <w:spacing w:before="0"/>
      <w:ind w:left="1701" w:hanging="567"/>
    </w:pPr>
    <w:rPr>
      <w:rFonts w:cstheme="minorHAnsi"/>
      <w:bCs/>
      <w:szCs w:val="20"/>
    </w:rPr>
  </w:style>
  <w:style w:type="paragraph" w:styleId="TOC3">
    <w:name w:val="toc 3"/>
    <w:basedOn w:val="Normal"/>
    <w:next w:val="Normal"/>
    <w:autoRedefine/>
    <w:uiPriority w:val="39"/>
    <w:semiHidden/>
    <w:rsid w:val="00DF440F"/>
    <w:pPr>
      <w:tabs>
        <w:tab w:val="left" w:pos="2268"/>
        <w:tab w:val="right" w:pos="8505"/>
      </w:tabs>
      <w:spacing w:before="40"/>
      <w:ind w:left="2268" w:right="-7" w:hanging="567"/>
    </w:pPr>
    <w:rPr>
      <w:rFonts w:cstheme="minorHAnsi"/>
      <w:i/>
      <w:noProof/>
      <w:szCs w:val="20"/>
    </w:rPr>
  </w:style>
  <w:style w:type="paragraph" w:styleId="Caption">
    <w:name w:val="caption"/>
    <w:basedOn w:val="Normal"/>
    <w:next w:val="Normal"/>
    <w:uiPriority w:val="99"/>
    <w:semiHidden/>
    <w:qFormat/>
    <w:rsid w:val="00DF440F"/>
    <w:pPr>
      <w:spacing w:before="80" w:after="240"/>
    </w:pPr>
    <w:rPr>
      <w:b/>
      <w:bCs/>
      <w:i/>
      <w:iCs/>
      <w:sz w:val="16"/>
      <w:szCs w:val="21"/>
    </w:rPr>
  </w:style>
  <w:style w:type="paragraph" w:styleId="Footer">
    <w:name w:val="footer"/>
    <w:basedOn w:val="Normal"/>
    <w:link w:val="FooterChar"/>
    <w:uiPriority w:val="99"/>
    <w:rsid w:val="00B73749"/>
    <w:pPr>
      <w:tabs>
        <w:tab w:val="left" w:pos="8364"/>
      </w:tabs>
      <w:spacing w:before="240" w:line="240" w:lineRule="auto"/>
    </w:pPr>
    <w:rPr>
      <w:rFonts w:cs="Segoe UI"/>
      <w:b/>
      <w:bCs/>
      <w:color w:val="FFFFFF" w:themeColor="background1"/>
      <w:sz w:val="24"/>
      <w:szCs w:val="32"/>
    </w:rPr>
  </w:style>
  <w:style w:type="character" w:customStyle="1" w:styleId="FooterChar">
    <w:name w:val="Footer Char"/>
    <w:basedOn w:val="DefaultParagraphFont"/>
    <w:link w:val="Footer"/>
    <w:uiPriority w:val="99"/>
    <w:rsid w:val="00B73749"/>
    <w:rPr>
      <w:rFonts w:ascii="Segoe UI" w:hAnsi="Segoe UI" w:cs="Segoe UI"/>
      <w:b/>
      <w:bCs/>
      <w:color w:val="FFFFFF" w:themeColor="background1"/>
      <w:spacing w:val="-3"/>
      <w:szCs w:val="32"/>
    </w:rPr>
  </w:style>
  <w:style w:type="character" w:styleId="FootnoteReference">
    <w:name w:val="footnote reference"/>
    <w:basedOn w:val="DefaultParagraphFont"/>
    <w:uiPriority w:val="99"/>
    <w:semiHidden/>
    <w:rsid w:val="00DF440F"/>
    <w:rPr>
      <w:vertAlign w:val="superscript"/>
    </w:rPr>
  </w:style>
  <w:style w:type="paragraph" w:styleId="FootnoteText">
    <w:name w:val="footnote text"/>
    <w:basedOn w:val="Normal"/>
    <w:link w:val="FootnoteTextChar"/>
    <w:uiPriority w:val="99"/>
    <w:semiHidden/>
    <w:rsid w:val="00DF440F"/>
    <w:pPr>
      <w:keepLines w:val="0"/>
      <w:spacing w:before="80"/>
    </w:pPr>
    <w:rPr>
      <w:rFonts w:ascii="Arial" w:hAnsi="Arial"/>
      <w:sz w:val="16"/>
      <w:szCs w:val="20"/>
    </w:rPr>
  </w:style>
  <w:style w:type="character" w:customStyle="1" w:styleId="FootnoteTextChar">
    <w:name w:val="Footnote Text Char"/>
    <w:basedOn w:val="DefaultParagraphFont"/>
    <w:link w:val="FootnoteText"/>
    <w:uiPriority w:val="99"/>
    <w:semiHidden/>
    <w:rsid w:val="00177B58"/>
    <w:rPr>
      <w:rFonts w:ascii="Arial" w:hAnsi="Arial" w:cs="Times New Roman (Body CS)"/>
      <w:spacing w:val="-3"/>
      <w:sz w:val="16"/>
      <w:szCs w:val="20"/>
    </w:rPr>
  </w:style>
  <w:style w:type="paragraph" w:styleId="Header">
    <w:name w:val="header"/>
    <w:basedOn w:val="Normal"/>
    <w:link w:val="HeaderChar"/>
    <w:uiPriority w:val="99"/>
    <w:semiHidden/>
    <w:rsid w:val="00DF440F"/>
    <w:pPr>
      <w:tabs>
        <w:tab w:val="right" w:pos="8505"/>
      </w:tabs>
      <w:spacing w:line="240" w:lineRule="auto"/>
    </w:pPr>
    <w:rPr>
      <w:sz w:val="15"/>
    </w:rPr>
  </w:style>
  <w:style w:type="character" w:customStyle="1" w:styleId="HeaderChar">
    <w:name w:val="Header Char"/>
    <w:basedOn w:val="DefaultParagraphFont"/>
    <w:link w:val="Header"/>
    <w:uiPriority w:val="99"/>
    <w:semiHidden/>
    <w:rsid w:val="00177B58"/>
    <w:rPr>
      <w:rFonts w:cs="Times New Roman (Body CS)"/>
      <w:spacing w:val="-3"/>
      <w:sz w:val="15"/>
    </w:rPr>
  </w:style>
  <w:style w:type="table" w:customStyle="1" w:styleId="SLP20">
    <w:name w:val="SLP2"/>
    <w:basedOn w:val="TableNormal"/>
    <w:uiPriority w:val="99"/>
    <w:rsid w:val="00763AE1"/>
    <w:pPr>
      <w:spacing w:before="120" w:after="40" w:line="200" w:lineRule="exact"/>
    </w:pPr>
    <w:rPr>
      <w:rFonts w:cs="Times New Roman (Body CS)"/>
      <w:color w:val="3C033D" w:themeColor="text1"/>
      <w:sz w:val="16"/>
    </w:rPr>
    <w:tblPr>
      <w:tblStyleRowBandSize w:val="1"/>
      <w:tblBorders>
        <w:top w:val="single" w:sz="4" w:space="0" w:color="AB176E" w:themeColor="accent1"/>
        <w:left w:val="single" w:sz="4" w:space="0" w:color="AB176E" w:themeColor="accent1"/>
        <w:bottom w:val="single" w:sz="4" w:space="0" w:color="AB176E" w:themeColor="accent1"/>
        <w:right w:val="single" w:sz="4" w:space="0" w:color="AB176E" w:themeColor="accent1"/>
        <w:insideH w:val="single" w:sz="4" w:space="0" w:color="AB176E" w:themeColor="accent1"/>
        <w:insideV w:val="single" w:sz="4" w:space="0" w:color="AB176E" w:themeColor="accent1"/>
      </w:tblBorders>
      <w:tblCellMar>
        <w:top w:w="113" w:type="dxa"/>
        <w:left w:w="113" w:type="dxa"/>
        <w:bottom w:w="113" w:type="dxa"/>
        <w:right w:w="113" w:type="dxa"/>
      </w:tblCellMar>
    </w:tblPr>
    <w:trPr>
      <w:cantSplit/>
    </w:trPr>
    <w:tcPr>
      <w:shd w:val="clear" w:color="auto" w:fill="auto"/>
    </w:tcPr>
    <w:tblStylePr w:type="firstRow">
      <w:pPr>
        <w:wordWrap/>
        <w:spacing w:beforeLines="0" w:before="240" w:beforeAutospacing="0" w:afterLines="0" w:after="0" w:afterAutospacing="0" w:line="210" w:lineRule="exact"/>
      </w:pPr>
      <w:rPr>
        <w:rFonts w:asciiTheme="minorHAnsi" w:hAnsiTheme="minorHAnsi"/>
        <w:b/>
        <w:color w:val="auto"/>
        <w:sz w:val="16"/>
      </w:rPr>
      <w:tblPr/>
      <w:tcPr>
        <w:tcBorders>
          <w:top w:val="single" w:sz="4" w:space="0" w:color="AB176E" w:themeColor="accent1"/>
          <w:left w:val="single" w:sz="4" w:space="0" w:color="AB176E" w:themeColor="accent1"/>
          <w:bottom w:val="single" w:sz="4" w:space="0" w:color="AB176E" w:themeColor="accent1"/>
          <w:right w:val="single" w:sz="4" w:space="0" w:color="AB176E" w:themeColor="accent1"/>
          <w:insideH w:val="single" w:sz="4" w:space="0" w:color="AB176E" w:themeColor="accent1"/>
          <w:insideV w:val="single" w:sz="4" w:space="0" w:color="FFFFFF" w:themeColor="background1"/>
          <w:tl2br w:val="nil"/>
          <w:tr2bl w:val="nil"/>
        </w:tcBorders>
        <w:shd w:val="clear" w:color="auto" w:fill="AB176E" w:themeFill="accent1"/>
      </w:tcPr>
    </w:tblStylePr>
    <w:tblStylePr w:type="band1Horz">
      <w:rPr>
        <w:rFonts w:asciiTheme="minorHAnsi" w:hAnsiTheme="minorHAnsi"/>
      </w:rPr>
    </w:tblStylePr>
  </w:style>
  <w:style w:type="character" w:customStyle="1" w:styleId="Heading1highlight">
    <w:name w:val="Heading 1 highlight"/>
    <w:basedOn w:val="DefaultParagraphFont"/>
    <w:uiPriority w:val="3"/>
    <w:rsid w:val="00753BC1"/>
    <w:rPr>
      <w:rFonts w:ascii="Segoe UI" w:hAnsi="Segoe UI"/>
      <w:color w:val="auto"/>
      <w:u w:val="none" w:color="F27FB2" w:themeColor="accent3"/>
      <w:bdr w:val="none" w:sz="0" w:space="0" w:color="auto"/>
      <w:shd w:val="clear" w:color="auto" w:fill="3C033D" w:themeFill="text1"/>
    </w:rPr>
  </w:style>
  <w:style w:type="paragraph" w:customStyle="1" w:styleId="BasicParagraph">
    <w:name w:val="[Basic Paragraph]"/>
    <w:basedOn w:val="Normal"/>
    <w:uiPriority w:val="99"/>
    <w:semiHidden/>
    <w:rsid w:val="00DE3AEF"/>
    <w:pPr>
      <w:keepLines w:val="0"/>
      <w:autoSpaceDE w:val="0"/>
      <w:autoSpaceDN w:val="0"/>
      <w:adjustRightInd w:val="0"/>
      <w:spacing w:before="0" w:line="288" w:lineRule="auto"/>
      <w:textAlignment w:val="center"/>
    </w:pPr>
    <w:rPr>
      <w:rFonts w:ascii="MinionPro-Regular" w:hAnsi="MinionPro-Regular" w:cs="MinionPro-Regular"/>
      <w:color w:val="000000"/>
      <w:sz w:val="24"/>
      <w:lang w:val="en-US"/>
    </w:rPr>
  </w:style>
  <w:style w:type="paragraph" w:customStyle="1" w:styleId="Introduction">
    <w:name w:val="Introduction"/>
    <w:basedOn w:val="Normal"/>
    <w:uiPriority w:val="5"/>
    <w:qFormat/>
    <w:rsid w:val="0048665A"/>
    <w:pPr>
      <w:spacing w:before="480" w:line="216" w:lineRule="auto"/>
      <w:ind w:right="2268"/>
    </w:pPr>
    <w:rPr>
      <w:rFonts w:cs="Segoe UI"/>
      <w:b/>
      <w:bCs/>
      <w:color w:val="3C033D" w:themeColor="text1"/>
      <w:sz w:val="28"/>
      <w:szCs w:val="40"/>
    </w:rPr>
  </w:style>
  <w:style w:type="paragraph" w:customStyle="1" w:styleId="Featuretext">
    <w:name w:val="Feature text"/>
    <w:basedOn w:val="Normal"/>
    <w:uiPriority w:val="6"/>
    <w:qFormat/>
    <w:rsid w:val="0048665A"/>
    <w:pPr>
      <w:snapToGrid w:val="0"/>
      <w:spacing w:before="0" w:after="300" w:line="228" w:lineRule="auto"/>
    </w:pPr>
    <w:rPr>
      <w:b/>
      <w:color w:val="3C033D" w:themeColor="text1"/>
      <w:sz w:val="36"/>
    </w:rPr>
  </w:style>
  <w:style w:type="paragraph" w:customStyle="1" w:styleId="Featuretextattribution">
    <w:name w:val="Feature text attribution"/>
    <w:basedOn w:val="Normal"/>
    <w:uiPriority w:val="8"/>
    <w:qFormat/>
    <w:rsid w:val="0048665A"/>
    <w:pPr>
      <w:spacing w:before="240" w:line="240" w:lineRule="auto"/>
      <w:contextualSpacing/>
    </w:pPr>
    <w:rPr>
      <w:b/>
      <w:color w:val="3C033D" w:themeColor="text1"/>
      <w:shd w:val="clear" w:color="auto" w:fill="FFFFFF" w:themeFill="background1"/>
    </w:rPr>
  </w:style>
  <w:style w:type="character" w:customStyle="1" w:styleId="Featuretexthighlight">
    <w:name w:val="Feature text highlight"/>
    <w:basedOn w:val="DefaultParagraphFont"/>
    <w:uiPriority w:val="7"/>
    <w:qFormat/>
    <w:rsid w:val="00753BC1"/>
    <w:rPr>
      <w:rFonts w:ascii="Segoe UI" w:hAnsi="Segoe UI"/>
      <w:u w:val="none" w:color="FFFFFF" w:themeColor="background1"/>
      <w:bdr w:val="none" w:sz="0" w:space="0" w:color="auto"/>
      <w:shd w:val="clear" w:color="auto" w:fill="FFFFFF" w:themeFill="background1"/>
    </w:rPr>
  </w:style>
  <w:style w:type="table" w:styleId="TableGrid">
    <w:name w:val="Table Grid"/>
    <w:basedOn w:val="TableNormal"/>
    <w:uiPriority w:val="39"/>
    <w:rsid w:val="002F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gedCare1">
    <w:name w:val="Aged Care 1"/>
    <w:basedOn w:val="TableNormal"/>
    <w:uiPriority w:val="99"/>
    <w:rsid w:val="0048665A"/>
    <w:pPr>
      <w:snapToGrid w:val="0"/>
      <w:jc w:val="center"/>
    </w:pPr>
    <w:rPr>
      <w:rFonts w:ascii="Segoe UI" w:hAnsi="Segoe UI" w:cs="Times New Roman (Body CS)"/>
      <w:sz w:val="20"/>
    </w:rPr>
    <w:tblPr>
      <w:tblStyleRowBandSize w:val="1"/>
      <w:tblStyleColBandSize w:val="1"/>
      <w:tblBorders>
        <w:bottom w:val="single" w:sz="4" w:space="0" w:color="3C033D" w:themeColor="text1"/>
        <w:insideH w:val="single" w:sz="4" w:space="0" w:color="3C033D" w:themeColor="text1"/>
      </w:tblBorders>
    </w:tblPr>
    <w:tcPr>
      <w:shd w:val="clear" w:color="auto" w:fill="auto"/>
    </w:tcPr>
    <w:tblStylePr w:type="firstRow">
      <w:pPr>
        <w:wordWrap/>
        <w:spacing w:line="240" w:lineRule="auto"/>
        <w:jc w:val="center"/>
      </w:pPr>
      <w:rPr>
        <w:rFonts w:ascii="Segoe UI" w:hAnsi="Segoe UI"/>
        <w:b/>
        <w:i w:val="0"/>
        <w:color w:val="3C033D" w:themeColor="text1"/>
        <w:sz w:val="20"/>
      </w:rPr>
    </w:tblStylePr>
    <w:tblStylePr w:type="firstCol">
      <w:pPr>
        <w:wordWrap/>
        <w:spacing w:line="240" w:lineRule="auto"/>
        <w:jc w:val="left"/>
      </w:pPr>
      <w:rPr>
        <w:rFonts w:ascii="Segoe UI" w:hAnsi="Segoe UI"/>
        <w:b/>
        <w:i w:val="0"/>
        <w:color w:val="3C033D" w:themeColor="text1"/>
        <w:sz w:val="20"/>
      </w:rPr>
    </w:tblStyle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94F16"/>
    <w:pPr>
      <w:ind w:left="720"/>
      <w:contextualSpacing/>
    </w:pPr>
  </w:style>
  <w:style w:type="character" w:styleId="SubtleEmphasis">
    <w:name w:val="Subtle Emphasis"/>
    <w:basedOn w:val="DefaultParagraphFont"/>
    <w:uiPriority w:val="19"/>
    <w:semiHidden/>
    <w:qFormat/>
    <w:rsid w:val="00275DC2"/>
    <w:rPr>
      <w:i/>
      <w:iCs/>
      <w:color w:val="A408A7" w:themeColor="text1" w:themeTint="BF"/>
    </w:rPr>
  </w:style>
  <w:style w:type="paragraph" w:styleId="NoSpacing">
    <w:name w:val="No Spacing"/>
    <w:uiPriority w:val="1"/>
    <w:qFormat/>
    <w:rsid w:val="00753BC1"/>
    <w:pPr>
      <w:keepLines/>
    </w:pPr>
    <w:rPr>
      <w:rFonts w:ascii="Segoe UI" w:hAnsi="Segoe UI" w:cs="Times New Roman (Body CS)"/>
      <w:spacing w:val="-3"/>
      <w:sz w:val="20"/>
    </w:rPr>
  </w:style>
  <w:style w:type="paragraph" w:customStyle="1" w:styleId="IMAGE">
    <w:name w:val="IMAGE"/>
    <w:basedOn w:val="NoSpacing"/>
    <w:qFormat/>
    <w:rsid w:val="00D22E5B"/>
    <w:pPr>
      <w:ind w:left="-709"/>
    </w:pPr>
    <w:rPr>
      <w:noProof/>
    </w:rPr>
  </w:style>
  <w:style w:type="character" w:styleId="PageNumber">
    <w:name w:val="page number"/>
    <w:basedOn w:val="DefaultParagraphFont"/>
    <w:uiPriority w:val="99"/>
    <w:semiHidden/>
    <w:unhideWhenUsed/>
    <w:rsid w:val="00BF6945"/>
  </w:style>
  <w:style w:type="paragraph" w:styleId="CommentText">
    <w:name w:val="annotation text"/>
    <w:basedOn w:val="Normal"/>
    <w:link w:val="CommentTextChar"/>
    <w:uiPriority w:val="99"/>
    <w:unhideWhenUsed/>
    <w:rsid w:val="00EB481B"/>
    <w:pPr>
      <w:keepLines w:val="0"/>
      <w:spacing w:before="0" w:after="160" w:line="240" w:lineRule="auto"/>
    </w:pPr>
    <w:rPr>
      <w:rFonts w:ascii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EB481B"/>
    <w:rPr>
      <w:sz w:val="20"/>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B481B"/>
    <w:rPr>
      <w:rFonts w:ascii="Segoe UI" w:hAnsi="Segoe UI" w:cs="Times New Roman (Body CS)"/>
      <w:spacing w:val="-3"/>
      <w:sz w:val="22"/>
    </w:rPr>
  </w:style>
  <w:style w:type="character" w:styleId="CommentReference">
    <w:name w:val="annotation reference"/>
    <w:basedOn w:val="DefaultParagraphFont"/>
    <w:uiPriority w:val="99"/>
    <w:semiHidden/>
    <w:unhideWhenUsed/>
    <w:rsid w:val="00EB481B"/>
    <w:rPr>
      <w:sz w:val="16"/>
      <w:szCs w:val="16"/>
    </w:rPr>
  </w:style>
  <w:style w:type="character" w:styleId="Hyperlink">
    <w:name w:val="Hyperlink"/>
    <w:basedOn w:val="DefaultParagraphFont"/>
    <w:uiPriority w:val="99"/>
    <w:unhideWhenUsed/>
    <w:rsid w:val="00EB481B"/>
    <w:rPr>
      <w:color w:val="1E3B6E" w:themeColor="hyperlink"/>
      <w:u w:val="single"/>
    </w:rPr>
  </w:style>
  <w:style w:type="character" w:styleId="UnresolvedMention">
    <w:name w:val="Unresolved Mention"/>
    <w:basedOn w:val="DefaultParagraphFont"/>
    <w:uiPriority w:val="99"/>
    <w:semiHidden/>
    <w:unhideWhenUsed/>
    <w:rsid w:val="00EB481B"/>
    <w:rPr>
      <w:color w:val="605E5C"/>
      <w:shd w:val="clear" w:color="auto" w:fill="E1DFDD"/>
    </w:rPr>
  </w:style>
  <w:style w:type="character" w:customStyle="1" w:styleId="null1">
    <w:name w:val="null1"/>
    <w:basedOn w:val="DefaultParagraphFont"/>
    <w:rsid w:val="00A93216"/>
  </w:style>
  <w:style w:type="paragraph" w:styleId="ListBullet2">
    <w:name w:val="List Bullet 2"/>
    <w:basedOn w:val="Normal"/>
    <w:uiPriority w:val="2"/>
    <w:qFormat/>
    <w:rsid w:val="00A42A80"/>
    <w:pPr>
      <w:keepLines w:val="0"/>
      <w:numPr>
        <w:ilvl w:val="1"/>
        <w:numId w:val="7"/>
      </w:numPr>
      <w:spacing w:after="180" w:line="240" w:lineRule="atLeast"/>
    </w:pPr>
    <w:rPr>
      <w:rFonts w:asciiTheme="minorHAnsi" w:eastAsia="Cambria" w:hAnsiTheme="minorHAnsi" w:cstheme="minorHAnsi"/>
      <w:spacing w:val="0"/>
      <w:sz w:val="24"/>
    </w:rPr>
  </w:style>
  <w:style w:type="paragraph" w:styleId="CommentSubject">
    <w:name w:val="annotation subject"/>
    <w:basedOn w:val="CommentText"/>
    <w:next w:val="CommentText"/>
    <w:link w:val="CommentSubjectChar"/>
    <w:uiPriority w:val="99"/>
    <w:semiHidden/>
    <w:unhideWhenUsed/>
    <w:rsid w:val="00CC0AF6"/>
    <w:pPr>
      <w:keepLines/>
      <w:spacing w:before="120" w:after="0"/>
    </w:pPr>
    <w:rPr>
      <w:rFonts w:ascii="Segoe UI" w:hAnsi="Segoe UI" w:cs="Times New Roman (Body CS)"/>
      <w:b/>
      <w:bCs/>
      <w:spacing w:val="-3"/>
    </w:rPr>
  </w:style>
  <w:style w:type="character" w:customStyle="1" w:styleId="CommentSubjectChar">
    <w:name w:val="Comment Subject Char"/>
    <w:basedOn w:val="CommentTextChar"/>
    <w:link w:val="CommentSubject"/>
    <w:uiPriority w:val="99"/>
    <w:semiHidden/>
    <w:rsid w:val="00CC0AF6"/>
    <w:rPr>
      <w:rFonts w:ascii="Segoe UI" w:hAnsi="Segoe UI" w:cs="Times New Roman (Body CS)"/>
      <w:b/>
      <w:bCs/>
      <w:spacing w:val="-3"/>
      <w:sz w:val="20"/>
      <w:szCs w:val="20"/>
    </w:rPr>
  </w:style>
  <w:style w:type="paragraph" w:styleId="Revision">
    <w:name w:val="Revision"/>
    <w:hidden/>
    <w:uiPriority w:val="99"/>
    <w:semiHidden/>
    <w:rsid w:val="001B069E"/>
    <w:rPr>
      <w:rFonts w:ascii="Segoe UI" w:hAnsi="Segoe UI" w:cs="Times New Roman (Body CS)"/>
      <w:spacing w:val="-3"/>
      <w:sz w:val="22"/>
    </w:rPr>
  </w:style>
  <w:style w:type="character" w:styleId="FollowedHyperlink">
    <w:name w:val="FollowedHyperlink"/>
    <w:basedOn w:val="DefaultParagraphFont"/>
    <w:uiPriority w:val="99"/>
    <w:semiHidden/>
    <w:unhideWhenUsed/>
    <w:rsid w:val="00352268"/>
    <w:rPr>
      <w:color w:val="954F72" w:themeColor="followedHyperlink"/>
      <w:u w:val="single"/>
    </w:rPr>
  </w:style>
  <w:style w:type="character" w:styleId="PlaceholderText">
    <w:name w:val="Placeholder Text"/>
    <w:basedOn w:val="DefaultParagraphFont"/>
    <w:uiPriority w:val="99"/>
    <w:semiHidden/>
    <w:rsid w:val="0020025B"/>
    <w:rPr>
      <w:color w:val="808080"/>
    </w:rPr>
  </w:style>
  <w:style w:type="paragraph" w:styleId="NormalWeb">
    <w:name w:val="Normal (Web)"/>
    <w:basedOn w:val="Normal"/>
    <w:uiPriority w:val="99"/>
    <w:unhideWhenUsed/>
    <w:rsid w:val="00200274"/>
    <w:pPr>
      <w:keepLines w:val="0"/>
      <w:spacing w:before="100" w:beforeAutospacing="1" w:after="100" w:afterAutospacing="1" w:line="240" w:lineRule="auto"/>
    </w:pPr>
    <w:rPr>
      <w:rFonts w:ascii="Times New Roman" w:eastAsia="Times New Roman" w:hAnsi="Times New Roman" w:cs="Times New Roman"/>
      <w:spacing w:val="0"/>
      <w:sz w:val="24"/>
      <w:lang w:eastAsia="en-AU"/>
    </w:rPr>
  </w:style>
  <w:style w:type="paragraph" w:customStyle="1" w:styleId="Tabletextleft">
    <w:name w:val="Table text left"/>
    <w:autoRedefine/>
    <w:qFormat/>
    <w:locked/>
    <w:rsid w:val="00560018"/>
    <w:pPr>
      <w:framePr w:hSpace="180" w:wrap="around" w:vAnchor="text" w:hAnchor="margin" w:xAlign="center" w:y="369"/>
      <w:spacing w:before="60" w:after="60"/>
    </w:pPr>
    <w:rPr>
      <w:rFonts w:ascii="Arial" w:eastAsia="Times New Roman" w:hAnsi="Arial" w:cs="Times New Roman"/>
      <w:color w:val="3C033D" w:themeColor="text1"/>
      <w:sz w:val="21"/>
      <w:lang w:eastAsia="en-AU"/>
    </w:rPr>
  </w:style>
  <w:style w:type="table" w:customStyle="1" w:styleId="DepartmentofHealthtable">
    <w:name w:val="Department of Health table"/>
    <w:basedOn w:val="TableNormal"/>
    <w:uiPriority w:val="99"/>
    <w:rsid w:val="00560018"/>
    <w:rPr>
      <w:rFonts w:ascii="Arial" w:eastAsia="Times New Roman" w:hAnsi="Arial" w:cs="Times New Roman"/>
      <w:color w:val="3C033D"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3C033D"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ull">
    <w:name w:val="null"/>
    <w:basedOn w:val="Normal"/>
    <w:rsid w:val="00C9155D"/>
    <w:pPr>
      <w:keepLines w:val="0"/>
      <w:spacing w:before="100" w:beforeAutospacing="1" w:after="100" w:afterAutospacing="1" w:line="240" w:lineRule="auto"/>
    </w:pPr>
    <w:rPr>
      <w:rFonts w:ascii="Calibri" w:hAnsi="Calibri" w:cs="Calibri"/>
      <w:spacing w:val="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3100">
      <w:bodyDiv w:val="1"/>
      <w:marLeft w:val="0"/>
      <w:marRight w:val="0"/>
      <w:marTop w:val="0"/>
      <w:marBottom w:val="0"/>
      <w:divBdr>
        <w:top w:val="none" w:sz="0" w:space="0" w:color="auto"/>
        <w:left w:val="none" w:sz="0" w:space="0" w:color="auto"/>
        <w:bottom w:val="none" w:sz="0" w:space="0" w:color="auto"/>
        <w:right w:val="none" w:sz="0" w:space="0" w:color="auto"/>
      </w:divBdr>
    </w:div>
    <w:div w:id="24333381">
      <w:bodyDiv w:val="1"/>
      <w:marLeft w:val="0"/>
      <w:marRight w:val="0"/>
      <w:marTop w:val="0"/>
      <w:marBottom w:val="0"/>
      <w:divBdr>
        <w:top w:val="none" w:sz="0" w:space="0" w:color="auto"/>
        <w:left w:val="none" w:sz="0" w:space="0" w:color="auto"/>
        <w:bottom w:val="none" w:sz="0" w:space="0" w:color="auto"/>
        <w:right w:val="none" w:sz="0" w:space="0" w:color="auto"/>
      </w:divBdr>
    </w:div>
    <w:div w:id="133568724">
      <w:bodyDiv w:val="1"/>
      <w:marLeft w:val="0"/>
      <w:marRight w:val="0"/>
      <w:marTop w:val="0"/>
      <w:marBottom w:val="0"/>
      <w:divBdr>
        <w:top w:val="none" w:sz="0" w:space="0" w:color="auto"/>
        <w:left w:val="none" w:sz="0" w:space="0" w:color="auto"/>
        <w:bottom w:val="none" w:sz="0" w:space="0" w:color="auto"/>
        <w:right w:val="none" w:sz="0" w:space="0" w:color="auto"/>
      </w:divBdr>
    </w:div>
    <w:div w:id="190537840">
      <w:bodyDiv w:val="1"/>
      <w:marLeft w:val="0"/>
      <w:marRight w:val="0"/>
      <w:marTop w:val="0"/>
      <w:marBottom w:val="0"/>
      <w:divBdr>
        <w:top w:val="none" w:sz="0" w:space="0" w:color="auto"/>
        <w:left w:val="none" w:sz="0" w:space="0" w:color="auto"/>
        <w:bottom w:val="none" w:sz="0" w:space="0" w:color="auto"/>
        <w:right w:val="none" w:sz="0" w:space="0" w:color="auto"/>
      </w:divBdr>
    </w:div>
    <w:div w:id="318730146">
      <w:bodyDiv w:val="1"/>
      <w:marLeft w:val="0"/>
      <w:marRight w:val="0"/>
      <w:marTop w:val="0"/>
      <w:marBottom w:val="0"/>
      <w:divBdr>
        <w:top w:val="none" w:sz="0" w:space="0" w:color="auto"/>
        <w:left w:val="none" w:sz="0" w:space="0" w:color="auto"/>
        <w:bottom w:val="none" w:sz="0" w:space="0" w:color="auto"/>
        <w:right w:val="none" w:sz="0" w:space="0" w:color="auto"/>
      </w:divBdr>
    </w:div>
    <w:div w:id="345181219">
      <w:bodyDiv w:val="1"/>
      <w:marLeft w:val="0"/>
      <w:marRight w:val="0"/>
      <w:marTop w:val="0"/>
      <w:marBottom w:val="0"/>
      <w:divBdr>
        <w:top w:val="none" w:sz="0" w:space="0" w:color="auto"/>
        <w:left w:val="none" w:sz="0" w:space="0" w:color="auto"/>
        <w:bottom w:val="none" w:sz="0" w:space="0" w:color="auto"/>
        <w:right w:val="none" w:sz="0" w:space="0" w:color="auto"/>
      </w:divBdr>
    </w:div>
    <w:div w:id="431702038">
      <w:bodyDiv w:val="1"/>
      <w:marLeft w:val="0"/>
      <w:marRight w:val="0"/>
      <w:marTop w:val="0"/>
      <w:marBottom w:val="0"/>
      <w:divBdr>
        <w:top w:val="none" w:sz="0" w:space="0" w:color="auto"/>
        <w:left w:val="none" w:sz="0" w:space="0" w:color="auto"/>
        <w:bottom w:val="none" w:sz="0" w:space="0" w:color="auto"/>
        <w:right w:val="none" w:sz="0" w:space="0" w:color="auto"/>
      </w:divBdr>
    </w:div>
    <w:div w:id="476534185">
      <w:bodyDiv w:val="1"/>
      <w:marLeft w:val="0"/>
      <w:marRight w:val="0"/>
      <w:marTop w:val="0"/>
      <w:marBottom w:val="0"/>
      <w:divBdr>
        <w:top w:val="none" w:sz="0" w:space="0" w:color="auto"/>
        <w:left w:val="none" w:sz="0" w:space="0" w:color="auto"/>
        <w:bottom w:val="none" w:sz="0" w:space="0" w:color="auto"/>
        <w:right w:val="none" w:sz="0" w:space="0" w:color="auto"/>
      </w:divBdr>
    </w:div>
    <w:div w:id="524638369">
      <w:bodyDiv w:val="1"/>
      <w:marLeft w:val="0"/>
      <w:marRight w:val="0"/>
      <w:marTop w:val="0"/>
      <w:marBottom w:val="0"/>
      <w:divBdr>
        <w:top w:val="none" w:sz="0" w:space="0" w:color="auto"/>
        <w:left w:val="none" w:sz="0" w:space="0" w:color="auto"/>
        <w:bottom w:val="none" w:sz="0" w:space="0" w:color="auto"/>
        <w:right w:val="none" w:sz="0" w:space="0" w:color="auto"/>
      </w:divBdr>
    </w:div>
    <w:div w:id="607397079">
      <w:bodyDiv w:val="1"/>
      <w:marLeft w:val="0"/>
      <w:marRight w:val="0"/>
      <w:marTop w:val="0"/>
      <w:marBottom w:val="0"/>
      <w:divBdr>
        <w:top w:val="none" w:sz="0" w:space="0" w:color="auto"/>
        <w:left w:val="none" w:sz="0" w:space="0" w:color="auto"/>
        <w:bottom w:val="none" w:sz="0" w:space="0" w:color="auto"/>
        <w:right w:val="none" w:sz="0" w:space="0" w:color="auto"/>
      </w:divBdr>
    </w:div>
    <w:div w:id="631787112">
      <w:bodyDiv w:val="1"/>
      <w:marLeft w:val="0"/>
      <w:marRight w:val="0"/>
      <w:marTop w:val="0"/>
      <w:marBottom w:val="0"/>
      <w:divBdr>
        <w:top w:val="none" w:sz="0" w:space="0" w:color="auto"/>
        <w:left w:val="none" w:sz="0" w:space="0" w:color="auto"/>
        <w:bottom w:val="none" w:sz="0" w:space="0" w:color="auto"/>
        <w:right w:val="none" w:sz="0" w:space="0" w:color="auto"/>
      </w:divBdr>
    </w:div>
    <w:div w:id="881401451">
      <w:bodyDiv w:val="1"/>
      <w:marLeft w:val="0"/>
      <w:marRight w:val="0"/>
      <w:marTop w:val="0"/>
      <w:marBottom w:val="0"/>
      <w:divBdr>
        <w:top w:val="none" w:sz="0" w:space="0" w:color="auto"/>
        <w:left w:val="none" w:sz="0" w:space="0" w:color="auto"/>
        <w:bottom w:val="none" w:sz="0" w:space="0" w:color="auto"/>
        <w:right w:val="none" w:sz="0" w:space="0" w:color="auto"/>
      </w:divBdr>
    </w:div>
    <w:div w:id="895429691">
      <w:bodyDiv w:val="1"/>
      <w:marLeft w:val="0"/>
      <w:marRight w:val="0"/>
      <w:marTop w:val="0"/>
      <w:marBottom w:val="0"/>
      <w:divBdr>
        <w:top w:val="none" w:sz="0" w:space="0" w:color="auto"/>
        <w:left w:val="none" w:sz="0" w:space="0" w:color="auto"/>
        <w:bottom w:val="none" w:sz="0" w:space="0" w:color="auto"/>
        <w:right w:val="none" w:sz="0" w:space="0" w:color="auto"/>
      </w:divBdr>
    </w:div>
    <w:div w:id="975643986">
      <w:bodyDiv w:val="1"/>
      <w:marLeft w:val="0"/>
      <w:marRight w:val="0"/>
      <w:marTop w:val="0"/>
      <w:marBottom w:val="0"/>
      <w:divBdr>
        <w:top w:val="none" w:sz="0" w:space="0" w:color="auto"/>
        <w:left w:val="none" w:sz="0" w:space="0" w:color="auto"/>
        <w:bottom w:val="none" w:sz="0" w:space="0" w:color="auto"/>
        <w:right w:val="none" w:sz="0" w:space="0" w:color="auto"/>
      </w:divBdr>
    </w:div>
    <w:div w:id="1022587502">
      <w:bodyDiv w:val="1"/>
      <w:marLeft w:val="0"/>
      <w:marRight w:val="0"/>
      <w:marTop w:val="0"/>
      <w:marBottom w:val="0"/>
      <w:divBdr>
        <w:top w:val="none" w:sz="0" w:space="0" w:color="auto"/>
        <w:left w:val="none" w:sz="0" w:space="0" w:color="auto"/>
        <w:bottom w:val="none" w:sz="0" w:space="0" w:color="auto"/>
        <w:right w:val="none" w:sz="0" w:space="0" w:color="auto"/>
      </w:divBdr>
    </w:div>
    <w:div w:id="1037047907">
      <w:bodyDiv w:val="1"/>
      <w:marLeft w:val="0"/>
      <w:marRight w:val="0"/>
      <w:marTop w:val="0"/>
      <w:marBottom w:val="0"/>
      <w:divBdr>
        <w:top w:val="none" w:sz="0" w:space="0" w:color="auto"/>
        <w:left w:val="none" w:sz="0" w:space="0" w:color="auto"/>
        <w:bottom w:val="none" w:sz="0" w:space="0" w:color="auto"/>
        <w:right w:val="none" w:sz="0" w:space="0" w:color="auto"/>
      </w:divBdr>
    </w:div>
    <w:div w:id="1208107402">
      <w:bodyDiv w:val="1"/>
      <w:marLeft w:val="0"/>
      <w:marRight w:val="0"/>
      <w:marTop w:val="0"/>
      <w:marBottom w:val="0"/>
      <w:divBdr>
        <w:top w:val="none" w:sz="0" w:space="0" w:color="auto"/>
        <w:left w:val="none" w:sz="0" w:space="0" w:color="auto"/>
        <w:bottom w:val="none" w:sz="0" w:space="0" w:color="auto"/>
        <w:right w:val="none" w:sz="0" w:space="0" w:color="auto"/>
      </w:divBdr>
    </w:div>
    <w:div w:id="1303735997">
      <w:bodyDiv w:val="1"/>
      <w:marLeft w:val="0"/>
      <w:marRight w:val="0"/>
      <w:marTop w:val="0"/>
      <w:marBottom w:val="0"/>
      <w:divBdr>
        <w:top w:val="none" w:sz="0" w:space="0" w:color="auto"/>
        <w:left w:val="none" w:sz="0" w:space="0" w:color="auto"/>
        <w:bottom w:val="none" w:sz="0" w:space="0" w:color="auto"/>
        <w:right w:val="none" w:sz="0" w:space="0" w:color="auto"/>
      </w:divBdr>
    </w:div>
    <w:div w:id="1344631279">
      <w:bodyDiv w:val="1"/>
      <w:marLeft w:val="0"/>
      <w:marRight w:val="0"/>
      <w:marTop w:val="0"/>
      <w:marBottom w:val="0"/>
      <w:divBdr>
        <w:top w:val="none" w:sz="0" w:space="0" w:color="auto"/>
        <w:left w:val="none" w:sz="0" w:space="0" w:color="auto"/>
        <w:bottom w:val="none" w:sz="0" w:space="0" w:color="auto"/>
        <w:right w:val="none" w:sz="0" w:space="0" w:color="auto"/>
      </w:divBdr>
    </w:div>
    <w:div w:id="1621376813">
      <w:bodyDiv w:val="1"/>
      <w:marLeft w:val="0"/>
      <w:marRight w:val="0"/>
      <w:marTop w:val="0"/>
      <w:marBottom w:val="0"/>
      <w:divBdr>
        <w:top w:val="none" w:sz="0" w:space="0" w:color="auto"/>
        <w:left w:val="none" w:sz="0" w:space="0" w:color="auto"/>
        <w:bottom w:val="none" w:sz="0" w:space="0" w:color="auto"/>
        <w:right w:val="none" w:sz="0" w:space="0" w:color="auto"/>
      </w:divBdr>
    </w:div>
    <w:div w:id="1622614543">
      <w:bodyDiv w:val="1"/>
      <w:marLeft w:val="0"/>
      <w:marRight w:val="0"/>
      <w:marTop w:val="0"/>
      <w:marBottom w:val="0"/>
      <w:divBdr>
        <w:top w:val="none" w:sz="0" w:space="0" w:color="auto"/>
        <w:left w:val="none" w:sz="0" w:space="0" w:color="auto"/>
        <w:bottom w:val="none" w:sz="0" w:space="0" w:color="auto"/>
        <w:right w:val="none" w:sz="0" w:space="0" w:color="auto"/>
      </w:divBdr>
    </w:div>
    <w:div w:id="1623535889">
      <w:bodyDiv w:val="1"/>
      <w:marLeft w:val="0"/>
      <w:marRight w:val="0"/>
      <w:marTop w:val="0"/>
      <w:marBottom w:val="0"/>
      <w:divBdr>
        <w:top w:val="none" w:sz="0" w:space="0" w:color="auto"/>
        <w:left w:val="none" w:sz="0" w:space="0" w:color="auto"/>
        <w:bottom w:val="none" w:sz="0" w:space="0" w:color="auto"/>
        <w:right w:val="none" w:sz="0" w:space="0" w:color="auto"/>
      </w:divBdr>
    </w:div>
    <w:div w:id="1809661946">
      <w:bodyDiv w:val="1"/>
      <w:marLeft w:val="0"/>
      <w:marRight w:val="0"/>
      <w:marTop w:val="0"/>
      <w:marBottom w:val="0"/>
      <w:divBdr>
        <w:top w:val="none" w:sz="0" w:space="0" w:color="auto"/>
        <w:left w:val="none" w:sz="0" w:space="0" w:color="auto"/>
        <w:bottom w:val="none" w:sz="0" w:space="0" w:color="auto"/>
        <w:right w:val="none" w:sz="0" w:space="0" w:color="auto"/>
      </w:divBdr>
    </w:div>
    <w:div w:id="1883325621">
      <w:bodyDiv w:val="1"/>
      <w:marLeft w:val="0"/>
      <w:marRight w:val="0"/>
      <w:marTop w:val="0"/>
      <w:marBottom w:val="0"/>
      <w:divBdr>
        <w:top w:val="none" w:sz="0" w:space="0" w:color="auto"/>
        <w:left w:val="none" w:sz="0" w:space="0" w:color="auto"/>
        <w:bottom w:val="none" w:sz="0" w:space="0" w:color="auto"/>
        <w:right w:val="none" w:sz="0" w:space="0" w:color="auto"/>
      </w:divBdr>
    </w:div>
    <w:div w:id="194911876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68774036">
      <w:bodyDiv w:val="1"/>
      <w:marLeft w:val="0"/>
      <w:marRight w:val="0"/>
      <w:marTop w:val="0"/>
      <w:marBottom w:val="0"/>
      <w:divBdr>
        <w:top w:val="none" w:sz="0" w:space="0" w:color="auto"/>
        <w:left w:val="none" w:sz="0" w:space="0" w:color="auto"/>
        <w:bottom w:val="none" w:sz="0" w:space="0" w:color="auto"/>
        <w:right w:val="none" w:sz="0" w:space="0" w:color="auto"/>
      </w:divBdr>
    </w:div>
    <w:div w:id="1973512305">
      <w:bodyDiv w:val="1"/>
      <w:marLeft w:val="0"/>
      <w:marRight w:val="0"/>
      <w:marTop w:val="0"/>
      <w:marBottom w:val="0"/>
      <w:divBdr>
        <w:top w:val="none" w:sz="0" w:space="0" w:color="auto"/>
        <w:left w:val="none" w:sz="0" w:space="0" w:color="auto"/>
        <w:bottom w:val="none" w:sz="0" w:space="0" w:color="auto"/>
        <w:right w:val="none" w:sz="0" w:space="0" w:color="auto"/>
      </w:divBdr>
    </w:div>
    <w:div w:id="2029017386">
      <w:bodyDiv w:val="1"/>
      <w:marLeft w:val="0"/>
      <w:marRight w:val="0"/>
      <w:marTop w:val="0"/>
      <w:marBottom w:val="0"/>
      <w:divBdr>
        <w:top w:val="none" w:sz="0" w:space="0" w:color="auto"/>
        <w:left w:val="none" w:sz="0" w:space="0" w:color="auto"/>
        <w:bottom w:val="none" w:sz="0" w:space="0" w:color="auto"/>
        <w:right w:val="none" w:sz="0" w:space="0" w:color="auto"/>
      </w:divBdr>
    </w:div>
    <w:div w:id="209092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itiatives-and-programs/national-aged-care-mandatory-quality-indicator-program-qi-progra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tritioninAgedCare@healt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gov.au/health-topics/aged-care/aged-care-reforms-and-reviews/royal-commission-into-aged-care-quality-and-safety/review-of-the-aged-care-quality-stand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2021-basic-daily-fee-supplement-reporting-requirements" TargetMode="External"/><Relationship Id="rId5" Type="http://schemas.openxmlformats.org/officeDocument/2006/relationships/numbering" Target="numbering.xml"/><Relationship Id="rId15" Type="http://schemas.openxmlformats.org/officeDocument/2006/relationships/hyperlink" Target="https://www.agedcarequality.gov.au/sites/default/files/media/acqsc_aged_care_quality_standards_fact_sheet_4pp_v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initiatives-and-programs/star-ratings-for-residential-aged-ca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NutritioninAgedCare@health.gov.au" TargetMode="External"/><Relationship Id="rId2" Type="http://schemas.openxmlformats.org/officeDocument/2006/relationships/hyperlink" Target="mailto:NutritioninAgedCare@health.gov.au" TargetMode="External"/><Relationship Id="rId1" Type="http://schemas.openxmlformats.org/officeDocument/2006/relationships/hyperlink" Target="https://doi.org/10.1111/1747-0080.12368" TargetMode="External"/></Relationships>
</file>

<file path=word/theme/theme1.xml><?xml version="1.0" encoding="utf-8"?>
<a:theme xmlns:a="http://schemas.openxmlformats.org/drawingml/2006/main" name="AgedCare">
  <a:themeElements>
    <a:clrScheme name="Aged Care Theme">
      <a:dk1>
        <a:srgbClr val="3C033D"/>
      </a:dk1>
      <a:lt1>
        <a:srgbClr val="FFFFFF"/>
      </a:lt1>
      <a:dk2>
        <a:srgbClr val="280150"/>
      </a:dk2>
      <a:lt2>
        <a:srgbClr val="E5DFD6"/>
      </a:lt2>
      <a:accent1>
        <a:srgbClr val="AB176E"/>
      </a:accent1>
      <a:accent2>
        <a:srgbClr val="34CAD2"/>
      </a:accent2>
      <a:accent3>
        <a:srgbClr val="F27FB2"/>
      </a:accent3>
      <a:accent4>
        <a:srgbClr val="6D6E71"/>
      </a:accent4>
      <a:accent5>
        <a:srgbClr val="1E3B6E"/>
      </a:accent5>
      <a:accent6>
        <a:srgbClr val="FFD205"/>
      </a:accent6>
      <a:hlink>
        <a:srgbClr val="1E3B6E"/>
      </a:hlink>
      <a:folHlink>
        <a:srgbClr val="954F72"/>
      </a:folHlink>
    </a:clrScheme>
    <a:fontScheme name="AgedCare">
      <a:majorFont>
        <a:latin typeface="Quire Sans"/>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gedCare" id="{8689960E-5832-43E4-A822-74473CB72FE8}" vid="{24CAF919-AD59-4687-B1C1-E7AA81336E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C8700BBDF71B48B9615211446AE653" ma:contentTypeVersion="" ma:contentTypeDescription="PDMS Document Site Content Type" ma:contentTypeScope="" ma:versionID="89d111daf3c541db6b5a6835648b9f3d">
  <xsd:schema xmlns:xsd="http://www.w3.org/2001/XMLSchema" xmlns:xs="http://www.w3.org/2001/XMLSchema" xmlns:p="http://schemas.microsoft.com/office/2006/metadata/properties" xmlns:ns2="CCADC49D-D9D3-4EA0-871D-5A7BBF43DE0C" targetNamespace="http://schemas.microsoft.com/office/2006/metadata/properties" ma:root="true" ma:fieldsID="dfabb51d86ab83c89b8a80cf06717f5c" ns2:_="">
    <xsd:import namespace="CCADC49D-D9D3-4EA0-871D-5A7BBF43DE0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DC49D-D9D3-4EA0-871D-5A7BBF43DE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CADC49D-D9D3-4EA0-871D-5A7BBF43DE0C" xsi:nil="true"/>
  </documentManagement>
</p:properties>
</file>

<file path=customXml/itemProps1.xml><?xml version="1.0" encoding="utf-8"?>
<ds:datastoreItem xmlns:ds="http://schemas.openxmlformats.org/officeDocument/2006/customXml" ds:itemID="{67F891B4-9930-4568-9D08-BAE993A5B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DC49D-D9D3-4EA0-871D-5A7BBF43D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6D346-292A-4C73-9C8A-26E5B025ADE2}">
  <ds:schemaRefs>
    <ds:schemaRef ds:uri="http://schemas.microsoft.com/sharepoint/v3/contenttype/forms"/>
  </ds:schemaRefs>
</ds:datastoreItem>
</file>

<file path=customXml/itemProps3.xml><?xml version="1.0" encoding="utf-8"?>
<ds:datastoreItem xmlns:ds="http://schemas.openxmlformats.org/officeDocument/2006/customXml" ds:itemID="{41A6023F-9260-4097-9223-C4B9334644DB}">
  <ds:schemaRefs>
    <ds:schemaRef ds:uri="http://schemas.openxmlformats.org/officeDocument/2006/bibliography"/>
  </ds:schemaRefs>
</ds:datastoreItem>
</file>

<file path=customXml/itemProps4.xml><?xml version="1.0" encoding="utf-8"?>
<ds:datastoreItem xmlns:ds="http://schemas.openxmlformats.org/officeDocument/2006/customXml" ds:itemID="{67BA24D3-EE1B-498E-A74D-26F52BA8C386}">
  <ds:schemaRefs>
    <ds:schemaRef ds:uri="http://schemas.microsoft.com/office/2006/metadata/properties"/>
    <ds:schemaRef ds:uri="http://schemas.microsoft.com/office/2006/documentManagement/types"/>
    <ds:schemaRef ds:uri="http://purl.org/dc/terms/"/>
    <ds:schemaRef ds:uri="CCADC49D-D9D3-4EA0-871D-5A7BBF43DE0C"/>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Food and Nutrition Report</vt:lpstr>
    </vt:vector>
  </TitlesOfParts>
  <Company>Australian Government, Department of Health</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and Nutrition Report</dc:title>
  <dc:subject>Aged Care</dc:subject>
  <dc:creator>BISHOP, Clare;PATERSON, Katherine</dc:creator>
  <cp:keywords>Aged Care, Food and Nutrician</cp:keywords>
  <dc:description/>
  <cp:lastModifiedBy>BAIRD, Dallas</cp:lastModifiedBy>
  <cp:revision>3</cp:revision>
  <cp:lastPrinted>2022-03-27T06:24:00Z</cp:lastPrinted>
  <dcterms:created xsi:type="dcterms:W3CDTF">2022-03-27T05:44:00Z</dcterms:created>
  <dcterms:modified xsi:type="dcterms:W3CDTF">2022-03-27T10:26:00Z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0x010100266966F133664895A6EE3632470D45F50059C8700BBDF71B48B9615211446AE653</vt:lpwstr>
  </property>
  <property fmtid="{D5CDD505-2E9C-101B-9397-08002B2CF9AE}" pid="3" name="TWAH-7Dec">
    <vt:lpwstr>, </vt:lpwstr>
  </property>
</Properties>
</file>